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49EF" w14:textId="4B89C9CD" w:rsidR="000666FC" w:rsidRPr="000666FC" w:rsidRDefault="000666FC" w:rsidP="005C10D1">
      <w:pPr>
        <w:jc w:val="both"/>
        <w:rPr>
          <w:b/>
          <w:bCs/>
          <w:sz w:val="32"/>
          <w:szCs w:val="32"/>
        </w:rPr>
      </w:pPr>
      <w:r w:rsidRPr="000666FC">
        <w:rPr>
          <w:b/>
          <w:bCs/>
          <w:sz w:val="32"/>
          <w:szCs w:val="32"/>
        </w:rPr>
        <w:t xml:space="preserve">Instructions relatives au format applicable </w:t>
      </w:r>
      <w:r>
        <w:rPr>
          <w:b/>
          <w:bCs/>
          <w:sz w:val="32"/>
          <w:szCs w:val="32"/>
        </w:rPr>
        <w:t>de</w:t>
      </w:r>
      <w:r w:rsidRPr="000666FC">
        <w:rPr>
          <w:b/>
          <w:bCs/>
          <w:sz w:val="32"/>
          <w:szCs w:val="32"/>
        </w:rPr>
        <w:t xml:space="preserve"> Rapport de Conformité à produire par les </w:t>
      </w:r>
      <w:r>
        <w:rPr>
          <w:b/>
          <w:bCs/>
          <w:sz w:val="32"/>
          <w:szCs w:val="32"/>
        </w:rPr>
        <w:t>E</w:t>
      </w:r>
      <w:r w:rsidRPr="000666FC">
        <w:rPr>
          <w:b/>
          <w:bCs/>
          <w:sz w:val="32"/>
          <w:szCs w:val="32"/>
        </w:rPr>
        <w:t>xperts dans le cadre de leur agrément_V12.2023</w:t>
      </w:r>
      <w:r w:rsidRPr="000666FC">
        <w:rPr>
          <w:b/>
          <w:bCs/>
          <w:sz w:val="32"/>
          <w:szCs w:val="32"/>
        </w:rPr>
        <w:tab/>
      </w:r>
      <w:r w:rsidRPr="000666FC">
        <w:rPr>
          <w:b/>
          <w:bCs/>
          <w:sz w:val="32"/>
          <w:szCs w:val="32"/>
        </w:rPr>
        <w:tab/>
      </w:r>
    </w:p>
    <w:p w14:paraId="26F25C03" w14:textId="77777777" w:rsidR="000666FC" w:rsidRDefault="000666FC" w:rsidP="005C10D1">
      <w:pPr>
        <w:jc w:val="both"/>
        <w:rPr>
          <w:b/>
          <w:bCs/>
          <w:sz w:val="28"/>
          <w:szCs w:val="28"/>
        </w:rPr>
      </w:pPr>
      <w:r w:rsidRPr="000666FC">
        <w:rPr>
          <w:b/>
          <w:bCs/>
          <w:sz w:val="28"/>
          <w:szCs w:val="28"/>
          <w:u w:val="single"/>
        </w:rPr>
        <w:t>RAPPEL</w:t>
      </w:r>
      <w:r>
        <w:rPr>
          <w:b/>
          <w:bCs/>
          <w:sz w:val="28"/>
          <w:szCs w:val="28"/>
        </w:rPr>
        <w:t xml:space="preserve"> :  </w:t>
      </w:r>
    </w:p>
    <w:p w14:paraId="40F1E75D" w14:textId="2A688696" w:rsidR="000666FC" w:rsidRPr="00A3141D" w:rsidRDefault="000666FC" w:rsidP="00A3141D">
      <w:pPr>
        <w:spacing w:after="0"/>
        <w:jc w:val="both"/>
        <w:rPr>
          <w:b/>
          <w:bCs/>
        </w:rPr>
      </w:pPr>
      <w:r w:rsidRPr="00A3141D">
        <w:rPr>
          <w:b/>
          <w:bCs/>
          <w:sz w:val="24"/>
          <w:szCs w:val="24"/>
        </w:rPr>
        <w:t xml:space="preserve">Un Rapport de conformité doit être produit par les Experts :  </w:t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</w:p>
    <w:p w14:paraId="52641D77" w14:textId="49F694C3" w:rsidR="000666FC" w:rsidRPr="0097028C" w:rsidRDefault="000666FC" w:rsidP="0097028C">
      <w:pPr>
        <w:spacing w:after="0"/>
        <w:jc w:val="both"/>
      </w:pPr>
      <w:r w:rsidRPr="00A3141D">
        <w:t xml:space="preserve">1. Dans le cadre du rapportage annuel obligatoire (art. 32 de l'AGW du 6.12.2018 relatif à la gestion et à l’assainissement des sols) : </w:t>
      </w:r>
      <w:r w:rsidR="0097028C">
        <w:t>l</w:t>
      </w:r>
      <w:r w:rsidRPr="00A3141D">
        <w:t xml:space="preserve">es Experts qui ont reçu des avertissements ou plaintes de la part de l’Administration au cours de l’année écoulée transmettent leur rapport de conformité pour le 31 janvier de l’année suivante. </w:t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</w:p>
    <w:p w14:paraId="21D4053E" w14:textId="756E5AFB" w:rsidR="000666FC" w:rsidRPr="00A3141D" w:rsidRDefault="000666FC" w:rsidP="005C10D1">
      <w:pPr>
        <w:jc w:val="both"/>
        <w:rPr>
          <w:b/>
          <w:bCs/>
        </w:rPr>
      </w:pPr>
      <w:r w:rsidRPr="00A3141D">
        <w:t>2. Dans le cadre d'une demande de renouvellement d'agrément Expert (art.</w:t>
      </w:r>
      <w:r w:rsidR="0097028C" w:rsidRPr="00A3141D">
        <w:t>29 de</w:t>
      </w:r>
      <w:r w:rsidRPr="00A3141D">
        <w:t xml:space="preserve"> l'AGW du 6.12.2018 relatif à la gestion et à l’assainissement des sols) :</w:t>
      </w:r>
      <w:r w:rsidRPr="00A3141D">
        <w:rPr>
          <w:b/>
          <w:bCs/>
        </w:rPr>
        <w:t xml:space="preserve"> </w:t>
      </w:r>
      <w:r w:rsidR="0097028C">
        <w:rPr>
          <w:b/>
          <w:bCs/>
        </w:rPr>
        <w:t xml:space="preserve"> </w:t>
      </w:r>
      <w:r w:rsidR="0097028C" w:rsidRPr="0097028C">
        <w:t>les experts joignent en annexe</w:t>
      </w:r>
      <w:r w:rsidR="0097028C">
        <w:t xml:space="preserve"> 17 </w:t>
      </w:r>
      <w:r w:rsidR="0097028C" w:rsidRPr="00A3141D">
        <w:t xml:space="preserve">du dossier de demande de renouvellement </w:t>
      </w:r>
      <w:r w:rsidR="0097028C">
        <w:t>l</w:t>
      </w:r>
      <w:r w:rsidRPr="00A3141D">
        <w:t>e</w:t>
      </w:r>
      <w:r w:rsidR="0097028C">
        <w:t xml:space="preserve">ur </w:t>
      </w:r>
      <w:r w:rsidRPr="00A3141D">
        <w:t>rapport de conformité</w:t>
      </w:r>
      <w:r w:rsidR="0097028C">
        <w:t xml:space="preserve"> à jour. Pour rappel, </w:t>
      </w:r>
      <w:r w:rsidR="0097028C" w:rsidRPr="0097028C">
        <w:t>u</w:t>
      </w:r>
      <w:r w:rsidR="0097028C" w:rsidRPr="00A3141D">
        <w:t xml:space="preserve">ne des conditions pour bénéficier du renouvellement est de disposer d'un rapport de conformité jugé favorable par l'Administration. </w:t>
      </w:r>
      <w:r w:rsidRPr="00A3141D">
        <w:rPr>
          <w:b/>
          <w:bCs/>
        </w:rPr>
        <w:t xml:space="preserve"> </w:t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</w:p>
    <w:p w14:paraId="5DD9CFAC" w14:textId="51E732EC" w:rsidR="000666FC" w:rsidRPr="000666FC" w:rsidRDefault="000666FC" w:rsidP="00A3141D">
      <w:pPr>
        <w:spacing w:after="0"/>
        <w:jc w:val="both"/>
        <w:rPr>
          <w:b/>
          <w:bCs/>
          <w:sz w:val="28"/>
          <w:szCs w:val="28"/>
        </w:rPr>
      </w:pPr>
      <w:r w:rsidRPr="00A3141D">
        <w:rPr>
          <w:b/>
          <w:bCs/>
          <w:sz w:val="24"/>
          <w:szCs w:val="24"/>
        </w:rPr>
        <w:t xml:space="preserve">Etablissement/contenu du Rapport de conformité : </w:t>
      </w:r>
      <w:r w:rsidRPr="00A3141D">
        <w:rPr>
          <w:b/>
          <w:bCs/>
          <w:sz w:val="24"/>
          <w:szCs w:val="24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</w:p>
    <w:p w14:paraId="02DB2D63" w14:textId="3A79CE9A" w:rsidR="000666FC" w:rsidRPr="00A3141D" w:rsidRDefault="000666FC" w:rsidP="005C10D1">
      <w:pPr>
        <w:jc w:val="both"/>
      </w:pPr>
      <w:r w:rsidRPr="00A3141D">
        <w:t xml:space="preserve">Le rapport doit faire état des mesures prises par l'Expert en vue d'assurer un traitement adéquat de la "plainte" qui lui est  </w:t>
      </w:r>
      <w:r w:rsidR="005C118E" w:rsidRPr="00A3141D">
        <w:t>adressée</w:t>
      </w:r>
      <w:r w:rsidR="005C10D1" w:rsidRPr="00A3141D">
        <w:t xml:space="preserve"> </w:t>
      </w:r>
      <w:r w:rsidRPr="00A3141D">
        <w:t xml:space="preserve">par l'Administration dans le cadre de son agrément (avertissements suite à non-conformité d'étude (émis par la DAS), autres plaintes concernant le domaine de l'agrément (plaintes suite à non-respect de certaines règles, courriers annonçant l’intention de suspendre/décision de suspension, émis généralement par la DPS)), dans un esprit d'amélioration continue, avec : analyse de causes, actions correctrices spécifiques pour lever chacun des éléments de la plainte, actions correctrices structurelles mises en </w:t>
      </w:r>
      <w:r w:rsidR="00EC2E75" w:rsidRPr="00A3141D">
        <w:t>œuvre</w:t>
      </w:r>
      <w:r w:rsidRPr="00A3141D">
        <w:t xml:space="preserve"> pour éviter toute plainte de même nature (adaptation éventuelle des procédures, démarche de communication, ...), contrôle de l'efficacité des mesures prises.</w:t>
      </w:r>
      <w:r w:rsidRPr="00A3141D">
        <w:tab/>
      </w:r>
    </w:p>
    <w:p w14:paraId="19972090" w14:textId="77777777" w:rsidR="000666FC" w:rsidRPr="00A3141D" w:rsidRDefault="000666FC" w:rsidP="005C10D1">
      <w:pPr>
        <w:jc w:val="both"/>
      </w:pPr>
      <w:r w:rsidRPr="00A3141D">
        <w:t xml:space="preserve">Le Rapport de conformité : </w:t>
      </w:r>
    </w:p>
    <w:p w14:paraId="02C219D1" w14:textId="5463871C" w:rsidR="000666FC" w:rsidRPr="00A3141D" w:rsidRDefault="000666FC" w:rsidP="005C10D1">
      <w:pPr>
        <w:pStyle w:val="Paragraphedeliste"/>
        <w:numPr>
          <w:ilvl w:val="0"/>
          <w:numId w:val="8"/>
        </w:numPr>
        <w:jc w:val="both"/>
      </w:pPr>
      <w:r w:rsidRPr="00A3141D">
        <w:t>est établi</w:t>
      </w:r>
      <w:r w:rsidRPr="00A3141D">
        <w:rPr>
          <w:b/>
          <w:bCs/>
        </w:rPr>
        <w:t xml:space="preserve"> selon la table des matières reprise ci-dessous ;</w:t>
      </w:r>
    </w:p>
    <w:p w14:paraId="2524CCE4" w14:textId="7BC64933" w:rsidR="000666FC" w:rsidRPr="00A3141D" w:rsidRDefault="000666FC" w:rsidP="005C10D1">
      <w:pPr>
        <w:pStyle w:val="Paragraphedeliste"/>
        <w:numPr>
          <w:ilvl w:val="0"/>
          <w:numId w:val="8"/>
        </w:numPr>
        <w:jc w:val="both"/>
      </w:pPr>
      <w:r w:rsidRPr="00A3141D">
        <w:t xml:space="preserve">comprend une annexe établie </w:t>
      </w:r>
      <w:r w:rsidRPr="0097028C">
        <w:rPr>
          <w:b/>
          <w:bCs/>
        </w:rPr>
        <w:t xml:space="preserve">selon le canevas </w:t>
      </w:r>
      <w:r w:rsidR="00ED2BA3" w:rsidRPr="0097028C">
        <w:rPr>
          <w:b/>
          <w:bCs/>
        </w:rPr>
        <w:t>imposé</w:t>
      </w:r>
      <w:r w:rsidR="00ED2BA3" w:rsidRPr="00A3141D">
        <w:t>.</w:t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</w:p>
    <w:p w14:paraId="0FD5186E" w14:textId="53AFCF1B" w:rsidR="000666FC" w:rsidRPr="00A3141D" w:rsidRDefault="000666FC" w:rsidP="005C10D1">
      <w:pPr>
        <w:jc w:val="both"/>
      </w:pPr>
      <w:r w:rsidRPr="00A3141D">
        <w:t xml:space="preserve">Si des audits sont organisés, ce rapport de conformité </w:t>
      </w:r>
      <w:r w:rsidR="00ED2BA3" w:rsidRPr="00A3141D">
        <w:t>comprend</w:t>
      </w:r>
      <w:r w:rsidRPr="00A3141D">
        <w:t xml:space="preserve"> un paragraphe relatif aux résultats de cet audit relevant du domaine de l'agrément et aux actions correctives additionnelles qui en découlent. </w:t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</w:p>
    <w:p w14:paraId="706E5A14" w14:textId="7D16E004" w:rsidR="000666FC" w:rsidRDefault="000666FC" w:rsidP="005C10D1">
      <w:pPr>
        <w:jc w:val="both"/>
        <w:rPr>
          <w:b/>
          <w:bCs/>
          <w:sz w:val="28"/>
          <w:szCs w:val="28"/>
        </w:rPr>
      </w:pPr>
      <w:r w:rsidRPr="00A3141D">
        <w:t>Le rédacteur du rapport doit être clairement identifié.</w:t>
      </w:r>
      <w:r w:rsidRPr="00A3141D"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br w:type="page"/>
      </w:r>
    </w:p>
    <w:p w14:paraId="29AEFE51" w14:textId="50588EE2" w:rsidR="003B0BD8" w:rsidRDefault="005B344B" w:rsidP="005C10D1">
      <w:pPr>
        <w:jc w:val="both"/>
        <w:rPr>
          <w:b/>
          <w:bCs/>
          <w:color w:val="4472C4" w:themeColor="accent1"/>
          <w:sz w:val="28"/>
          <w:szCs w:val="28"/>
        </w:rPr>
      </w:pPr>
      <w:r w:rsidRPr="00B44D97">
        <w:rPr>
          <w:b/>
          <w:bCs/>
          <w:sz w:val="28"/>
          <w:szCs w:val="28"/>
        </w:rPr>
        <w:lastRenderedPageBreak/>
        <w:t>Rapport de Conformit</w:t>
      </w:r>
      <w:r w:rsidR="00B44D97" w:rsidRPr="00B44D97">
        <w:rPr>
          <w:b/>
          <w:bCs/>
          <w:sz w:val="28"/>
          <w:szCs w:val="28"/>
        </w:rPr>
        <w:t xml:space="preserve">é </w:t>
      </w:r>
      <w:r w:rsidR="00B44D97" w:rsidRPr="00B44D97">
        <w:rPr>
          <w:b/>
          <w:bCs/>
          <w:color w:val="BFBFBF" w:themeColor="background1" w:themeShade="BF"/>
          <w:sz w:val="28"/>
          <w:szCs w:val="28"/>
        </w:rPr>
        <w:t xml:space="preserve">année </w:t>
      </w:r>
      <w:proofErr w:type="spellStart"/>
      <w:r w:rsidR="00B44D97" w:rsidRPr="00B44D97">
        <w:rPr>
          <w:b/>
          <w:bCs/>
          <w:color w:val="BFBFBF" w:themeColor="background1" w:themeShade="BF"/>
          <w:sz w:val="28"/>
          <w:szCs w:val="28"/>
        </w:rPr>
        <w:t>concernée_EXPERT_réf</w:t>
      </w:r>
      <w:proofErr w:type="spellEnd"/>
      <w:r w:rsidR="00B44D97" w:rsidRPr="00B44D97">
        <w:rPr>
          <w:b/>
          <w:bCs/>
          <w:color w:val="BFBFBF" w:themeColor="background1" w:themeShade="BF"/>
          <w:sz w:val="28"/>
          <w:szCs w:val="28"/>
        </w:rPr>
        <w:t xml:space="preserve">. agrément </w:t>
      </w:r>
    </w:p>
    <w:p w14:paraId="237C8067" w14:textId="77777777" w:rsidR="005B344B" w:rsidRDefault="005B344B" w:rsidP="005C10D1">
      <w:pPr>
        <w:pStyle w:val="Default"/>
        <w:jc w:val="both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2516"/>
      </w:tblGrid>
      <w:tr w:rsidR="00B44D97" w14:paraId="3215FCC6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56B82C" w14:textId="53107E8D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Notre référence </w:t>
            </w: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E45822" w14:textId="3AD3BD17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44D97" w14:paraId="622832BB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8F0B7A" w14:textId="61FC063B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Version </w:t>
            </w: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B80F1A" w14:textId="7BFF14E0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44D97" w14:paraId="1A34203F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2F2B6B" w14:textId="2495C635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A16889" w14:textId="5ACD1AAB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44D97" w14:paraId="1904C24E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C5C782" w14:textId="09621AA0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Rédacteur / Responsable qualité</w:t>
            </w: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83B007" w14:textId="36992B89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44D97" w14:paraId="27F56BED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711C34" w14:textId="77777777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Contrôlé par </w:t>
            </w:r>
          </w:p>
          <w:p w14:paraId="5BECFC8D" w14:textId="5D53C44A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Approuvé par </w:t>
            </w: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A18198" w14:textId="77777777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44D97" w14:paraId="06D72823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8F0640" w14:textId="52EF0289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EF8BE8" w14:textId="77777777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586FF60B" w14:textId="53549BDC" w:rsidR="005B344B" w:rsidRDefault="005B344B" w:rsidP="005C10D1">
      <w:pPr>
        <w:jc w:val="both"/>
        <w:rPr>
          <w:b/>
          <w:bCs/>
          <w:color w:val="4472C4" w:themeColor="accent1"/>
          <w:sz w:val="28"/>
          <w:szCs w:val="28"/>
        </w:rPr>
      </w:pPr>
    </w:p>
    <w:p w14:paraId="0A85746C" w14:textId="6E4BCDE8" w:rsidR="0077325A" w:rsidRPr="00530196" w:rsidRDefault="00934663" w:rsidP="005C10D1">
      <w:pPr>
        <w:pStyle w:val="Paragraphedeliste"/>
        <w:numPr>
          <w:ilvl w:val="0"/>
          <w:numId w:val="7"/>
        </w:numPr>
        <w:jc w:val="both"/>
        <w:rPr>
          <w:b/>
          <w:bCs/>
          <w:color w:val="4472C4" w:themeColor="accent1"/>
          <w:sz w:val="28"/>
          <w:szCs w:val="28"/>
        </w:rPr>
      </w:pPr>
      <w:r w:rsidRPr="00530196">
        <w:rPr>
          <w:b/>
          <w:bCs/>
          <w:color w:val="4472C4" w:themeColor="accent1"/>
          <w:sz w:val="28"/>
          <w:szCs w:val="28"/>
        </w:rPr>
        <w:t>Informations générales</w:t>
      </w:r>
      <w:r w:rsidR="0077325A" w:rsidRPr="00530196">
        <w:rPr>
          <w:b/>
          <w:bCs/>
          <w:color w:val="4472C4" w:themeColor="accent1"/>
          <w:sz w:val="28"/>
          <w:szCs w:val="28"/>
        </w:rPr>
        <w:t>/ Introduction</w:t>
      </w:r>
    </w:p>
    <w:p w14:paraId="32207D5C" w14:textId="77777777" w:rsidR="00204110" w:rsidRPr="002F143F" w:rsidRDefault="00204110" w:rsidP="005C10D1">
      <w:pPr>
        <w:pStyle w:val="Paragraphedeliste"/>
        <w:jc w:val="both"/>
        <w:rPr>
          <w:b/>
          <w:bCs/>
          <w:color w:val="4472C4" w:themeColor="accent1"/>
          <w:sz w:val="28"/>
          <w:szCs w:val="28"/>
        </w:rPr>
      </w:pPr>
    </w:p>
    <w:p w14:paraId="294D09E9" w14:textId="4228D8DB" w:rsidR="005B344B" w:rsidRPr="00530196" w:rsidRDefault="00934663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530196">
        <w:rPr>
          <w:b/>
          <w:bCs/>
          <w:color w:val="4472C4" w:themeColor="accent1"/>
          <w:sz w:val="24"/>
          <w:szCs w:val="24"/>
        </w:rPr>
        <w:t>Contexte</w:t>
      </w:r>
      <w:r w:rsidR="005B344B" w:rsidRPr="00530196">
        <w:rPr>
          <w:b/>
          <w:bCs/>
          <w:color w:val="4472C4" w:themeColor="accent1"/>
          <w:sz w:val="24"/>
          <w:szCs w:val="24"/>
        </w:rPr>
        <w:t xml:space="preserve"> - Objectifs </w:t>
      </w:r>
    </w:p>
    <w:p w14:paraId="1F5E16E1" w14:textId="68E688CF" w:rsidR="00C51717" w:rsidRDefault="00C51717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</w:p>
    <w:p w14:paraId="6F1B5CD7" w14:textId="07C596AD" w:rsidR="00C51717" w:rsidRDefault="00C51717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</w:p>
    <w:p w14:paraId="423213FC" w14:textId="77777777" w:rsidR="00C51717" w:rsidRDefault="00C51717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</w:p>
    <w:p w14:paraId="3633EA1C" w14:textId="5D04E1FA" w:rsidR="00530196" w:rsidRDefault="00934663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530196">
        <w:rPr>
          <w:b/>
          <w:bCs/>
          <w:color w:val="4472C4" w:themeColor="accent1"/>
          <w:sz w:val="24"/>
          <w:szCs w:val="24"/>
        </w:rPr>
        <w:t>Procédure générale liée au système qualité / Fonctionnement général de notre système qualité</w:t>
      </w:r>
    </w:p>
    <w:p w14:paraId="3FB6A5D6" w14:textId="31A510D8" w:rsidR="00C51717" w:rsidRDefault="00C51717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</w:p>
    <w:p w14:paraId="2483EF0F" w14:textId="7476DBF3" w:rsidR="00C51717" w:rsidRDefault="00C51717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</w:p>
    <w:p w14:paraId="60AEEC1D" w14:textId="77777777" w:rsidR="00C51717" w:rsidRDefault="00C51717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</w:p>
    <w:p w14:paraId="5A1F14CD" w14:textId="77A06E28" w:rsidR="00F80333" w:rsidRPr="00530196" w:rsidRDefault="005B344B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530196">
        <w:rPr>
          <w:b/>
          <w:bCs/>
          <w:color w:val="4472C4" w:themeColor="accent1"/>
          <w:sz w:val="24"/>
          <w:szCs w:val="24"/>
        </w:rPr>
        <w:t>Critères de non-conformité tels que présenté par la DAS et par la DPS</w:t>
      </w:r>
    </w:p>
    <w:p w14:paraId="50A00C98" w14:textId="756DD915" w:rsidR="00F80333" w:rsidRPr="00F80333" w:rsidRDefault="00F80333" w:rsidP="005C10D1">
      <w:pPr>
        <w:pStyle w:val="Default"/>
        <w:jc w:val="both"/>
        <w:rPr>
          <w:rFonts w:ascii="Segoe UI" w:hAnsi="Segoe UI" w:cs="Segoe UI"/>
          <w:sz w:val="18"/>
          <w:szCs w:val="18"/>
        </w:rPr>
      </w:pPr>
      <w:r w:rsidRPr="00F80333">
        <w:rPr>
          <w:rFonts w:ascii="Segoe UI" w:hAnsi="Segoe UI" w:cs="Segoe UI"/>
          <w:sz w:val="18"/>
          <w:szCs w:val="18"/>
        </w:rPr>
        <w:t xml:space="preserve">Les critères de non-conformité trouvent leur origine dans la législation, à savoir l’AGW Sols 2018 : </w:t>
      </w:r>
    </w:p>
    <w:p w14:paraId="2710164F" w14:textId="77777777" w:rsidR="00F80333" w:rsidRPr="00F80333" w:rsidRDefault="00F80333" w:rsidP="005C1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F80333">
        <w:rPr>
          <w:rFonts w:ascii="Segoe UI" w:hAnsi="Segoe UI" w:cs="Segoe UI"/>
          <w:color w:val="000000"/>
          <w:sz w:val="18"/>
          <w:szCs w:val="18"/>
        </w:rPr>
        <w:t xml:space="preserve">Sous-section 2. - Des critères de non-conformité </w:t>
      </w:r>
    </w:p>
    <w:p w14:paraId="2F34AE8A" w14:textId="77777777" w:rsidR="00F80333" w:rsidRPr="00F80333" w:rsidRDefault="00F80333" w:rsidP="005C1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F80333">
        <w:rPr>
          <w:rFonts w:ascii="Segoe UI" w:hAnsi="Segoe UI" w:cs="Segoe UI"/>
          <w:color w:val="000000"/>
          <w:sz w:val="18"/>
          <w:szCs w:val="18"/>
        </w:rPr>
        <w:t xml:space="preserve">Art. 90. </w:t>
      </w:r>
      <w:r w:rsidRPr="00F80333">
        <w:rPr>
          <w:rFonts w:ascii="Segoe UI" w:hAnsi="Segoe UI" w:cs="Segoe UI"/>
          <w:i/>
          <w:iCs/>
          <w:color w:val="000000"/>
          <w:sz w:val="18"/>
          <w:szCs w:val="18"/>
        </w:rPr>
        <w:t xml:space="preserve">Les décisions de l'Administration portant sur les études d'orientation, de caractérisation ou combinée peuvent conclure à une non-conformité dans les situations suivantes : </w:t>
      </w:r>
    </w:p>
    <w:p w14:paraId="1318B5CF" w14:textId="671BD29C" w:rsidR="00F80333" w:rsidRPr="00F80333" w:rsidRDefault="00F80333" w:rsidP="005C1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F80333">
        <w:rPr>
          <w:rFonts w:ascii="Segoe UI" w:hAnsi="Segoe UI" w:cs="Segoe UI"/>
          <w:i/>
          <w:iCs/>
          <w:color w:val="000000"/>
          <w:sz w:val="18"/>
          <w:szCs w:val="18"/>
        </w:rPr>
        <w:t>1° les méthodologies développées dans le CWBP et son contenu ne sont pas respectées, sans argumentation</w:t>
      </w:r>
      <w:r w:rsidR="00B44D97"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r w:rsidRPr="00F80333">
        <w:rPr>
          <w:rFonts w:ascii="Segoe UI" w:hAnsi="Segoe UI" w:cs="Segoe UI"/>
          <w:i/>
          <w:iCs/>
          <w:color w:val="000000"/>
          <w:sz w:val="18"/>
          <w:szCs w:val="18"/>
        </w:rPr>
        <w:t xml:space="preserve">; </w:t>
      </w:r>
    </w:p>
    <w:p w14:paraId="3603793A" w14:textId="54B18C9B" w:rsidR="00F80333" w:rsidRPr="00F80333" w:rsidRDefault="00F80333" w:rsidP="005C1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F80333">
        <w:rPr>
          <w:rFonts w:ascii="Segoe UI" w:hAnsi="Segoe UI" w:cs="Segoe UI"/>
          <w:i/>
          <w:iCs/>
          <w:color w:val="000000"/>
          <w:sz w:val="18"/>
          <w:szCs w:val="18"/>
        </w:rPr>
        <w:t>2° les prescriptions du CWEA ne sont pas respectées</w:t>
      </w:r>
      <w:r w:rsidR="00B44D97">
        <w:rPr>
          <w:rFonts w:ascii="Segoe UI" w:hAnsi="Segoe UI" w:cs="Segoe UI"/>
          <w:i/>
          <w:iCs/>
          <w:color w:val="000000"/>
          <w:sz w:val="18"/>
          <w:szCs w:val="18"/>
        </w:rPr>
        <w:t> ;</w:t>
      </w:r>
    </w:p>
    <w:p w14:paraId="3E4E744C" w14:textId="359E5507" w:rsidR="00F80333" w:rsidRPr="00F80333" w:rsidRDefault="00F80333" w:rsidP="005C1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F80333">
        <w:rPr>
          <w:rFonts w:ascii="Segoe UI" w:hAnsi="Segoe UI" w:cs="Segoe UI"/>
          <w:i/>
          <w:iCs/>
          <w:color w:val="000000"/>
          <w:sz w:val="18"/>
          <w:szCs w:val="18"/>
        </w:rPr>
        <w:t>3° aucune donnée relative à un ou plusieurs éléments essentiels n'est fournie ou des données imprécises ou erronées y relatives sont fournies, ne permettant pas de rencontrer les objectifs définis par le décret du 1er mars 2018</w:t>
      </w:r>
      <w:r w:rsidR="00B44D97"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r w:rsidRPr="00F80333">
        <w:rPr>
          <w:rFonts w:ascii="Segoe UI" w:hAnsi="Segoe UI" w:cs="Segoe UI"/>
          <w:i/>
          <w:iCs/>
          <w:color w:val="000000"/>
          <w:sz w:val="18"/>
          <w:szCs w:val="18"/>
        </w:rPr>
        <w:t xml:space="preserve">; </w:t>
      </w:r>
    </w:p>
    <w:p w14:paraId="62D0535C" w14:textId="1630C390" w:rsidR="00F80333" w:rsidRPr="00F80333" w:rsidRDefault="00F80333" w:rsidP="005C10D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F80333">
        <w:rPr>
          <w:rFonts w:ascii="Segoe UI" w:hAnsi="Segoe UI" w:cs="Segoe UI"/>
          <w:i/>
          <w:iCs/>
          <w:color w:val="000000"/>
          <w:sz w:val="18"/>
          <w:szCs w:val="18"/>
        </w:rPr>
        <w:t>4° pour ce qui concerne les études d'orientation, les conclusions opérationnelles sont absentes ou incohérentes avec l'interprétation des résultats</w:t>
      </w:r>
      <w:r w:rsidR="00B44D97"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r w:rsidRPr="00F80333">
        <w:rPr>
          <w:rFonts w:ascii="Segoe UI" w:hAnsi="Segoe UI" w:cs="Segoe UI"/>
          <w:i/>
          <w:iCs/>
          <w:color w:val="000000"/>
          <w:sz w:val="18"/>
          <w:szCs w:val="18"/>
        </w:rPr>
        <w:t xml:space="preserve">; </w:t>
      </w:r>
    </w:p>
    <w:p w14:paraId="7B69C48B" w14:textId="0D48BCD4" w:rsidR="00F80333" w:rsidRPr="00785E94" w:rsidRDefault="00F80333" w:rsidP="005C10D1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F80333">
        <w:rPr>
          <w:rFonts w:ascii="Segoe UI" w:hAnsi="Segoe UI" w:cs="Segoe UI"/>
          <w:i/>
          <w:iCs/>
          <w:color w:val="000000"/>
          <w:sz w:val="18"/>
          <w:szCs w:val="18"/>
        </w:rPr>
        <w:t>5° pour ce qui concerne les études de caractérisation ou combinées, les conclusions opérationnelles sont absentes ou incohérentes avec le type de pollution rencontré et les conclusions de l'étude de risques</w:t>
      </w:r>
      <w:r w:rsidRPr="00F80333">
        <w:rPr>
          <w:rFonts w:ascii="Segoe UI" w:hAnsi="Segoe UI" w:cs="Segoe UI"/>
          <w:color w:val="000000"/>
          <w:sz w:val="18"/>
          <w:szCs w:val="18"/>
        </w:rPr>
        <w:t>.</w:t>
      </w:r>
    </w:p>
    <w:p w14:paraId="19B4184E" w14:textId="09D96470" w:rsidR="0077325A" w:rsidRPr="00C51717" w:rsidRDefault="0077325A" w:rsidP="005C10D1">
      <w:pPr>
        <w:jc w:val="both"/>
        <w:rPr>
          <w:highlight w:val="lightGray"/>
        </w:rPr>
      </w:pPr>
    </w:p>
    <w:p w14:paraId="2A5E9C52" w14:textId="0AAE98F8" w:rsidR="00530196" w:rsidRDefault="00CC34AB" w:rsidP="005C10D1">
      <w:pPr>
        <w:pStyle w:val="Default"/>
        <w:numPr>
          <w:ilvl w:val="0"/>
          <w:numId w:val="7"/>
        </w:numPr>
        <w:jc w:val="both"/>
        <w:rPr>
          <w:b/>
          <w:bCs/>
          <w:color w:val="4472C4" w:themeColor="accent1"/>
          <w:sz w:val="28"/>
          <w:szCs w:val="28"/>
        </w:rPr>
      </w:pPr>
      <w:r w:rsidRPr="00CC34AB">
        <w:rPr>
          <w:b/>
          <w:bCs/>
          <w:color w:val="4472C4" w:themeColor="accent1"/>
          <w:sz w:val="28"/>
          <w:szCs w:val="28"/>
        </w:rPr>
        <w:t xml:space="preserve">Analyse des plaintes </w:t>
      </w:r>
      <w:r>
        <w:rPr>
          <w:b/>
          <w:bCs/>
          <w:color w:val="4472C4" w:themeColor="accent1"/>
          <w:sz w:val="28"/>
          <w:szCs w:val="28"/>
        </w:rPr>
        <w:t xml:space="preserve">formulées par </w:t>
      </w:r>
      <w:r w:rsidRPr="00CC34AB">
        <w:rPr>
          <w:b/>
          <w:bCs/>
          <w:color w:val="4472C4" w:themeColor="accent1"/>
          <w:sz w:val="28"/>
          <w:szCs w:val="28"/>
        </w:rPr>
        <w:t>les autorités</w:t>
      </w:r>
      <w:r>
        <w:rPr>
          <w:b/>
          <w:bCs/>
          <w:color w:val="4472C4" w:themeColor="accent1"/>
          <w:sz w:val="28"/>
          <w:szCs w:val="28"/>
        </w:rPr>
        <w:t xml:space="preserve"> au cours</w:t>
      </w:r>
      <w:r w:rsidRPr="00CC34AB">
        <w:rPr>
          <w:b/>
          <w:bCs/>
          <w:color w:val="4472C4" w:themeColor="accent1"/>
          <w:sz w:val="28"/>
          <w:szCs w:val="28"/>
        </w:rPr>
        <w:t xml:space="preserve"> </w:t>
      </w:r>
      <w:r w:rsidR="00530196">
        <w:rPr>
          <w:b/>
          <w:bCs/>
          <w:color w:val="4472C4" w:themeColor="accent1"/>
          <w:sz w:val="28"/>
          <w:szCs w:val="28"/>
        </w:rPr>
        <w:t xml:space="preserve">de </w:t>
      </w:r>
      <w:r w:rsidR="00530196" w:rsidRPr="00B44D97">
        <w:rPr>
          <w:b/>
          <w:bCs/>
          <w:color w:val="BFBFBF" w:themeColor="background1" w:themeShade="BF"/>
          <w:sz w:val="28"/>
          <w:szCs w:val="28"/>
        </w:rPr>
        <w:t xml:space="preserve">l’année </w:t>
      </w:r>
      <w:r w:rsidR="00B44D97" w:rsidRPr="00B44D97">
        <w:rPr>
          <w:b/>
          <w:bCs/>
          <w:color w:val="BFBFBF" w:themeColor="background1" w:themeShade="BF"/>
          <w:sz w:val="28"/>
          <w:szCs w:val="28"/>
        </w:rPr>
        <w:t xml:space="preserve">concernée </w:t>
      </w:r>
    </w:p>
    <w:p w14:paraId="73EEC73E" w14:textId="77777777" w:rsidR="00530196" w:rsidRDefault="00530196" w:rsidP="005C10D1">
      <w:pPr>
        <w:jc w:val="both"/>
        <w:rPr>
          <w:rFonts w:ascii="Segoe UI" w:hAnsi="Segoe UI" w:cs="Segoe UI"/>
          <w:color w:val="000000"/>
          <w:sz w:val="18"/>
          <w:szCs w:val="18"/>
        </w:rPr>
      </w:pPr>
    </w:p>
    <w:p w14:paraId="5AD39FA0" w14:textId="1B7EA895" w:rsidR="005B344B" w:rsidRPr="007E239C" w:rsidRDefault="00CC34AB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7E239C">
        <w:rPr>
          <w:b/>
          <w:bCs/>
          <w:color w:val="4472C4" w:themeColor="accent1"/>
          <w:sz w:val="24"/>
          <w:szCs w:val="24"/>
        </w:rPr>
        <w:t>M</w:t>
      </w:r>
      <w:r w:rsidR="005B344B" w:rsidRPr="007E239C">
        <w:rPr>
          <w:b/>
          <w:bCs/>
          <w:color w:val="4472C4" w:themeColor="accent1"/>
          <w:sz w:val="24"/>
          <w:szCs w:val="24"/>
        </w:rPr>
        <w:t>ise en place et suivi des actions correctrices</w:t>
      </w:r>
      <w:r w:rsidR="00F80333" w:rsidRPr="007E239C">
        <w:rPr>
          <w:b/>
          <w:bCs/>
          <w:color w:val="4472C4" w:themeColor="accent1"/>
          <w:sz w:val="24"/>
          <w:szCs w:val="24"/>
        </w:rPr>
        <w:t xml:space="preserve"> </w:t>
      </w:r>
      <w:r w:rsidR="009023EE" w:rsidRPr="007E239C">
        <w:rPr>
          <w:b/>
          <w:bCs/>
          <w:color w:val="4472C4" w:themeColor="accent1"/>
          <w:sz w:val="24"/>
          <w:szCs w:val="24"/>
        </w:rPr>
        <w:t>spécifiques</w:t>
      </w:r>
    </w:p>
    <w:p w14:paraId="1D15964C" w14:textId="04A0D875" w:rsidR="0077325A" w:rsidRPr="00530196" w:rsidRDefault="00C51717" w:rsidP="007E239C">
      <w:pPr>
        <w:jc w:val="both"/>
      </w:pPr>
      <w:r w:rsidRPr="007E239C">
        <w:rPr>
          <w:highlight w:val="lightGray"/>
        </w:rPr>
        <w:t>(</w:t>
      </w:r>
      <w:r w:rsidR="007E239C" w:rsidRPr="007E239C">
        <w:rPr>
          <w:highlight w:val="lightGray"/>
        </w:rPr>
        <w:t>Cette</w:t>
      </w:r>
      <w:r w:rsidR="00FC5757" w:rsidRPr="007E239C">
        <w:rPr>
          <w:highlight w:val="lightGray"/>
        </w:rPr>
        <w:t xml:space="preserve"> section </w:t>
      </w:r>
      <w:r w:rsidR="007E239C" w:rsidRPr="007E239C">
        <w:rPr>
          <w:highlight w:val="lightGray"/>
        </w:rPr>
        <w:t>doit faire</w:t>
      </w:r>
      <w:r w:rsidR="00FC5757" w:rsidRPr="007E239C">
        <w:rPr>
          <w:highlight w:val="lightGray"/>
        </w:rPr>
        <w:t xml:space="preserve"> référence à l’</w:t>
      </w:r>
      <w:r w:rsidR="00F80333" w:rsidRPr="007E239C">
        <w:rPr>
          <w:highlight w:val="lightGray"/>
        </w:rPr>
        <w:t>Annexe</w:t>
      </w:r>
      <w:r w:rsidR="007E239C" w:rsidRPr="007E239C">
        <w:rPr>
          <w:highlight w:val="lightGray"/>
        </w:rPr>
        <w:t xml:space="preserve"> (établie selon canevas)</w:t>
      </w:r>
      <w:r w:rsidR="00F80333" w:rsidRPr="007E239C">
        <w:rPr>
          <w:highlight w:val="lightGray"/>
        </w:rPr>
        <w:t xml:space="preserve"> </w:t>
      </w:r>
      <w:r w:rsidR="00FC5757" w:rsidRPr="007E239C">
        <w:rPr>
          <w:highlight w:val="lightGray"/>
        </w:rPr>
        <w:t>et comprend d’</w:t>
      </w:r>
      <w:r w:rsidR="00F80333" w:rsidRPr="007E239C">
        <w:rPr>
          <w:highlight w:val="lightGray"/>
        </w:rPr>
        <w:t>éventuel</w:t>
      </w:r>
      <w:r w:rsidR="007E239C" w:rsidRPr="007E239C">
        <w:rPr>
          <w:highlight w:val="lightGray"/>
        </w:rPr>
        <w:t xml:space="preserve">les justifications complémentaires, telles </w:t>
      </w:r>
      <w:r w:rsidR="00C048E3" w:rsidRPr="007E239C">
        <w:rPr>
          <w:highlight w:val="lightGray"/>
        </w:rPr>
        <w:t>que :</w:t>
      </w:r>
      <w:r w:rsidR="00F80333" w:rsidRPr="007E239C">
        <w:rPr>
          <w:highlight w:val="lightGray"/>
        </w:rPr>
        <w:t xml:space="preserve"> </w:t>
      </w:r>
      <w:r w:rsidR="007E239C" w:rsidRPr="007E239C">
        <w:rPr>
          <w:highlight w:val="lightGray"/>
        </w:rPr>
        <w:t xml:space="preserve"> le s</w:t>
      </w:r>
      <w:r w:rsidR="0077325A" w:rsidRPr="007E239C">
        <w:rPr>
          <w:highlight w:val="lightGray"/>
        </w:rPr>
        <w:t xml:space="preserve">uivi global </w:t>
      </w:r>
      <w:r w:rsidR="007E239C" w:rsidRPr="007E239C">
        <w:rPr>
          <w:highlight w:val="lightGray"/>
        </w:rPr>
        <w:t>apporté à</w:t>
      </w:r>
      <w:r w:rsidR="0077325A" w:rsidRPr="007E239C">
        <w:rPr>
          <w:highlight w:val="lightGray"/>
        </w:rPr>
        <w:t xml:space="preserve"> la plainte</w:t>
      </w:r>
      <w:r w:rsidR="009023EE" w:rsidRPr="007E239C">
        <w:rPr>
          <w:highlight w:val="lightGray"/>
        </w:rPr>
        <w:t xml:space="preserve">, </w:t>
      </w:r>
      <w:r w:rsidR="007E239C" w:rsidRPr="007E239C">
        <w:rPr>
          <w:highlight w:val="lightGray"/>
        </w:rPr>
        <w:t xml:space="preserve">la </w:t>
      </w:r>
      <w:r w:rsidR="009023EE" w:rsidRPr="007E239C">
        <w:rPr>
          <w:highlight w:val="lightGray"/>
        </w:rPr>
        <w:t>date</w:t>
      </w:r>
      <w:r w:rsidR="007E239C" w:rsidRPr="007E239C">
        <w:rPr>
          <w:highlight w:val="lightGray"/>
        </w:rPr>
        <w:t xml:space="preserve"> éventuelle</w:t>
      </w:r>
      <w:r w:rsidR="009023EE" w:rsidRPr="007E239C">
        <w:rPr>
          <w:highlight w:val="lightGray"/>
        </w:rPr>
        <w:t xml:space="preserve"> de clôture</w:t>
      </w:r>
      <w:r w:rsidR="0085153F" w:rsidRPr="007E239C">
        <w:rPr>
          <w:highlight w:val="lightGray"/>
        </w:rPr>
        <w:t xml:space="preserve"> </w:t>
      </w:r>
      <w:r w:rsidR="007E239C" w:rsidRPr="007E239C">
        <w:rPr>
          <w:highlight w:val="lightGray"/>
        </w:rPr>
        <w:t xml:space="preserve">avec </w:t>
      </w:r>
      <w:r w:rsidR="0085153F" w:rsidRPr="007E239C">
        <w:rPr>
          <w:highlight w:val="lightGray"/>
        </w:rPr>
        <w:t>justification</w:t>
      </w:r>
      <w:r w:rsidR="007E239C" w:rsidRPr="007E239C">
        <w:rPr>
          <w:highlight w:val="lightGray"/>
        </w:rPr>
        <w:t>, etc.)</w:t>
      </w:r>
    </w:p>
    <w:p w14:paraId="6039F9ED" w14:textId="5670F101" w:rsidR="009023EE" w:rsidRDefault="009023EE" w:rsidP="005C10D1">
      <w:pPr>
        <w:jc w:val="both"/>
      </w:pPr>
    </w:p>
    <w:p w14:paraId="45DA98E4" w14:textId="77777777" w:rsidR="00207BF2" w:rsidRDefault="00207BF2" w:rsidP="005C10D1">
      <w:pPr>
        <w:jc w:val="both"/>
      </w:pPr>
    </w:p>
    <w:p w14:paraId="70824894" w14:textId="30387A6A" w:rsidR="009023EE" w:rsidRPr="00530196" w:rsidRDefault="009023EE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M</w:t>
      </w:r>
      <w:r w:rsidRPr="00530196">
        <w:rPr>
          <w:b/>
          <w:bCs/>
          <w:color w:val="4472C4" w:themeColor="accent1"/>
          <w:sz w:val="24"/>
          <w:szCs w:val="24"/>
        </w:rPr>
        <w:t xml:space="preserve">ise en place et suivi des actions correctrices </w:t>
      </w:r>
      <w:r>
        <w:rPr>
          <w:b/>
          <w:bCs/>
          <w:color w:val="4472C4" w:themeColor="accent1"/>
          <w:sz w:val="24"/>
          <w:szCs w:val="24"/>
        </w:rPr>
        <w:t>structurelles</w:t>
      </w:r>
    </w:p>
    <w:p w14:paraId="6382DEBC" w14:textId="674280FB" w:rsidR="0077325A" w:rsidRDefault="009023EE" w:rsidP="005C10D1">
      <w:pPr>
        <w:jc w:val="both"/>
      </w:pPr>
      <w:r>
        <w:rPr>
          <w:highlight w:val="lightGray"/>
        </w:rPr>
        <w:t>(</w:t>
      </w:r>
      <w:r w:rsidR="007E239C" w:rsidRPr="007E239C">
        <w:rPr>
          <w:highlight w:val="lightGray"/>
        </w:rPr>
        <w:t>Cette section doit faire référence à l’Annexe (établie selon canevas) et comprend d’éventuelles justifications complémentaires, telles que : mis</w:t>
      </w:r>
      <w:r w:rsidR="007E239C">
        <w:rPr>
          <w:highlight w:val="lightGray"/>
        </w:rPr>
        <w:t>e</w:t>
      </w:r>
      <w:r w:rsidR="007E239C" w:rsidRPr="007E239C">
        <w:rPr>
          <w:highlight w:val="lightGray"/>
        </w:rPr>
        <w:t xml:space="preserve"> à jour de</w:t>
      </w:r>
      <w:r w:rsidRPr="007E239C">
        <w:rPr>
          <w:highlight w:val="lightGray"/>
        </w:rPr>
        <w:t xml:space="preserve"> </w:t>
      </w:r>
      <w:r w:rsidR="0077325A" w:rsidRPr="007E239C">
        <w:rPr>
          <w:highlight w:val="lightGray"/>
        </w:rPr>
        <w:t>Check list</w:t>
      </w:r>
      <w:r w:rsidR="007E239C" w:rsidRPr="007E239C">
        <w:rPr>
          <w:highlight w:val="lightGray"/>
        </w:rPr>
        <w:t xml:space="preserve">, </w:t>
      </w:r>
      <w:proofErr w:type="spellStart"/>
      <w:r w:rsidR="007E239C" w:rsidRPr="007E239C">
        <w:rPr>
          <w:highlight w:val="lightGray"/>
        </w:rPr>
        <w:t>template</w:t>
      </w:r>
      <w:proofErr w:type="spellEnd"/>
      <w:r w:rsidR="007E239C" w:rsidRPr="007E239C">
        <w:rPr>
          <w:highlight w:val="lightGray"/>
        </w:rPr>
        <w:t>,</w:t>
      </w:r>
      <w:r w:rsidR="0077325A" w:rsidRPr="007E239C">
        <w:rPr>
          <w:highlight w:val="lightGray"/>
        </w:rPr>
        <w:t xml:space="preserve"> </w:t>
      </w:r>
      <w:r w:rsidR="007E239C" w:rsidRPr="007E239C">
        <w:rPr>
          <w:highlight w:val="lightGray"/>
        </w:rPr>
        <w:t xml:space="preserve">traçabilité, </w:t>
      </w:r>
      <w:r w:rsidR="0077325A" w:rsidRPr="007E239C">
        <w:rPr>
          <w:highlight w:val="lightGray"/>
        </w:rPr>
        <w:t>communication</w:t>
      </w:r>
      <w:r w:rsidR="007E239C" w:rsidRPr="007E239C">
        <w:rPr>
          <w:highlight w:val="lightGray"/>
        </w:rPr>
        <w:t>s internes</w:t>
      </w:r>
      <w:r w:rsidR="00CC34AB" w:rsidRPr="007E239C">
        <w:rPr>
          <w:highlight w:val="lightGray"/>
        </w:rPr>
        <w:t xml:space="preserve">, </w:t>
      </w:r>
      <w:r w:rsidR="00DE406F">
        <w:rPr>
          <w:highlight w:val="lightGray"/>
        </w:rPr>
        <w:t xml:space="preserve">responsabilisation, </w:t>
      </w:r>
      <w:r w:rsidR="0077325A" w:rsidRPr="007E239C">
        <w:rPr>
          <w:highlight w:val="lightGray"/>
        </w:rPr>
        <w:t>etc.)</w:t>
      </w:r>
    </w:p>
    <w:p w14:paraId="3D034CC8" w14:textId="77777777" w:rsidR="00C51717" w:rsidRPr="00530196" w:rsidRDefault="00C51717" w:rsidP="005C10D1">
      <w:pPr>
        <w:jc w:val="both"/>
      </w:pPr>
    </w:p>
    <w:p w14:paraId="641E6F3D" w14:textId="5FB0F356" w:rsidR="00C51717" w:rsidRPr="001C34D9" w:rsidRDefault="00934663" w:rsidP="005C10D1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1C34D9">
        <w:rPr>
          <w:rFonts w:ascii="Calibri" w:hAnsi="Calibri" w:cs="Calibri"/>
          <w:b/>
          <w:bCs/>
          <w:color w:val="4472C4" w:themeColor="accent1"/>
          <w:sz w:val="28"/>
          <w:szCs w:val="28"/>
        </w:rPr>
        <w:t xml:space="preserve">Monitoring de la qualité </w:t>
      </w:r>
    </w:p>
    <w:p w14:paraId="05B12C21" w14:textId="77777777" w:rsidR="009023EE" w:rsidRDefault="009023EE" w:rsidP="005C10D1">
      <w:pPr>
        <w:spacing w:after="0"/>
        <w:ind w:left="360"/>
        <w:jc w:val="both"/>
      </w:pPr>
    </w:p>
    <w:p w14:paraId="27456DDB" w14:textId="4B6E8436" w:rsidR="001C34D9" w:rsidRDefault="00B33477" w:rsidP="00DE406F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1C34D9">
        <w:rPr>
          <w:b/>
          <w:bCs/>
          <w:color w:val="4472C4" w:themeColor="accent1"/>
          <w:sz w:val="24"/>
          <w:szCs w:val="24"/>
        </w:rPr>
        <w:t>Evaluation de</w:t>
      </w:r>
      <w:r w:rsidR="00C51717" w:rsidRPr="001C34D9">
        <w:rPr>
          <w:b/>
          <w:bCs/>
          <w:color w:val="4472C4" w:themeColor="accent1"/>
          <w:sz w:val="24"/>
          <w:szCs w:val="24"/>
        </w:rPr>
        <w:t xml:space="preserve"> l’efficacité de</w:t>
      </w:r>
      <w:r w:rsidRPr="001C34D9">
        <w:rPr>
          <w:b/>
          <w:bCs/>
          <w:color w:val="4472C4" w:themeColor="accent1"/>
          <w:sz w:val="24"/>
          <w:szCs w:val="24"/>
        </w:rPr>
        <w:t xml:space="preserve">s mesures </w:t>
      </w:r>
      <w:r w:rsidR="009023EE" w:rsidRPr="001C34D9">
        <w:rPr>
          <w:b/>
          <w:bCs/>
          <w:color w:val="4472C4" w:themeColor="accent1"/>
          <w:sz w:val="24"/>
          <w:szCs w:val="24"/>
        </w:rPr>
        <w:t xml:space="preserve">correctrices </w:t>
      </w:r>
      <w:r w:rsidRPr="001C34D9">
        <w:rPr>
          <w:b/>
          <w:bCs/>
          <w:color w:val="4472C4" w:themeColor="accent1"/>
          <w:sz w:val="24"/>
          <w:szCs w:val="24"/>
        </w:rPr>
        <w:t xml:space="preserve">mises en œuvre </w:t>
      </w:r>
    </w:p>
    <w:p w14:paraId="69D2F052" w14:textId="72C9B834" w:rsidR="00DE406F" w:rsidRPr="00207BF2" w:rsidRDefault="008A61B5" w:rsidP="0009253A">
      <w:pPr>
        <w:pStyle w:val="Paragraphedeliste"/>
        <w:ind w:left="0"/>
        <w:jc w:val="both"/>
        <w:rPr>
          <w:highlight w:val="lightGray"/>
        </w:rPr>
      </w:pPr>
      <w:r>
        <w:rPr>
          <w:highlight w:val="lightGray"/>
        </w:rPr>
        <w:t>(E</w:t>
      </w:r>
      <w:r w:rsidR="00207BF2">
        <w:rPr>
          <w:highlight w:val="lightGray"/>
        </w:rPr>
        <w:t>xamen de l’efficacité des mesures mises en œuvre et proposition d’éventuelles actions complémentaires)</w:t>
      </w:r>
    </w:p>
    <w:p w14:paraId="2A8158A9" w14:textId="77777777" w:rsidR="00934663" w:rsidRDefault="00934663" w:rsidP="005C10D1">
      <w:pPr>
        <w:pStyle w:val="Paragraphedeliste"/>
        <w:jc w:val="both"/>
        <w:rPr>
          <w:b/>
          <w:bCs/>
          <w:color w:val="4472C4" w:themeColor="accent1"/>
          <w:sz w:val="28"/>
          <w:szCs w:val="28"/>
        </w:rPr>
      </w:pPr>
    </w:p>
    <w:p w14:paraId="40A886FD" w14:textId="521E01EF" w:rsidR="00934663" w:rsidRPr="00530196" w:rsidRDefault="00934663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530196">
        <w:rPr>
          <w:b/>
          <w:bCs/>
          <w:color w:val="4472C4" w:themeColor="accent1"/>
          <w:sz w:val="24"/>
          <w:szCs w:val="24"/>
        </w:rPr>
        <w:t>Audit</w:t>
      </w:r>
      <w:r w:rsidR="009023EE">
        <w:rPr>
          <w:b/>
          <w:bCs/>
          <w:color w:val="4472C4" w:themeColor="accent1"/>
          <w:sz w:val="24"/>
          <w:szCs w:val="24"/>
        </w:rPr>
        <w:t xml:space="preserve"> externe/interne </w:t>
      </w:r>
      <w:r w:rsidR="00DE406F">
        <w:rPr>
          <w:b/>
          <w:bCs/>
          <w:color w:val="4472C4" w:themeColor="accent1"/>
          <w:sz w:val="24"/>
          <w:szCs w:val="24"/>
        </w:rPr>
        <w:t xml:space="preserve">lié au </w:t>
      </w:r>
      <w:r w:rsidR="00DE406F" w:rsidRPr="00DE406F">
        <w:rPr>
          <w:b/>
          <w:bCs/>
          <w:color w:val="4472C4" w:themeColor="accent1"/>
          <w:sz w:val="24"/>
          <w:szCs w:val="24"/>
        </w:rPr>
        <w:t>domaine de l’agrément</w:t>
      </w:r>
    </w:p>
    <w:p w14:paraId="221867A2" w14:textId="5A8DF9EC" w:rsidR="00CC34AB" w:rsidRDefault="00DE406F" w:rsidP="005C10D1">
      <w:pPr>
        <w:spacing w:after="0"/>
        <w:jc w:val="both"/>
      </w:pPr>
      <w:r w:rsidRPr="00DE406F">
        <w:rPr>
          <w:highlight w:val="lightGray"/>
        </w:rPr>
        <w:t>(</w:t>
      </w:r>
      <w:r w:rsidR="00CC34AB" w:rsidRPr="00DE406F">
        <w:rPr>
          <w:highlight w:val="lightGray"/>
        </w:rPr>
        <w:t>Objet</w:t>
      </w:r>
      <w:r w:rsidRPr="00DE406F">
        <w:rPr>
          <w:highlight w:val="lightGray"/>
        </w:rPr>
        <w:t xml:space="preserve">, </w:t>
      </w:r>
      <w:r w:rsidR="00EC2E75">
        <w:rPr>
          <w:highlight w:val="lightGray"/>
        </w:rPr>
        <w:t>n</w:t>
      </w:r>
      <w:r w:rsidR="00CC34AB" w:rsidRPr="00DE406F">
        <w:rPr>
          <w:highlight w:val="lightGray"/>
        </w:rPr>
        <w:t>on-conformités</w:t>
      </w:r>
      <w:r w:rsidRPr="00DE406F">
        <w:rPr>
          <w:highlight w:val="lightGray"/>
        </w:rPr>
        <w:t xml:space="preserve"> et r</w:t>
      </w:r>
      <w:r w:rsidR="00CC34AB" w:rsidRPr="00DE406F">
        <w:rPr>
          <w:highlight w:val="lightGray"/>
        </w:rPr>
        <w:t xml:space="preserve">ecommandations </w:t>
      </w:r>
      <w:bookmarkStart w:id="0" w:name="_Hlk153789839"/>
      <w:r w:rsidRPr="00DE406F">
        <w:rPr>
          <w:highlight w:val="lightGray"/>
        </w:rPr>
        <w:t>éventuelles</w:t>
      </w:r>
      <w:r w:rsidR="00EC2E75">
        <w:rPr>
          <w:highlight w:val="lightGray"/>
        </w:rPr>
        <w:t>,</w:t>
      </w:r>
      <w:r w:rsidRPr="00DE406F">
        <w:rPr>
          <w:highlight w:val="lightGray"/>
        </w:rPr>
        <w:t xml:space="preserve"> suivi</w:t>
      </w:r>
      <w:bookmarkEnd w:id="0"/>
      <w:r w:rsidRPr="00DE406F">
        <w:rPr>
          <w:highlight w:val="lightGray"/>
        </w:rPr>
        <w:t>)</w:t>
      </w:r>
    </w:p>
    <w:p w14:paraId="255D824E" w14:textId="0F5CB0EC" w:rsidR="0077325A" w:rsidRDefault="0077325A" w:rsidP="005C10D1">
      <w:pPr>
        <w:pStyle w:val="Paragraphedeliste"/>
        <w:jc w:val="both"/>
        <w:rPr>
          <w:b/>
          <w:bCs/>
          <w:color w:val="4472C4" w:themeColor="accent1"/>
          <w:sz w:val="28"/>
          <w:szCs w:val="28"/>
        </w:rPr>
      </w:pPr>
    </w:p>
    <w:p w14:paraId="71FC0541" w14:textId="2C34401C" w:rsidR="0077325A" w:rsidRPr="00530196" w:rsidRDefault="0077325A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530196">
        <w:rPr>
          <w:b/>
          <w:bCs/>
          <w:color w:val="4472C4" w:themeColor="accent1"/>
          <w:sz w:val="24"/>
          <w:szCs w:val="24"/>
        </w:rPr>
        <w:t>A</w:t>
      </w:r>
      <w:r w:rsidR="00C51717">
        <w:rPr>
          <w:b/>
          <w:bCs/>
          <w:color w:val="4472C4" w:themeColor="accent1"/>
          <w:sz w:val="24"/>
          <w:szCs w:val="24"/>
        </w:rPr>
        <w:t>utres a</w:t>
      </w:r>
      <w:r w:rsidRPr="00530196">
        <w:rPr>
          <w:b/>
          <w:bCs/>
          <w:color w:val="4472C4" w:themeColor="accent1"/>
          <w:sz w:val="24"/>
          <w:szCs w:val="24"/>
        </w:rPr>
        <w:t>ction</w:t>
      </w:r>
      <w:r w:rsidR="00C51717">
        <w:rPr>
          <w:b/>
          <w:bCs/>
          <w:color w:val="4472C4" w:themeColor="accent1"/>
          <w:sz w:val="24"/>
          <w:szCs w:val="24"/>
        </w:rPr>
        <w:t>s</w:t>
      </w:r>
      <w:r w:rsidRPr="00530196">
        <w:rPr>
          <w:b/>
          <w:bCs/>
          <w:color w:val="4472C4" w:themeColor="accent1"/>
          <w:sz w:val="24"/>
          <w:szCs w:val="24"/>
        </w:rPr>
        <w:t xml:space="preserve"> mise</w:t>
      </w:r>
      <w:r w:rsidR="00C51717">
        <w:rPr>
          <w:b/>
          <w:bCs/>
          <w:color w:val="4472C4" w:themeColor="accent1"/>
          <w:sz w:val="24"/>
          <w:szCs w:val="24"/>
        </w:rPr>
        <w:t>s</w:t>
      </w:r>
      <w:r w:rsidRPr="00530196">
        <w:rPr>
          <w:b/>
          <w:bCs/>
          <w:color w:val="4472C4" w:themeColor="accent1"/>
          <w:sz w:val="24"/>
          <w:szCs w:val="24"/>
        </w:rPr>
        <w:t xml:space="preserve"> </w:t>
      </w:r>
      <w:r w:rsidR="00C51717">
        <w:rPr>
          <w:b/>
          <w:bCs/>
          <w:color w:val="4472C4" w:themeColor="accent1"/>
          <w:sz w:val="24"/>
          <w:szCs w:val="24"/>
        </w:rPr>
        <w:t xml:space="preserve">en œuvre </w:t>
      </w:r>
    </w:p>
    <w:p w14:paraId="287A1F4E" w14:textId="0E64FBA9" w:rsidR="0077325A" w:rsidRPr="00530196" w:rsidRDefault="0077325A" w:rsidP="005C10D1">
      <w:pPr>
        <w:jc w:val="both"/>
      </w:pPr>
      <w:r w:rsidRPr="00CC34AB">
        <w:rPr>
          <w:highlight w:val="lightGray"/>
        </w:rPr>
        <w:t>(</w:t>
      </w:r>
      <w:r w:rsidR="00EC2E75">
        <w:rPr>
          <w:highlight w:val="lightGray"/>
        </w:rPr>
        <w:t>Exemple : actions préventives suite à la nouvelle version du CWBP)</w:t>
      </w:r>
    </w:p>
    <w:p w14:paraId="19BAB45F" w14:textId="46A2118A" w:rsidR="0077325A" w:rsidRDefault="0077325A" w:rsidP="005C10D1">
      <w:pPr>
        <w:pStyle w:val="Paragraphedeliste"/>
        <w:jc w:val="both"/>
        <w:rPr>
          <w:b/>
          <w:bCs/>
          <w:color w:val="4472C4" w:themeColor="accent1"/>
          <w:sz w:val="28"/>
          <w:szCs w:val="28"/>
        </w:rPr>
      </w:pPr>
    </w:p>
    <w:p w14:paraId="5287A9BB" w14:textId="39875987" w:rsidR="00CC34AB" w:rsidRDefault="00CC34AB" w:rsidP="005C10D1">
      <w:pPr>
        <w:pStyle w:val="Paragraphedeliste"/>
        <w:jc w:val="both"/>
        <w:rPr>
          <w:b/>
          <w:bCs/>
          <w:color w:val="4472C4" w:themeColor="accent1"/>
          <w:sz w:val="28"/>
          <w:szCs w:val="28"/>
        </w:rPr>
      </w:pPr>
    </w:p>
    <w:p w14:paraId="18826DC8" w14:textId="77777777" w:rsidR="00CC34AB" w:rsidRPr="00934663" w:rsidRDefault="00CC34AB" w:rsidP="005C10D1">
      <w:pPr>
        <w:pStyle w:val="Paragraphedeliste"/>
        <w:jc w:val="both"/>
        <w:rPr>
          <w:b/>
          <w:bCs/>
          <w:color w:val="4472C4" w:themeColor="accent1"/>
          <w:sz w:val="28"/>
          <w:szCs w:val="28"/>
        </w:rPr>
      </w:pPr>
    </w:p>
    <w:p w14:paraId="714278D2" w14:textId="473A1290" w:rsidR="00F80333" w:rsidRPr="00CC34AB" w:rsidRDefault="00F80333" w:rsidP="005C10D1">
      <w:pPr>
        <w:pStyle w:val="Paragraphedeliste"/>
        <w:numPr>
          <w:ilvl w:val="0"/>
          <w:numId w:val="7"/>
        </w:numPr>
        <w:jc w:val="both"/>
        <w:rPr>
          <w:b/>
          <w:bCs/>
          <w:color w:val="4472C4" w:themeColor="accent1"/>
          <w:sz w:val="28"/>
          <w:szCs w:val="28"/>
        </w:rPr>
      </w:pPr>
      <w:r w:rsidRPr="00CC34AB">
        <w:rPr>
          <w:b/>
          <w:bCs/>
          <w:color w:val="4472C4" w:themeColor="accent1"/>
          <w:sz w:val="28"/>
          <w:szCs w:val="28"/>
        </w:rPr>
        <w:t>Conclusions</w:t>
      </w:r>
    </w:p>
    <w:p w14:paraId="02AE83B3" w14:textId="7E64EE8C" w:rsidR="005B344B" w:rsidRDefault="005B344B" w:rsidP="005C10D1">
      <w:pPr>
        <w:jc w:val="both"/>
        <w:rPr>
          <w:b/>
          <w:bCs/>
          <w:color w:val="4472C4" w:themeColor="accent1"/>
          <w:sz w:val="28"/>
          <w:szCs w:val="28"/>
        </w:rPr>
      </w:pPr>
    </w:p>
    <w:p w14:paraId="5E23041D" w14:textId="77777777" w:rsidR="00C51717" w:rsidRDefault="00C51717" w:rsidP="005C10D1">
      <w:pPr>
        <w:jc w:val="both"/>
        <w:rPr>
          <w:i/>
          <w:iCs/>
          <w:sz w:val="24"/>
          <w:szCs w:val="24"/>
        </w:rPr>
      </w:pPr>
    </w:p>
    <w:p w14:paraId="01206F6B" w14:textId="53172FF3" w:rsidR="00934663" w:rsidRPr="00204110" w:rsidRDefault="00934663" w:rsidP="005C10D1">
      <w:pPr>
        <w:jc w:val="both"/>
        <w:rPr>
          <w:i/>
          <w:iCs/>
        </w:rPr>
      </w:pPr>
      <w:r w:rsidRPr="00530196">
        <w:rPr>
          <w:i/>
          <w:iCs/>
          <w:sz w:val="24"/>
          <w:szCs w:val="24"/>
        </w:rPr>
        <w:t>Signature</w:t>
      </w:r>
      <w:r w:rsidR="00EC2E75">
        <w:rPr>
          <w:i/>
          <w:iCs/>
          <w:sz w:val="24"/>
          <w:szCs w:val="24"/>
        </w:rPr>
        <w:t>s</w:t>
      </w:r>
      <w:r w:rsidRPr="00530196">
        <w:rPr>
          <w:i/>
          <w:iCs/>
          <w:sz w:val="24"/>
          <w:szCs w:val="24"/>
        </w:rPr>
        <w:t xml:space="preserve"> </w:t>
      </w:r>
    </w:p>
    <w:sectPr w:rsidR="00934663" w:rsidRPr="0020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479"/>
    <w:multiLevelType w:val="hybridMultilevel"/>
    <w:tmpl w:val="B4526460"/>
    <w:lvl w:ilvl="0" w:tplc="331E6C6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53C7"/>
    <w:multiLevelType w:val="hybridMultilevel"/>
    <w:tmpl w:val="810AED30"/>
    <w:lvl w:ilvl="0" w:tplc="331E6C6E">
      <w:start w:val="1"/>
      <w:numFmt w:val="upp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863528"/>
    <w:multiLevelType w:val="hybridMultilevel"/>
    <w:tmpl w:val="201075CA"/>
    <w:lvl w:ilvl="0" w:tplc="080C0013">
      <w:start w:val="1"/>
      <w:numFmt w:val="upperRoman"/>
      <w:lvlText w:val="%1."/>
      <w:lvlJc w:val="righ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061D4E"/>
    <w:multiLevelType w:val="hybridMultilevel"/>
    <w:tmpl w:val="9DB6E008"/>
    <w:lvl w:ilvl="0" w:tplc="331E6C6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97FE4"/>
    <w:multiLevelType w:val="hybridMultilevel"/>
    <w:tmpl w:val="44C48E2E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21F8"/>
    <w:multiLevelType w:val="hybridMultilevel"/>
    <w:tmpl w:val="31D8A306"/>
    <w:lvl w:ilvl="0" w:tplc="7444F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0860"/>
    <w:multiLevelType w:val="hybridMultilevel"/>
    <w:tmpl w:val="F4CE06A0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316F9"/>
    <w:multiLevelType w:val="hybridMultilevel"/>
    <w:tmpl w:val="AC6C421A"/>
    <w:lvl w:ilvl="0" w:tplc="5FBAB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087935">
    <w:abstractNumId w:val="3"/>
  </w:num>
  <w:num w:numId="2" w16cid:durableId="258682895">
    <w:abstractNumId w:val="6"/>
  </w:num>
  <w:num w:numId="3" w16cid:durableId="175509011">
    <w:abstractNumId w:val="1"/>
  </w:num>
  <w:num w:numId="4" w16cid:durableId="102504332">
    <w:abstractNumId w:val="0"/>
  </w:num>
  <w:num w:numId="5" w16cid:durableId="573124752">
    <w:abstractNumId w:val="7"/>
  </w:num>
  <w:num w:numId="6" w16cid:durableId="401607474">
    <w:abstractNumId w:val="4"/>
  </w:num>
  <w:num w:numId="7" w16cid:durableId="604651318">
    <w:abstractNumId w:val="2"/>
  </w:num>
  <w:num w:numId="8" w16cid:durableId="1295407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4B"/>
    <w:rsid w:val="000666FC"/>
    <w:rsid w:val="0009253A"/>
    <w:rsid w:val="000F17F2"/>
    <w:rsid w:val="001C34D9"/>
    <w:rsid w:val="00204110"/>
    <w:rsid w:val="00207BF2"/>
    <w:rsid w:val="00264CF2"/>
    <w:rsid w:val="002B667E"/>
    <w:rsid w:val="002F143F"/>
    <w:rsid w:val="003B0BD8"/>
    <w:rsid w:val="00530196"/>
    <w:rsid w:val="005B344B"/>
    <w:rsid w:val="005C10D1"/>
    <w:rsid w:val="005C118E"/>
    <w:rsid w:val="0077325A"/>
    <w:rsid w:val="00785E94"/>
    <w:rsid w:val="007E239C"/>
    <w:rsid w:val="0085153F"/>
    <w:rsid w:val="008A61B5"/>
    <w:rsid w:val="009023EE"/>
    <w:rsid w:val="00934663"/>
    <w:rsid w:val="0097028C"/>
    <w:rsid w:val="00A3141D"/>
    <w:rsid w:val="00B33477"/>
    <w:rsid w:val="00B44D97"/>
    <w:rsid w:val="00C048E3"/>
    <w:rsid w:val="00C51717"/>
    <w:rsid w:val="00CC34AB"/>
    <w:rsid w:val="00DB643B"/>
    <w:rsid w:val="00DE406F"/>
    <w:rsid w:val="00E7602B"/>
    <w:rsid w:val="00EC2E75"/>
    <w:rsid w:val="00ED2BA3"/>
    <w:rsid w:val="00F80333"/>
    <w:rsid w:val="00FC5757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2278C"/>
  <w15:chartTrackingRefBased/>
  <w15:docId w15:val="{EEED7CD7-0875-48B0-B978-2BC7EC7F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B3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3466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517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517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517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17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171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C1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Meggie</dc:creator>
  <cp:keywords/>
  <dc:description/>
  <cp:lastModifiedBy>CARTE Meggie</cp:lastModifiedBy>
  <cp:revision>17</cp:revision>
  <dcterms:created xsi:type="dcterms:W3CDTF">2023-12-14T09:19:00Z</dcterms:created>
  <dcterms:modified xsi:type="dcterms:W3CDTF">2023-12-18T10:35:00Z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2023-11-21T10:39:45Z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b0e6ae21-131e-4578-ad8d-8b0b4536c2da</vt:lpwstr>
  </property>
  <property fmtid="{D5CDD505-2E9C-101B-9397-08002B2CF9AE}" pid="8" name="MSIP_Label_97a477d1-147d-4e34-b5e3-7b26d2f44870_ContentBits">
    <vt:lpwstr>0</vt:lpwstr>
  </property>
</Properties>
</file>