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0E7E8" w14:textId="3D582BF6" w:rsidR="00771EF5" w:rsidRDefault="00771EF5" w:rsidP="001661CF">
      <w:pPr>
        <w:rPr>
          <w:rFonts w:eastAsia="Arial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1665"/>
        <w:gridCol w:w="1650"/>
        <w:gridCol w:w="4415"/>
      </w:tblGrid>
      <w:tr w:rsidR="00AA78FA" w:rsidRPr="00CE52DE" w14:paraId="10ECA027" w14:textId="77777777" w:rsidTr="007532AE">
        <w:trPr>
          <w:jc w:val="center"/>
        </w:trPr>
        <w:tc>
          <w:tcPr>
            <w:tcW w:w="10768" w:type="dxa"/>
            <w:gridSpan w:val="4"/>
            <w:shd w:val="clear" w:color="auto" w:fill="A6A6A6" w:themeFill="background1" w:themeFillShade="A6"/>
            <w:vAlign w:val="center"/>
            <w:hideMark/>
          </w:tcPr>
          <w:p w14:paraId="6868A0C5" w14:textId="77777777" w:rsidR="00AA78FA" w:rsidRPr="00CE52DE" w:rsidRDefault="00AA78FA" w:rsidP="0034292A">
            <w:pPr>
              <w:spacing w:before="60" w:after="6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Conclusions opérationnelles et additionnelles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  <w:tr w:rsidR="00AA78FA" w:rsidRPr="00CE52DE" w14:paraId="4D1E7E66" w14:textId="77777777" w:rsidTr="007532AE">
        <w:trPr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  <w:hideMark/>
          </w:tcPr>
          <w:p w14:paraId="60C8B1F0" w14:textId="77777777" w:rsidR="00AA78FA" w:rsidRPr="00CE52DE" w:rsidRDefault="00AA78FA" w:rsidP="0034292A">
            <w:pPr>
              <w:spacing w:before="60" w:after="6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Pollutions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  <w:hideMark/>
          </w:tcPr>
          <w:p w14:paraId="0E5F1FC1" w14:textId="77777777" w:rsidR="00AA78FA" w:rsidRPr="00CE52DE" w:rsidRDefault="00AA78FA" w:rsidP="0034292A">
            <w:pPr>
              <w:spacing w:before="60" w:after="6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Nécessité d’un l’assainissement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  <w:hideMark/>
          </w:tcPr>
          <w:p w14:paraId="7251E13D" w14:textId="77777777" w:rsidR="00AA78FA" w:rsidRPr="00CE52DE" w:rsidRDefault="00AA78FA" w:rsidP="0034292A">
            <w:pPr>
              <w:spacing w:before="60" w:after="60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Urgence de l’assainissement</w:t>
            </w:r>
          </w:p>
        </w:tc>
        <w:tc>
          <w:tcPr>
            <w:tcW w:w="4415" w:type="dxa"/>
            <w:shd w:val="clear" w:color="auto" w:fill="D9D9D9" w:themeFill="background1" w:themeFillShade="D9"/>
            <w:vAlign w:val="center"/>
            <w:hideMark/>
          </w:tcPr>
          <w:p w14:paraId="4A3ACEDB" w14:textId="77777777" w:rsidR="00AA78FA" w:rsidRPr="007572F6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Mesures de sécurité ou de suivi</w:t>
            </w:r>
            <w:r>
              <w:rPr>
                <w:rFonts w:cs="Segoe UI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requises</w:t>
            </w:r>
          </w:p>
        </w:tc>
      </w:tr>
      <w:tr w:rsidR="00AA78FA" w:rsidRPr="00CE52DE" w14:paraId="32FA342E" w14:textId="77777777" w:rsidTr="007532AE">
        <w:trPr>
          <w:jc w:val="center"/>
        </w:trPr>
        <w:tc>
          <w:tcPr>
            <w:tcW w:w="3038" w:type="dxa"/>
            <w:shd w:val="clear" w:color="auto" w:fill="auto"/>
            <w:vAlign w:val="center"/>
            <w:hideMark/>
          </w:tcPr>
          <w:p w14:paraId="25E3FCE7" w14:textId="77777777" w:rsidR="00AA78FA" w:rsidRPr="00B31218" w:rsidRDefault="00AA78FA" w:rsidP="0034292A">
            <w:pPr>
              <w:spacing w:before="60" w:after="60"/>
              <w:jc w:val="left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B31218">
              <w:rPr>
                <w:rFonts w:cs="Segoe UI"/>
                <w:i/>
                <w:iCs/>
                <w:color w:val="00B050"/>
                <w:sz w:val="18"/>
                <w:szCs w:val="18"/>
              </w:rPr>
              <w:t xml:space="preserve">Dénomination </w:t>
            </w:r>
            <w:r>
              <w:rPr>
                <w:rFonts w:cs="Segoe UI"/>
                <w:i/>
                <w:iCs/>
                <w:color w:val="00B050"/>
                <w:sz w:val="18"/>
                <w:szCs w:val="18"/>
              </w:rPr>
              <w:t>T</w:t>
            </w:r>
            <w:r w:rsidRPr="00B31218">
              <w:rPr>
                <w:rFonts w:cs="Segoe UI"/>
                <w:i/>
                <w:iCs/>
                <w:color w:val="00B050"/>
                <w:sz w:val="18"/>
                <w:szCs w:val="18"/>
              </w:rPr>
              <w:t>ableau 1 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3669E856" w14:textId="77777777" w:rsidR="00AA78FA" w:rsidRPr="00B31218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B31218"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oui/non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1802EA7C" w14:textId="77777777" w:rsidR="00AA78FA" w:rsidRPr="00B31218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B31218"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oui/non</w:t>
            </w:r>
          </w:p>
        </w:tc>
        <w:tc>
          <w:tcPr>
            <w:tcW w:w="4415" w:type="dxa"/>
            <w:shd w:val="clear" w:color="auto" w:fill="auto"/>
            <w:vAlign w:val="center"/>
            <w:hideMark/>
          </w:tcPr>
          <w:p w14:paraId="42EA5636" w14:textId="77777777" w:rsidR="00AA78FA" w:rsidRPr="00B31218" w:rsidRDefault="00AA78FA" w:rsidP="0034292A">
            <w:pPr>
              <w:spacing w:before="60" w:after="60"/>
              <w:jc w:val="left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B31218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Reprendre toutes les mesures découlant de l’interprétation de l’évaluation des risques</w:t>
            </w:r>
          </w:p>
        </w:tc>
      </w:tr>
      <w:tr w:rsidR="00AA78FA" w:rsidRPr="00CE52DE" w14:paraId="1184476E" w14:textId="77777777" w:rsidTr="007532AE">
        <w:trPr>
          <w:jc w:val="center"/>
        </w:trPr>
        <w:tc>
          <w:tcPr>
            <w:tcW w:w="3038" w:type="dxa"/>
            <w:shd w:val="clear" w:color="auto" w:fill="auto"/>
            <w:vAlign w:val="center"/>
          </w:tcPr>
          <w:p w14:paraId="43B08507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R 1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65EC3FD9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35A4DA9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2A622077" w14:textId="77777777" w:rsidR="00AA78FA" w:rsidRPr="00034FD7" w:rsidRDefault="00AA78FA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Maintien du revêtement en bon état</w:t>
            </w:r>
          </w:p>
        </w:tc>
      </w:tr>
      <w:tr w:rsidR="00AA78FA" w:rsidRPr="00CE52DE" w14:paraId="3667B836" w14:textId="77777777" w:rsidTr="007532AE">
        <w:trPr>
          <w:jc w:val="center"/>
        </w:trPr>
        <w:tc>
          <w:tcPr>
            <w:tcW w:w="3038" w:type="dxa"/>
            <w:shd w:val="clear" w:color="auto" w:fill="auto"/>
            <w:vAlign w:val="center"/>
          </w:tcPr>
          <w:p w14:paraId="1AB50468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D76BB29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EF6E245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20534AC2" w14:textId="77777777" w:rsidR="00AA78FA" w:rsidRPr="00034FD7" w:rsidRDefault="00AA78FA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Interdiction de retour en surface des terres polluées</w:t>
            </w:r>
          </w:p>
        </w:tc>
      </w:tr>
      <w:tr w:rsidR="00AA78FA" w:rsidRPr="00CE52DE" w14:paraId="3AC39097" w14:textId="77777777" w:rsidTr="008B6C2B">
        <w:trPr>
          <w:trHeight w:val="60"/>
          <w:jc w:val="center"/>
        </w:trPr>
        <w:tc>
          <w:tcPr>
            <w:tcW w:w="3038" w:type="dxa"/>
            <w:shd w:val="clear" w:color="auto" w:fill="auto"/>
            <w:vAlign w:val="center"/>
          </w:tcPr>
          <w:p w14:paraId="4412D140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+ TE 2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0F251BA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B361F5F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oui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365E27F9" w14:textId="77777777" w:rsidR="00AA78FA" w:rsidRPr="00034FD7" w:rsidRDefault="00AA78FA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MeSu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 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monitoring de l’air du sol et de l’air intérieur</w:t>
            </w:r>
          </w:p>
          <w:p w14:paraId="55305898" w14:textId="77777777" w:rsidR="00AA78FA" w:rsidRPr="00034FD7" w:rsidRDefault="00AA78FA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MeSu</w:t>
            </w:r>
            <w:proofErr w:type="spellEnd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monitoring de l’eau souterraine</w:t>
            </w:r>
          </w:p>
        </w:tc>
      </w:tr>
      <w:tr w:rsidR="00AA78FA" w:rsidRPr="00CE52DE" w14:paraId="4AE62377" w14:textId="77777777" w:rsidTr="007532AE">
        <w:trPr>
          <w:jc w:val="center"/>
        </w:trPr>
        <w:tc>
          <w:tcPr>
            <w:tcW w:w="3038" w:type="dxa"/>
            <w:shd w:val="clear" w:color="auto" w:fill="auto"/>
            <w:vAlign w:val="center"/>
          </w:tcPr>
          <w:p w14:paraId="7B8ED4BB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3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1840F02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24089FB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4415" w:type="dxa"/>
            <w:shd w:val="clear" w:color="auto" w:fill="auto"/>
            <w:vAlign w:val="center"/>
          </w:tcPr>
          <w:p w14:paraId="70FA3C3F" w14:textId="77777777" w:rsidR="00AA78FA" w:rsidRPr="00034FD7" w:rsidRDefault="00AA78FA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 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Interdiction de remaniement des terres polluées sans suivi par un expert agréé</w:t>
            </w:r>
          </w:p>
        </w:tc>
      </w:tr>
      <w:tr w:rsidR="00AA78FA" w:rsidRPr="00CE52DE" w14:paraId="7404DCA9" w14:textId="77777777" w:rsidTr="007532AE">
        <w:trPr>
          <w:jc w:val="center"/>
        </w:trPr>
        <w:tc>
          <w:tcPr>
            <w:tcW w:w="3038" w:type="dxa"/>
            <w:shd w:val="clear" w:color="auto" w:fill="auto"/>
            <w:vAlign w:val="center"/>
          </w:tcPr>
          <w:p w14:paraId="79EB5954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TE 4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4CEE832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0AEA999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67AD077B" w14:textId="77777777" w:rsidR="00AA78FA" w:rsidRPr="00034FD7" w:rsidRDefault="00AA78FA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 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Interdiction de remaniement des terres polluées sans suivi par un expert agréé</w:t>
            </w:r>
          </w:p>
        </w:tc>
      </w:tr>
      <w:tr w:rsidR="00AA78FA" w:rsidRPr="00CE52DE" w14:paraId="0B435C69" w14:textId="77777777" w:rsidTr="007532AE">
        <w:trPr>
          <w:jc w:val="center"/>
        </w:trPr>
        <w:tc>
          <w:tcPr>
            <w:tcW w:w="3038" w:type="dxa"/>
            <w:shd w:val="clear" w:color="auto" w:fill="auto"/>
            <w:vAlign w:val="center"/>
          </w:tcPr>
          <w:p w14:paraId="79923D92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7A5105BE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11564608" w14:textId="77777777" w:rsidR="00AA78FA" w:rsidRPr="00034FD7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415" w:type="dxa"/>
            <w:shd w:val="clear" w:color="auto" w:fill="auto"/>
            <w:vAlign w:val="center"/>
          </w:tcPr>
          <w:p w14:paraId="35C96C0F" w14:textId="77777777" w:rsidR="00AA78FA" w:rsidRPr="00034FD7" w:rsidRDefault="00AA78FA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</w:p>
        </w:tc>
      </w:tr>
      <w:tr w:rsidR="00AA78FA" w:rsidRPr="00CE52DE" w14:paraId="266F794F" w14:textId="77777777" w:rsidTr="007532AE">
        <w:trPr>
          <w:jc w:val="center"/>
        </w:trPr>
        <w:tc>
          <w:tcPr>
            <w:tcW w:w="4703" w:type="dxa"/>
            <w:gridSpan w:val="2"/>
            <w:shd w:val="clear" w:color="auto" w:fill="D9D9D9" w:themeFill="background1" w:themeFillShade="D9"/>
            <w:vAlign w:val="center"/>
          </w:tcPr>
          <w:p w14:paraId="323CDD45" w14:textId="77777777" w:rsidR="00AA78FA" w:rsidRPr="008C6BEA" w:rsidRDefault="00AA78FA" w:rsidP="0034292A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  <w:r w:rsidRPr="008C6BEA">
              <w:rPr>
                <w:rFonts w:cs="Segoe UI"/>
                <w:b/>
                <w:bCs/>
                <w:sz w:val="18"/>
                <w:szCs w:val="18"/>
                <w:lang w:val="fr-FR"/>
              </w:rPr>
              <w:t>Restriction d’usage du terrain</w:t>
            </w:r>
          </w:p>
        </w:tc>
        <w:tc>
          <w:tcPr>
            <w:tcW w:w="6065" w:type="dxa"/>
            <w:gridSpan w:val="2"/>
            <w:shd w:val="clear" w:color="auto" w:fill="auto"/>
            <w:vAlign w:val="center"/>
          </w:tcPr>
          <w:p w14:paraId="64017196" w14:textId="02AF7B7C" w:rsidR="00AA78FA" w:rsidRPr="00034FD7" w:rsidRDefault="007532AE" w:rsidP="0034292A">
            <w:pPr>
              <w:spacing w:before="60" w:after="60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Le terrain est compatible avec les </w:t>
            </w:r>
            <w:r w:rsidRPr="26BD3385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usages</w:t>
            </w: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 xml:space="preserve"> de type III, IV et V</w:t>
            </w:r>
          </w:p>
        </w:tc>
      </w:tr>
      <w:tr w:rsidR="00AA78FA" w:rsidRPr="00CE52DE" w14:paraId="67992E2B" w14:textId="77777777" w:rsidTr="007532AE">
        <w:trPr>
          <w:jc w:val="center"/>
        </w:trPr>
        <w:tc>
          <w:tcPr>
            <w:tcW w:w="10768" w:type="dxa"/>
            <w:gridSpan w:val="4"/>
            <w:shd w:val="clear" w:color="auto" w:fill="auto"/>
            <w:vAlign w:val="center"/>
            <w:hideMark/>
          </w:tcPr>
          <w:p w14:paraId="1D8DA22B" w14:textId="77777777" w:rsidR="00AA78FA" w:rsidRPr="00CE52DE" w:rsidRDefault="00AA78FA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sz w:val="18"/>
                <w:szCs w:val="18"/>
                <w:u w:val="single"/>
                <w:lang w:val="fr-FR"/>
              </w:rPr>
              <w:t>Légende / Remarques additionnelles / précisions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  <w:p w14:paraId="5D93169F" w14:textId="77777777" w:rsidR="00AA78FA" w:rsidRPr="00CE52DE" w:rsidRDefault="00AA78FA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MeSé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é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curité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  <w:p w14:paraId="6ED7CB25" w14:textId="77777777" w:rsidR="00AA78FA" w:rsidRPr="004B1D4B" w:rsidRDefault="00AA78FA" w:rsidP="0034292A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b/>
                <w:bCs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MeSu</w:t>
            </w:r>
            <w:proofErr w:type="spellEnd"/>
            <w:r w:rsidRPr="00CE52DE">
              <w:rPr>
                <w:rFonts w:ascii="Arial" w:hAnsi="Arial"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suivi en attente de l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’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assainissement</w:t>
            </w:r>
          </w:p>
        </w:tc>
      </w:tr>
    </w:tbl>
    <w:p w14:paraId="65DCB554" w14:textId="77777777" w:rsidR="00C11C8B" w:rsidRPr="002670C5" w:rsidRDefault="00C11C8B" w:rsidP="008B6C2B"/>
    <w:sectPr w:rsidR="00C11C8B" w:rsidRPr="002670C5" w:rsidSect="008B6C2B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1F04"/>
    <w:rsid w:val="001C25F3"/>
    <w:rsid w:val="001C4FFF"/>
    <w:rsid w:val="001C6C69"/>
    <w:rsid w:val="001C73BB"/>
    <w:rsid w:val="001D11B2"/>
    <w:rsid w:val="001D4380"/>
    <w:rsid w:val="001E09D9"/>
    <w:rsid w:val="001E3A64"/>
    <w:rsid w:val="001E4505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4EA8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508E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B6C2B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31D2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6661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C4F3C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1C7ED-EE59-48DE-BD26-0D140664B66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d672a81e-fae3-4387-9878-06f19f3af53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DEEFD0-23E7-4FCE-817D-F197B74331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3</cp:revision>
  <cp:lastPrinted>2018-09-14T05:06:00Z</cp:lastPrinted>
  <dcterms:created xsi:type="dcterms:W3CDTF">2022-09-09T13:34:00Z</dcterms:created>
  <dcterms:modified xsi:type="dcterms:W3CDTF">2022-09-09T13:37:00Z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0x0101008916394AE892294184147D0ABA02AA9C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SourceUrl">
    <vt:lpwstr/>
  </property>
  <property fmtid="{D5CDD505-2E9C-101B-9397-08002B2CF9AE}" pid="18" name="_SharedFileIndex">
    <vt:lpwstr/>
  </property>
</Properties>
</file>