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Look w:val="04A0" w:firstRow="1" w:lastRow="0" w:firstColumn="1" w:lastColumn="0" w:noHBand="0" w:noVBand="1"/>
      </w:tblPr>
      <w:tblGrid>
        <w:gridCol w:w="9040"/>
      </w:tblGrid>
      <w:tr w:rsidR="0051203A" w:rsidRPr="00B363AA" w14:paraId="5FBDC2E6" w14:textId="77777777" w:rsidTr="008C1DA4">
        <w:trPr>
          <w:cantSplit/>
          <w:trHeight w:val="1833"/>
        </w:trPr>
        <w:tc>
          <w:tcPr>
            <w:tcW w:w="0" w:type="auto"/>
            <w:tcBorders>
              <w:top w:val="single" w:sz="12" w:space="0" w:color="auto"/>
              <w:left w:val="single" w:sz="12" w:space="0" w:color="auto"/>
              <w:bottom w:val="nil"/>
              <w:right w:val="single" w:sz="12" w:space="0" w:color="auto"/>
            </w:tcBorders>
            <w:vAlign w:val="center"/>
          </w:tcPr>
          <w:p w14:paraId="77F727C6" w14:textId="7428AC95" w:rsidR="0051203A" w:rsidRPr="00B363AA" w:rsidRDefault="0059302B" w:rsidP="0059302B">
            <w:pPr>
              <w:pStyle w:val="Titre"/>
              <w:jc w:val="left"/>
            </w:pPr>
            <w:r w:rsidRPr="00B363AA">
              <w:rPr>
                <w:b/>
                <w:bCs/>
                <w:noProof/>
              </w:rPr>
              <w:drawing>
                <wp:anchor distT="0" distB="0" distL="114300" distR="114300" simplePos="0" relativeHeight="251658240" behindDoc="0" locked="0" layoutInCell="1" allowOverlap="1" wp14:anchorId="18690FFA" wp14:editId="0E9B59EE">
                  <wp:simplePos x="0" y="0"/>
                  <wp:positionH relativeFrom="column">
                    <wp:posOffset>4561840</wp:posOffset>
                  </wp:positionH>
                  <wp:positionV relativeFrom="paragraph">
                    <wp:posOffset>48895</wp:posOffset>
                  </wp:positionV>
                  <wp:extent cx="1079500" cy="1091565"/>
                  <wp:effectExtent l="0" t="0" r="6350" b="0"/>
                  <wp:wrapNone/>
                  <wp:docPr id="170751869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9500" cy="1091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63AA">
              <w:rPr>
                <w:noProof/>
              </w:rPr>
              <w:drawing>
                <wp:inline distT="0" distB="0" distL="0" distR="0" wp14:anchorId="3D8F4A6E" wp14:editId="6D70773D">
                  <wp:extent cx="2814770" cy="1187355"/>
                  <wp:effectExtent l="0" t="0" r="0" b="0"/>
                  <wp:docPr id="111686556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0809" cy="1206776"/>
                          </a:xfrm>
                          <a:prstGeom prst="rect">
                            <a:avLst/>
                          </a:prstGeom>
                          <a:noFill/>
                          <a:ln>
                            <a:noFill/>
                          </a:ln>
                        </pic:spPr>
                      </pic:pic>
                    </a:graphicData>
                  </a:graphic>
                </wp:inline>
              </w:drawing>
            </w:r>
          </w:p>
        </w:tc>
      </w:tr>
      <w:tr w:rsidR="0059302B" w:rsidRPr="00B363AA" w14:paraId="72398826" w14:textId="77777777" w:rsidTr="008C1DA4">
        <w:trPr>
          <w:cantSplit/>
          <w:trHeight w:val="8385"/>
        </w:trPr>
        <w:tc>
          <w:tcPr>
            <w:tcW w:w="0" w:type="auto"/>
            <w:tcBorders>
              <w:top w:val="nil"/>
              <w:left w:val="single" w:sz="12" w:space="0" w:color="auto"/>
              <w:bottom w:val="nil"/>
              <w:right w:val="single" w:sz="12" w:space="0" w:color="auto"/>
            </w:tcBorders>
            <w:vAlign w:val="center"/>
          </w:tcPr>
          <w:p w14:paraId="666066AF" w14:textId="52BCE767" w:rsidR="00B634B7" w:rsidRPr="00B363AA" w:rsidRDefault="00B634B7" w:rsidP="0059302B">
            <w:pPr>
              <w:pStyle w:val="Titre"/>
              <w:jc w:val="center"/>
              <w:rPr>
                <w:color w:val="auto"/>
                <w:sz w:val="40"/>
                <w:szCs w:val="40"/>
              </w:rPr>
            </w:pPr>
            <w:r w:rsidRPr="00B363AA">
              <w:rPr>
                <w:color w:val="auto"/>
                <w:sz w:val="40"/>
                <w:szCs w:val="40"/>
              </w:rPr>
              <w:t>Indice de Qualité des Sols Wallons (IQSW-pro)</w:t>
            </w:r>
          </w:p>
          <w:p w14:paraId="68A078E4" w14:textId="77777777" w:rsidR="00B634B7" w:rsidRPr="00B363AA" w:rsidRDefault="00B634B7" w:rsidP="00B634B7"/>
          <w:p w14:paraId="6F95F7C1" w14:textId="3605E7D0" w:rsidR="0059302B" w:rsidRPr="00B363AA" w:rsidRDefault="00B634B7" w:rsidP="0059302B">
            <w:pPr>
              <w:pStyle w:val="Titre"/>
              <w:jc w:val="center"/>
              <w:rPr>
                <w:b/>
                <w:bCs/>
                <w:sz w:val="48"/>
                <w:szCs w:val="48"/>
              </w:rPr>
            </w:pPr>
            <w:r w:rsidRPr="00B363AA">
              <w:rPr>
                <w:b/>
                <w:bCs/>
                <w:sz w:val="48"/>
                <w:szCs w:val="48"/>
              </w:rPr>
              <w:t>G</w:t>
            </w:r>
            <w:r w:rsidR="0059302B" w:rsidRPr="00B363AA">
              <w:rPr>
                <w:b/>
                <w:bCs/>
                <w:sz w:val="48"/>
                <w:szCs w:val="48"/>
              </w:rPr>
              <w:t xml:space="preserve">uide méthodologique à destination des </w:t>
            </w:r>
            <w:r w:rsidR="00EE6343" w:rsidRPr="00B363AA">
              <w:rPr>
                <w:b/>
                <w:bCs/>
                <w:sz w:val="48"/>
                <w:szCs w:val="48"/>
              </w:rPr>
              <w:t>professionnels</w:t>
            </w:r>
          </w:p>
          <w:p w14:paraId="3718E6CE" w14:textId="77777777" w:rsidR="0059302B" w:rsidRPr="00B363AA" w:rsidRDefault="0059302B" w:rsidP="0051203A">
            <w:pPr>
              <w:pStyle w:val="Titre"/>
              <w:jc w:val="center"/>
              <w:rPr>
                <w:color w:val="auto"/>
                <w:sz w:val="36"/>
                <w:szCs w:val="36"/>
              </w:rPr>
            </w:pPr>
          </w:p>
          <w:p w14:paraId="1A6D8C23" w14:textId="105C9E01" w:rsidR="0059302B" w:rsidRPr="00B363AA" w:rsidRDefault="006575EB" w:rsidP="00B634B7">
            <w:pPr>
              <w:jc w:val="center"/>
              <w:rPr>
                <w:b/>
                <w:bCs/>
                <w:sz w:val="24"/>
              </w:rPr>
            </w:pPr>
            <w:r w:rsidRPr="00B363AA">
              <w:rPr>
                <w:b/>
                <w:bCs/>
                <w:sz w:val="24"/>
              </w:rPr>
              <w:t xml:space="preserve">Projet </w:t>
            </w:r>
            <w:r w:rsidR="0059302B" w:rsidRPr="00B363AA">
              <w:rPr>
                <w:b/>
                <w:bCs/>
                <w:sz w:val="24"/>
              </w:rPr>
              <w:t>financé par le Plan de Relance de la Wallonie</w:t>
            </w:r>
            <w:r w:rsidRPr="00B363AA">
              <w:rPr>
                <w:b/>
                <w:bCs/>
                <w:sz w:val="24"/>
              </w:rPr>
              <w:t xml:space="preserve"> (PRW 115.2</w:t>
            </w:r>
            <w:r w:rsidR="00E311CC" w:rsidRPr="00B363AA">
              <w:rPr>
                <w:b/>
                <w:bCs/>
                <w:sz w:val="24"/>
              </w:rPr>
              <w:t xml:space="preserve">, </w:t>
            </w:r>
            <w:r w:rsidR="00326484" w:rsidRPr="00B363AA">
              <w:rPr>
                <w:b/>
                <w:bCs/>
                <w:sz w:val="24"/>
              </w:rPr>
              <w:t>convention</w:t>
            </w:r>
            <w:r w:rsidR="00E209A3" w:rsidRPr="00B363AA">
              <w:rPr>
                <w:b/>
                <w:bCs/>
              </w:rPr>
              <w:t xml:space="preserve"> O3.07.05-23-1343</w:t>
            </w:r>
            <w:r w:rsidRPr="00B363AA">
              <w:rPr>
                <w:b/>
                <w:bCs/>
                <w:sz w:val="24"/>
              </w:rPr>
              <w:t>)</w:t>
            </w:r>
            <w:r w:rsidR="00144D55" w:rsidRPr="00B363AA">
              <w:rPr>
                <w:b/>
                <w:bCs/>
                <w:sz w:val="24"/>
              </w:rPr>
              <w:t>, à l’initiative de la Direction de la Protection des Sols (DPS), SPW ARNE</w:t>
            </w:r>
          </w:p>
          <w:p w14:paraId="0058F5FF" w14:textId="77777777" w:rsidR="00B634B7" w:rsidRPr="00B363AA" w:rsidRDefault="00B634B7" w:rsidP="0059302B">
            <w:pPr>
              <w:jc w:val="center"/>
            </w:pPr>
          </w:p>
          <w:p w14:paraId="46A7047F" w14:textId="208AD698" w:rsidR="00B634B7" w:rsidRPr="00B363AA" w:rsidRDefault="00B634B7" w:rsidP="0059302B">
            <w:pPr>
              <w:jc w:val="center"/>
              <w:rPr>
                <w:b/>
                <w:bCs/>
              </w:rPr>
            </w:pPr>
            <w:r w:rsidRPr="00B363AA">
              <w:rPr>
                <w:b/>
                <w:bCs/>
              </w:rPr>
              <w:t xml:space="preserve">- </w:t>
            </w:r>
            <w:r w:rsidR="00C15714" w:rsidRPr="00B363AA">
              <w:rPr>
                <w:b/>
                <w:bCs/>
              </w:rPr>
              <w:t>Septembre</w:t>
            </w:r>
            <w:r w:rsidRPr="00B363AA">
              <w:rPr>
                <w:b/>
                <w:bCs/>
              </w:rPr>
              <w:t xml:space="preserve"> 2026 -</w:t>
            </w:r>
          </w:p>
          <w:p w14:paraId="501FE24D" w14:textId="042CC9FA" w:rsidR="0059302B" w:rsidRPr="00B363AA" w:rsidRDefault="0059302B" w:rsidP="0059302B">
            <w:pPr>
              <w:jc w:val="left"/>
            </w:pPr>
          </w:p>
        </w:tc>
      </w:tr>
      <w:tr w:rsidR="005B284B" w:rsidRPr="00B363AA" w14:paraId="74C12668" w14:textId="77777777" w:rsidTr="008C1DA4">
        <w:trPr>
          <w:cantSplit/>
          <w:trHeight w:val="1549"/>
        </w:trPr>
        <w:tc>
          <w:tcPr>
            <w:tcW w:w="0" w:type="auto"/>
            <w:tcBorders>
              <w:top w:val="nil"/>
              <w:left w:val="single" w:sz="12" w:space="0" w:color="auto"/>
              <w:bottom w:val="nil"/>
              <w:right w:val="single" w:sz="12" w:space="0" w:color="auto"/>
            </w:tcBorders>
            <w:vAlign w:val="center"/>
          </w:tcPr>
          <w:p w14:paraId="71B2F6DB" w14:textId="532D8EA2" w:rsidR="006552DA" w:rsidRPr="00B363AA" w:rsidRDefault="00122E18" w:rsidP="006552DA">
            <w:pPr>
              <w:pStyle w:val="Authors"/>
              <w:rPr>
                <w:rFonts w:asciiTheme="minorHAnsi" w:hAnsiTheme="minorHAnsi"/>
                <w:b/>
                <w:bCs/>
                <w:sz w:val="20"/>
                <w:szCs w:val="20"/>
                <w:vertAlign w:val="superscript"/>
                <w:lang w:val="fr-BE"/>
              </w:rPr>
            </w:pPr>
            <w:r w:rsidRPr="00B363AA">
              <w:rPr>
                <w:rFonts w:asciiTheme="minorHAnsi" w:hAnsiTheme="minorHAnsi"/>
                <w:b/>
                <w:bCs/>
                <w:sz w:val="20"/>
                <w:szCs w:val="20"/>
                <w:lang w:val="fr-BE"/>
              </w:rPr>
              <w:t>Clélia Van de Casteele</w:t>
            </w:r>
            <w:r w:rsidR="00CC6C6B" w:rsidRPr="00B363AA">
              <w:rPr>
                <w:rFonts w:asciiTheme="minorHAnsi" w:hAnsiTheme="minorHAnsi"/>
                <w:b/>
                <w:bCs/>
                <w:sz w:val="20"/>
                <w:szCs w:val="20"/>
                <w:vertAlign w:val="superscript"/>
                <w:lang w:val="fr-BE"/>
              </w:rPr>
              <w:t>1</w:t>
            </w:r>
            <w:r w:rsidR="00F70530" w:rsidRPr="00B363AA">
              <w:rPr>
                <w:rFonts w:asciiTheme="minorHAnsi" w:hAnsiTheme="minorHAnsi"/>
                <w:b/>
                <w:bCs/>
                <w:sz w:val="20"/>
                <w:szCs w:val="20"/>
                <w:lang w:val="fr-BE"/>
              </w:rPr>
              <w:t>,</w:t>
            </w:r>
            <w:r w:rsidR="006552DA" w:rsidRPr="00B363AA">
              <w:rPr>
                <w:rFonts w:asciiTheme="minorHAnsi" w:hAnsiTheme="minorHAnsi"/>
                <w:b/>
                <w:bCs/>
                <w:sz w:val="20"/>
                <w:szCs w:val="20"/>
                <w:lang w:val="fr-BE"/>
              </w:rPr>
              <w:t xml:space="preserve"> Louis Vandebroek</w:t>
            </w:r>
            <w:r w:rsidR="00CC6C6B" w:rsidRPr="00B363AA">
              <w:rPr>
                <w:rFonts w:asciiTheme="minorHAnsi" w:hAnsiTheme="minorHAnsi"/>
                <w:b/>
                <w:bCs/>
                <w:sz w:val="20"/>
                <w:szCs w:val="20"/>
                <w:vertAlign w:val="superscript"/>
                <w:lang w:val="fr-BE"/>
              </w:rPr>
              <w:t>1</w:t>
            </w:r>
            <w:r w:rsidR="00401FB8" w:rsidRPr="00B363AA">
              <w:rPr>
                <w:rFonts w:asciiTheme="minorHAnsi" w:hAnsiTheme="minorHAnsi"/>
                <w:b/>
                <w:bCs/>
                <w:sz w:val="20"/>
                <w:szCs w:val="20"/>
                <w:lang w:val="fr-BE"/>
              </w:rPr>
              <w:t>, Brieuc F. Hardy</w:t>
            </w:r>
            <w:r w:rsidR="00CC6C6B" w:rsidRPr="00B363AA">
              <w:rPr>
                <w:rFonts w:asciiTheme="minorHAnsi" w:hAnsiTheme="minorHAnsi"/>
                <w:b/>
                <w:bCs/>
                <w:sz w:val="20"/>
                <w:szCs w:val="20"/>
                <w:vertAlign w:val="superscript"/>
                <w:lang w:val="fr-BE"/>
              </w:rPr>
              <w:t>2</w:t>
            </w:r>
            <w:r w:rsidR="00401FB8" w:rsidRPr="00B363AA">
              <w:rPr>
                <w:rFonts w:asciiTheme="minorHAnsi" w:hAnsiTheme="minorHAnsi"/>
                <w:b/>
                <w:bCs/>
                <w:sz w:val="20"/>
                <w:szCs w:val="20"/>
                <w:lang w:val="fr-BE"/>
              </w:rPr>
              <w:t>, Yannick Agnan</w:t>
            </w:r>
            <w:r w:rsidR="00CC6C6B" w:rsidRPr="00B363AA">
              <w:rPr>
                <w:rFonts w:asciiTheme="minorHAnsi" w:hAnsiTheme="minorHAnsi"/>
                <w:b/>
                <w:bCs/>
                <w:sz w:val="20"/>
                <w:szCs w:val="20"/>
                <w:vertAlign w:val="superscript"/>
                <w:lang w:val="fr-BE"/>
              </w:rPr>
              <w:t>3</w:t>
            </w:r>
          </w:p>
          <w:p w14:paraId="25A22B79" w14:textId="5E57FABB" w:rsidR="00401FB8" w:rsidRPr="00B363AA" w:rsidRDefault="00401FB8" w:rsidP="002D6A5D">
            <w:pPr>
              <w:pStyle w:val="Affiliation"/>
              <w:rPr>
                <w:rFonts w:asciiTheme="minorHAnsi" w:hAnsiTheme="minorHAnsi"/>
                <w:sz w:val="14"/>
                <w:szCs w:val="14"/>
                <w:lang w:val="fr-BE"/>
              </w:rPr>
            </w:pPr>
            <w:r w:rsidRPr="00B363AA">
              <w:rPr>
                <w:rFonts w:asciiTheme="minorHAnsi" w:hAnsiTheme="minorHAnsi"/>
                <w:sz w:val="14"/>
                <w:szCs w:val="14"/>
                <w:vertAlign w:val="superscript"/>
                <w:lang w:val="fr-BE"/>
              </w:rPr>
              <w:t>1</w:t>
            </w:r>
            <w:r w:rsidRPr="00B363AA">
              <w:rPr>
                <w:rFonts w:asciiTheme="minorHAnsi" w:hAnsiTheme="minorHAnsi"/>
                <w:sz w:val="14"/>
                <w:szCs w:val="14"/>
                <w:lang w:val="fr-BE"/>
              </w:rPr>
              <w:t>ARIES Consultants</w:t>
            </w:r>
          </w:p>
          <w:p w14:paraId="0DFBE9B4" w14:textId="2CCE33F0" w:rsidR="002D6A5D" w:rsidRPr="00B363AA" w:rsidRDefault="00401FB8" w:rsidP="002D6A5D">
            <w:pPr>
              <w:pStyle w:val="Affiliation"/>
              <w:rPr>
                <w:rFonts w:asciiTheme="minorHAnsi" w:hAnsiTheme="minorHAnsi"/>
                <w:sz w:val="14"/>
                <w:szCs w:val="14"/>
                <w:lang w:val="fr-BE"/>
              </w:rPr>
            </w:pPr>
            <w:r w:rsidRPr="00B363AA">
              <w:rPr>
                <w:rFonts w:asciiTheme="minorHAnsi" w:hAnsiTheme="minorHAnsi"/>
                <w:sz w:val="14"/>
                <w:szCs w:val="14"/>
                <w:vertAlign w:val="superscript"/>
                <w:lang w:val="fr-BE"/>
              </w:rPr>
              <w:t>2</w:t>
            </w:r>
            <w:r w:rsidR="002D6A5D" w:rsidRPr="00B363AA">
              <w:rPr>
                <w:rFonts w:asciiTheme="minorHAnsi" w:hAnsiTheme="minorHAnsi"/>
                <w:sz w:val="14"/>
                <w:szCs w:val="14"/>
                <w:vertAlign w:val="superscript"/>
                <w:lang w:val="fr-BE"/>
              </w:rPr>
              <w:t xml:space="preserve"> </w:t>
            </w:r>
            <w:r w:rsidR="00EA039B" w:rsidRPr="00B363AA">
              <w:rPr>
                <w:rFonts w:asciiTheme="minorHAnsi" w:hAnsiTheme="minorHAnsi"/>
                <w:sz w:val="14"/>
                <w:szCs w:val="14"/>
                <w:lang w:val="fr-BE"/>
              </w:rPr>
              <w:t xml:space="preserve">Département durabilité, systèmes et prospectives </w:t>
            </w:r>
            <w:r w:rsidR="002D6A5D" w:rsidRPr="00B363AA">
              <w:rPr>
                <w:rFonts w:asciiTheme="minorHAnsi" w:hAnsiTheme="minorHAnsi"/>
                <w:sz w:val="14"/>
                <w:szCs w:val="14"/>
                <w:lang w:val="fr-BE"/>
              </w:rPr>
              <w:t xml:space="preserve">– </w:t>
            </w:r>
            <w:r w:rsidR="0077358D" w:rsidRPr="00B363AA">
              <w:rPr>
                <w:rFonts w:asciiTheme="minorHAnsi" w:hAnsiTheme="minorHAnsi"/>
                <w:sz w:val="14"/>
                <w:szCs w:val="14"/>
                <w:lang w:val="fr-BE"/>
              </w:rPr>
              <w:t>Unité sols, eaux et productions intégrées</w:t>
            </w:r>
            <w:r w:rsidR="002D6A5D" w:rsidRPr="00B363AA">
              <w:rPr>
                <w:rFonts w:asciiTheme="minorHAnsi" w:hAnsiTheme="minorHAnsi"/>
                <w:sz w:val="14"/>
                <w:szCs w:val="14"/>
                <w:lang w:val="fr-BE"/>
              </w:rPr>
              <w:t xml:space="preserve">, </w:t>
            </w:r>
            <w:r w:rsidR="0077358D" w:rsidRPr="00B363AA">
              <w:rPr>
                <w:rFonts w:asciiTheme="minorHAnsi" w:hAnsiTheme="minorHAnsi"/>
                <w:sz w:val="14"/>
                <w:szCs w:val="14"/>
                <w:lang w:val="fr-BE"/>
              </w:rPr>
              <w:t>Centre wallon de Recherches Agronomiques</w:t>
            </w:r>
          </w:p>
          <w:p w14:paraId="1441607B" w14:textId="7B05E441" w:rsidR="002D6A5D" w:rsidRPr="00B363AA" w:rsidRDefault="00401FB8" w:rsidP="002D6A5D">
            <w:pPr>
              <w:pStyle w:val="Affiliation"/>
              <w:rPr>
                <w:rFonts w:asciiTheme="minorHAnsi" w:hAnsiTheme="minorHAnsi"/>
                <w:sz w:val="14"/>
                <w:szCs w:val="14"/>
                <w:lang w:val="fr-BE"/>
              </w:rPr>
            </w:pPr>
            <w:r w:rsidRPr="00B363AA">
              <w:rPr>
                <w:rFonts w:asciiTheme="minorHAnsi" w:hAnsiTheme="minorHAnsi"/>
                <w:sz w:val="14"/>
                <w:szCs w:val="14"/>
                <w:vertAlign w:val="superscript"/>
                <w:lang w:val="fr-BE"/>
              </w:rPr>
              <w:t>3</w:t>
            </w:r>
            <w:r w:rsidR="002D6A5D" w:rsidRPr="00B363AA">
              <w:rPr>
                <w:rFonts w:asciiTheme="minorHAnsi" w:hAnsiTheme="minorHAnsi"/>
                <w:sz w:val="14"/>
                <w:szCs w:val="14"/>
                <w:lang w:val="fr-BE"/>
              </w:rPr>
              <w:t xml:space="preserve"> Earth and Life Institute, </w:t>
            </w:r>
            <w:proofErr w:type="spellStart"/>
            <w:r w:rsidR="002D6A5D" w:rsidRPr="00B363AA">
              <w:rPr>
                <w:rFonts w:asciiTheme="minorHAnsi" w:hAnsiTheme="minorHAnsi"/>
                <w:sz w:val="14"/>
                <w:szCs w:val="14"/>
                <w:lang w:val="fr-BE"/>
              </w:rPr>
              <w:t>UCLouvain</w:t>
            </w:r>
            <w:proofErr w:type="spellEnd"/>
          </w:p>
          <w:p w14:paraId="4DBA0791" w14:textId="77777777" w:rsidR="005B284B" w:rsidRPr="00B363AA" w:rsidRDefault="005B284B" w:rsidP="00401FB8">
            <w:pPr>
              <w:pStyle w:val="Affiliation"/>
              <w:rPr>
                <w:rFonts w:asciiTheme="minorHAnsi" w:hAnsiTheme="minorHAnsi"/>
                <w:sz w:val="24"/>
                <w:lang w:val="fr-BE"/>
              </w:rPr>
            </w:pPr>
          </w:p>
        </w:tc>
      </w:tr>
      <w:tr w:rsidR="0059302B" w:rsidRPr="00B363AA" w14:paraId="67BB3382" w14:textId="77777777" w:rsidTr="008C1DA4">
        <w:trPr>
          <w:cantSplit/>
          <w:trHeight w:val="425"/>
        </w:trPr>
        <w:tc>
          <w:tcPr>
            <w:tcW w:w="0" w:type="auto"/>
            <w:tcBorders>
              <w:top w:val="nil"/>
              <w:left w:val="single" w:sz="12" w:space="0" w:color="auto"/>
              <w:bottom w:val="nil"/>
              <w:right w:val="single" w:sz="12" w:space="0" w:color="auto"/>
            </w:tcBorders>
            <w:vAlign w:val="center"/>
          </w:tcPr>
          <w:p w14:paraId="573001A0" w14:textId="2CF8FC54" w:rsidR="0059302B" w:rsidRPr="00B363AA" w:rsidRDefault="0059302B" w:rsidP="00144D55"/>
        </w:tc>
      </w:tr>
      <w:tr w:rsidR="0059302B" w:rsidRPr="00B363AA" w14:paraId="56FFFA19" w14:textId="77777777" w:rsidTr="008C1DA4">
        <w:trPr>
          <w:cantSplit/>
          <w:trHeight w:val="1133"/>
        </w:trPr>
        <w:tc>
          <w:tcPr>
            <w:tcW w:w="0" w:type="auto"/>
            <w:tcBorders>
              <w:top w:val="nil"/>
              <w:left w:val="single" w:sz="12" w:space="0" w:color="auto"/>
              <w:bottom w:val="single" w:sz="12" w:space="0" w:color="auto"/>
              <w:right w:val="single" w:sz="12" w:space="0" w:color="auto"/>
            </w:tcBorders>
            <w:vAlign w:val="center"/>
          </w:tcPr>
          <w:p w14:paraId="7344B7C0" w14:textId="77777777" w:rsidR="0059302B" w:rsidRPr="00B363AA" w:rsidRDefault="0059302B" w:rsidP="00144D55">
            <w:r w:rsidRPr="00B363AA">
              <w:rPr>
                <w:noProof/>
              </w:rPr>
              <w:drawing>
                <wp:anchor distT="0" distB="0" distL="114300" distR="114300" simplePos="0" relativeHeight="251658243" behindDoc="0" locked="0" layoutInCell="1" allowOverlap="1" wp14:anchorId="68F4E9B8" wp14:editId="52C26550">
                  <wp:simplePos x="0" y="0"/>
                  <wp:positionH relativeFrom="column">
                    <wp:posOffset>4044950</wp:posOffset>
                  </wp:positionH>
                  <wp:positionV relativeFrom="paragraph">
                    <wp:posOffset>226060</wp:posOffset>
                  </wp:positionV>
                  <wp:extent cx="1504315" cy="284480"/>
                  <wp:effectExtent l="0" t="0" r="635" b="1270"/>
                  <wp:wrapNone/>
                  <wp:docPr id="206795144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04315" cy="284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63AA">
              <w:rPr>
                <w:noProof/>
              </w:rPr>
              <w:drawing>
                <wp:anchor distT="0" distB="0" distL="114300" distR="114300" simplePos="0" relativeHeight="251658242" behindDoc="0" locked="0" layoutInCell="1" allowOverlap="1" wp14:anchorId="1E24FE80" wp14:editId="00B032A4">
                  <wp:simplePos x="0" y="0"/>
                  <wp:positionH relativeFrom="column">
                    <wp:posOffset>77470</wp:posOffset>
                  </wp:positionH>
                  <wp:positionV relativeFrom="paragraph">
                    <wp:posOffset>201930</wp:posOffset>
                  </wp:positionV>
                  <wp:extent cx="1459865" cy="338455"/>
                  <wp:effectExtent l="0" t="0" r="0" b="4445"/>
                  <wp:wrapNone/>
                  <wp:docPr id="1172888174"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9865" cy="338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363AA">
              <w:rPr>
                <w:b/>
                <w:bCs/>
                <w:noProof/>
              </w:rPr>
              <w:drawing>
                <wp:anchor distT="0" distB="0" distL="114300" distR="114300" simplePos="0" relativeHeight="251658241" behindDoc="0" locked="0" layoutInCell="1" allowOverlap="1" wp14:anchorId="5D5C8352" wp14:editId="7DCB70B8">
                  <wp:simplePos x="0" y="0"/>
                  <wp:positionH relativeFrom="column">
                    <wp:posOffset>2185670</wp:posOffset>
                  </wp:positionH>
                  <wp:positionV relativeFrom="paragraph">
                    <wp:posOffset>15875</wp:posOffset>
                  </wp:positionV>
                  <wp:extent cx="1255395" cy="718820"/>
                  <wp:effectExtent l="0" t="0" r="0" b="0"/>
                  <wp:wrapNone/>
                  <wp:docPr id="36559598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55395" cy="7188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291464" w14:textId="7D821ACE" w:rsidR="002948EB" w:rsidRPr="00B363AA" w:rsidRDefault="002948EB" w:rsidP="002948EB"/>
        </w:tc>
      </w:tr>
    </w:tbl>
    <w:p w14:paraId="050880D8" w14:textId="77777777" w:rsidR="002948EB" w:rsidRPr="00B363AA" w:rsidRDefault="002948EB">
      <w:r w:rsidRPr="00B363AA">
        <w:br w:type="page"/>
      </w:r>
    </w:p>
    <w:bookmarkStart w:id="0" w:name="_Toc230267079" w:displacedByCustomXml="next"/>
    <w:sdt>
      <w:sdtPr>
        <w:rPr>
          <w:rFonts w:eastAsiaTheme="minorEastAsia" w:cstheme="minorBidi"/>
          <w:color w:val="auto"/>
          <w:kern w:val="2"/>
          <w:sz w:val="22"/>
          <w:szCs w:val="22"/>
          <w:lang w:eastAsia="en-US"/>
          <w14:ligatures w14:val="standardContextual"/>
        </w:rPr>
        <w:id w:val="1750692163"/>
        <w:docPartObj>
          <w:docPartGallery w:val="Table of Contents"/>
          <w:docPartUnique/>
        </w:docPartObj>
      </w:sdtPr>
      <w:sdtEndPr>
        <w:rPr>
          <w:b/>
          <w:bCs/>
        </w:rPr>
      </w:sdtEndPr>
      <w:sdtContent>
        <w:p w14:paraId="2559E864" w14:textId="3FB23F22" w:rsidR="004E6804" w:rsidRPr="00B363AA" w:rsidRDefault="004E6804">
          <w:pPr>
            <w:pStyle w:val="En-ttedetabledesmatires"/>
          </w:pPr>
          <w:r w:rsidRPr="00B363AA">
            <w:t>Table des matières</w:t>
          </w:r>
        </w:p>
        <w:p w14:paraId="7684D804" w14:textId="61224771" w:rsidR="0051081A" w:rsidRPr="00B363AA" w:rsidRDefault="001C2230">
          <w:pPr>
            <w:pStyle w:val="TM1"/>
            <w:tabs>
              <w:tab w:val="right" w:leader="dot" w:pos="9060"/>
            </w:tabs>
            <w:rPr>
              <w:rFonts w:asciiTheme="minorHAnsi" w:eastAsiaTheme="minorEastAsia" w:hAnsiTheme="minorHAnsi"/>
              <w:sz w:val="24"/>
              <w:lang w:eastAsia="fr-BE"/>
            </w:rPr>
          </w:pPr>
          <w:r w:rsidRPr="00B363AA">
            <w:fldChar w:fldCharType="begin"/>
          </w:r>
          <w:r w:rsidRPr="00B363AA">
            <w:instrText xml:space="preserve"> TOC \o "1-3" \h \z \u </w:instrText>
          </w:r>
          <w:r w:rsidRPr="00B363AA">
            <w:fldChar w:fldCharType="separate"/>
          </w:r>
          <w:hyperlink w:anchor="_Toc241242928" w:history="1">
            <w:r w:rsidR="0051081A" w:rsidRPr="00B363AA">
              <w:rPr>
                <w:rStyle w:val="Lienhypertexte"/>
              </w:rPr>
              <w:t>Glossaire</w:t>
            </w:r>
            <w:r w:rsidR="0051081A" w:rsidRPr="00B363AA">
              <w:rPr>
                <w:webHidden/>
              </w:rPr>
              <w:tab/>
            </w:r>
            <w:r w:rsidR="0051081A" w:rsidRPr="00B363AA">
              <w:rPr>
                <w:webHidden/>
              </w:rPr>
              <w:fldChar w:fldCharType="begin"/>
            </w:r>
            <w:r w:rsidR="0051081A" w:rsidRPr="00B363AA">
              <w:rPr>
                <w:webHidden/>
              </w:rPr>
              <w:instrText xml:space="preserve"> PAGEREF _Toc241242928 \h </w:instrText>
            </w:r>
            <w:r w:rsidR="0051081A" w:rsidRPr="00B363AA">
              <w:rPr>
                <w:webHidden/>
              </w:rPr>
            </w:r>
            <w:r w:rsidR="0051081A" w:rsidRPr="00B363AA">
              <w:rPr>
                <w:webHidden/>
              </w:rPr>
              <w:fldChar w:fldCharType="separate"/>
            </w:r>
            <w:r w:rsidR="0051081A" w:rsidRPr="00B363AA">
              <w:rPr>
                <w:webHidden/>
              </w:rPr>
              <w:t>6</w:t>
            </w:r>
            <w:r w:rsidR="0051081A" w:rsidRPr="00B363AA">
              <w:rPr>
                <w:webHidden/>
              </w:rPr>
              <w:fldChar w:fldCharType="end"/>
            </w:r>
          </w:hyperlink>
        </w:p>
        <w:p w14:paraId="61600D62" w14:textId="6F555D59" w:rsidR="0051081A" w:rsidRPr="00B363AA" w:rsidRDefault="0051081A">
          <w:pPr>
            <w:pStyle w:val="TM1"/>
            <w:tabs>
              <w:tab w:val="right" w:leader="dot" w:pos="9060"/>
            </w:tabs>
            <w:rPr>
              <w:rFonts w:asciiTheme="minorHAnsi" w:eastAsiaTheme="minorEastAsia" w:hAnsiTheme="minorHAnsi"/>
              <w:sz w:val="24"/>
              <w:lang w:eastAsia="fr-BE"/>
            </w:rPr>
          </w:pPr>
          <w:hyperlink w:anchor="_Toc241242929" w:history="1">
            <w:r w:rsidRPr="00B363AA">
              <w:rPr>
                <w:rStyle w:val="Lienhypertexte"/>
              </w:rPr>
              <w:t>Table des figures</w:t>
            </w:r>
            <w:r w:rsidRPr="00B363AA">
              <w:rPr>
                <w:webHidden/>
              </w:rPr>
              <w:tab/>
            </w:r>
            <w:r w:rsidRPr="00B363AA">
              <w:rPr>
                <w:webHidden/>
              </w:rPr>
              <w:fldChar w:fldCharType="begin"/>
            </w:r>
            <w:r w:rsidRPr="00B363AA">
              <w:rPr>
                <w:webHidden/>
              </w:rPr>
              <w:instrText xml:space="preserve"> PAGEREF _Toc241242929 \h </w:instrText>
            </w:r>
            <w:r w:rsidRPr="00B363AA">
              <w:rPr>
                <w:webHidden/>
              </w:rPr>
            </w:r>
            <w:r w:rsidRPr="00B363AA">
              <w:rPr>
                <w:webHidden/>
              </w:rPr>
              <w:fldChar w:fldCharType="separate"/>
            </w:r>
            <w:r w:rsidRPr="00B363AA">
              <w:rPr>
                <w:webHidden/>
              </w:rPr>
              <w:t>7</w:t>
            </w:r>
            <w:r w:rsidRPr="00B363AA">
              <w:rPr>
                <w:webHidden/>
              </w:rPr>
              <w:fldChar w:fldCharType="end"/>
            </w:r>
          </w:hyperlink>
        </w:p>
        <w:p w14:paraId="3CEE533A" w14:textId="2B208AD1" w:rsidR="0051081A" w:rsidRPr="00B363AA" w:rsidRDefault="0051081A">
          <w:pPr>
            <w:pStyle w:val="TM1"/>
            <w:tabs>
              <w:tab w:val="left" w:pos="480"/>
              <w:tab w:val="right" w:leader="dot" w:pos="9060"/>
            </w:tabs>
            <w:rPr>
              <w:rFonts w:asciiTheme="minorHAnsi" w:eastAsiaTheme="minorEastAsia" w:hAnsiTheme="minorHAnsi"/>
              <w:sz w:val="24"/>
              <w:lang w:eastAsia="fr-BE"/>
            </w:rPr>
          </w:pPr>
          <w:hyperlink w:anchor="_Toc241242930" w:history="1">
            <w:r w:rsidRPr="00B363AA">
              <w:rPr>
                <w:rStyle w:val="Lienhypertexte"/>
              </w:rPr>
              <w:t>1.</w:t>
            </w:r>
            <w:r w:rsidRPr="00B363AA">
              <w:rPr>
                <w:rFonts w:asciiTheme="minorHAnsi" w:eastAsiaTheme="minorEastAsia" w:hAnsiTheme="minorHAnsi"/>
                <w:sz w:val="24"/>
                <w:lang w:eastAsia="fr-BE"/>
              </w:rPr>
              <w:tab/>
            </w:r>
            <w:r w:rsidRPr="00B363AA">
              <w:rPr>
                <w:rStyle w:val="Lienhypertexte"/>
              </w:rPr>
              <w:t>L’IQSW-pro en bref</w:t>
            </w:r>
            <w:r w:rsidRPr="00B363AA">
              <w:rPr>
                <w:webHidden/>
              </w:rPr>
              <w:tab/>
            </w:r>
            <w:r w:rsidRPr="00B363AA">
              <w:rPr>
                <w:webHidden/>
              </w:rPr>
              <w:fldChar w:fldCharType="begin"/>
            </w:r>
            <w:r w:rsidRPr="00B363AA">
              <w:rPr>
                <w:webHidden/>
              </w:rPr>
              <w:instrText xml:space="preserve"> PAGEREF _Toc241242930 \h </w:instrText>
            </w:r>
            <w:r w:rsidRPr="00B363AA">
              <w:rPr>
                <w:webHidden/>
              </w:rPr>
            </w:r>
            <w:r w:rsidRPr="00B363AA">
              <w:rPr>
                <w:webHidden/>
              </w:rPr>
              <w:fldChar w:fldCharType="separate"/>
            </w:r>
            <w:r w:rsidRPr="00B363AA">
              <w:rPr>
                <w:webHidden/>
              </w:rPr>
              <w:t>8</w:t>
            </w:r>
            <w:r w:rsidRPr="00B363AA">
              <w:rPr>
                <w:webHidden/>
              </w:rPr>
              <w:fldChar w:fldCharType="end"/>
            </w:r>
          </w:hyperlink>
        </w:p>
        <w:p w14:paraId="1DFB9DC2" w14:textId="5EE12293" w:rsidR="0051081A" w:rsidRPr="00B363AA" w:rsidRDefault="0051081A">
          <w:pPr>
            <w:pStyle w:val="TM1"/>
            <w:tabs>
              <w:tab w:val="left" w:pos="480"/>
              <w:tab w:val="right" w:leader="dot" w:pos="9060"/>
            </w:tabs>
            <w:rPr>
              <w:rFonts w:asciiTheme="minorHAnsi" w:eastAsiaTheme="minorEastAsia" w:hAnsiTheme="minorHAnsi"/>
              <w:sz w:val="24"/>
              <w:lang w:eastAsia="fr-BE"/>
            </w:rPr>
          </w:pPr>
          <w:hyperlink w:anchor="_Toc241242931" w:history="1">
            <w:r w:rsidRPr="00B363AA">
              <w:rPr>
                <w:rStyle w:val="Lienhypertexte"/>
              </w:rPr>
              <w:t>2.</w:t>
            </w:r>
            <w:r w:rsidRPr="00B363AA">
              <w:rPr>
                <w:rFonts w:asciiTheme="minorHAnsi" w:eastAsiaTheme="minorEastAsia" w:hAnsiTheme="minorHAnsi"/>
                <w:sz w:val="24"/>
                <w:lang w:eastAsia="fr-BE"/>
              </w:rPr>
              <w:tab/>
            </w:r>
            <w:r w:rsidRPr="00B363AA">
              <w:rPr>
                <w:rStyle w:val="Lienhypertexte"/>
              </w:rPr>
              <w:t>Évaluer la qualité des sols : pourquoi ?</w:t>
            </w:r>
            <w:r w:rsidRPr="00B363AA">
              <w:rPr>
                <w:webHidden/>
              </w:rPr>
              <w:tab/>
            </w:r>
            <w:r w:rsidRPr="00B363AA">
              <w:rPr>
                <w:webHidden/>
              </w:rPr>
              <w:fldChar w:fldCharType="begin"/>
            </w:r>
            <w:r w:rsidRPr="00B363AA">
              <w:rPr>
                <w:webHidden/>
              </w:rPr>
              <w:instrText xml:space="preserve"> PAGEREF _Toc241242931 \h </w:instrText>
            </w:r>
            <w:r w:rsidRPr="00B363AA">
              <w:rPr>
                <w:webHidden/>
              </w:rPr>
            </w:r>
            <w:r w:rsidRPr="00B363AA">
              <w:rPr>
                <w:webHidden/>
              </w:rPr>
              <w:fldChar w:fldCharType="separate"/>
            </w:r>
            <w:r w:rsidRPr="00B363AA">
              <w:rPr>
                <w:webHidden/>
              </w:rPr>
              <w:t>9</w:t>
            </w:r>
            <w:r w:rsidRPr="00B363AA">
              <w:rPr>
                <w:webHidden/>
              </w:rPr>
              <w:fldChar w:fldCharType="end"/>
            </w:r>
          </w:hyperlink>
        </w:p>
        <w:p w14:paraId="58DFCC1B" w14:textId="39EE09B3"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32" w:history="1">
            <w:r w:rsidRPr="00B363AA">
              <w:rPr>
                <w:rStyle w:val="Lienhypertexte"/>
                <w:rFonts w:cs="Calibri"/>
              </w:rPr>
              <w:t>2.1.</w:t>
            </w:r>
            <w:r w:rsidRPr="00B363AA">
              <w:rPr>
                <w:rFonts w:asciiTheme="minorHAnsi" w:eastAsiaTheme="minorEastAsia" w:hAnsiTheme="minorHAnsi"/>
                <w:sz w:val="24"/>
                <w:lang w:eastAsia="fr-BE"/>
              </w:rPr>
              <w:tab/>
            </w:r>
            <w:r w:rsidRPr="00B363AA">
              <w:rPr>
                <w:rStyle w:val="Lienhypertexte"/>
              </w:rPr>
              <w:t>Améliorer la gestion des sols en Wallonie</w:t>
            </w:r>
            <w:r w:rsidRPr="00B363AA">
              <w:rPr>
                <w:webHidden/>
              </w:rPr>
              <w:tab/>
            </w:r>
            <w:r w:rsidRPr="00B363AA">
              <w:rPr>
                <w:webHidden/>
              </w:rPr>
              <w:fldChar w:fldCharType="begin"/>
            </w:r>
            <w:r w:rsidRPr="00B363AA">
              <w:rPr>
                <w:webHidden/>
              </w:rPr>
              <w:instrText xml:space="preserve"> PAGEREF _Toc241242932 \h </w:instrText>
            </w:r>
            <w:r w:rsidRPr="00B363AA">
              <w:rPr>
                <w:webHidden/>
              </w:rPr>
            </w:r>
            <w:r w:rsidRPr="00B363AA">
              <w:rPr>
                <w:webHidden/>
              </w:rPr>
              <w:fldChar w:fldCharType="separate"/>
            </w:r>
            <w:r w:rsidRPr="00B363AA">
              <w:rPr>
                <w:webHidden/>
              </w:rPr>
              <w:t>9</w:t>
            </w:r>
            <w:r w:rsidRPr="00B363AA">
              <w:rPr>
                <w:webHidden/>
              </w:rPr>
              <w:fldChar w:fldCharType="end"/>
            </w:r>
          </w:hyperlink>
        </w:p>
        <w:p w14:paraId="1CA5FD3B" w14:textId="4CA0D833"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33" w:history="1">
            <w:r w:rsidRPr="00B363AA">
              <w:rPr>
                <w:rStyle w:val="Lienhypertexte"/>
                <w:rFonts w:cs="Calibri"/>
              </w:rPr>
              <w:t>2.2.</w:t>
            </w:r>
            <w:r w:rsidRPr="00B363AA">
              <w:rPr>
                <w:rFonts w:asciiTheme="minorHAnsi" w:eastAsiaTheme="minorEastAsia" w:hAnsiTheme="minorHAnsi"/>
                <w:sz w:val="24"/>
                <w:lang w:eastAsia="fr-BE"/>
              </w:rPr>
              <w:tab/>
            </w:r>
            <w:r w:rsidRPr="00B363AA">
              <w:rPr>
                <w:rStyle w:val="Lienhypertexte"/>
              </w:rPr>
              <w:t>Contexte européen</w:t>
            </w:r>
            <w:r w:rsidRPr="00B363AA">
              <w:rPr>
                <w:webHidden/>
              </w:rPr>
              <w:tab/>
            </w:r>
            <w:r w:rsidRPr="00B363AA">
              <w:rPr>
                <w:webHidden/>
              </w:rPr>
              <w:fldChar w:fldCharType="begin"/>
            </w:r>
            <w:r w:rsidRPr="00B363AA">
              <w:rPr>
                <w:webHidden/>
              </w:rPr>
              <w:instrText xml:space="preserve"> PAGEREF _Toc241242933 \h </w:instrText>
            </w:r>
            <w:r w:rsidRPr="00B363AA">
              <w:rPr>
                <w:webHidden/>
              </w:rPr>
            </w:r>
            <w:r w:rsidRPr="00B363AA">
              <w:rPr>
                <w:webHidden/>
              </w:rPr>
              <w:fldChar w:fldCharType="separate"/>
            </w:r>
            <w:r w:rsidRPr="00B363AA">
              <w:rPr>
                <w:webHidden/>
              </w:rPr>
              <w:t>9</w:t>
            </w:r>
            <w:r w:rsidRPr="00B363AA">
              <w:rPr>
                <w:webHidden/>
              </w:rPr>
              <w:fldChar w:fldCharType="end"/>
            </w:r>
          </w:hyperlink>
        </w:p>
        <w:p w14:paraId="26F0769C" w14:textId="0C925661"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34" w:history="1">
            <w:r w:rsidRPr="00B363AA">
              <w:rPr>
                <w:rStyle w:val="Lienhypertexte"/>
                <w:rFonts w:cs="Calibri"/>
              </w:rPr>
              <w:t>2.3.</w:t>
            </w:r>
            <w:r w:rsidRPr="00B363AA">
              <w:rPr>
                <w:rFonts w:asciiTheme="minorHAnsi" w:eastAsiaTheme="minorEastAsia" w:hAnsiTheme="minorHAnsi"/>
                <w:sz w:val="24"/>
                <w:lang w:eastAsia="fr-BE"/>
              </w:rPr>
              <w:tab/>
            </w:r>
            <w:r w:rsidRPr="00B363AA">
              <w:rPr>
                <w:rStyle w:val="Lienhypertexte"/>
              </w:rPr>
              <w:t>L’IQSW-pro pour orienter l’usage du sol</w:t>
            </w:r>
            <w:r w:rsidRPr="00B363AA">
              <w:rPr>
                <w:webHidden/>
              </w:rPr>
              <w:tab/>
            </w:r>
            <w:r w:rsidRPr="00B363AA">
              <w:rPr>
                <w:webHidden/>
              </w:rPr>
              <w:fldChar w:fldCharType="begin"/>
            </w:r>
            <w:r w:rsidRPr="00B363AA">
              <w:rPr>
                <w:webHidden/>
              </w:rPr>
              <w:instrText xml:space="preserve"> PAGEREF _Toc241242934 \h </w:instrText>
            </w:r>
            <w:r w:rsidRPr="00B363AA">
              <w:rPr>
                <w:webHidden/>
              </w:rPr>
            </w:r>
            <w:r w:rsidRPr="00B363AA">
              <w:rPr>
                <w:webHidden/>
              </w:rPr>
              <w:fldChar w:fldCharType="separate"/>
            </w:r>
            <w:r w:rsidRPr="00B363AA">
              <w:rPr>
                <w:webHidden/>
              </w:rPr>
              <w:t>10</w:t>
            </w:r>
            <w:r w:rsidRPr="00B363AA">
              <w:rPr>
                <w:webHidden/>
              </w:rPr>
              <w:fldChar w:fldCharType="end"/>
            </w:r>
          </w:hyperlink>
        </w:p>
        <w:p w14:paraId="7202FEA8" w14:textId="0FD7617C"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35" w:history="1">
            <w:r w:rsidRPr="00B363AA">
              <w:rPr>
                <w:rStyle w:val="Lienhypertexte"/>
                <w:rFonts w:cs="Calibri"/>
              </w:rPr>
              <w:t>2.4.</w:t>
            </w:r>
            <w:r w:rsidRPr="00B363AA">
              <w:rPr>
                <w:rFonts w:asciiTheme="minorHAnsi" w:eastAsiaTheme="minorEastAsia" w:hAnsiTheme="minorHAnsi"/>
                <w:sz w:val="24"/>
                <w:lang w:eastAsia="fr-BE"/>
              </w:rPr>
              <w:tab/>
            </w:r>
            <w:r w:rsidRPr="00B363AA">
              <w:rPr>
                <w:rStyle w:val="Lienhypertexte"/>
              </w:rPr>
              <w:t>L’IQSW-pro pour améliorer la qualité des sols</w:t>
            </w:r>
            <w:r w:rsidRPr="00B363AA">
              <w:rPr>
                <w:webHidden/>
              </w:rPr>
              <w:tab/>
            </w:r>
            <w:r w:rsidRPr="00B363AA">
              <w:rPr>
                <w:webHidden/>
              </w:rPr>
              <w:fldChar w:fldCharType="begin"/>
            </w:r>
            <w:r w:rsidRPr="00B363AA">
              <w:rPr>
                <w:webHidden/>
              </w:rPr>
              <w:instrText xml:space="preserve"> PAGEREF _Toc241242935 \h </w:instrText>
            </w:r>
            <w:r w:rsidRPr="00B363AA">
              <w:rPr>
                <w:webHidden/>
              </w:rPr>
            </w:r>
            <w:r w:rsidRPr="00B363AA">
              <w:rPr>
                <w:webHidden/>
              </w:rPr>
              <w:fldChar w:fldCharType="separate"/>
            </w:r>
            <w:r w:rsidRPr="00B363AA">
              <w:rPr>
                <w:webHidden/>
              </w:rPr>
              <w:t>10</w:t>
            </w:r>
            <w:r w:rsidRPr="00B363AA">
              <w:rPr>
                <w:webHidden/>
              </w:rPr>
              <w:fldChar w:fldCharType="end"/>
            </w:r>
          </w:hyperlink>
        </w:p>
        <w:p w14:paraId="77F077E0" w14:textId="6E199E00"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36" w:history="1">
            <w:r w:rsidRPr="00B363AA">
              <w:rPr>
                <w:rStyle w:val="Lienhypertexte"/>
                <w:rFonts w:cs="Calibri"/>
              </w:rPr>
              <w:t>2.5.</w:t>
            </w:r>
            <w:r w:rsidRPr="00B363AA">
              <w:rPr>
                <w:rFonts w:asciiTheme="minorHAnsi" w:eastAsiaTheme="minorEastAsia" w:hAnsiTheme="minorHAnsi"/>
                <w:sz w:val="24"/>
                <w:lang w:eastAsia="fr-BE"/>
              </w:rPr>
              <w:tab/>
            </w:r>
            <w:r w:rsidRPr="00B363AA">
              <w:rPr>
                <w:rStyle w:val="Lienhypertexte"/>
              </w:rPr>
              <w:t>L’IQSW-pro pour estimer le potentiel des terres excavées et des sols remaniés</w:t>
            </w:r>
            <w:r w:rsidRPr="00B363AA">
              <w:rPr>
                <w:webHidden/>
              </w:rPr>
              <w:tab/>
            </w:r>
            <w:r w:rsidRPr="00B363AA">
              <w:rPr>
                <w:webHidden/>
              </w:rPr>
              <w:fldChar w:fldCharType="begin"/>
            </w:r>
            <w:r w:rsidRPr="00B363AA">
              <w:rPr>
                <w:webHidden/>
              </w:rPr>
              <w:instrText xml:space="preserve"> PAGEREF _Toc241242936 \h </w:instrText>
            </w:r>
            <w:r w:rsidRPr="00B363AA">
              <w:rPr>
                <w:webHidden/>
              </w:rPr>
            </w:r>
            <w:r w:rsidRPr="00B363AA">
              <w:rPr>
                <w:webHidden/>
              </w:rPr>
              <w:fldChar w:fldCharType="separate"/>
            </w:r>
            <w:r w:rsidRPr="00B363AA">
              <w:rPr>
                <w:webHidden/>
              </w:rPr>
              <w:t>11</w:t>
            </w:r>
            <w:r w:rsidRPr="00B363AA">
              <w:rPr>
                <w:webHidden/>
              </w:rPr>
              <w:fldChar w:fldCharType="end"/>
            </w:r>
          </w:hyperlink>
        </w:p>
        <w:p w14:paraId="5F33CE86" w14:textId="1A2EEF09" w:rsidR="0051081A" w:rsidRPr="00B363AA" w:rsidRDefault="0051081A">
          <w:pPr>
            <w:pStyle w:val="TM1"/>
            <w:tabs>
              <w:tab w:val="left" w:pos="480"/>
              <w:tab w:val="right" w:leader="dot" w:pos="9060"/>
            </w:tabs>
            <w:rPr>
              <w:rFonts w:asciiTheme="minorHAnsi" w:eastAsiaTheme="minorEastAsia" w:hAnsiTheme="minorHAnsi"/>
              <w:sz w:val="24"/>
              <w:lang w:eastAsia="fr-BE"/>
            </w:rPr>
          </w:pPr>
          <w:hyperlink w:anchor="_Toc241242937" w:history="1">
            <w:r w:rsidRPr="00B363AA">
              <w:rPr>
                <w:rStyle w:val="Lienhypertexte"/>
              </w:rPr>
              <w:t>3.</w:t>
            </w:r>
            <w:r w:rsidRPr="00B363AA">
              <w:rPr>
                <w:rFonts w:asciiTheme="minorHAnsi" w:eastAsiaTheme="minorEastAsia" w:hAnsiTheme="minorHAnsi"/>
                <w:sz w:val="24"/>
                <w:lang w:eastAsia="fr-BE"/>
              </w:rPr>
              <w:tab/>
            </w:r>
            <w:r w:rsidRPr="00B363AA">
              <w:rPr>
                <w:rStyle w:val="Lienhypertexte"/>
              </w:rPr>
              <w:t>Approche conceptuelle</w:t>
            </w:r>
            <w:r w:rsidRPr="00B363AA">
              <w:rPr>
                <w:webHidden/>
              </w:rPr>
              <w:tab/>
            </w:r>
            <w:r w:rsidRPr="00B363AA">
              <w:rPr>
                <w:webHidden/>
              </w:rPr>
              <w:fldChar w:fldCharType="begin"/>
            </w:r>
            <w:r w:rsidRPr="00B363AA">
              <w:rPr>
                <w:webHidden/>
              </w:rPr>
              <w:instrText xml:space="preserve"> PAGEREF _Toc241242937 \h </w:instrText>
            </w:r>
            <w:r w:rsidRPr="00B363AA">
              <w:rPr>
                <w:webHidden/>
              </w:rPr>
            </w:r>
            <w:r w:rsidRPr="00B363AA">
              <w:rPr>
                <w:webHidden/>
              </w:rPr>
              <w:fldChar w:fldCharType="separate"/>
            </w:r>
            <w:r w:rsidRPr="00B363AA">
              <w:rPr>
                <w:webHidden/>
              </w:rPr>
              <w:t>12</w:t>
            </w:r>
            <w:r w:rsidRPr="00B363AA">
              <w:rPr>
                <w:webHidden/>
              </w:rPr>
              <w:fldChar w:fldCharType="end"/>
            </w:r>
          </w:hyperlink>
        </w:p>
        <w:p w14:paraId="6186D826" w14:textId="10129D9E"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38" w:history="1">
            <w:r w:rsidRPr="00B363AA">
              <w:rPr>
                <w:rStyle w:val="Lienhypertexte"/>
                <w:rFonts w:cs="Calibri"/>
              </w:rPr>
              <w:t>3.1.</w:t>
            </w:r>
            <w:r w:rsidRPr="00B363AA">
              <w:rPr>
                <w:rFonts w:asciiTheme="minorHAnsi" w:eastAsiaTheme="minorEastAsia" w:hAnsiTheme="minorHAnsi"/>
                <w:sz w:val="24"/>
                <w:lang w:eastAsia="fr-BE"/>
              </w:rPr>
              <w:tab/>
            </w:r>
            <w:r w:rsidRPr="00B363AA">
              <w:rPr>
                <w:rStyle w:val="Lienhypertexte"/>
              </w:rPr>
              <w:t>Consultation des secteurs</w:t>
            </w:r>
            <w:r w:rsidRPr="00B363AA">
              <w:rPr>
                <w:webHidden/>
              </w:rPr>
              <w:tab/>
            </w:r>
            <w:r w:rsidRPr="00B363AA">
              <w:rPr>
                <w:webHidden/>
              </w:rPr>
              <w:fldChar w:fldCharType="begin"/>
            </w:r>
            <w:r w:rsidRPr="00B363AA">
              <w:rPr>
                <w:webHidden/>
              </w:rPr>
              <w:instrText xml:space="preserve"> PAGEREF _Toc241242938 \h </w:instrText>
            </w:r>
            <w:r w:rsidRPr="00B363AA">
              <w:rPr>
                <w:webHidden/>
              </w:rPr>
            </w:r>
            <w:r w:rsidRPr="00B363AA">
              <w:rPr>
                <w:webHidden/>
              </w:rPr>
              <w:fldChar w:fldCharType="separate"/>
            </w:r>
            <w:r w:rsidRPr="00B363AA">
              <w:rPr>
                <w:webHidden/>
              </w:rPr>
              <w:t>12</w:t>
            </w:r>
            <w:r w:rsidRPr="00B363AA">
              <w:rPr>
                <w:webHidden/>
              </w:rPr>
              <w:fldChar w:fldCharType="end"/>
            </w:r>
          </w:hyperlink>
        </w:p>
        <w:p w14:paraId="0D1F121C" w14:textId="5BCFB7B2"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39" w:history="1">
            <w:r w:rsidRPr="00B363AA">
              <w:rPr>
                <w:rStyle w:val="Lienhypertexte"/>
                <w:rFonts w:cs="Calibri"/>
              </w:rPr>
              <w:t>3.2.</w:t>
            </w:r>
            <w:r w:rsidRPr="00B363AA">
              <w:rPr>
                <w:rFonts w:asciiTheme="minorHAnsi" w:eastAsiaTheme="minorEastAsia" w:hAnsiTheme="minorHAnsi"/>
                <w:sz w:val="24"/>
                <w:lang w:eastAsia="fr-BE"/>
              </w:rPr>
              <w:tab/>
            </w:r>
            <w:r w:rsidRPr="00B363AA">
              <w:rPr>
                <w:rStyle w:val="Lienhypertexte"/>
              </w:rPr>
              <w:t>Périmètre de l’outil</w:t>
            </w:r>
            <w:r w:rsidRPr="00B363AA">
              <w:rPr>
                <w:webHidden/>
              </w:rPr>
              <w:tab/>
            </w:r>
            <w:r w:rsidRPr="00B363AA">
              <w:rPr>
                <w:webHidden/>
              </w:rPr>
              <w:fldChar w:fldCharType="begin"/>
            </w:r>
            <w:r w:rsidRPr="00B363AA">
              <w:rPr>
                <w:webHidden/>
              </w:rPr>
              <w:instrText xml:space="preserve"> PAGEREF _Toc241242939 \h </w:instrText>
            </w:r>
            <w:r w:rsidRPr="00B363AA">
              <w:rPr>
                <w:webHidden/>
              </w:rPr>
            </w:r>
            <w:r w:rsidRPr="00B363AA">
              <w:rPr>
                <w:webHidden/>
              </w:rPr>
              <w:fldChar w:fldCharType="separate"/>
            </w:r>
            <w:r w:rsidRPr="00B363AA">
              <w:rPr>
                <w:webHidden/>
              </w:rPr>
              <w:t>12</w:t>
            </w:r>
            <w:r w:rsidRPr="00B363AA">
              <w:rPr>
                <w:webHidden/>
              </w:rPr>
              <w:fldChar w:fldCharType="end"/>
            </w:r>
          </w:hyperlink>
        </w:p>
        <w:p w14:paraId="7C0669A6" w14:textId="4F7D6471"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40" w:history="1">
            <w:r w:rsidRPr="00B363AA">
              <w:rPr>
                <w:rStyle w:val="Lienhypertexte"/>
              </w:rPr>
              <w:t>3.2.1.</w:t>
            </w:r>
            <w:r w:rsidRPr="00B363AA">
              <w:rPr>
                <w:rFonts w:asciiTheme="minorHAnsi" w:eastAsiaTheme="minorEastAsia" w:hAnsiTheme="minorHAnsi"/>
                <w:sz w:val="24"/>
                <w:lang w:eastAsia="fr-BE"/>
              </w:rPr>
              <w:tab/>
            </w:r>
            <w:r w:rsidRPr="00B363AA">
              <w:rPr>
                <w:rStyle w:val="Lienhypertexte"/>
              </w:rPr>
              <w:t>Définition du sol et profondeur de diagnostic</w:t>
            </w:r>
            <w:r w:rsidRPr="00B363AA">
              <w:rPr>
                <w:webHidden/>
              </w:rPr>
              <w:tab/>
            </w:r>
            <w:r w:rsidRPr="00B363AA">
              <w:rPr>
                <w:webHidden/>
              </w:rPr>
              <w:fldChar w:fldCharType="begin"/>
            </w:r>
            <w:r w:rsidRPr="00B363AA">
              <w:rPr>
                <w:webHidden/>
              </w:rPr>
              <w:instrText xml:space="preserve"> PAGEREF _Toc241242940 \h </w:instrText>
            </w:r>
            <w:r w:rsidRPr="00B363AA">
              <w:rPr>
                <w:webHidden/>
              </w:rPr>
            </w:r>
            <w:r w:rsidRPr="00B363AA">
              <w:rPr>
                <w:webHidden/>
              </w:rPr>
              <w:fldChar w:fldCharType="separate"/>
            </w:r>
            <w:r w:rsidRPr="00B363AA">
              <w:rPr>
                <w:webHidden/>
              </w:rPr>
              <w:t>12</w:t>
            </w:r>
            <w:r w:rsidRPr="00B363AA">
              <w:rPr>
                <w:webHidden/>
              </w:rPr>
              <w:fldChar w:fldCharType="end"/>
            </w:r>
          </w:hyperlink>
        </w:p>
        <w:p w14:paraId="1D100F53" w14:textId="7779D9B2"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41" w:history="1">
            <w:r w:rsidRPr="00B363AA">
              <w:rPr>
                <w:rStyle w:val="Lienhypertexte"/>
              </w:rPr>
              <w:t>3.2.2.</w:t>
            </w:r>
            <w:r w:rsidRPr="00B363AA">
              <w:rPr>
                <w:rFonts w:asciiTheme="minorHAnsi" w:eastAsiaTheme="minorEastAsia" w:hAnsiTheme="minorHAnsi"/>
                <w:sz w:val="24"/>
                <w:lang w:eastAsia="fr-BE"/>
              </w:rPr>
              <w:tab/>
            </w:r>
            <w:r w:rsidRPr="00B363AA">
              <w:rPr>
                <w:rStyle w:val="Lienhypertexte"/>
              </w:rPr>
              <w:t>Complémentarité et cohérence avec les outils existants</w:t>
            </w:r>
            <w:r w:rsidRPr="00B363AA">
              <w:rPr>
                <w:webHidden/>
              </w:rPr>
              <w:tab/>
            </w:r>
            <w:r w:rsidRPr="00B363AA">
              <w:rPr>
                <w:webHidden/>
              </w:rPr>
              <w:fldChar w:fldCharType="begin"/>
            </w:r>
            <w:r w:rsidRPr="00B363AA">
              <w:rPr>
                <w:webHidden/>
              </w:rPr>
              <w:instrText xml:space="preserve"> PAGEREF _Toc241242941 \h </w:instrText>
            </w:r>
            <w:r w:rsidRPr="00B363AA">
              <w:rPr>
                <w:webHidden/>
              </w:rPr>
            </w:r>
            <w:r w:rsidRPr="00B363AA">
              <w:rPr>
                <w:webHidden/>
              </w:rPr>
              <w:fldChar w:fldCharType="separate"/>
            </w:r>
            <w:r w:rsidRPr="00B363AA">
              <w:rPr>
                <w:webHidden/>
              </w:rPr>
              <w:t>13</w:t>
            </w:r>
            <w:r w:rsidRPr="00B363AA">
              <w:rPr>
                <w:webHidden/>
              </w:rPr>
              <w:fldChar w:fldCharType="end"/>
            </w:r>
          </w:hyperlink>
        </w:p>
        <w:p w14:paraId="0C28AD1C" w14:textId="08954117"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42" w:history="1">
            <w:r w:rsidRPr="00B363AA">
              <w:rPr>
                <w:rStyle w:val="Lienhypertexte"/>
                <w:rFonts w:cs="Calibri"/>
              </w:rPr>
              <w:t>3.3.</w:t>
            </w:r>
            <w:r w:rsidRPr="00B363AA">
              <w:rPr>
                <w:rFonts w:asciiTheme="minorHAnsi" w:eastAsiaTheme="minorEastAsia" w:hAnsiTheme="minorHAnsi"/>
                <w:sz w:val="24"/>
                <w:lang w:eastAsia="fr-BE"/>
              </w:rPr>
              <w:tab/>
            </w:r>
            <w:r w:rsidRPr="00B363AA">
              <w:rPr>
                <w:rStyle w:val="Lienhypertexte"/>
              </w:rPr>
              <w:t>Sélection des paramètres du pack IQSW-pro</w:t>
            </w:r>
            <w:r w:rsidRPr="00B363AA">
              <w:rPr>
                <w:webHidden/>
              </w:rPr>
              <w:tab/>
            </w:r>
            <w:r w:rsidRPr="00B363AA">
              <w:rPr>
                <w:webHidden/>
              </w:rPr>
              <w:fldChar w:fldCharType="begin"/>
            </w:r>
            <w:r w:rsidRPr="00B363AA">
              <w:rPr>
                <w:webHidden/>
              </w:rPr>
              <w:instrText xml:space="preserve"> PAGEREF _Toc241242942 \h </w:instrText>
            </w:r>
            <w:r w:rsidRPr="00B363AA">
              <w:rPr>
                <w:webHidden/>
              </w:rPr>
            </w:r>
            <w:r w:rsidRPr="00B363AA">
              <w:rPr>
                <w:webHidden/>
              </w:rPr>
              <w:fldChar w:fldCharType="separate"/>
            </w:r>
            <w:r w:rsidRPr="00B363AA">
              <w:rPr>
                <w:webHidden/>
              </w:rPr>
              <w:t>13</w:t>
            </w:r>
            <w:r w:rsidRPr="00B363AA">
              <w:rPr>
                <w:webHidden/>
              </w:rPr>
              <w:fldChar w:fldCharType="end"/>
            </w:r>
          </w:hyperlink>
        </w:p>
        <w:p w14:paraId="0F85C95E" w14:textId="41CC6187"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43" w:history="1">
            <w:r w:rsidRPr="00B363AA">
              <w:rPr>
                <w:rStyle w:val="Lienhypertexte"/>
              </w:rPr>
              <w:t>3.3.1.</w:t>
            </w:r>
            <w:r w:rsidRPr="00B363AA">
              <w:rPr>
                <w:rFonts w:asciiTheme="minorHAnsi" w:eastAsiaTheme="minorEastAsia" w:hAnsiTheme="minorHAnsi"/>
                <w:sz w:val="24"/>
                <w:lang w:eastAsia="fr-BE"/>
              </w:rPr>
              <w:tab/>
            </w:r>
            <w:r w:rsidRPr="00B363AA">
              <w:rPr>
                <w:rStyle w:val="Lienhypertexte"/>
              </w:rPr>
              <w:t>Paramètres de base</w:t>
            </w:r>
            <w:r w:rsidRPr="00B363AA">
              <w:rPr>
                <w:webHidden/>
              </w:rPr>
              <w:tab/>
            </w:r>
            <w:r w:rsidRPr="00B363AA">
              <w:rPr>
                <w:webHidden/>
              </w:rPr>
              <w:fldChar w:fldCharType="begin"/>
            </w:r>
            <w:r w:rsidRPr="00B363AA">
              <w:rPr>
                <w:webHidden/>
              </w:rPr>
              <w:instrText xml:space="preserve"> PAGEREF _Toc241242943 \h </w:instrText>
            </w:r>
            <w:r w:rsidRPr="00B363AA">
              <w:rPr>
                <w:webHidden/>
              </w:rPr>
            </w:r>
            <w:r w:rsidRPr="00B363AA">
              <w:rPr>
                <w:webHidden/>
              </w:rPr>
              <w:fldChar w:fldCharType="separate"/>
            </w:r>
            <w:r w:rsidRPr="00B363AA">
              <w:rPr>
                <w:webHidden/>
              </w:rPr>
              <w:t>13</w:t>
            </w:r>
            <w:r w:rsidRPr="00B363AA">
              <w:rPr>
                <w:webHidden/>
              </w:rPr>
              <w:fldChar w:fldCharType="end"/>
            </w:r>
          </w:hyperlink>
        </w:p>
        <w:p w14:paraId="1A8AC57C" w14:textId="49771156"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44" w:history="1">
            <w:r w:rsidRPr="00B363AA">
              <w:rPr>
                <w:rStyle w:val="Lienhypertexte"/>
              </w:rPr>
              <w:t>3.3.2.</w:t>
            </w:r>
            <w:r w:rsidRPr="00B363AA">
              <w:rPr>
                <w:rFonts w:asciiTheme="minorHAnsi" w:eastAsiaTheme="minorEastAsia" w:hAnsiTheme="minorHAnsi"/>
                <w:sz w:val="24"/>
                <w:lang w:eastAsia="fr-BE"/>
              </w:rPr>
              <w:tab/>
            </w:r>
            <w:r w:rsidRPr="00B363AA">
              <w:rPr>
                <w:rStyle w:val="Lienhypertexte"/>
              </w:rPr>
              <w:t>« Pour aller plus loin »</w:t>
            </w:r>
            <w:r w:rsidRPr="00B363AA">
              <w:rPr>
                <w:webHidden/>
              </w:rPr>
              <w:tab/>
            </w:r>
            <w:r w:rsidRPr="00B363AA">
              <w:rPr>
                <w:webHidden/>
              </w:rPr>
              <w:fldChar w:fldCharType="begin"/>
            </w:r>
            <w:r w:rsidRPr="00B363AA">
              <w:rPr>
                <w:webHidden/>
              </w:rPr>
              <w:instrText xml:space="preserve"> PAGEREF _Toc241242944 \h </w:instrText>
            </w:r>
            <w:r w:rsidRPr="00B363AA">
              <w:rPr>
                <w:webHidden/>
              </w:rPr>
            </w:r>
            <w:r w:rsidRPr="00B363AA">
              <w:rPr>
                <w:webHidden/>
              </w:rPr>
              <w:fldChar w:fldCharType="separate"/>
            </w:r>
            <w:r w:rsidRPr="00B363AA">
              <w:rPr>
                <w:webHidden/>
              </w:rPr>
              <w:t>14</w:t>
            </w:r>
            <w:r w:rsidRPr="00B363AA">
              <w:rPr>
                <w:webHidden/>
              </w:rPr>
              <w:fldChar w:fldCharType="end"/>
            </w:r>
          </w:hyperlink>
        </w:p>
        <w:p w14:paraId="58C6F193" w14:textId="0AE594C7"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45" w:history="1">
            <w:r w:rsidRPr="00B363AA">
              <w:rPr>
                <w:rStyle w:val="Lienhypertexte"/>
              </w:rPr>
              <w:t>3.3.3.</w:t>
            </w:r>
            <w:r w:rsidRPr="00B363AA">
              <w:rPr>
                <w:rFonts w:asciiTheme="minorHAnsi" w:eastAsiaTheme="minorEastAsia" w:hAnsiTheme="minorHAnsi"/>
                <w:sz w:val="24"/>
                <w:lang w:eastAsia="fr-BE"/>
              </w:rPr>
              <w:tab/>
            </w:r>
            <w:r w:rsidRPr="00B363AA">
              <w:rPr>
                <w:rStyle w:val="Lienhypertexte"/>
              </w:rPr>
              <w:t>Synthèse des indicateurs mesurés ou calculés</w:t>
            </w:r>
            <w:r w:rsidRPr="00B363AA">
              <w:rPr>
                <w:webHidden/>
              </w:rPr>
              <w:tab/>
            </w:r>
            <w:r w:rsidRPr="00B363AA">
              <w:rPr>
                <w:webHidden/>
              </w:rPr>
              <w:fldChar w:fldCharType="begin"/>
            </w:r>
            <w:r w:rsidRPr="00B363AA">
              <w:rPr>
                <w:webHidden/>
              </w:rPr>
              <w:instrText xml:space="preserve"> PAGEREF _Toc241242945 \h </w:instrText>
            </w:r>
            <w:r w:rsidRPr="00B363AA">
              <w:rPr>
                <w:webHidden/>
              </w:rPr>
            </w:r>
            <w:r w:rsidRPr="00B363AA">
              <w:rPr>
                <w:webHidden/>
              </w:rPr>
              <w:fldChar w:fldCharType="separate"/>
            </w:r>
            <w:r w:rsidRPr="00B363AA">
              <w:rPr>
                <w:webHidden/>
              </w:rPr>
              <w:t>15</w:t>
            </w:r>
            <w:r w:rsidRPr="00B363AA">
              <w:rPr>
                <w:webHidden/>
              </w:rPr>
              <w:fldChar w:fldCharType="end"/>
            </w:r>
          </w:hyperlink>
        </w:p>
        <w:p w14:paraId="632E71D6" w14:textId="43330CFA"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46" w:history="1">
            <w:r w:rsidRPr="00B363AA">
              <w:rPr>
                <w:rStyle w:val="Lienhypertexte"/>
                <w:rFonts w:cs="Calibri"/>
              </w:rPr>
              <w:t>3.4.</w:t>
            </w:r>
            <w:r w:rsidRPr="00B363AA">
              <w:rPr>
                <w:rFonts w:asciiTheme="minorHAnsi" w:eastAsiaTheme="minorEastAsia" w:hAnsiTheme="minorHAnsi"/>
                <w:sz w:val="24"/>
                <w:lang w:eastAsia="fr-BE"/>
              </w:rPr>
              <w:tab/>
            </w:r>
            <w:r w:rsidRPr="00B363AA">
              <w:rPr>
                <w:rStyle w:val="Lienhypertexte"/>
              </w:rPr>
              <w:t>Étapes de calcul des indices</w:t>
            </w:r>
            <w:r w:rsidRPr="00B363AA">
              <w:rPr>
                <w:webHidden/>
              </w:rPr>
              <w:tab/>
            </w:r>
            <w:r w:rsidRPr="00B363AA">
              <w:rPr>
                <w:webHidden/>
              </w:rPr>
              <w:fldChar w:fldCharType="begin"/>
            </w:r>
            <w:r w:rsidRPr="00B363AA">
              <w:rPr>
                <w:webHidden/>
              </w:rPr>
              <w:instrText xml:space="preserve"> PAGEREF _Toc241242946 \h </w:instrText>
            </w:r>
            <w:r w:rsidRPr="00B363AA">
              <w:rPr>
                <w:webHidden/>
              </w:rPr>
            </w:r>
            <w:r w:rsidRPr="00B363AA">
              <w:rPr>
                <w:webHidden/>
              </w:rPr>
              <w:fldChar w:fldCharType="separate"/>
            </w:r>
            <w:r w:rsidRPr="00B363AA">
              <w:rPr>
                <w:webHidden/>
              </w:rPr>
              <w:t>16</w:t>
            </w:r>
            <w:r w:rsidRPr="00B363AA">
              <w:rPr>
                <w:webHidden/>
              </w:rPr>
              <w:fldChar w:fldCharType="end"/>
            </w:r>
          </w:hyperlink>
        </w:p>
        <w:p w14:paraId="07D20BFE" w14:textId="5D098C5F"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47" w:history="1">
            <w:r w:rsidRPr="00B363AA">
              <w:rPr>
                <w:rStyle w:val="Lienhypertexte"/>
                <w:rFonts w:cs="Calibri"/>
              </w:rPr>
              <w:t>3.5.</w:t>
            </w:r>
            <w:r w:rsidRPr="00B363AA">
              <w:rPr>
                <w:rFonts w:asciiTheme="minorHAnsi" w:eastAsiaTheme="minorEastAsia" w:hAnsiTheme="minorHAnsi"/>
                <w:sz w:val="24"/>
                <w:lang w:eastAsia="fr-BE"/>
              </w:rPr>
              <w:tab/>
            </w:r>
            <w:r w:rsidRPr="00B363AA">
              <w:rPr>
                <w:rStyle w:val="Lienhypertexte"/>
              </w:rPr>
              <w:t>Qualité et santé du sol, deux notions complémentaires</w:t>
            </w:r>
            <w:r w:rsidRPr="00B363AA">
              <w:rPr>
                <w:webHidden/>
              </w:rPr>
              <w:tab/>
            </w:r>
            <w:r w:rsidRPr="00B363AA">
              <w:rPr>
                <w:webHidden/>
              </w:rPr>
              <w:fldChar w:fldCharType="begin"/>
            </w:r>
            <w:r w:rsidRPr="00B363AA">
              <w:rPr>
                <w:webHidden/>
              </w:rPr>
              <w:instrText xml:space="preserve"> PAGEREF _Toc241242947 \h </w:instrText>
            </w:r>
            <w:r w:rsidRPr="00B363AA">
              <w:rPr>
                <w:webHidden/>
              </w:rPr>
            </w:r>
            <w:r w:rsidRPr="00B363AA">
              <w:rPr>
                <w:webHidden/>
              </w:rPr>
              <w:fldChar w:fldCharType="separate"/>
            </w:r>
            <w:r w:rsidRPr="00B363AA">
              <w:rPr>
                <w:webHidden/>
              </w:rPr>
              <w:t>16</w:t>
            </w:r>
            <w:r w:rsidRPr="00B363AA">
              <w:rPr>
                <w:webHidden/>
              </w:rPr>
              <w:fldChar w:fldCharType="end"/>
            </w:r>
          </w:hyperlink>
        </w:p>
        <w:p w14:paraId="2022BC4F" w14:textId="0AAAC359"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48" w:history="1">
            <w:r w:rsidRPr="00B363AA">
              <w:rPr>
                <w:rStyle w:val="Lienhypertexte"/>
              </w:rPr>
              <w:t>3.5.1.</w:t>
            </w:r>
            <w:r w:rsidRPr="00B363AA">
              <w:rPr>
                <w:rFonts w:asciiTheme="minorHAnsi" w:eastAsiaTheme="minorEastAsia" w:hAnsiTheme="minorHAnsi"/>
                <w:sz w:val="24"/>
                <w:lang w:eastAsia="fr-BE"/>
              </w:rPr>
              <w:tab/>
            </w:r>
            <w:r w:rsidRPr="00B363AA">
              <w:rPr>
                <w:rStyle w:val="Lienhypertexte"/>
              </w:rPr>
              <w:t>Historique</w:t>
            </w:r>
            <w:r w:rsidRPr="00B363AA">
              <w:rPr>
                <w:webHidden/>
              </w:rPr>
              <w:tab/>
            </w:r>
            <w:r w:rsidRPr="00B363AA">
              <w:rPr>
                <w:webHidden/>
              </w:rPr>
              <w:fldChar w:fldCharType="begin"/>
            </w:r>
            <w:r w:rsidRPr="00B363AA">
              <w:rPr>
                <w:webHidden/>
              </w:rPr>
              <w:instrText xml:space="preserve"> PAGEREF _Toc241242948 \h </w:instrText>
            </w:r>
            <w:r w:rsidRPr="00B363AA">
              <w:rPr>
                <w:webHidden/>
              </w:rPr>
            </w:r>
            <w:r w:rsidRPr="00B363AA">
              <w:rPr>
                <w:webHidden/>
              </w:rPr>
              <w:fldChar w:fldCharType="separate"/>
            </w:r>
            <w:r w:rsidRPr="00B363AA">
              <w:rPr>
                <w:webHidden/>
              </w:rPr>
              <w:t>16</w:t>
            </w:r>
            <w:r w:rsidRPr="00B363AA">
              <w:rPr>
                <w:webHidden/>
              </w:rPr>
              <w:fldChar w:fldCharType="end"/>
            </w:r>
          </w:hyperlink>
        </w:p>
        <w:p w14:paraId="6F9EDC8B" w14:textId="3FB0BA7E"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49" w:history="1">
            <w:r w:rsidRPr="00B363AA">
              <w:rPr>
                <w:rStyle w:val="Lienhypertexte"/>
              </w:rPr>
              <w:t>3.5.2.</w:t>
            </w:r>
            <w:r w:rsidRPr="00B363AA">
              <w:rPr>
                <w:rFonts w:asciiTheme="minorHAnsi" w:eastAsiaTheme="minorEastAsia" w:hAnsiTheme="minorHAnsi"/>
                <w:sz w:val="24"/>
                <w:lang w:eastAsia="fr-BE"/>
              </w:rPr>
              <w:tab/>
            </w:r>
            <w:r w:rsidRPr="00B363AA">
              <w:rPr>
                <w:rStyle w:val="Lienhypertexte"/>
              </w:rPr>
              <w:t>Définitions opérationnelles</w:t>
            </w:r>
            <w:r w:rsidRPr="00B363AA">
              <w:rPr>
                <w:webHidden/>
              </w:rPr>
              <w:tab/>
            </w:r>
            <w:r w:rsidRPr="00B363AA">
              <w:rPr>
                <w:webHidden/>
              </w:rPr>
              <w:fldChar w:fldCharType="begin"/>
            </w:r>
            <w:r w:rsidRPr="00B363AA">
              <w:rPr>
                <w:webHidden/>
              </w:rPr>
              <w:instrText xml:space="preserve"> PAGEREF _Toc241242949 \h </w:instrText>
            </w:r>
            <w:r w:rsidRPr="00B363AA">
              <w:rPr>
                <w:webHidden/>
              </w:rPr>
            </w:r>
            <w:r w:rsidRPr="00B363AA">
              <w:rPr>
                <w:webHidden/>
              </w:rPr>
              <w:fldChar w:fldCharType="separate"/>
            </w:r>
            <w:r w:rsidRPr="00B363AA">
              <w:rPr>
                <w:webHidden/>
              </w:rPr>
              <w:t>17</w:t>
            </w:r>
            <w:r w:rsidRPr="00B363AA">
              <w:rPr>
                <w:webHidden/>
              </w:rPr>
              <w:fldChar w:fldCharType="end"/>
            </w:r>
          </w:hyperlink>
        </w:p>
        <w:p w14:paraId="3C7FA307" w14:textId="6C7B91F7"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50" w:history="1">
            <w:r w:rsidRPr="00B363AA">
              <w:rPr>
                <w:rStyle w:val="Lienhypertexte"/>
                <w:rFonts w:cs="Calibri"/>
              </w:rPr>
              <w:t>3.6.</w:t>
            </w:r>
            <w:r w:rsidRPr="00B363AA">
              <w:rPr>
                <w:rFonts w:asciiTheme="minorHAnsi" w:eastAsiaTheme="minorEastAsia" w:hAnsiTheme="minorHAnsi"/>
                <w:sz w:val="24"/>
                <w:lang w:eastAsia="fr-BE"/>
              </w:rPr>
              <w:tab/>
            </w:r>
            <w:r w:rsidRPr="00B363AA">
              <w:rPr>
                <w:rStyle w:val="Lienhypertexte"/>
              </w:rPr>
              <w:t>Interprétation des indicateurs</w:t>
            </w:r>
            <w:r w:rsidRPr="00B363AA">
              <w:rPr>
                <w:webHidden/>
              </w:rPr>
              <w:tab/>
            </w:r>
            <w:r w:rsidRPr="00B363AA">
              <w:rPr>
                <w:webHidden/>
              </w:rPr>
              <w:fldChar w:fldCharType="begin"/>
            </w:r>
            <w:r w:rsidRPr="00B363AA">
              <w:rPr>
                <w:webHidden/>
              </w:rPr>
              <w:instrText xml:space="preserve"> PAGEREF _Toc241242950 \h </w:instrText>
            </w:r>
            <w:r w:rsidRPr="00B363AA">
              <w:rPr>
                <w:webHidden/>
              </w:rPr>
            </w:r>
            <w:r w:rsidRPr="00B363AA">
              <w:rPr>
                <w:webHidden/>
              </w:rPr>
              <w:fldChar w:fldCharType="separate"/>
            </w:r>
            <w:r w:rsidRPr="00B363AA">
              <w:rPr>
                <w:webHidden/>
              </w:rPr>
              <w:t>19</w:t>
            </w:r>
            <w:r w:rsidRPr="00B363AA">
              <w:rPr>
                <w:webHidden/>
              </w:rPr>
              <w:fldChar w:fldCharType="end"/>
            </w:r>
          </w:hyperlink>
        </w:p>
        <w:p w14:paraId="079E17FE" w14:textId="7A4AC755"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51" w:history="1">
            <w:r w:rsidRPr="00B363AA">
              <w:rPr>
                <w:rStyle w:val="Lienhypertexte"/>
              </w:rPr>
              <w:t>3.6.1.</w:t>
            </w:r>
            <w:r w:rsidRPr="00B363AA">
              <w:rPr>
                <w:rFonts w:asciiTheme="minorHAnsi" w:eastAsiaTheme="minorEastAsia" w:hAnsiTheme="minorHAnsi"/>
                <w:sz w:val="24"/>
                <w:lang w:eastAsia="fr-BE"/>
              </w:rPr>
              <w:tab/>
            </w:r>
            <w:r w:rsidRPr="00B363AA">
              <w:rPr>
                <w:rStyle w:val="Lienhypertexte"/>
              </w:rPr>
              <w:t>Définitions</w:t>
            </w:r>
            <w:r w:rsidRPr="00B363AA">
              <w:rPr>
                <w:webHidden/>
              </w:rPr>
              <w:tab/>
            </w:r>
            <w:r w:rsidRPr="00B363AA">
              <w:rPr>
                <w:webHidden/>
              </w:rPr>
              <w:fldChar w:fldCharType="begin"/>
            </w:r>
            <w:r w:rsidRPr="00B363AA">
              <w:rPr>
                <w:webHidden/>
              </w:rPr>
              <w:instrText xml:space="preserve"> PAGEREF _Toc241242951 \h </w:instrText>
            </w:r>
            <w:r w:rsidRPr="00B363AA">
              <w:rPr>
                <w:webHidden/>
              </w:rPr>
            </w:r>
            <w:r w:rsidRPr="00B363AA">
              <w:rPr>
                <w:webHidden/>
              </w:rPr>
              <w:fldChar w:fldCharType="separate"/>
            </w:r>
            <w:r w:rsidRPr="00B363AA">
              <w:rPr>
                <w:webHidden/>
              </w:rPr>
              <w:t>19</w:t>
            </w:r>
            <w:r w:rsidRPr="00B363AA">
              <w:rPr>
                <w:webHidden/>
              </w:rPr>
              <w:fldChar w:fldCharType="end"/>
            </w:r>
          </w:hyperlink>
        </w:p>
        <w:p w14:paraId="570B1395" w14:textId="7815FF94"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52" w:history="1">
            <w:r w:rsidRPr="00B363AA">
              <w:rPr>
                <w:rStyle w:val="Lienhypertexte"/>
              </w:rPr>
              <w:t>3.6.2.</w:t>
            </w:r>
            <w:r w:rsidRPr="00B363AA">
              <w:rPr>
                <w:rFonts w:asciiTheme="minorHAnsi" w:eastAsiaTheme="minorEastAsia" w:hAnsiTheme="minorHAnsi"/>
                <w:sz w:val="24"/>
                <w:lang w:eastAsia="fr-BE"/>
              </w:rPr>
              <w:tab/>
            </w:r>
            <w:r w:rsidRPr="00B363AA">
              <w:rPr>
                <w:rStyle w:val="Lienhypertexte"/>
              </w:rPr>
              <w:t>Méthodologie d’évaluation</w:t>
            </w:r>
            <w:r w:rsidRPr="00B363AA">
              <w:rPr>
                <w:webHidden/>
              </w:rPr>
              <w:tab/>
            </w:r>
            <w:r w:rsidRPr="00B363AA">
              <w:rPr>
                <w:webHidden/>
              </w:rPr>
              <w:fldChar w:fldCharType="begin"/>
            </w:r>
            <w:r w:rsidRPr="00B363AA">
              <w:rPr>
                <w:webHidden/>
              </w:rPr>
              <w:instrText xml:space="preserve"> PAGEREF _Toc241242952 \h </w:instrText>
            </w:r>
            <w:r w:rsidRPr="00B363AA">
              <w:rPr>
                <w:webHidden/>
              </w:rPr>
            </w:r>
            <w:r w:rsidRPr="00B363AA">
              <w:rPr>
                <w:webHidden/>
              </w:rPr>
              <w:fldChar w:fldCharType="separate"/>
            </w:r>
            <w:r w:rsidRPr="00B363AA">
              <w:rPr>
                <w:webHidden/>
              </w:rPr>
              <w:t>19</w:t>
            </w:r>
            <w:r w:rsidRPr="00B363AA">
              <w:rPr>
                <w:webHidden/>
              </w:rPr>
              <w:fldChar w:fldCharType="end"/>
            </w:r>
          </w:hyperlink>
        </w:p>
        <w:p w14:paraId="5EFB30B1" w14:textId="74134FBC"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53" w:history="1">
            <w:r w:rsidRPr="00B363AA">
              <w:rPr>
                <w:rStyle w:val="Lienhypertexte"/>
              </w:rPr>
              <w:t>3.6.3.</w:t>
            </w:r>
            <w:r w:rsidRPr="00B363AA">
              <w:rPr>
                <w:rFonts w:asciiTheme="minorHAnsi" w:eastAsiaTheme="minorEastAsia" w:hAnsiTheme="minorHAnsi"/>
                <w:sz w:val="24"/>
                <w:lang w:eastAsia="fr-BE"/>
              </w:rPr>
              <w:tab/>
            </w:r>
            <w:r w:rsidRPr="00B363AA">
              <w:rPr>
                <w:rStyle w:val="Lienhypertexte"/>
              </w:rPr>
              <w:t>Liste des indicateurs évalués</w:t>
            </w:r>
            <w:r w:rsidRPr="00B363AA">
              <w:rPr>
                <w:webHidden/>
              </w:rPr>
              <w:tab/>
            </w:r>
            <w:r w:rsidRPr="00B363AA">
              <w:rPr>
                <w:webHidden/>
              </w:rPr>
              <w:fldChar w:fldCharType="begin"/>
            </w:r>
            <w:r w:rsidRPr="00B363AA">
              <w:rPr>
                <w:webHidden/>
              </w:rPr>
              <w:instrText xml:space="preserve"> PAGEREF _Toc241242953 \h </w:instrText>
            </w:r>
            <w:r w:rsidRPr="00B363AA">
              <w:rPr>
                <w:webHidden/>
              </w:rPr>
            </w:r>
            <w:r w:rsidRPr="00B363AA">
              <w:rPr>
                <w:webHidden/>
              </w:rPr>
              <w:fldChar w:fldCharType="separate"/>
            </w:r>
            <w:r w:rsidRPr="00B363AA">
              <w:rPr>
                <w:webHidden/>
              </w:rPr>
              <w:t>22</w:t>
            </w:r>
            <w:r w:rsidRPr="00B363AA">
              <w:rPr>
                <w:webHidden/>
              </w:rPr>
              <w:fldChar w:fldCharType="end"/>
            </w:r>
          </w:hyperlink>
        </w:p>
        <w:p w14:paraId="6587CFEA" w14:textId="6BB9FC01" w:rsidR="0051081A" w:rsidRPr="00B363AA" w:rsidRDefault="0051081A">
          <w:pPr>
            <w:pStyle w:val="TM1"/>
            <w:tabs>
              <w:tab w:val="left" w:pos="480"/>
              <w:tab w:val="right" w:leader="dot" w:pos="9060"/>
            </w:tabs>
            <w:rPr>
              <w:rFonts w:asciiTheme="minorHAnsi" w:eastAsiaTheme="minorEastAsia" w:hAnsiTheme="minorHAnsi"/>
              <w:sz w:val="24"/>
              <w:lang w:eastAsia="fr-BE"/>
            </w:rPr>
          </w:pPr>
          <w:hyperlink w:anchor="_Toc241242954" w:history="1">
            <w:r w:rsidRPr="00B363AA">
              <w:rPr>
                <w:rStyle w:val="Lienhypertexte"/>
              </w:rPr>
              <w:t>4.</w:t>
            </w:r>
            <w:r w:rsidRPr="00B363AA">
              <w:rPr>
                <w:rFonts w:asciiTheme="minorHAnsi" w:eastAsiaTheme="minorEastAsia" w:hAnsiTheme="minorHAnsi"/>
                <w:sz w:val="24"/>
                <w:lang w:eastAsia="fr-BE"/>
              </w:rPr>
              <w:tab/>
            </w:r>
            <w:r w:rsidRPr="00B363AA">
              <w:rPr>
                <w:rStyle w:val="Lienhypertexte"/>
              </w:rPr>
              <w:t>Diagnostic des services écosystémiques du sol</w:t>
            </w:r>
            <w:r w:rsidRPr="00B363AA">
              <w:rPr>
                <w:webHidden/>
              </w:rPr>
              <w:tab/>
            </w:r>
            <w:r w:rsidRPr="00B363AA">
              <w:rPr>
                <w:webHidden/>
              </w:rPr>
              <w:fldChar w:fldCharType="begin"/>
            </w:r>
            <w:r w:rsidRPr="00B363AA">
              <w:rPr>
                <w:webHidden/>
              </w:rPr>
              <w:instrText xml:space="preserve"> PAGEREF _Toc241242954 \h </w:instrText>
            </w:r>
            <w:r w:rsidRPr="00B363AA">
              <w:rPr>
                <w:webHidden/>
              </w:rPr>
            </w:r>
            <w:r w:rsidRPr="00B363AA">
              <w:rPr>
                <w:webHidden/>
              </w:rPr>
              <w:fldChar w:fldCharType="separate"/>
            </w:r>
            <w:r w:rsidRPr="00B363AA">
              <w:rPr>
                <w:webHidden/>
              </w:rPr>
              <w:t>23</w:t>
            </w:r>
            <w:r w:rsidRPr="00B363AA">
              <w:rPr>
                <w:webHidden/>
              </w:rPr>
              <w:fldChar w:fldCharType="end"/>
            </w:r>
          </w:hyperlink>
        </w:p>
        <w:p w14:paraId="26402724" w14:textId="45C38E7F"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55" w:history="1">
            <w:r w:rsidRPr="00B363AA">
              <w:rPr>
                <w:rStyle w:val="Lienhypertexte"/>
                <w:rFonts w:cs="Calibri"/>
              </w:rPr>
              <w:t>4.1.</w:t>
            </w:r>
            <w:r w:rsidRPr="00B363AA">
              <w:rPr>
                <w:rFonts w:asciiTheme="minorHAnsi" w:eastAsiaTheme="minorEastAsia" w:hAnsiTheme="minorHAnsi"/>
                <w:sz w:val="24"/>
                <w:lang w:eastAsia="fr-BE"/>
              </w:rPr>
              <w:tab/>
            </w:r>
            <w:r w:rsidRPr="00B363AA">
              <w:rPr>
                <w:rStyle w:val="Lienhypertexte"/>
              </w:rPr>
              <w:t>Méthodologie générale</w:t>
            </w:r>
            <w:r w:rsidRPr="00B363AA">
              <w:rPr>
                <w:webHidden/>
              </w:rPr>
              <w:tab/>
            </w:r>
            <w:r w:rsidRPr="00B363AA">
              <w:rPr>
                <w:webHidden/>
              </w:rPr>
              <w:fldChar w:fldCharType="begin"/>
            </w:r>
            <w:r w:rsidRPr="00B363AA">
              <w:rPr>
                <w:webHidden/>
              </w:rPr>
              <w:instrText xml:space="preserve"> PAGEREF _Toc241242955 \h </w:instrText>
            </w:r>
            <w:r w:rsidRPr="00B363AA">
              <w:rPr>
                <w:webHidden/>
              </w:rPr>
            </w:r>
            <w:r w:rsidRPr="00B363AA">
              <w:rPr>
                <w:webHidden/>
              </w:rPr>
              <w:fldChar w:fldCharType="separate"/>
            </w:r>
            <w:r w:rsidRPr="00B363AA">
              <w:rPr>
                <w:webHidden/>
              </w:rPr>
              <w:t>23</w:t>
            </w:r>
            <w:r w:rsidRPr="00B363AA">
              <w:rPr>
                <w:webHidden/>
              </w:rPr>
              <w:fldChar w:fldCharType="end"/>
            </w:r>
          </w:hyperlink>
        </w:p>
        <w:p w14:paraId="062A4F79" w14:textId="48C72C6A"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56" w:history="1">
            <w:r w:rsidRPr="00B363AA">
              <w:rPr>
                <w:rStyle w:val="Lienhypertexte"/>
              </w:rPr>
              <w:t>4.1.1.</w:t>
            </w:r>
            <w:r w:rsidRPr="00B363AA">
              <w:rPr>
                <w:rFonts w:asciiTheme="minorHAnsi" w:eastAsiaTheme="minorEastAsia" w:hAnsiTheme="minorHAnsi"/>
                <w:sz w:val="24"/>
                <w:lang w:eastAsia="fr-BE"/>
              </w:rPr>
              <w:tab/>
            </w:r>
            <w:r w:rsidRPr="00B363AA">
              <w:rPr>
                <w:rStyle w:val="Lienhypertexte"/>
              </w:rPr>
              <w:t>Un diagnostic à différentes échelles : services, fonctions et indicateurs</w:t>
            </w:r>
            <w:r w:rsidRPr="00B363AA">
              <w:rPr>
                <w:webHidden/>
              </w:rPr>
              <w:tab/>
            </w:r>
            <w:r w:rsidRPr="00B363AA">
              <w:rPr>
                <w:webHidden/>
              </w:rPr>
              <w:fldChar w:fldCharType="begin"/>
            </w:r>
            <w:r w:rsidRPr="00B363AA">
              <w:rPr>
                <w:webHidden/>
              </w:rPr>
              <w:instrText xml:space="preserve"> PAGEREF _Toc241242956 \h </w:instrText>
            </w:r>
            <w:r w:rsidRPr="00B363AA">
              <w:rPr>
                <w:webHidden/>
              </w:rPr>
            </w:r>
            <w:r w:rsidRPr="00B363AA">
              <w:rPr>
                <w:webHidden/>
              </w:rPr>
              <w:fldChar w:fldCharType="separate"/>
            </w:r>
            <w:r w:rsidRPr="00B363AA">
              <w:rPr>
                <w:webHidden/>
              </w:rPr>
              <w:t>23</w:t>
            </w:r>
            <w:r w:rsidRPr="00B363AA">
              <w:rPr>
                <w:webHidden/>
              </w:rPr>
              <w:fldChar w:fldCharType="end"/>
            </w:r>
          </w:hyperlink>
        </w:p>
        <w:p w14:paraId="20377BB2" w14:textId="3EA0255D"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57" w:history="1">
            <w:r w:rsidRPr="00B363AA">
              <w:rPr>
                <w:rStyle w:val="Lienhypertexte"/>
              </w:rPr>
              <w:t>4.1.2.</w:t>
            </w:r>
            <w:r w:rsidRPr="00B363AA">
              <w:rPr>
                <w:rFonts w:asciiTheme="minorHAnsi" w:eastAsiaTheme="minorEastAsia" w:hAnsiTheme="minorHAnsi"/>
                <w:sz w:val="24"/>
                <w:lang w:eastAsia="fr-BE"/>
              </w:rPr>
              <w:tab/>
            </w:r>
            <w:r w:rsidRPr="00B363AA">
              <w:rPr>
                <w:rStyle w:val="Lienhypertexte"/>
              </w:rPr>
              <w:t>Diagnostic des fonctions</w:t>
            </w:r>
            <w:r w:rsidRPr="00B363AA">
              <w:rPr>
                <w:webHidden/>
              </w:rPr>
              <w:tab/>
            </w:r>
            <w:r w:rsidRPr="00B363AA">
              <w:rPr>
                <w:webHidden/>
              </w:rPr>
              <w:fldChar w:fldCharType="begin"/>
            </w:r>
            <w:r w:rsidRPr="00B363AA">
              <w:rPr>
                <w:webHidden/>
              </w:rPr>
              <w:instrText xml:space="preserve"> PAGEREF _Toc241242957 \h </w:instrText>
            </w:r>
            <w:r w:rsidRPr="00B363AA">
              <w:rPr>
                <w:webHidden/>
              </w:rPr>
            </w:r>
            <w:r w:rsidRPr="00B363AA">
              <w:rPr>
                <w:webHidden/>
              </w:rPr>
              <w:fldChar w:fldCharType="separate"/>
            </w:r>
            <w:r w:rsidRPr="00B363AA">
              <w:rPr>
                <w:webHidden/>
              </w:rPr>
              <w:t>24</w:t>
            </w:r>
            <w:r w:rsidRPr="00B363AA">
              <w:rPr>
                <w:webHidden/>
              </w:rPr>
              <w:fldChar w:fldCharType="end"/>
            </w:r>
          </w:hyperlink>
        </w:p>
        <w:p w14:paraId="0B9131FC" w14:textId="6EF4E71B"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58" w:history="1">
            <w:r w:rsidRPr="00B363AA">
              <w:rPr>
                <w:rStyle w:val="Lienhypertexte"/>
              </w:rPr>
              <w:t>4.1.3.</w:t>
            </w:r>
            <w:r w:rsidRPr="00B363AA">
              <w:rPr>
                <w:rFonts w:asciiTheme="minorHAnsi" w:eastAsiaTheme="minorEastAsia" w:hAnsiTheme="minorHAnsi"/>
                <w:sz w:val="24"/>
                <w:lang w:eastAsia="fr-BE"/>
              </w:rPr>
              <w:tab/>
            </w:r>
            <w:r w:rsidRPr="00B363AA">
              <w:rPr>
                <w:rStyle w:val="Lienhypertexte"/>
              </w:rPr>
              <w:t>Prise en compte de contraintes à la fourniture d’un service</w:t>
            </w:r>
            <w:r w:rsidRPr="00B363AA">
              <w:rPr>
                <w:webHidden/>
              </w:rPr>
              <w:tab/>
            </w:r>
            <w:r w:rsidRPr="00B363AA">
              <w:rPr>
                <w:webHidden/>
              </w:rPr>
              <w:fldChar w:fldCharType="begin"/>
            </w:r>
            <w:r w:rsidRPr="00B363AA">
              <w:rPr>
                <w:webHidden/>
              </w:rPr>
              <w:instrText xml:space="preserve"> PAGEREF _Toc241242958 \h </w:instrText>
            </w:r>
            <w:r w:rsidRPr="00B363AA">
              <w:rPr>
                <w:webHidden/>
              </w:rPr>
            </w:r>
            <w:r w:rsidRPr="00B363AA">
              <w:rPr>
                <w:webHidden/>
              </w:rPr>
              <w:fldChar w:fldCharType="separate"/>
            </w:r>
            <w:r w:rsidRPr="00B363AA">
              <w:rPr>
                <w:webHidden/>
              </w:rPr>
              <w:t>25</w:t>
            </w:r>
            <w:r w:rsidRPr="00B363AA">
              <w:rPr>
                <w:webHidden/>
              </w:rPr>
              <w:fldChar w:fldCharType="end"/>
            </w:r>
          </w:hyperlink>
        </w:p>
        <w:p w14:paraId="5C374D9D" w14:textId="3C42D234"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59" w:history="1">
            <w:r w:rsidRPr="00B363AA">
              <w:rPr>
                <w:rStyle w:val="Lienhypertexte"/>
              </w:rPr>
              <w:t>4.1.4.</w:t>
            </w:r>
            <w:r w:rsidRPr="00B363AA">
              <w:rPr>
                <w:rFonts w:asciiTheme="minorHAnsi" w:eastAsiaTheme="minorEastAsia" w:hAnsiTheme="minorHAnsi"/>
                <w:sz w:val="24"/>
                <w:lang w:eastAsia="fr-BE"/>
              </w:rPr>
              <w:tab/>
            </w:r>
            <w:r w:rsidRPr="00B363AA">
              <w:rPr>
                <w:rStyle w:val="Lienhypertexte"/>
              </w:rPr>
              <w:t>Compléments indicatifs</w:t>
            </w:r>
            <w:r w:rsidRPr="00B363AA">
              <w:rPr>
                <w:webHidden/>
              </w:rPr>
              <w:tab/>
            </w:r>
            <w:r w:rsidRPr="00B363AA">
              <w:rPr>
                <w:webHidden/>
              </w:rPr>
              <w:fldChar w:fldCharType="begin"/>
            </w:r>
            <w:r w:rsidRPr="00B363AA">
              <w:rPr>
                <w:webHidden/>
              </w:rPr>
              <w:instrText xml:space="preserve"> PAGEREF _Toc241242959 \h </w:instrText>
            </w:r>
            <w:r w:rsidRPr="00B363AA">
              <w:rPr>
                <w:webHidden/>
              </w:rPr>
            </w:r>
            <w:r w:rsidRPr="00B363AA">
              <w:rPr>
                <w:webHidden/>
              </w:rPr>
              <w:fldChar w:fldCharType="separate"/>
            </w:r>
            <w:r w:rsidRPr="00B363AA">
              <w:rPr>
                <w:webHidden/>
              </w:rPr>
              <w:t>25</w:t>
            </w:r>
            <w:r w:rsidRPr="00B363AA">
              <w:rPr>
                <w:webHidden/>
              </w:rPr>
              <w:fldChar w:fldCharType="end"/>
            </w:r>
          </w:hyperlink>
        </w:p>
        <w:p w14:paraId="50A95B4C" w14:textId="523153C1"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60" w:history="1">
            <w:r w:rsidRPr="00B363AA">
              <w:rPr>
                <w:rStyle w:val="Lienhypertexte"/>
                <w:rFonts w:cs="Calibri"/>
              </w:rPr>
              <w:t>4.2.</w:t>
            </w:r>
            <w:r w:rsidRPr="00B363AA">
              <w:rPr>
                <w:rFonts w:asciiTheme="minorHAnsi" w:eastAsiaTheme="minorEastAsia" w:hAnsiTheme="minorHAnsi"/>
                <w:sz w:val="24"/>
                <w:lang w:eastAsia="fr-BE"/>
              </w:rPr>
              <w:tab/>
            </w:r>
            <w:r w:rsidRPr="00B363AA">
              <w:rPr>
                <w:rStyle w:val="Lienhypertexte"/>
              </w:rPr>
              <w:t>Liste des services écosystémiques évalués</w:t>
            </w:r>
            <w:r w:rsidRPr="00B363AA">
              <w:rPr>
                <w:webHidden/>
              </w:rPr>
              <w:tab/>
            </w:r>
            <w:r w:rsidRPr="00B363AA">
              <w:rPr>
                <w:webHidden/>
              </w:rPr>
              <w:fldChar w:fldCharType="begin"/>
            </w:r>
            <w:r w:rsidRPr="00B363AA">
              <w:rPr>
                <w:webHidden/>
              </w:rPr>
              <w:instrText xml:space="preserve"> PAGEREF _Toc241242960 \h </w:instrText>
            </w:r>
            <w:r w:rsidRPr="00B363AA">
              <w:rPr>
                <w:webHidden/>
              </w:rPr>
            </w:r>
            <w:r w:rsidRPr="00B363AA">
              <w:rPr>
                <w:webHidden/>
              </w:rPr>
              <w:fldChar w:fldCharType="separate"/>
            </w:r>
            <w:r w:rsidRPr="00B363AA">
              <w:rPr>
                <w:webHidden/>
              </w:rPr>
              <w:t>25</w:t>
            </w:r>
            <w:r w:rsidRPr="00B363AA">
              <w:rPr>
                <w:webHidden/>
              </w:rPr>
              <w:fldChar w:fldCharType="end"/>
            </w:r>
          </w:hyperlink>
        </w:p>
        <w:p w14:paraId="0C205598" w14:textId="10829171"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61" w:history="1">
            <w:r w:rsidRPr="00B363AA">
              <w:rPr>
                <w:rStyle w:val="Lienhypertexte"/>
                <w:rFonts w:cs="Calibri"/>
              </w:rPr>
              <w:t>4.3.</w:t>
            </w:r>
            <w:r w:rsidRPr="00B363AA">
              <w:rPr>
                <w:rFonts w:asciiTheme="minorHAnsi" w:eastAsiaTheme="minorEastAsia" w:hAnsiTheme="minorHAnsi"/>
                <w:sz w:val="24"/>
                <w:lang w:eastAsia="fr-BE"/>
              </w:rPr>
              <w:tab/>
            </w:r>
            <w:r w:rsidRPr="00B363AA">
              <w:rPr>
                <w:rStyle w:val="Lienhypertexte"/>
              </w:rPr>
              <w:t>Production de biomasse</w:t>
            </w:r>
            <w:r w:rsidRPr="00B363AA">
              <w:rPr>
                <w:webHidden/>
              </w:rPr>
              <w:tab/>
            </w:r>
            <w:r w:rsidRPr="00B363AA">
              <w:rPr>
                <w:webHidden/>
              </w:rPr>
              <w:fldChar w:fldCharType="begin"/>
            </w:r>
            <w:r w:rsidRPr="00B363AA">
              <w:rPr>
                <w:webHidden/>
              </w:rPr>
              <w:instrText xml:space="preserve"> PAGEREF _Toc241242961 \h </w:instrText>
            </w:r>
            <w:r w:rsidRPr="00B363AA">
              <w:rPr>
                <w:webHidden/>
              </w:rPr>
            </w:r>
            <w:r w:rsidRPr="00B363AA">
              <w:rPr>
                <w:webHidden/>
              </w:rPr>
              <w:fldChar w:fldCharType="separate"/>
            </w:r>
            <w:r w:rsidRPr="00B363AA">
              <w:rPr>
                <w:webHidden/>
              </w:rPr>
              <w:t>26</w:t>
            </w:r>
            <w:r w:rsidRPr="00B363AA">
              <w:rPr>
                <w:webHidden/>
              </w:rPr>
              <w:fldChar w:fldCharType="end"/>
            </w:r>
          </w:hyperlink>
        </w:p>
        <w:p w14:paraId="4F8059AC" w14:textId="63DB32B9"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62" w:history="1">
            <w:r w:rsidRPr="00B363AA">
              <w:rPr>
                <w:rStyle w:val="Lienhypertexte"/>
              </w:rPr>
              <w:t>4.3.1.</w:t>
            </w:r>
            <w:r w:rsidRPr="00B363AA">
              <w:rPr>
                <w:rFonts w:asciiTheme="minorHAnsi" w:eastAsiaTheme="minorEastAsia" w:hAnsiTheme="minorHAnsi"/>
                <w:sz w:val="24"/>
                <w:lang w:eastAsia="fr-BE"/>
              </w:rPr>
              <w:tab/>
            </w:r>
            <w:r w:rsidRPr="00B363AA">
              <w:rPr>
                <w:rStyle w:val="Lienhypertexte"/>
              </w:rPr>
              <w:t>Fonctions</w:t>
            </w:r>
            <w:r w:rsidRPr="00B363AA">
              <w:rPr>
                <w:webHidden/>
              </w:rPr>
              <w:tab/>
            </w:r>
            <w:r w:rsidRPr="00B363AA">
              <w:rPr>
                <w:webHidden/>
              </w:rPr>
              <w:fldChar w:fldCharType="begin"/>
            </w:r>
            <w:r w:rsidRPr="00B363AA">
              <w:rPr>
                <w:webHidden/>
              </w:rPr>
              <w:instrText xml:space="preserve"> PAGEREF _Toc241242962 \h </w:instrText>
            </w:r>
            <w:r w:rsidRPr="00B363AA">
              <w:rPr>
                <w:webHidden/>
              </w:rPr>
            </w:r>
            <w:r w:rsidRPr="00B363AA">
              <w:rPr>
                <w:webHidden/>
              </w:rPr>
              <w:fldChar w:fldCharType="separate"/>
            </w:r>
            <w:r w:rsidRPr="00B363AA">
              <w:rPr>
                <w:webHidden/>
              </w:rPr>
              <w:t>26</w:t>
            </w:r>
            <w:r w:rsidRPr="00B363AA">
              <w:rPr>
                <w:webHidden/>
              </w:rPr>
              <w:fldChar w:fldCharType="end"/>
            </w:r>
          </w:hyperlink>
        </w:p>
        <w:p w14:paraId="09FCF0D5" w14:textId="0C20134E"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63" w:history="1">
            <w:r w:rsidRPr="00B363AA">
              <w:rPr>
                <w:rStyle w:val="Lienhypertexte"/>
              </w:rPr>
              <w:t>4.3.2.</w:t>
            </w:r>
            <w:r w:rsidRPr="00B363AA">
              <w:rPr>
                <w:rFonts w:asciiTheme="minorHAnsi" w:eastAsiaTheme="minorEastAsia" w:hAnsiTheme="minorHAnsi"/>
                <w:sz w:val="24"/>
                <w:lang w:eastAsia="fr-BE"/>
              </w:rPr>
              <w:tab/>
            </w:r>
            <w:r w:rsidRPr="00B363AA">
              <w:rPr>
                <w:rStyle w:val="Lienhypertexte"/>
              </w:rPr>
              <w:t>Contraintes</w:t>
            </w:r>
            <w:r w:rsidRPr="00B363AA">
              <w:rPr>
                <w:webHidden/>
              </w:rPr>
              <w:tab/>
            </w:r>
            <w:r w:rsidRPr="00B363AA">
              <w:rPr>
                <w:webHidden/>
              </w:rPr>
              <w:fldChar w:fldCharType="begin"/>
            </w:r>
            <w:r w:rsidRPr="00B363AA">
              <w:rPr>
                <w:webHidden/>
              </w:rPr>
              <w:instrText xml:space="preserve"> PAGEREF _Toc241242963 \h </w:instrText>
            </w:r>
            <w:r w:rsidRPr="00B363AA">
              <w:rPr>
                <w:webHidden/>
              </w:rPr>
            </w:r>
            <w:r w:rsidRPr="00B363AA">
              <w:rPr>
                <w:webHidden/>
              </w:rPr>
              <w:fldChar w:fldCharType="separate"/>
            </w:r>
            <w:r w:rsidRPr="00B363AA">
              <w:rPr>
                <w:webHidden/>
              </w:rPr>
              <w:t>28</w:t>
            </w:r>
            <w:r w:rsidRPr="00B363AA">
              <w:rPr>
                <w:webHidden/>
              </w:rPr>
              <w:fldChar w:fldCharType="end"/>
            </w:r>
          </w:hyperlink>
        </w:p>
        <w:p w14:paraId="47AFCA95" w14:textId="72125DAE"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64" w:history="1">
            <w:r w:rsidRPr="00B363AA">
              <w:rPr>
                <w:rStyle w:val="Lienhypertexte"/>
              </w:rPr>
              <w:t>4.3.3.</w:t>
            </w:r>
            <w:r w:rsidRPr="00B363AA">
              <w:rPr>
                <w:rFonts w:asciiTheme="minorHAnsi" w:eastAsiaTheme="minorEastAsia" w:hAnsiTheme="minorHAnsi"/>
                <w:sz w:val="24"/>
                <w:lang w:eastAsia="fr-BE"/>
              </w:rPr>
              <w:tab/>
            </w:r>
            <w:r w:rsidRPr="00B363AA">
              <w:rPr>
                <w:rStyle w:val="Lienhypertexte"/>
              </w:rPr>
              <w:t>Compléments indicatifs</w:t>
            </w:r>
            <w:r w:rsidRPr="00B363AA">
              <w:rPr>
                <w:webHidden/>
              </w:rPr>
              <w:tab/>
            </w:r>
            <w:r w:rsidRPr="00B363AA">
              <w:rPr>
                <w:webHidden/>
              </w:rPr>
              <w:fldChar w:fldCharType="begin"/>
            </w:r>
            <w:r w:rsidRPr="00B363AA">
              <w:rPr>
                <w:webHidden/>
              </w:rPr>
              <w:instrText xml:space="preserve"> PAGEREF _Toc241242964 \h </w:instrText>
            </w:r>
            <w:r w:rsidRPr="00B363AA">
              <w:rPr>
                <w:webHidden/>
              </w:rPr>
            </w:r>
            <w:r w:rsidRPr="00B363AA">
              <w:rPr>
                <w:webHidden/>
              </w:rPr>
              <w:fldChar w:fldCharType="separate"/>
            </w:r>
            <w:r w:rsidRPr="00B363AA">
              <w:rPr>
                <w:webHidden/>
              </w:rPr>
              <w:t>28</w:t>
            </w:r>
            <w:r w:rsidRPr="00B363AA">
              <w:rPr>
                <w:webHidden/>
              </w:rPr>
              <w:fldChar w:fldCharType="end"/>
            </w:r>
          </w:hyperlink>
        </w:p>
        <w:p w14:paraId="3DFBA09A" w14:textId="4579F42C"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65" w:history="1">
            <w:r w:rsidRPr="00B363AA">
              <w:rPr>
                <w:rStyle w:val="Lienhypertexte"/>
              </w:rPr>
              <w:t>4.3.4.</w:t>
            </w:r>
            <w:r w:rsidRPr="00B363AA">
              <w:rPr>
                <w:rFonts w:asciiTheme="minorHAnsi" w:eastAsiaTheme="minorEastAsia" w:hAnsiTheme="minorHAnsi"/>
                <w:sz w:val="24"/>
                <w:lang w:eastAsia="fr-BE"/>
              </w:rPr>
              <w:tab/>
            </w:r>
            <w:r w:rsidRPr="00B363AA">
              <w:rPr>
                <w:rStyle w:val="Lienhypertexte"/>
              </w:rPr>
              <w:t>Schéma général d’évaluation du service</w:t>
            </w:r>
            <w:r w:rsidRPr="00B363AA">
              <w:rPr>
                <w:webHidden/>
              </w:rPr>
              <w:tab/>
            </w:r>
            <w:r w:rsidRPr="00B363AA">
              <w:rPr>
                <w:webHidden/>
              </w:rPr>
              <w:fldChar w:fldCharType="begin"/>
            </w:r>
            <w:r w:rsidRPr="00B363AA">
              <w:rPr>
                <w:webHidden/>
              </w:rPr>
              <w:instrText xml:space="preserve"> PAGEREF _Toc241242965 \h </w:instrText>
            </w:r>
            <w:r w:rsidRPr="00B363AA">
              <w:rPr>
                <w:webHidden/>
              </w:rPr>
            </w:r>
            <w:r w:rsidRPr="00B363AA">
              <w:rPr>
                <w:webHidden/>
              </w:rPr>
              <w:fldChar w:fldCharType="separate"/>
            </w:r>
            <w:r w:rsidRPr="00B363AA">
              <w:rPr>
                <w:webHidden/>
              </w:rPr>
              <w:t>29</w:t>
            </w:r>
            <w:r w:rsidRPr="00B363AA">
              <w:rPr>
                <w:webHidden/>
              </w:rPr>
              <w:fldChar w:fldCharType="end"/>
            </w:r>
          </w:hyperlink>
        </w:p>
        <w:p w14:paraId="794D120D" w14:textId="74408455"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66" w:history="1">
            <w:r w:rsidRPr="00B363AA">
              <w:rPr>
                <w:rStyle w:val="Lienhypertexte"/>
              </w:rPr>
              <w:t>4.3.5.</w:t>
            </w:r>
            <w:r w:rsidRPr="00B363AA">
              <w:rPr>
                <w:rFonts w:asciiTheme="minorHAnsi" w:eastAsiaTheme="minorEastAsia" w:hAnsiTheme="minorHAnsi"/>
                <w:sz w:val="24"/>
                <w:lang w:eastAsia="fr-BE"/>
              </w:rPr>
              <w:tab/>
            </w:r>
            <w:r w:rsidRPr="00B363AA">
              <w:rPr>
                <w:rStyle w:val="Lienhypertexte"/>
              </w:rPr>
              <w:t>Distinctions en fonction de l’usage</w:t>
            </w:r>
            <w:r w:rsidRPr="00B363AA">
              <w:rPr>
                <w:webHidden/>
              </w:rPr>
              <w:tab/>
            </w:r>
            <w:r w:rsidRPr="00B363AA">
              <w:rPr>
                <w:webHidden/>
              </w:rPr>
              <w:fldChar w:fldCharType="begin"/>
            </w:r>
            <w:r w:rsidRPr="00B363AA">
              <w:rPr>
                <w:webHidden/>
              </w:rPr>
              <w:instrText xml:space="preserve"> PAGEREF _Toc241242966 \h </w:instrText>
            </w:r>
            <w:r w:rsidRPr="00B363AA">
              <w:rPr>
                <w:webHidden/>
              </w:rPr>
            </w:r>
            <w:r w:rsidRPr="00B363AA">
              <w:rPr>
                <w:webHidden/>
              </w:rPr>
              <w:fldChar w:fldCharType="separate"/>
            </w:r>
            <w:r w:rsidRPr="00B363AA">
              <w:rPr>
                <w:webHidden/>
              </w:rPr>
              <w:t>29</w:t>
            </w:r>
            <w:r w:rsidRPr="00B363AA">
              <w:rPr>
                <w:webHidden/>
              </w:rPr>
              <w:fldChar w:fldCharType="end"/>
            </w:r>
          </w:hyperlink>
        </w:p>
        <w:p w14:paraId="1CBA8253" w14:textId="285152DD"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67" w:history="1">
            <w:r w:rsidRPr="00B363AA">
              <w:rPr>
                <w:rStyle w:val="Lienhypertexte"/>
                <w:rFonts w:cs="Calibri"/>
              </w:rPr>
              <w:t>4.4.</w:t>
            </w:r>
            <w:r w:rsidRPr="00B363AA">
              <w:rPr>
                <w:rFonts w:asciiTheme="minorHAnsi" w:eastAsiaTheme="minorEastAsia" w:hAnsiTheme="minorHAnsi"/>
                <w:sz w:val="24"/>
                <w:lang w:eastAsia="fr-BE"/>
              </w:rPr>
              <w:tab/>
            </w:r>
            <w:r w:rsidRPr="00B363AA">
              <w:rPr>
                <w:rStyle w:val="Lienhypertexte"/>
              </w:rPr>
              <w:t>Infiltration</w:t>
            </w:r>
            <w:r w:rsidRPr="00B363AA">
              <w:rPr>
                <w:webHidden/>
              </w:rPr>
              <w:tab/>
            </w:r>
            <w:r w:rsidRPr="00B363AA">
              <w:rPr>
                <w:webHidden/>
              </w:rPr>
              <w:fldChar w:fldCharType="begin"/>
            </w:r>
            <w:r w:rsidRPr="00B363AA">
              <w:rPr>
                <w:webHidden/>
              </w:rPr>
              <w:instrText xml:space="preserve"> PAGEREF _Toc241242967 \h </w:instrText>
            </w:r>
            <w:r w:rsidRPr="00B363AA">
              <w:rPr>
                <w:webHidden/>
              </w:rPr>
            </w:r>
            <w:r w:rsidRPr="00B363AA">
              <w:rPr>
                <w:webHidden/>
              </w:rPr>
              <w:fldChar w:fldCharType="separate"/>
            </w:r>
            <w:r w:rsidRPr="00B363AA">
              <w:rPr>
                <w:webHidden/>
              </w:rPr>
              <w:t>31</w:t>
            </w:r>
            <w:r w:rsidRPr="00B363AA">
              <w:rPr>
                <w:webHidden/>
              </w:rPr>
              <w:fldChar w:fldCharType="end"/>
            </w:r>
          </w:hyperlink>
        </w:p>
        <w:p w14:paraId="3A265889" w14:textId="28606C31"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68" w:history="1">
            <w:r w:rsidRPr="00B363AA">
              <w:rPr>
                <w:rStyle w:val="Lienhypertexte"/>
              </w:rPr>
              <w:t>4.4.1.</w:t>
            </w:r>
            <w:r w:rsidRPr="00B363AA">
              <w:rPr>
                <w:rFonts w:asciiTheme="minorHAnsi" w:eastAsiaTheme="minorEastAsia" w:hAnsiTheme="minorHAnsi"/>
                <w:sz w:val="24"/>
                <w:lang w:eastAsia="fr-BE"/>
              </w:rPr>
              <w:tab/>
            </w:r>
            <w:r w:rsidRPr="00B363AA">
              <w:rPr>
                <w:rStyle w:val="Lienhypertexte"/>
              </w:rPr>
              <w:t>Fonctions</w:t>
            </w:r>
            <w:r w:rsidRPr="00B363AA">
              <w:rPr>
                <w:webHidden/>
              </w:rPr>
              <w:tab/>
            </w:r>
            <w:r w:rsidRPr="00B363AA">
              <w:rPr>
                <w:webHidden/>
              </w:rPr>
              <w:fldChar w:fldCharType="begin"/>
            </w:r>
            <w:r w:rsidRPr="00B363AA">
              <w:rPr>
                <w:webHidden/>
              </w:rPr>
              <w:instrText xml:space="preserve"> PAGEREF _Toc241242968 \h </w:instrText>
            </w:r>
            <w:r w:rsidRPr="00B363AA">
              <w:rPr>
                <w:webHidden/>
              </w:rPr>
            </w:r>
            <w:r w:rsidRPr="00B363AA">
              <w:rPr>
                <w:webHidden/>
              </w:rPr>
              <w:fldChar w:fldCharType="separate"/>
            </w:r>
            <w:r w:rsidRPr="00B363AA">
              <w:rPr>
                <w:webHidden/>
              </w:rPr>
              <w:t>31</w:t>
            </w:r>
            <w:r w:rsidRPr="00B363AA">
              <w:rPr>
                <w:webHidden/>
              </w:rPr>
              <w:fldChar w:fldCharType="end"/>
            </w:r>
          </w:hyperlink>
        </w:p>
        <w:p w14:paraId="6C1F43F4" w14:textId="67C1E34B"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69" w:history="1">
            <w:r w:rsidRPr="00B363AA">
              <w:rPr>
                <w:rStyle w:val="Lienhypertexte"/>
              </w:rPr>
              <w:t>4.4.2.</w:t>
            </w:r>
            <w:r w:rsidRPr="00B363AA">
              <w:rPr>
                <w:rFonts w:asciiTheme="minorHAnsi" w:eastAsiaTheme="minorEastAsia" w:hAnsiTheme="minorHAnsi"/>
                <w:sz w:val="24"/>
                <w:lang w:eastAsia="fr-BE"/>
              </w:rPr>
              <w:tab/>
            </w:r>
            <w:r w:rsidRPr="00B363AA">
              <w:rPr>
                <w:rStyle w:val="Lienhypertexte"/>
              </w:rPr>
              <w:t>Contraintes</w:t>
            </w:r>
            <w:r w:rsidRPr="00B363AA">
              <w:rPr>
                <w:webHidden/>
              </w:rPr>
              <w:tab/>
            </w:r>
            <w:r w:rsidRPr="00B363AA">
              <w:rPr>
                <w:webHidden/>
              </w:rPr>
              <w:fldChar w:fldCharType="begin"/>
            </w:r>
            <w:r w:rsidRPr="00B363AA">
              <w:rPr>
                <w:webHidden/>
              </w:rPr>
              <w:instrText xml:space="preserve"> PAGEREF _Toc241242969 \h </w:instrText>
            </w:r>
            <w:r w:rsidRPr="00B363AA">
              <w:rPr>
                <w:webHidden/>
              </w:rPr>
            </w:r>
            <w:r w:rsidRPr="00B363AA">
              <w:rPr>
                <w:webHidden/>
              </w:rPr>
              <w:fldChar w:fldCharType="separate"/>
            </w:r>
            <w:r w:rsidRPr="00B363AA">
              <w:rPr>
                <w:webHidden/>
              </w:rPr>
              <w:t>31</w:t>
            </w:r>
            <w:r w:rsidRPr="00B363AA">
              <w:rPr>
                <w:webHidden/>
              </w:rPr>
              <w:fldChar w:fldCharType="end"/>
            </w:r>
          </w:hyperlink>
        </w:p>
        <w:p w14:paraId="067ECCB9" w14:textId="001247E6"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70" w:history="1">
            <w:r w:rsidRPr="00B363AA">
              <w:rPr>
                <w:rStyle w:val="Lienhypertexte"/>
              </w:rPr>
              <w:t>4.4.3.</w:t>
            </w:r>
            <w:r w:rsidRPr="00B363AA">
              <w:rPr>
                <w:rFonts w:asciiTheme="minorHAnsi" w:eastAsiaTheme="minorEastAsia" w:hAnsiTheme="minorHAnsi"/>
                <w:sz w:val="24"/>
                <w:lang w:eastAsia="fr-BE"/>
              </w:rPr>
              <w:tab/>
            </w:r>
            <w:r w:rsidRPr="00B363AA">
              <w:rPr>
                <w:rStyle w:val="Lienhypertexte"/>
              </w:rPr>
              <w:t>Compléments indicatifs</w:t>
            </w:r>
            <w:r w:rsidRPr="00B363AA">
              <w:rPr>
                <w:webHidden/>
              </w:rPr>
              <w:tab/>
            </w:r>
            <w:r w:rsidRPr="00B363AA">
              <w:rPr>
                <w:webHidden/>
              </w:rPr>
              <w:fldChar w:fldCharType="begin"/>
            </w:r>
            <w:r w:rsidRPr="00B363AA">
              <w:rPr>
                <w:webHidden/>
              </w:rPr>
              <w:instrText xml:space="preserve"> PAGEREF _Toc241242970 \h </w:instrText>
            </w:r>
            <w:r w:rsidRPr="00B363AA">
              <w:rPr>
                <w:webHidden/>
              </w:rPr>
            </w:r>
            <w:r w:rsidRPr="00B363AA">
              <w:rPr>
                <w:webHidden/>
              </w:rPr>
              <w:fldChar w:fldCharType="separate"/>
            </w:r>
            <w:r w:rsidRPr="00B363AA">
              <w:rPr>
                <w:webHidden/>
              </w:rPr>
              <w:t>32</w:t>
            </w:r>
            <w:r w:rsidRPr="00B363AA">
              <w:rPr>
                <w:webHidden/>
              </w:rPr>
              <w:fldChar w:fldCharType="end"/>
            </w:r>
          </w:hyperlink>
        </w:p>
        <w:p w14:paraId="49808A08" w14:textId="0290B47D"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71" w:history="1">
            <w:r w:rsidRPr="00B363AA">
              <w:rPr>
                <w:rStyle w:val="Lienhypertexte"/>
                <w:rFonts w:cs="Calibri"/>
              </w:rPr>
              <w:t>4.5.</w:t>
            </w:r>
            <w:r w:rsidRPr="00B363AA">
              <w:rPr>
                <w:rFonts w:asciiTheme="minorHAnsi" w:eastAsiaTheme="minorEastAsia" w:hAnsiTheme="minorHAnsi"/>
                <w:sz w:val="24"/>
                <w:lang w:eastAsia="fr-BE"/>
              </w:rPr>
              <w:tab/>
            </w:r>
            <w:r w:rsidRPr="00B363AA">
              <w:rPr>
                <w:rStyle w:val="Lienhypertexte"/>
              </w:rPr>
              <w:t>Protection des nappes</w:t>
            </w:r>
            <w:r w:rsidRPr="00B363AA">
              <w:rPr>
                <w:webHidden/>
              </w:rPr>
              <w:tab/>
            </w:r>
            <w:r w:rsidRPr="00B363AA">
              <w:rPr>
                <w:webHidden/>
              </w:rPr>
              <w:fldChar w:fldCharType="begin"/>
            </w:r>
            <w:r w:rsidRPr="00B363AA">
              <w:rPr>
                <w:webHidden/>
              </w:rPr>
              <w:instrText xml:space="preserve"> PAGEREF _Toc241242971 \h </w:instrText>
            </w:r>
            <w:r w:rsidRPr="00B363AA">
              <w:rPr>
                <w:webHidden/>
              </w:rPr>
            </w:r>
            <w:r w:rsidRPr="00B363AA">
              <w:rPr>
                <w:webHidden/>
              </w:rPr>
              <w:fldChar w:fldCharType="separate"/>
            </w:r>
            <w:r w:rsidRPr="00B363AA">
              <w:rPr>
                <w:webHidden/>
              </w:rPr>
              <w:t>32</w:t>
            </w:r>
            <w:r w:rsidRPr="00B363AA">
              <w:rPr>
                <w:webHidden/>
              </w:rPr>
              <w:fldChar w:fldCharType="end"/>
            </w:r>
          </w:hyperlink>
        </w:p>
        <w:p w14:paraId="633C30EB" w14:textId="42559853"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72" w:history="1">
            <w:r w:rsidRPr="00B363AA">
              <w:rPr>
                <w:rStyle w:val="Lienhypertexte"/>
              </w:rPr>
              <w:t>4.5.1.</w:t>
            </w:r>
            <w:r w:rsidRPr="00B363AA">
              <w:rPr>
                <w:rFonts w:asciiTheme="minorHAnsi" w:eastAsiaTheme="minorEastAsia" w:hAnsiTheme="minorHAnsi"/>
                <w:sz w:val="24"/>
                <w:lang w:eastAsia="fr-BE"/>
              </w:rPr>
              <w:tab/>
            </w:r>
            <w:r w:rsidRPr="00B363AA">
              <w:rPr>
                <w:rStyle w:val="Lienhypertexte"/>
              </w:rPr>
              <w:t>Fonctions</w:t>
            </w:r>
            <w:r w:rsidRPr="00B363AA">
              <w:rPr>
                <w:webHidden/>
              </w:rPr>
              <w:tab/>
            </w:r>
            <w:r w:rsidRPr="00B363AA">
              <w:rPr>
                <w:webHidden/>
              </w:rPr>
              <w:fldChar w:fldCharType="begin"/>
            </w:r>
            <w:r w:rsidRPr="00B363AA">
              <w:rPr>
                <w:webHidden/>
              </w:rPr>
              <w:instrText xml:space="preserve"> PAGEREF _Toc241242972 \h </w:instrText>
            </w:r>
            <w:r w:rsidRPr="00B363AA">
              <w:rPr>
                <w:webHidden/>
              </w:rPr>
            </w:r>
            <w:r w:rsidRPr="00B363AA">
              <w:rPr>
                <w:webHidden/>
              </w:rPr>
              <w:fldChar w:fldCharType="separate"/>
            </w:r>
            <w:r w:rsidRPr="00B363AA">
              <w:rPr>
                <w:webHidden/>
              </w:rPr>
              <w:t>32</w:t>
            </w:r>
            <w:r w:rsidRPr="00B363AA">
              <w:rPr>
                <w:webHidden/>
              </w:rPr>
              <w:fldChar w:fldCharType="end"/>
            </w:r>
          </w:hyperlink>
        </w:p>
        <w:p w14:paraId="172D8350" w14:textId="60C73866"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73" w:history="1">
            <w:r w:rsidRPr="00B363AA">
              <w:rPr>
                <w:rStyle w:val="Lienhypertexte"/>
              </w:rPr>
              <w:t>4.5.2.</w:t>
            </w:r>
            <w:r w:rsidRPr="00B363AA">
              <w:rPr>
                <w:rFonts w:asciiTheme="minorHAnsi" w:eastAsiaTheme="minorEastAsia" w:hAnsiTheme="minorHAnsi"/>
                <w:sz w:val="24"/>
                <w:lang w:eastAsia="fr-BE"/>
              </w:rPr>
              <w:tab/>
            </w:r>
            <w:r w:rsidRPr="00B363AA">
              <w:rPr>
                <w:rStyle w:val="Lienhypertexte"/>
              </w:rPr>
              <w:t>Contraintes</w:t>
            </w:r>
            <w:r w:rsidRPr="00B363AA">
              <w:rPr>
                <w:webHidden/>
              </w:rPr>
              <w:tab/>
            </w:r>
            <w:r w:rsidRPr="00B363AA">
              <w:rPr>
                <w:webHidden/>
              </w:rPr>
              <w:fldChar w:fldCharType="begin"/>
            </w:r>
            <w:r w:rsidRPr="00B363AA">
              <w:rPr>
                <w:webHidden/>
              </w:rPr>
              <w:instrText xml:space="preserve"> PAGEREF _Toc241242973 \h </w:instrText>
            </w:r>
            <w:r w:rsidRPr="00B363AA">
              <w:rPr>
                <w:webHidden/>
              </w:rPr>
            </w:r>
            <w:r w:rsidRPr="00B363AA">
              <w:rPr>
                <w:webHidden/>
              </w:rPr>
              <w:fldChar w:fldCharType="separate"/>
            </w:r>
            <w:r w:rsidRPr="00B363AA">
              <w:rPr>
                <w:webHidden/>
              </w:rPr>
              <w:t>32</w:t>
            </w:r>
            <w:r w:rsidRPr="00B363AA">
              <w:rPr>
                <w:webHidden/>
              </w:rPr>
              <w:fldChar w:fldCharType="end"/>
            </w:r>
          </w:hyperlink>
        </w:p>
        <w:p w14:paraId="481342AB" w14:textId="7E9D422A"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74" w:history="1">
            <w:r w:rsidRPr="00B363AA">
              <w:rPr>
                <w:rStyle w:val="Lienhypertexte"/>
              </w:rPr>
              <w:t>4.5.3.</w:t>
            </w:r>
            <w:r w:rsidRPr="00B363AA">
              <w:rPr>
                <w:rFonts w:asciiTheme="minorHAnsi" w:eastAsiaTheme="minorEastAsia" w:hAnsiTheme="minorHAnsi"/>
                <w:sz w:val="24"/>
                <w:lang w:eastAsia="fr-BE"/>
              </w:rPr>
              <w:tab/>
            </w:r>
            <w:r w:rsidRPr="00B363AA">
              <w:rPr>
                <w:rStyle w:val="Lienhypertexte"/>
              </w:rPr>
              <w:t>Compléments indicatifs</w:t>
            </w:r>
            <w:r w:rsidRPr="00B363AA">
              <w:rPr>
                <w:webHidden/>
              </w:rPr>
              <w:tab/>
            </w:r>
            <w:r w:rsidRPr="00B363AA">
              <w:rPr>
                <w:webHidden/>
              </w:rPr>
              <w:fldChar w:fldCharType="begin"/>
            </w:r>
            <w:r w:rsidRPr="00B363AA">
              <w:rPr>
                <w:webHidden/>
              </w:rPr>
              <w:instrText xml:space="preserve"> PAGEREF _Toc241242974 \h </w:instrText>
            </w:r>
            <w:r w:rsidRPr="00B363AA">
              <w:rPr>
                <w:webHidden/>
              </w:rPr>
            </w:r>
            <w:r w:rsidRPr="00B363AA">
              <w:rPr>
                <w:webHidden/>
              </w:rPr>
              <w:fldChar w:fldCharType="separate"/>
            </w:r>
            <w:r w:rsidRPr="00B363AA">
              <w:rPr>
                <w:webHidden/>
              </w:rPr>
              <w:t>33</w:t>
            </w:r>
            <w:r w:rsidRPr="00B363AA">
              <w:rPr>
                <w:webHidden/>
              </w:rPr>
              <w:fldChar w:fldCharType="end"/>
            </w:r>
          </w:hyperlink>
        </w:p>
        <w:p w14:paraId="25F17336" w14:textId="0EC359A3"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75" w:history="1">
            <w:r w:rsidRPr="00B363AA">
              <w:rPr>
                <w:rStyle w:val="Lienhypertexte"/>
                <w:rFonts w:cs="Calibri"/>
              </w:rPr>
              <w:t>4.6.</w:t>
            </w:r>
            <w:r w:rsidRPr="00B363AA">
              <w:rPr>
                <w:rFonts w:asciiTheme="minorHAnsi" w:eastAsiaTheme="minorEastAsia" w:hAnsiTheme="minorHAnsi"/>
                <w:sz w:val="24"/>
                <w:lang w:eastAsia="fr-BE"/>
              </w:rPr>
              <w:tab/>
            </w:r>
            <w:r w:rsidRPr="00B363AA">
              <w:rPr>
                <w:rStyle w:val="Lienhypertexte"/>
              </w:rPr>
              <w:t>Potentiel d’accueil pour une végétation diversifiée</w:t>
            </w:r>
            <w:r w:rsidRPr="00B363AA">
              <w:rPr>
                <w:webHidden/>
              </w:rPr>
              <w:tab/>
            </w:r>
            <w:r w:rsidRPr="00B363AA">
              <w:rPr>
                <w:webHidden/>
              </w:rPr>
              <w:fldChar w:fldCharType="begin"/>
            </w:r>
            <w:r w:rsidRPr="00B363AA">
              <w:rPr>
                <w:webHidden/>
              </w:rPr>
              <w:instrText xml:space="preserve"> PAGEREF _Toc241242975 \h </w:instrText>
            </w:r>
            <w:r w:rsidRPr="00B363AA">
              <w:rPr>
                <w:webHidden/>
              </w:rPr>
            </w:r>
            <w:r w:rsidRPr="00B363AA">
              <w:rPr>
                <w:webHidden/>
              </w:rPr>
              <w:fldChar w:fldCharType="separate"/>
            </w:r>
            <w:r w:rsidRPr="00B363AA">
              <w:rPr>
                <w:webHidden/>
              </w:rPr>
              <w:t>33</w:t>
            </w:r>
            <w:r w:rsidRPr="00B363AA">
              <w:rPr>
                <w:webHidden/>
              </w:rPr>
              <w:fldChar w:fldCharType="end"/>
            </w:r>
          </w:hyperlink>
        </w:p>
        <w:p w14:paraId="3ADDB755" w14:textId="3082A419"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76" w:history="1">
            <w:r w:rsidRPr="00B363AA">
              <w:rPr>
                <w:rStyle w:val="Lienhypertexte"/>
              </w:rPr>
              <w:t>4.6.1.</w:t>
            </w:r>
            <w:r w:rsidRPr="00B363AA">
              <w:rPr>
                <w:rFonts w:asciiTheme="minorHAnsi" w:eastAsiaTheme="minorEastAsia" w:hAnsiTheme="minorHAnsi"/>
                <w:sz w:val="24"/>
                <w:lang w:eastAsia="fr-BE"/>
              </w:rPr>
              <w:tab/>
            </w:r>
            <w:r w:rsidRPr="00B363AA">
              <w:rPr>
                <w:rStyle w:val="Lienhypertexte"/>
              </w:rPr>
              <w:t>Fonctions</w:t>
            </w:r>
            <w:r w:rsidRPr="00B363AA">
              <w:rPr>
                <w:webHidden/>
              </w:rPr>
              <w:tab/>
            </w:r>
            <w:r w:rsidRPr="00B363AA">
              <w:rPr>
                <w:webHidden/>
              </w:rPr>
              <w:fldChar w:fldCharType="begin"/>
            </w:r>
            <w:r w:rsidRPr="00B363AA">
              <w:rPr>
                <w:webHidden/>
              </w:rPr>
              <w:instrText xml:space="preserve"> PAGEREF _Toc241242976 \h </w:instrText>
            </w:r>
            <w:r w:rsidRPr="00B363AA">
              <w:rPr>
                <w:webHidden/>
              </w:rPr>
            </w:r>
            <w:r w:rsidRPr="00B363AA">
              <w:rPr>
                <w:webHidden/>
              </w:rPr>
              <w:fldChar w:fldCharType="separate"/>
            </w:r>
            <w:r w:rsidRPr="00B363AA">
              <w:rPr>
                <w:webHidden/>
              </w:rPr>
              <w:t>33</w:t>
            </w:r>
            <w:r w:rsidRPr="00B363AA">
              <w:rPr>
                <w:webHidden/>
              </w:rPr>
              <w:fldChar w:fldCharType="end"/>
            </w:r>
          </w:hyperlink>
        </w:p>
        <w:p w14:paraId="66CF141D" w14:textId="47FBDE9E"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77" w:history="1">
            <w:r w:rsidRPr="00B363AA">
              <w:rPr>
                <w:rStyle w:val="Lienhypertexte"/>
              </w:rPr>
              <w:t>4.6.2.</w:t>
            </w:r>
            <w:r w:rsidRPr="00B363AA">
              <w:rPr>
                <w:rFonts w:asciiTheme="minorHAnsi" w:eastAsiaTheme="minorEastAsia" w:hAnsiTheme="minorHAnsi"/>
                <w:sz w:val="24"/>
                <w:lang w:eastAsia="fr-BE"/>
              </w:rPr>
              <w:tab/>
            </w:r>
            <w:r w:rsidRPr="00B363AA">
              <w:rPr>
                <w:rStyle w:val="Lienhypertexte"/>
              </w:rPr>
              <w:t>Contraintes</w:t>
            </w:r>
            <w:r w:rsidRPr="00B363AA">
              <w:rPr>
                <w:webHidden/>
              </w:rPr>
              <w:tab/>
            </w:r>
            <w:r w:rsidRPr="00B363AA">
              <w:rPr>
                <w:webHidden/>
              </w:rPr>
              <w:fldChar w:fldCharType="begin"/>
            </w:r>
            <w:r w:rsidRPr="00B363AA">
              <w:rPr>
                <w:webHidden/>
              </w:rPr>
              <w:instrText xml:space="preserve"> PAGEREF _Toc241242977 \h </w:instrText>
            </w:r>
            <w:r w:rsidRPr="00B363AA">
              <w:rPr>
                <w:webHidden/>
              </w:rPr>
            </w:r>
            <w:r w:rsidRPr="00B363AA">
              <w:rPr>
                <w:webHidden/>
              </w:rPr>
              <w:fldChar w:fldCharType="separate"/>
            </w:r>
            <w:r w:rsidRPr="00B363AA">
              <w:rPr>
                <w:webHidden/>
              </w:rPr>
              <w:t>33</w:t>
            </w:r>
            <w:r w:rsidRPr="00B363AA">
              <w:rPr>
                <w:webHidden/>
              </w:rPr>
              <w:fldChar w:fldCharType="end"/>
            </w:r>
          </w:hyperlink>
        </w:p>
        <w:p w14:paraId="31438D61" w14:textId="00146BEB"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78" w:history="1">
            <w:r w:rsidRPr="00B363AA">
              <w:rPr>
                <w:rStyle w:val="Lienhypertexte"/>
              </w:rPr>
              <w:t>4.6.3.</w:t>
            </w:r>
            <w:r w:rsidRPr="00B363AA">
              <w:rPr>
                <w:rFonts w:asciiTheme="minorHAnsi" w:eastAsiaTheme="minorEastAsia" w:hAnsiTheme="minorHAnsi"/>
                <w:sz w:val="24"/>
                <w:lang w:eastAsia="fr-BE"/>
              </w:rPr>
              <w:tab/>
            </w:r>
            <w:r w:rsidRPr="00B363AA">
              <w:rPr>
                <w:rStyle w:val="Lienhypertexte"/>
              </w:rPr>
              <w:t>Compléments indicatifs</w:t>
            </w:r>
            <w:r w:rsidRPr="00B363AA">
              <w:rPr>
                <w:webHidden/>
              </w:rPr>
              <w:tab/>
            </w:r>
            <w:r w:rsidRPr="00B363AA">
              <w:rPr>
                <w:webHidden/>
              </w:rPr>
              <w:fldChar w:fldCharType="begin"/>
            </w:r>
            <w:r w:rsidRPr="00B363AA">
              <w:rPr>
                <w:webHidden/>
              </w:rPr>
              <w:instrText xml:space="preserve"> PAGEREF _Toc241242978 \h </w:instrText>
            </w:r>
            <w:r w:rsidRPr="00B363AA">
              <w:rPr>
                <w:webHidden/>
              </w:rPr>
            </w:r>
            <w:r w:rsidRPr="00B363AA">
              <w:rPr>
                <w:webHidden/>
              </w:rPr>
              <w:fldChar w:fldCharType="separate"/>
            </w:r>
            <w:r w:rsidRPr="00B363AA">
              <w:rPr>
                <w:webHidden/>
              </w:rPr>
              <w:t>33</w:t>
            </w:r>
            <w:r w:rsidRPr="00B363AA">
              <w:rPr>
                <w:webHidden/>
              </w:rPr>
              <w:fldChar w:fldCharType="end"/>
            </w:r>
          </w:hyperlink>
        </w:p>
        <w:p w14:paraId="07938AD9" w14:textId="10415C8B"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79" w:history="1">
            <w:r w:rsidRPr="00B363AA">
              <w:rPr>
                <w:rStyle w:val="Lienhypertexte"/>
                <w:rFonts w:cs="Calibri"/>
              </w:rPr>
              <w:t>4.7.</w:t>
            </w:r>
            <w:r w:rsidRPr="00B363AA">
              <w:rPr>
                <w:rFonts w:asciiTheme="minorHAnsi" w:eastAsiaTheme="minorEastAsia" w:hAnsiTheme="minorHAnsi"/>
                <w:sz w:val="24"/>
                <w:lang w:eastAsia="fr-BE"/>
              </w:rPr>
              <w:tab/>
            </w:r>
            <w:r w:rsidRPr="00B363AA">
              <w:rPr>
                <w:rStyle w:val="Lienhypertexte"/>
              </w:rPr>
              <w:t>Potentiel d’accueil pour un écosystème rare</w:t>
            </w:r>
            <w:r w:rsidRPr="00B363AA">
              <w:rPr>
                <w:webHidden/>
              </w:rPr>
              <w:tab/>
            </w:r>
            <w:r w:rsidRPr="00B363AA">
              <w:rPr>
                <w:webHidden/>
              </w:rPr>
              <w:fldChar w:fldCharType="begin"/>
            </w:r>
            <w:r w:rsidRPr="00B363AA">
              <w:rPr>
                <w:webHidden/>
              </w:rPr>
              <w:instrText xml:space="preserve"> PAGEREF _Toc241242979 \h </w:instrText>
            </w:r>
            <w:r w:rsidRPr="00B363AA">
              <w:rPr>
                <w:webHidden/>
              </w:rPr>
            </w:r>
            <w:r w:rsidRPr="00B363AA">
              <w:rPr>
                <w:webHidden/>
              </w:rPr>
              <w:fldChar w:fldCharType="separate"/>
            </w:r>
            <w:r w:rsidRPr="00B363AA">
              <w:rPr>
                <w:webHidden/>
              </w:rPr>
              <w:t>33</w:t>
            </w:r>
            <w:r w:rsidRPr="00B363AA">
              <w:rPr>
                <w:webHidden/>
              </w:rPr>
              <w:fldChar w:fldCharType="end"/>
            </w:r>
          </w:hyperlink>
        </w:p>
        <w:p w14:paraId="42425AAF" w14:textId="19D25BAE"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80" w:history="1">
            <w:r w:rsidRPr="00B363AA">
              <w:rPr>
                <w:rStyle w:val="Lienhypertexte"/>
              </w:rPr>
              <w:t>4.7.1.</w:t>
            </w:r>
            <w:r w:rsidRPr="00B363AA">
              <w:rPr>
                <w:rFonts w:asciiTheme="minorHAnsi" w:eastAsiaTheme="minorEastAsia" w:hAnsiTheme="minorHAnsi"/>
                <w:sz w:val="24"/>
                <w:lang w:eastAsia="fr-BE"/>
              </w:rPr>
              <w:tab/>
            </w:r>
            <w:r w:rsidRPr="00B363AA">
              <w:rPr>
                <w:rStyle w:val="Lienhypertexte"/>
              </w:rPr>
              <w:t>Fonctions</w:t>
            </w:r>
            <w:r w:rsidRPr="00B363AA">
              <w:rPr>
                <w:webHidden/>
              </w:rPr>
              <w:tab/>
            </w:r>
            <w:r w:rsidRPr="00B363AA">
              <w:rPr>
                <w:webHidden/>
              </w:rPr>
              <w:fldChar w:fldCharType="begin"/>
            </w:r>
            <w:r w:rsidRPr="00B363AA">
              <w:rPr>
                <w:webHidden/>
              </w:rPr>
              <w:instrText xml:space="preserve"> PAGEREF _Toc241242980 \h </w:instrText>
            </w:r>
            <w:r w:rsidRPr="00B363AA">
              <w:rPr>
                <w:webHidden/>
              </w:rPr>
            </w:r>
            <w:r w:rsidRPr="00B363AA">
              <w:rPr>
                <w:webHidden/>
              </w:rPr>
              <w:fldChar w:fldCharType="separate"/>
            </w:r>
            <w:r w:rsidRPr="00B363AA">
              <w:rPr>
                <w:webHidden/>
              </w:rPr>
              <w:t>34</w:t>
            </w:r>
            <w:r w:rsidRPr="00B363AA">
              <w:rPr>
                <w:webHidden/>
              </w:rPr>
              <w:fldChar w:fldCharType="end"/>
            </w:r>
          </w:hyperlink>
        </w:p>
        <w:p w14:paraId="069DB9BA" w14:textId="36AB1C8D"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81" w:history="1">
            <w:r w:rsidRPr="00B363AA">
              <w:rPr>
                <w:rStyle w:val="Lienhypertexte"/>
              </w:rPr>
              <w:t>4.7.2.</w:t>
            </w:r>
            <w:r w:rsidRPr="00B363AA">
              <w:rPr>
                <w:rFonts w:asciiTheme="minorHAnsi" w:eastAsiaTheme="minorEastAsia" w:hAnsiTheme="minorHAnsi"/>
                <w:sz w:val="24"/>
                <w:lang w:eastAsia="fr-BE"/>
              </w:rPr>
              <w:tab/>
            </w:r>
            <w:r w:rsidRPr="00B363AA">
              <w:rPr>
                <w:rStyle w:val="Lienhypertexte"/>
              </w:rPr>
              <w:t>Contraintes</w:t>
            </w:r>
            <w:r w:rsidRPr="00B363AA">
              <w:rPr>
                <w:webHidden/>
              </w:rPr>
              <w:tab/>
            </w:r>
            <w:r w:rsidRPr="00B363AA">
              <w:rPr>
                <w:webHidden/>
              </w:rPr>
              <w:fldChar w:fldCharType="begin"/>
            </w:r>
            <w:r w:rsidRPr="00B363AA">
              <w:rPr>
                <w:webHidden/>
              </w:rPr>
              <w:instrText xml:space="preserve"> PAGEREF _Toc241242981 \h </w:instrText>
            </w:r>
            <w:r w:rsidRPr="00B363AA">
              <w:rPr>
                <w:webHidden/>
              </w:rPr>
            </w:r>
            <w:r w:rsidRPr="00B363AA">
              <w:rPr>
                <w:webHidden/>
              </w:rPr>
              <w:fldChar w:fldCharType="separate"/>
            </w:r>
            <w:r w:rsidRPr="00B363AA">
              <w:rPr>
                <w:webHidden/>
              </w:rPr>
              <w:t>34</w:t>
            </w:r>
            <w:r w:rsidRPr="00B363AA">
              <w:rPr>
                <w:webHidden/>
              </w:rPr>
              <w:fldChar w:fldCharType="end"/>
            </w:r>
          </w:hyperlink>
        </w:p>
        <w:p w14:paraId="6BEAD95A" w14:textId="262CDCCC"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82" w:history="1">
            <w:r w:rsidRPr="00B363AA">
              <w:rPr>
                <w:rStyle w:val="Lienhypertexte"/>
              </w:rPr>
              <w:t>4.7.3.</w:t>
            </w:r>
            <w:r w:rsidRPr="00B363AA">
              <w:rPr>
                <w:rFonts w:asciiTheme="minorHAnsi" w:eastAsiaTheme="minorEastAsia" w:hAnsiTheme="minorHAnsi"/>
                <w:sz w:val="24"/>
                <w:lang w:eastAsia="fr-BE"/>
              </w:rPr>
              <w:tab/>
            </w:r>
            <w:r w:rsidRPr="00B363AA">
              <w:rPr>
                <w:rStyle w:val="Lienhypertexte"/>
              </w:rPr>
              <w:t>Compléments indicatifs</w:t>
            </w:r>
            <w:r w:rsidRPr="00B363AA">
              <w:rPr>
                <w:webHidden/>
              </w:rPr>
              <w:tab/>
            </w:r>
            <w:r w:rsidRPr="00B363AA">
              <w:rPr>
                <w:webHidden/>
              </w:rPr>
              <w:fldChar w:fldCharType="begin"/>
            </w:r>
            <w:r w:rsidRPr="00B363AA">
              <w:rPr>
                <w:webHidden/>
              </w:rPr>
              <w:instrText xml:space="preserve"> PAGEREF _Toc241242982 \h </w:instrText>
            </w:r>
            <w:r w:rsidRPr="00B363AA">
              <w:rPr>
                <w:webHidden/>
              </w:rPr>
            </w:r>
            <w:r w:rsidRPr="00B363AA">
              <w:rPr>
                <w:webHidden/>
              </w:rPr>
              <w:fldChar w:fldCharType="separate"/>
            </w:r>
            <w:r w:rsidRPr="00B363AA">
              <w:rPr>
                <w:webHidden/>
              </w:rPr>
              <w:t>34</w:t>
            </w:r>
            <w:r w:rsidRPr="00B363AA">
              <w:rPr>
                <w:webHidden/>
              </w:rPr>
              <w:fldChar w:fldCharType="end"/>
            </w:r>
          </w:hyperlink>
        </w:p>
        <w:p w14:paraId="2BA14829" w14:textId="233F47D6"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83" w:history="1">
            <w:r w:rsidRPr="00B363AA">
              <w:rPr>
                <w:rStyle w:val="Lienhypertexte"/>
                <w:rFonts w:cs="Calibri"/>
              </w:rPr>
              <w:t>4.8.</w:t>
            </w:r>
            <w:r w:rsidRPr="00B363AA">
              <w:rPr>
                <w:rFonts w:asciiTheme="minorHAnsi" w:eastAsiaTheme="minorEastAsia" w:hAnsiTheme="minorHAnsi"/>
                <w:sz w:val="24"/>
                <w:lang w:eastAsia="fr-BE"/>
              </w:rPr>
              <w:tab/>
            </w:r>
            <w:r w:rsidRPr="00B363AA">
              <w:rPr>
                <w:rStyle w:val="Lienhypertexte"/>
              </w:rPr>
              <w:t>Habitat pour la biodiversité du sol</w:t>
            </w:r>
            <w:r w:rsidRPr="00B363AA">
              <w:rPr>
                <w:webHidden/>
              </w:rPr>
              <w:tab/>
            </w:r>
            <w:r w:rsidRPr="00B363AA">
              <w:rPr>
                <w:webHidden/>
              </w:rPr>
              <w:fldChar w:fldCharType="begin"/>
            </w:r>
            <w:r w:rsidRPr="00B363AA">
              <w:rPr>
                <w:webHidden/>
              </w:rPr>
              <w:instrText xml:space="preserve"> PAGEREF _Toc241242983 \h </w:instrText>
            </w:r>
            <w:r w:rsidRPr="00B363AA">
              <w:rPr>
                <w:webHidden/>
              </w:rPr>
            </w:r>
            <w:r w:rsidRPr="00B363AA">
              <w:rPr>
                <w:webHidden/>
              </w:rPr>
              <w:fldChar w:fldCharType="separate"/>
            </w:r>
            <w:r w:rsidRPr="00B363AA">
              <w:rPr>
                <w:webHidden/>
              </w:rPr>
              <w:t>34</w:t>
            </w:r>
            <w:r w:rsidRPr="00B363AA">
              <w:rPr>
                <w:webHidden/>
              </w:rPr>
              <w:fldChar w:fldCharType="end"/>
            </w:r>
          </w:hyperlink>
        </w:p>
        <w:p w14:paraId="655A071D" w14:textId="001A5EB4"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84" w:history="1">
            <w:r w:rsidRPr="00B363AA">
              <w:rPr>
                <w:rStyle w:val="Lienhypertexte"/>
              </w:rPr>
              <w:t>4.8.1.</w:t>
            </w:r>
            <w:r w:rsidRPr="00B363AA">
              <w:rPr>
                <w:rFonts w:asciiTheme="minorHAnsi" w:eastAsiaTheme="minorEastAsia" w:hAnsiTheme="minorHAnsi"/>
                <w:sz w:val="24"/>
                <w:lang w:eastAsia="fr-BE"/>
              </w:rPr>
              <w:tab/>
            </w:r>
            <w:r w:rsidRPr="00B363AA">
              <w:rPr>
                <w:rStyle w:val="Lienhypertexte"/>
              </w:rPr>
              <w:t>Fonctions</w:t>
            </w:r>
            <w:r w:rsidRPr="00B363AA">
              <w:rPr>
                <w:webHidden/>
              </w:rPr>
              <w:tab/>
            </w:r>
            <w:r w:rsidRPr="00B363AA">
              <w:rPr>
                <w:webHidden/>
              </w:rPr>
              <w:fldChar w:fldCharType="begin"/>
            </w:r>
            <w:r w:rsidRPr="00B363AA">
              <w:rPr>
                <w:webHidden/>
              </w:rPr>
              <w:instrText xml:space="preserve"> PAGEREF _Toc241242984 \h </w:instrText>
            </w:r>
            <w:r w:rsidRPr="00B363AA">
              <w:rPr>
                <w:webHidden/>
              </w:rPr>
            </w:r>
            <w:r w:rsidRPr="00B363AA">
              <w:rPr>
                <w:webHidden/>
              </w:rPr>
              <w:fldChar w:fldCharType="separate"/>
            </w:r>
            <w:r w:rsidRPr="00B363AA">
              <w:rPr>
                <w:webHidden/>
              </w:rPr>
              <w:t>35</w:t>
            </w:r>
            <w:r w:rsidRPr="00B363AA">
              <w:rPr>
                <w:webHidden/>
              </w:rPr>
              <w:fldChar w:fldCharType="end"/>
            </w:r>
          </w:hyperlink>
        </w:p>
        <w:p w14:paraId="49CFC28B" w14:textId="0C220A57"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85" w:history="1">
            <w:r w:rsidRPr="00B363AA">
              <w:rPr>
                <w:rStyle w:val="Lienhypertexte"/>
              </w:rPr>
              <w:t>4.8.2.</w:t>
            </w:r>
            <w:r w:rsidRPr="00B363AA">
              <w:rPr>
                <w:rFonts w:asciiTheme="minorHAnsi" w:eastAsiaTheme="minorEastAsia" w:hAnsiTheme="minorHAnsi"/>
                <w:sz w:val="24"/>
                <w:lang w:eastAsia="fr-BE"/>
              </w:rPr>
              <w:tab/>
            </w:r>
            <w:r w:rsidRPr="00B363AA">
              <w:rPr>
                <w:rStyle w:val="Lienhypertexte"/>
              </w:rPr>
              <w:t>Contraintes</w:t>
            </w:r>
            <w:r w:rsidRPr="00B363AA">
              <w:rPr>
                <w:webHidden/>
              </w:rPr>
              <w:tab/>
            </w:r>
            <w:r w:rsidRPr="00B363AA">
              <w:rPr>
                <w:webHidden/>
              </w:rPr>
              <w:fldChar w:fldCharType="begin"/>
            </w:r>
            <w:r w:rsidRPr="00B363AA">
              <w:rPr>
                <w:webHidden/>
              </w:rPr>
              <w:instrText xml:space="preserve"> PAGEREF _Toc241242985 \h </w:instrText>
            </w:r>
            <w:r w:rsidRPr="00B363AA">
              <w:rPr>
                <w:webHidden/>
              </w:rPr>
            </w:r>
            <w:r w:rsidRPr="00B363AA">
              <w:rPr>
                <w:webHidden/>
              </w:rPr>
              <w:fldChar w:fldCharType="separate"/>
            </w:r>
            <w:r w:rsidRPr="00B363AA">
              <w:rPr>
                <w:webHidden/>
              </w:rPr>
              <w:t>35</w:t>
            </w:r>
            <w:r w:rsidRPr="00B363AA">
              <w:rPr>
                <w:webHidden/>
              </w:rPr>
              <w:fldChar w:fldCharType="end"/>
            </w:r>
          </w:hyperlink>
        </w:p>
        <w:p w14:paraId="426734A0" w14:textId="64283B9B"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86" w:history="1">
            <w:r w:rsidRPr="00B363AA">
              <w:rPr>
                <w:rStyle w:val="Lienhypertexte"/>
              </w:rPr>
              <w:t>4.8.3.</w:t>
            </w:r>
            <w:r w:rsidRPr="00B363AA">
              <w:rPr>
                <w:rFonts w:asciiTheme="minorHAnsi" w:eastAsiaTheme="minorEastAsia" w:hAnsiTheme="minorHAnsi"/>
                <w:sz w:val="24"/>
                <w:lang w:eastAsia="fr-BE"/>
              </w:rPr>
              <w:tab/>
            </w:r>
            <w:r w:rsidRPr="00B363AA">
              <w:rPr>
                <w:rStyle w:val="Lienhypertexte"/>
              </w:rPr>
              <w:t>Complément indicatif</w:t>
            </w:r>
            <w:r w:rsidRPr="00B363AA">
              <w:rPr>
                <w:webHidden/>
              </w:rPr>
              <w:tab/>
            </w:r>
            <w:r w:rsidRPr="00B363AA">
              <w:rPr>
                <w:webHidden/>
              </w:rPr>
              <w:fldChar w:fldCharType="begin"/>
            </w:r>
            <w:r w:rsidRPr="00B363AA">
              <w:rPr>
                <w:webHidden/>
              </w:rPr>
              <w:instrText xml:space="preserve"> PAGEREF _Toc241242986 \h </w:instrText>
            </w:r>
            <w:r w:rsidRPr="00B363AA">
              <w:rPr>
                <w:webHidden/>
              </w:rPr>
            </w:r>
            <w:r w:rsidRPr="00B363AA">
              <w:rPr>
                <w:webHidden/>
              </w:rPr>
              <w:fldChar w:fldCharType="separate"/>
            </w:r>
            <w:r w:rsidRPr="00B363AA">
              <w:rPr>
                <w:webHidden/>
              </w:rPr>
              <w:t>35</w:t>
            </w:r>
            <w:r w:rsidRPr="00B363AA">
              <w:rPr>
                <w:webHidden/>
              </w:rPr>
              <w:fldChar w:fldCharType="end"/>
            </w:r>
          </w:hyperlink>
        </w:p>
        <w:p w14:paraId="0C5AA7B5" w14:textId="3232B586"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87" w:history="1">
            <w:r w:rsidRPr="00B363AA">
              <w:rPr>
                <w:rStyle w:val="Lienhypertexte"/>
                <w:rFonts w:cs="Calibri"/>
              </w:rPr>
              <w:t>4.9.</w:t>
            </w:r>
            <w:r w:rsidRPr="00B363AA">
              <w:rPr>
                <w:rFonts w:asciiTheme="minorHAnsi" w:eastAsiaTheme="minorEastAsia" w:hAnsiTheme="minorHAnsi"/>
                <w:sz w:val="24"/>
                <w:lang w:eastAsia="fr-BE"/>
              </w:rPr>
              <w:tab/>
            </w:r>
            <w:r w:rsidRPr="00B363AA">
              <w:rPr>
                <w:rStyle w:val="Lienhypertexte"/>
              </w:rPr>
              <w:t>Stockage de carbone</w:t>
            </w:r>
            <w:r w:rsidRPr="00B363AA">
              <w:rPr>
                <w:webHidden/>
              </w:rPr>
              <w:tab/>
            </w:r>
            <w:r w:rsidRPr="00B363AA">
              <w:rPr>
                <w:webHidden/>
              </w:rPr>
              <w:fldChar w:fldCharType="begin"/>
            </w:r>
            <w:r w:rsidRPr="00B363AA">
              <w:rPr>
                <w:webHidden/>
              </w:rPr>
              <w:instrText xml:space="preserve"> PAGEREF _Toc241242987 \h </w:instrText>
            </w:r>
            <w:r w:rsidRPr="00B363AA">
              <w:rPr>
                <w:webHidden/>
              </w:rPr>
            </w:r>
            <w:r w:rsidRPr="00B363AA">
              <w:rPr>
                <w:webHidden/>
              </w:rPr>
              <w:fldChar w:fldCharType="separate"/>
            </w:r>
            <w:r w:rsidRPr="00B363AA">
              <w:rPr>
                <w:webHidden/>
              </w:rPr>
              <w:t>35</w:t>
            </w:r>
            <w:r w:rsidRPr="00B363AA">
              <w:rPr>
                <w:webHidden/>
              </w:rPr>
              <w:fldChar w:fldCharType="end"/>
            </w:r>
          </w:hyperlink>
        </w:p>
        <w:p w14:paraId="0CE08C78" w14:textId="3C04E833"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88" w:history="1">
            <w:r w:rsidRPr="00B363AA">
              <w:rPr>
                <w:rStyle w:val="Lienhypertexte"/>
              </w:rPr>
              <w:t>4.9.1.</w:t>
            </w:r>
            <w:r w:rsidRPr="00B363AA">
              <w:rPr>
                <w:rFonts w:asciiTheme="minorHAnsi" w:eastAsiaTheme="minorEastAsia" w:hAnsiTheme="minorHAnsi"/>
                <w:sz w:val="24"/>
                <w:lang w:eastAsia="fr-BE"/>
              </w:rPr>
              <w:tab/>
            </w:r>
            <w:r w:rsidRPr="00B363AA">
              <w:rPr>
                <w:rStyle w:val="Lienhypertexte"/>
              </w:rPr>
              <w:t>Fonctions</w:t>
            </w:r>
            <w:r w:rsidRPr="00B363AA">
              <w:rPr>
                <w:webHidden/>
              </w:rPr>
              <w:tab/>
            </w:r>
            <w:r w:rsidRPr="00B363AA">
              <w:rPr>
                <w:webHidden/>
              </w:rPr>
              <w:fldChar w:fldCharType="begin"/>
            </w:r>
            <w:r w:rsidRPr="00B363AA">
              <w:rPr>
                <w:webHidden/>
              </w:rPr>
              <w:instrText xml:space="preserve"> PAGEREF _Toc241242988 \h </w:instrText>
            </w:r>
            <w:r w:rsidRPr="00B363AA">
              <w:rPr>
                <w:webHidden/>
              </w:rPr>
            </w:r>
            <w:r w:rsidRPr="00B363AA">
              <w:rPr>
                <w:webHidden/>
              </w:rPr>
              <w:fldChar w:fldCharType="separate"/>
            </w:r>
            <w:r w:rsidRPr="00B363AA">
              <w:rPr>
                <w:webHidden/>
              </w:rPr>
              <w:t>35</w:t>
            </w:r>
            <w:r w:rsidRPr="00B363AA">
              <w:rPr>
                <w:webHidden/>
              </w:rPr>
              <w:fldChar w:fldCharType="end"/>
            </w:r>
          </w:hyperlink>
        </w:p>
        <w:p w14:paraId="1D799689" w14:textId="511E2FF2"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89" w:history="1">
            <w:r w:rsidRPr="00B363AA">
              <w:rPr>
                <w:rStyle w:val="Lienhypertexte"/>
              </w:rPr>
              <w:t>4.9.2.</w:t>
            </w:r>
            <w:r w:rsidRPr="00B363AA">
              <w:rPr>
                <w:rFonts w:asciiTheme="minorHAnsi" w:eastAsiaTheme="minorEastAsia" w:hAnsiTheme="minorHAnsi"/>
                <w:sz w:val="24"/>
                <w:lang w:eastAsia="fr-BE"/>
              </w:rPr>
              <w:tab/>
            </w:r>
            <w:r w:rsidRPr="00B363AA">
              <w:rPr>
                <w:rStyle w:val="Lienhypertexte"/>
              </w:rPr>
              <w:t>Contraintes</w:t>
            </w:r>
            <w:r w:rsidRPr="00B363AA">
              <w:rPr>
                <w:webHidden/>
              </w:rPr>
              <w:tab/>
            </w:r>
            <w:r w:rsidRPr="00B363AA">
              <w:rPr>
                <w:webHidden/>
              </w:rPr>
              <w:fldChar w:fldCharType="begin"/>
            </w:r>
            <w:r w:rsidRPr="00B363AA">
              <w:rPr>
                <w:webHidden/>
              </w:rPr>
              <w:instrText xml:space="preserve"> PAGEREF _Toc241242989 \h </w:instrText>
            </w:r>
            <w:r w:rsidRPr="00B363AA">
              <w:rPr>
                <w:webHidden/>
              </w:rPr>
            </w:r>
            <w:r w:rsidRPr="00B363AA">
              <w:rPr>
                <w:webHidden/>
              </w:rPr>
              <w:fldChar w:fldCharType="separate"/>
            </w:r>
            <w:r w:rsidRPr="00B363AA">
              <w:rPr>
                <w:webHidden/>
              </w:rPr>
              <w:t>36</w:t>
            </w:r>
            <w:r w:rsidRPr="00B363AA">
              <w:rPr>
                <w:webHidden/>
              </w:rPr>
              <w:fldChar w:fldCharType="end"/>
            </w:r>
          </w:hyperlink>
        </w:p>
        <w:p w14:paraId="5C90CF6C" w14:textId="4EE9427A"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90" w:history="1">
            <w:r w:rsidRPr="00B363AA">
              <w:rPr>
                <w:rStyle w:val="Lienhypertexte"/>
              </w:rPr>
              <w:t>4.9.3.</w:t>
            </w:r>
            <w:r w:rsidRPr="00B363AA">
              <w:rPr>
                <w:rFonts w:asciiTheme="minorHAnsi" w:eastAsiaTheme="minorEastAsia" w:hAnsiTheme="minorHAnsi"/>
                <w:sz w:val="24"/>
                <w:lang w:eastAsia="fr-BE"/>
              </w:rPr>
              <w:tab/>
            </w:r>
            <w:r w:rsidRPr="00B363AA">
              <w:rPr>
                <w:rStyle w:val="Lienhypertexte"/>
              </w:rPr>
              <w:t>Complément indicatif</w:t>
            </w:r>
            <w:r w:rsidRPr="00B363AA">
              <w:rPr>
                <w:webHidden/>
              </w:rPr>
              <w:tab/>
            </w:r>
            <w:r w:rsidRPr="00B363AA">
              <w:rPr>
                <w:webHidden/>
              </w:rPr>
              <w:fldChar w:fldCharType="begin"/>
            </w:r>
            <w:r w:rsidRPr="00B363AA">
              <w:rPr>
                <w:webHidden/>
              </w:rPr>
              <w:instrText xml:space="preserve"> PAGEREF _Toc241242990 \h </w:instrText>
            </w:r>
            <w:r w:rsidRPr="00B363AA">
              <w:rPr>
                <w:webHidden/>
              </w:rPr>
            </w:r>
            <w:r w:rsidRPr="00B363AA">
              <w:rPr>
                <w:webHidden/>
              </w:rPr>
              <w:fldChar w:fldCharType="separate"/>
            </w:r>
            <w:r w:rsidRPr="00B363AA">
              <w:rPr>
                <w:webHidden/>
              </w:rPr>
              <w:t>36</w:t>
            </w:r>
            <w:r w:rsidRPr="00B363AA">
              <w:rPr>
                <w:webHidden/>
              </w:rPr>
              <w:fldChar w:fldCharType="end"/>
            </w:r>
          </w:hyperlink>
        </w:p>
        <w:p w14:paraId="3A725147" w14:textId="7E4FD6EC" w:rsidR="0051081A" w:rsidRPr="00B363AA" w:rsidRDefault="0051081A">
          <w:pPr>
            <w:pStyle w:val="TM2"/>
            <w:tabs>
              <w:tab w:val="left" w:pos="1200"/>
              <w:tab w:val="right" w:leader="dot" w:pos="9060"/>
            </w:tabs>
            <w:rPr>
              <w:rFonts w:asciiTheme="minorHAnsi" w:eastAsiaTheme="minorEastAsia" w:hAnsiTheme="minorHAnsi"/>
              <w:sz w:val="24"/>
              <w:lang w:eastAsia="fr-BE"/>
            </w:rPr>
          </w:pPr>
          <w:hyperlink w:anchor="_Toc241242991" w:history="1">
            <w:r w:rsidRPr="00B363AA">
              <w:rPr>
                <w:rStyle w:val="Lienhypertexte"/>
                <w:rFonts w:cs="Calibri"/>
              </w:rPr>
              <w:t>4.10.</w:t>
            </w:r>
            <w:r w:rsidRPr="00B363AA">
              <w:rPr>
                <w:rFonts w:asciiTheme="minorHAnsi" w:eastAsiaTheme="minorEastAsia" w:hAnsiTheme="minorHAnsi"/>
                <w:sz w:val="24"/>
                <w:lang w:eastAsia="fr-BE"/>
              </w:rPr>
              <w:tab/>
            </w:r>
            <w:r w:rsidRPr="00B363AA">
              <w:rPr>
                <w:rStyle w:val="Lienhypertexte"/>
              </w:rPr>
              <w:t>Support pour les activités humaines</w:t>
            </w:r>
            <w:r w:rsidRPr="00B363AA">
              <w:rPr>
                <w:webHidden/>
              </w:rPr>
              <w:tab/>
            </w:r>
            <w:r w:rsidRPr="00B363AA">
              <w:rPr>
                <w:webHidden/>
              </w:rPr>
              <w:fldChar w:fldCharType="begin"/>
            </w:r>
            <w:r w:rsidRPr="00B363AA">
              <w:rPr>
                <w:webHidden/>
              </w:rPr>
              <w:instrText xml:space="preserve"> PAGEREF _Toc241242991 \h </w:instrText>
            </w:r>
            <w:r w:rsidRPr="00B363AA">
              <w:rPr>
                <w:webHidden/>
              </w:rPr>
            </w:r>
            <w:r w:rsidRPr="00B363AA">
              <w:rPr>
                <w:webHidden/>
              </w:rPr>
              <w:fldChar w:fldCharType="separate"/>
            </w:r>
            <w:r w:rsidRPr="00B363AA">
              <w:rPr>
                <w:webHidden/>
              </w:rPr>
              <w:t>36</w:t>
            </w:r>
            <w:r w:rsidRPr="00B363AA">
              <w:rPr>
                <w:webHidden/>
              </w:rPr>
              <w:fldChar w:fldCharType="end"/>
            </w:r>
          </w:hyperlink>
        </w:p>
        <w:p w14:paraId="4EA4F1F9" w14:textId="731502B9"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92" w:history="1">
            <w:r w:rsidRPr="00B363AA">
              <w:rPr>
                <w:rStyle w:val="Lienhypertexte"/>
              </w:rPr>
              <w:t>4.10.1.</w:t>
            </w:r>
            <w:r w:rsidRPr="00B363AA">
              <w:rPr>
                <w:rFonts w:asciiTheme="minorHAnsi" w:eastAsiaTheme="minorEastAsia" w:hAnsiTheme="minorHAnsi"/>
                <w:sz w:val="24"/>
                <w:lang w:eastAsia="fr-BE"/>
              </w:rPr>
              <w:tab/>
            </w:r>
            <w:r w:rsidRPr="00B363AA">
              <w:rPr>
                <w:rStyle w:val="Lienhypertexte"/>
              </w:rPr>
              <w:t>Zones perméables (non-scellées)</w:t>
            </w:r>
            <w:r w:rsidRPr="00B363AA">
              <w:rPr>
                <w:webHidden/>
              </w:rPr>
              <w:tab/>
            </w:r>
            <w:r w:rsidRPr="00B363AA">
              <w:rPr>
                <w:webHidden/>
              </w:rPr>
              <w:fldChar w:fldCharType="begin"/>
            </w:r>
            <w:r w:rsidRPr="00B363AA">
              <w:rPr>
                <w:webHidden/>
              </w:rPr>
              <w:instrText xml:space="preserve"> PAGEREF _Toc241242992 \h </w:instrText>
            </w:r>
            <w:r w:rsidRPr="00B363AA">
              <w:rPr>
                <w:webHidden/>
              </w:rPr>
            </w:r>
            <w:r w:rsidRPr="00B363AA">
              <w:rPr>
                <w:webHidden/>
              </w:rPr>
              <w:fldChar w:fldCharType="separate"/>
            </w:r>
            <w:r w:rsidRPr="00B363AA">
              <w:rPr>
                <w:webHidden/>
              </w:rPr>
              <w:t>36</w:t>
            </w:r>
            <w:r w:rsidRPr="00B363AA">
              <w:rPr>
                <w:webHidden/>
              </w:rPr>
              <w:fldChar w:fldCharType="end"/>
            </w:r>
          </w:hyperlink>
        </w:p>
        <w:p w14:paraId="28E3CDDA" w14:textId="5DC41295"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93" w:history="1">
            <w:r w:rsidRPr="00B363AA">
              <w:rPr>
                <w:rStyle w:val="Lienhypertexte"/>
              </w:rPr>
              <w:t>4.10.2.</w:t>
            </w:r>
            <w:r w:rsidRPr="00B363AA">
              <w:rPr>
                <w:rFonts w:asciiTheme="minorHAnsi" w:eastAsiaTheme="minorEastAsia" w:hAnsiTheme="minorHAnsi"/>
                <w:sz w:val="24"/>
                <w:lang w:eastAsia="fr-BE"/>
              </w:rPr>
              <w:tab/>
            </w:r>
            <w:r w:rsidRPr="00B363AA">
              <w:rPr>
                <w:rStyle w:val="Lienhypertexte"/>
              </w:rPr>
              <w:t>Zones imperméables (scellées)</w:t>
            </w:r>
            <w:r w:rsidRPr="00B363AA">
              <w:rPr>
                <w:webHidden/>
              </w:rPr>
              <w:tab/>
            </w:r>
            <w:r w:rsidRPr="00B363AA">
              <w:rPr>
                <w:webHidden/>
              </w:rPr>
              <w:fldChar w:fldCharType="begin"/>
            </w:r>
            <w:r w:rsidRPr="00B363AA">
              <w:rPr>
                <w:webHidden/>
              </w:rPr>
              <w:instrText xml:space="preserve"> PAGEREF _Toc241242993 \h </w:instrText>
            </w:r>
            <w:r w:rsidRPr="00B363AA">
              <w:rPr>
                <w:webHidden/>
              </w:rPr>
            </w:r>
            <w:r w:rsidRPr="00B363AA">
              <w:rPr>
                <w:webHidden/>
              </w:rPr>
              <w:fldChar w:fldCharType="separate"/>
            </w:r>
            <w:r w:rsidRPr="00B363AA">
              <w:rPr>
                <w:webHidden/>
              </w:rPr>
              <w:t>36</w:t>
            </w:r>
            <w:r w:rsidRPr="00B363AA">
              <w:rPr>
                <w:webHidden/>
              </w:rPr>
              <w:fldChar w:fldCharType="end"/>
            </w:r>
          </w:hyperlink>
        </w:p>
        <w:p w14:paraId="465CE95B" w14:textId="7D9B99FF" w:rsidR="0051081A" w:rsidRPr="00B363AA" w:rsidRDefault="0051081A">
          <w:pPr>
            <w:pStyle w:val="TM2"/>
            <w:tabs>
              <w:tab w:val="left" w:pos="1200"/>
              <w:tab w:val="right" w:leader="dot" w:pos="9060"/>
            </w:tabs>
            <w:rPr>
              <w:rFonts w:asciiTheme="minorHAnsi" w:eastAsiaTheme="minorEastAsia" w:hAnsiTheme="minorHAnsi"/>
              <w:sz w:val="24"/>
              <w:lang w:eastAsia="fr-BE"/>
            </w:rPr>
          </w:pPr>
          <w:hyperlink w:anchor="_Toc241242994" w:history="1">
            <w:r w:rsidRPr="00B363AA">
              <w:rPr>
                <w:rStyle w:val="Lienhypertexte"/>
                <w:rFonts w:cs="Calibri"/>
              </w:rPr>
              <w:t>4.11.</w:t>
            </w:r>
            <w:r w:rsidRPr="00B363AA">
              <w:rPr>
                <w:rFonts w:asciiTheme="minorHAnsi" w:eastAsiaTheme="minorEastAsia" w:hAnsiTheme="minorHAnsi"/>
                <w:sz w:val="24"/>
                <w:lang w:eastAsia="fr-BE"/>
              </w:rPr>
              <w:tab/>
            </w:r>
            <w:r w:rsidRPr="00B363AA">
              <w:rPr>
                <w:rStyle w:val="Lienhypertexte"/>
              </w:rPr>
              <w:t>Archivage du patrimoine</w:t>
            </w:r>
            <w:r w:rsidRPr="00B363AA">
              <w:rPr>
                <w:webHidden/>
              </w:rPr>
              <w:tab/>
            </w:r>
            <w:r w:rsidRPr="00B363AA">
              <w:rPr>
                <w:webHidden/>
              </w:rPr>
              <w:fldChar w:fldCharType="begin"/>
            </w:r>
            <w:r w:rsidRPr="00B363AA">
              <w:rPr>
                <w:webHidden/>
              </w:rPr>
              <w:instrText xml:space="preserve"> PAGEREF _Toc241242994 \h </w:instrText>
            </w:r>
            <w:r w:rsidRPr="00B363AA">
              <w:rPr>
                <w:webHidden/>
              </w:rPr>
            </w:r>
            <w:r w:rsidRPr="00B363AA">
              <w:rPr>
                <w:webHidden/>
              </w:rPr>
              <w:fldChar w:fldCharType="separate"/>
            </w:r>
            <w:r w:rsidRPr="00B363AA">
              <w:rPr>
                <w:webHidden/>
              </w:rPr>
              <w:t>37</w:t>
            </w:r>
            <w:r w:rsidRPr="00B363AA">
              <w:rPr>
                <w:webHidden/>
              </w:rPr>
              <w:fldChar w:fldCharType="end"/>
            </w:r>
          </w:hyperlink>
        </w:p>
        <w:p w14:paraId="757114A2" w14:textId="3B0BBE60" w:rsidR="0051081A" w:rsidRPr="00B363AA" w:rsidRDefault="0051081A">
          <w:pPr>
            <w:pStyle w:val="TM2"/>
            <w:tabs>
              <w:tab w:val="left" w:pos="1200"/>
              <w:tab w:val="right" w:leader="dot" w:pos="9060"/>
            </w:tabs>
            <w:rPr>
              <w:rFonts w:asciiTheme="minorHAnsi" w:eastAsiaTheme="minorEastAsia" w:hAnsiTheme="minorHAnsi"/>
              <w:sz w:val="24"/>
              <w:lang w:eastAsia="fr-BE"/>
            </w:rPr>
          </w:pPr>
          <w:hyperlink w:anchor="_Toc241242995" w:history="1">
            <w:r w:rsidRPr="00B363AA">
              <w:rPr>
                <w:rStyle w:val="Lienhypertexte"/>
                <w:rFonts w:cs="Calibri"/>
              </w:rPr>
              <w:t>4.12.</w:t>
            </w:r>
            <w:r w:rsidRPr="00B363AA">
              <w:rPr>
                <w:rFonts w:asciiTheme="minorHAnsi" w:eastAsiaTheme="minorEastAsia" w:hAnsiTheme="minorHAnsi"/>
                <w:sz w:val="24"/>
                <w:lang w:eastAsia="fr-BE"/>
              </w:rPr>
              <w:tab/>
            </w:r>
            <w:r w:rsidRPr="00B363AA">
              <w:rPr>
                <w:rStyle w:val="Lienhypertexte"/>
              </w:rPr>
              <w:t>Source de matières premières</w:t>
            </w:r>
            <w:r w:rsidRPr="00B363AA">
              <w:rPr>
                <w:webHidden/>
              </w:rPr>
              <w:tab/>
            </w:r>
            <w:r w:rsidRPr="00B363AA">
              <w:rPr>
                <w:webHidden/>
              </w:rPr>
              <w:fldChar w:fldCharType="begin"/>
            </w:r>
            <w:r w:rsidRPr="00B363AA">
              <w:rPr>
                <w:webHidden/>
              </w:rPr>
              <w:instrText xml:space="preserve"> PAGEREF _Toc241242995 \h </w:instrText>
            </w:r>
            <w:r w:rsidRPr="00B363AA">
              <w:rPr>
                <w:webHidden/>
              </w:rPr>
            </w:r>
            <w:r w:rsidRPr="00B363AA">
              <w:rPr>
                <w:webHidden/>
              </w:rPr>
              <w:fldChar w:fldCharType="separate"/>
            </w:r>
            <w:r w:rsidRPr="00B363AA">
              <w:rPr>
                <w:webHidden/>
              </w:rPr>
              <w:t>37</w:t>
            </w:r>
            <w:r w:rsidRPr="00B363AA">
              <w:rPr>
                <w:webHidden/>
              </w:rPr>
              <w:fldChar w:fldCharType="end"/>
            </w:r>
          </w:hyperlink>
        </w:p>
        <w:p w14:paraId="0E317D1F" w14:textId="4808DCF0" w:rsidR="0051081A" w:rsidRPr="00B363AA" w:rsidRDefault="0051081A">
          <w:pPr>
            <w:pStyle w:val="TM1"/>
            <w:tabs>
              <w:tab w:val="left" w:pos="480"/>
              <w:tab w:val="right" w:leader="dot" w:pos="9060"/>
            </w:tabs>
            <w:rPr>
              <w:rFonts w:asciiTheme="minorHAnsi" w:eastAsiaTheme="minorEastAsia" w:hAnsiTheme="minorHAnsi"/>
              <w:sz w:val="24"/>
              <w:lang w:eastAsia="fr-BE"/>
            </w:rPr>
          </w:pPr>
          <w:hyperlink w:anchor="_Toc241242996" w:history="1">
            <w:r w:rsidRPr="00B363AA">
              <w:rPr>
                <w:rStyle w:val="Lienhypertexte"/>
              </w:rPr>
              <w:t>5.</w:t>
            </w:r>
            <w:r w:rsidRPr="00B363AA">
              <w:rPr>
                <w:rFonts w:asciiTheme="minorHAnsi" w:eastAsiaTheme="minorEastAsia" w:hAnsiTheme="minorHAnsi"/>
                <w:sz w:val="24"/>
                <w:lang w:eastAsia="fr-BE"/>
              </w:rPr>
              <w:tab/>
            </w:r>
            <w:r w:rsidRPr="00B363AA">
              <w:rPr>
                <w:rStyle w:val="Lienhypertexte"/>
              </w:rPr>
              <w:t>Résultats du diagnostic</w:t>
            </w:r>
            <w:r w:rsidRPr="00B363AA">
              <w:rPr>
                <w:webHidden/>
              </w:rPr>
              <w:tab/>
            </w:r>
            <w:r w:rsidRPr="00B363AA">
              <w:rPr>
                <w:webHidden/>
              </w:rPr>
              <w:fldChar w:fldCharType="begin"/>
            </w:r>
            <w:r w:rsidRPr="00B363AA">
              <w:rPr>
                <w:webHidden/>
              </w:rPr>
              <w:instrText xml:space="preserve"> PAGEREF _Toc241242996 \h </w:instrText>
            </w:r>
            <w:r w:rsidRPr="00B363AA">
              <w:rPr>
                <w:webHidden/>
              </w:rPr>
            </w:r>
            <w:r w:rsidRPr="00B363AA">
              <w:rPr>
                <w:webHidden/>
              </w:rPr>
              <w:fldChar w:fldCharType="separate"/>
            </w:r>
            <w:r w:rsidRPr="00B363AA">
              <w:rPr>
                <w:webHidden/>
              </w:rPr>
              <w:t>37</w:t>
            </w:r>
            <w:r w:rsidRPr="00B363AA">
              <w:rPr>
                <w:webHidden/>
              </w:rPr>
              <w:fldChar w:fldCharType="end"/>
            </w:r>
          </w:hyperlink>
        </w:p>
        <w:p w14:paraId="1B99C1E4" w14:textId="77F9E9AB"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2997" w:history="1">
            <w:r w:rsidRPr="00B363AA">
              <w:rPr>
                <w:rStyle w:val="Lienhypertexte"/>
                <w:rFonts w:cs="Calibri"/>
              </w:rPr>
              <w:t>5.1.</w:t>
            </w:r>
            <w:r w:rsidRPr="00B363AA">
              <w:rPr>
                <w:rFonts w:asciiTheme="minorHAnsi" w:eastAsiaTheme="minorEastAsia" w:hAnsiTheme="minorHAnsi"/>
                <w:sz w:val="24"/>
                <w:lang w:eastAsia="fr-BE"/>
              </w:rPr>
              <w:tab/>
            </w:r>
            <w:r w:rsidRPr="00B363AA">
              <w:rPr>
                <w:rStyle w:val="Lienhypertexte"/>
              </w:rPr>
              <w:t>Calcul des scores de services écosystémiques</w:t>
            </w:r>
            <w:r w:rsidRPr="00B363AA">
              <w:rPr>
                <w:webHidden/>
              </w:rPr>
              <w:tab/>
            </w:r>
            <w:r w:rsidRPr="00B363AA">
              <w:rPr>
                <w:webHidden/>
              </w:rPr>
              <w:fldChar w:fldCharType="begin"/>
            </w:r>
            <w:r w:rsidRPr="00B363AA">
              <w:rPr>
                <w:webHidden/>
              </w:rPr>
              <w:instrText xml:space="preserve"> PAGEREF _Toc241242997 \h </w:instrText>
            </w:r>
            <w:r w:rsidRPr="00B363AA">
              <w:rPr>
                <w:webHidden/>
              </w:rPr>
            </w:r>
            <w:r w:rsidRPr="00B363AA">
              <w:rPr>
                <w:webHidden/>
              </w:rPr>
              <w:fldChar w:fldCharType="separate"/>
            </w:r>
            <w:r w:rsidRPr="00B363AA">
              <w:rPr>
                <w:webHidden/>
              </w:rPr>
              <w:t>37</w:t>
            </w:r>
            <w:r w:rsidRPr="00B363AA">
              <w:rPr>
                <w:webHidden/>
              </w:rPr>
              <w:fldChar w:fldCharType="end"/>
            </w:r>
          </w:hyperlink>
        </w:p>
        <w:p w14:paraId="74B00112" w14:textId="3F497109"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98" w:history="1">
            <w:r w:rsidRPr="00B363AA">
              <w:rPr>
                <w:rStyle w:val="Lienhypertexte"/>
              </w:rPr>
              <w:t>5.1.1.</w:t>
            </w:r>
            <w:r w:rsidRPr="00B363AA">
              <w:rPr>
                <w:rFonts w:asciiTheme="minorHAnsi" w:eastAsiaTheme="minorEastAsia" w:hAnsiTheme="minorHAnsi"/>
                <w:sz w:val="24"/>
                <w:lang w:eastAsia="fr-BE"/>
              </w:rPr>
              <w:tab/>
            </w:r>
            <w:r w:rsidRPr="00B363AA">
              <w:rPr>
                <w:rStyle w:val="Lienhypertexte"/>
              </w:rPr>
              <w:t>Synthèse des indicateurs</w:t>
            </w:r>
            <w:r w:rsidRPr="00B363AA">
              <w:rPr>
                <w:webHidden/>
              </w:rPr>
              <w:tab/>
            </w:r>
            <w:r w:rsidRPr="00B363AA">
              <w:rPr>
                <w:webHidden/>
              </w:rPr>
              <w:fldChar w:fldCharType="begin"/>
            </w:r>
            <w:r w:rsidRPr="00B363AA">
              <w:rPr>
                <w:webHidden/>
              </w:rPr>
              <w:instrText xml:space="preserve"> PAGEREF _Toc241242998 \h </w:instrText>
            </w:r>
            <w:r w:rsidRPr="00B363AA">
              <w:rPr>
                <w:webHidden/>
              </w:rPr>
            </w:r>
            <w:r w:rsidRPr="00B363AA">
              <w:rPr>
                <w:webHidden/>
              </w:rPr>
              <w:fldChar w:fldCharType="separate"/>
            </w:r>
            <w:r w:rsidRPr="00B363AA">
              <w:rPr>
                <w:webHidden/>
              </w:rPr>
              <w:t>37</w:t>
            </w:r>
            <w:r w:rsidRPr="00B363AA">
              <w:rPr>
                <w:webHidden/>
              </w:rPr>
              <w:fldChar w:fldCharType="end"/>
            </w:r>
          </w:hyperlink>
        </w:p>
        <w:p w14:paraId="1F26070D" w14:textId="4163F50B"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2999" w:history="1">
            <w:r w:rsidRPr="00B363AA">
              <w:rPr>
                <w:rStyle w:val="Lienhypertexte"/>
              </w:rPr>
              <w:t>5.1.2.</w:t>
            </w:r>
            <w:r w:rsidRPr="00B363AA">
              <w:rPr>
                <w:rFonts w:asciiTheme="minorHAnsi" w:eastAsiaTheme="minorEastAsia" w:hAnsiTheme="minorHAnsi"/>
                <w:sz w:val="24"/>
                <w:lang w:eastAsia="fr-BE"/>
              </w:rPr>
              <w:tab/>
            </w:r>
            <w:r w:rsidRPr="00B363AA">
              <w:rPr>
                <w:rStyle w:val="Lienhypertexte"/>
              </w:rPr>
              <w:t>Agrégation des indicateurs</w:t>
            </w:r>
            <w:r w:rsidRPr="00B363AA">
              <w:rPr>
                <w:webHidden/>
              </w:rPr>
              <w:tab/>
            </w:r>
            <w:r w:rsidRPr="00B363AA">
              <w:rPr>
                <w:webHidden/>
              </w:rPr>
              <w:fldChar w:fldCharType="begin"/>
            </w:r>
            <w:r w:rsidRPr="00B363AA">
              <w:rPr>
                <w:webHidden/>
              </w:rPr>
              <w:instrText xml:space="preserve"> PAGEREF _Toc241242999 \h </w:instrText>
            </w:r>
            <w:r w:rsidRPr="00B363AA">
              <w:rPr>
                <w:webHidden/>
              </w:rPr>
            </w:r>
            <w:r w:rsidRPr="00B363AA">
              <w:rPr>
                <w:webHidden/>
              </w:rPr>
              <w:fldChar w:fldCharType="separate"/>
            </w:r>
            <w:r w:rsidRPr="00B363AA">
              <w:rPr>
                <w:webHidden/>
              </w:rPr>
              <w:t>39</w:t>
            </w:r>
            <w:r w:rsidRPr="00B363AA">
              <w:rPr>
                <w:webHidden/>
              </w:rPr>
              <w:fldChar w:fldCharType="end"/>
            </w:r>
          </w:hyperlink>
        </w:p>
        <w:p w14:paraId="10E94CC6" w14:textId="063F910E"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3000" w:history="1">
            <w:r w:rsidRPr="00B363AA">
              <w:rPr>
                <w:rStyle w:val="Lienhypertexte"/>
                <w:rFonts w:cs="Calibri"/>
              </w:rPr>
              <w:t>5.2.</w:t>
            </w:r>
            <w:r w:rsidRPr="00B363AA">
              <w:rPr>
                <w:rFonts w:asciiTheme="minorHAnsi" w:eastAsiaTheme="minorEastAsia" w:hAnsiTheme="minorHAnsi"/>
                <w:sz w:val="24"/>
                <w:lang w:eastAsia="fr-BE"/>
              </w:rPr>
              <w:tab/>
            </w:r>
            <w:r w:rsidRPr="00B363AA">
              <w:rPr>
                <w:rStyle w:val="Lienhypertexte"/>
              </w:rPr>
              <w:t>Agrégation en score IQSW-pro global</w:t>
            </w:r>
            <w:r w:rsidRPr="00B363AA">
              <w:rPr>
                <w:webHidden/>
              </w:rPr>
              <w:tab/>
            </w:r>
            <w:r w:rsidRPr="00B363AA">
              <w:rPr>
                <w:webHidden/>
              </w:rPr>
              <w:fldChar w:fldCharType="begin"/>
            </w:r>
            <w:r w:rsidRPr="00B363AA">
              <w:rPr>
                <w:webHidden/>
              </w:rPr>
              <w:instrText xml:space="preserve"> PAGEREF _Toc241243000 \h </w:instrText>
            </w:r>
            <w:r w:rsidRPr="00B363AA">
              <w:rPr>
                <w:webHidden/>
              </w:rPr>
            </w:r>
            <w:r w:rsidRPr="00B363AA">
              <w:rPr>
                <w:webHidden/>
              </w:rPr>
              <w:fldChar w:fldCharType="separate"/>
            </w:r>
            <w:r w:rsidRPr="00B363AA">
              <w:rPr>
                <w:webHidden/>
              </w:rPr>
              <w:t>42</w:t>
            </w:r>
            <w:r w:rsidRPr="00B363AA">
              <w:rPr>
                <w:webHidden/>
              </w:rPr>
              <w:fldChar w:fldCharType="end"/>
            </w:r>
          </w:hyperlink>
        </w:p>
        <w:p w14:paraId="6133139B" w14:textId="25396C93"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3001" w:history="1">
            <w:r w:rsidRPr="00B363AA">
              <w:rPr>
                <w:rStyle w:val="Lienhypertexte"/>
              </w:rPr>
              <w:t>5.2.1.</w:t>
            </w:r>
            <w:r w:rsidRPr="00B363AA">
              <w:rPr>
                <w:rFonts w:asciiTheme="minorHAnsi" w:eastAsiaTheme="minorEastAsia" w:hAnsiTheme="minorHAnsi"/>
                <w:sz w:val="24"/>
                <w:lang w:eastAsia="fr-BE"/>
              </w:rPr>
              <w:tab/>
            </w:r>
            <w:r w:rsidRPr="00B363AA">
              <w:rPr>
                <w:rStyle w:val="Lienhypertexte"/>
              </w:rPr>
              <w:t>Délimitation des usages</w:t>
            </w:r>
            <w:r w:rsidRPr="00B363AA">
              <w:rPr>
                <w:webHidden/>
              </w:rPr>
              <w:tab/>
            </w:r>
            <w:r w:rsidRPr="00B363AA">
              <w:rPr>
                <w:webHidden/>
              </w:rPr>
              <w:fldChar w:fldCharType="begin"/>
            </w:r>
            <w:r w:rsidRPr="00B363AA">
              <w:rPr>
                <w:webHidden/>
              </w:rPr>
              <w:instrText xml:space="preserve"> PAGEREF _Toc241243001 \h </w:instrText>
            </w:r>
            <w:r w:rsidRPr="00B363AA">
              <w:rPr>
                <w:webHidden/>
              </w:rPr>
            </w:r>
            <w:r w:rsidRPr="00B363AA">
              <w:rPr>
                <w:webHidden/>
              </w:rPr>
              <w:fldChar w:fldCharType="separate"/>
            </w:r>
            <w:r w:rsidRPr="00B363AA">
              <w:rPr>
                <w:webHidden/>
              </w:rPr>
              <w:t>42</w:t>
            </w:r>
            <w:r w:rsidRPr="00B363AA">
              <w:rPr>
                <w:webHidden/>
              </w:rPr>
              <w:fldChar w:fldCharType="end"/>
            </w:r>
          </w:hyperlink>
        </w:p>
        <w:p w14:paraId="7F840CAD" w14:textId="54A97FD6"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3002" w:history="1">
            <w:r w:rsidRPr="00B363AA">
              <w:rPr>
                <w:rStyle w:val="Lienhypertexte"/>
              </w:rPr>
              <w:t>5.2.2.</w:t>
            </w:r>
            <w:r w:rsidRPr="00B363AA">
              <w:rPr>
                <w:rFonts w:asciiTheme="minorHAnsi" w:eastAsiaTheme="minorEastAsia" w:hAnsiTheme="minorHAnsi"/>
                <w:sz w:val="24"/>
                <w:lang w:eastAsia="fr-BE"/>
              </w:rPr>
              <w:tab/>
            </w:r>
            <w:r w:rsidRPr="00B363AA">
              <w:rPr>
                <w:rStyle w:val="Lienhypertexte"/>
              </w:rPr>
              <w:t>Pondération des services dans l’usage</w:t>
            </w:r>
            <w:r w:rsidRPr="00B363AA">
              <w:rPr>
                <w:webHidden/>
              </w:rPr>
              <w:tab/>
            </w:r>
            <w:r w:rsidRPr="00B363AA">
              <w:rPr>
                <w:webHidden/>
              </w:rPr>
              <w:fldChar w:fldCharType="begin"/>
            </w:r>
            <w:r w:rsidRPr="00B363AA">
              <w:rPr>
                <w:webHidden/>
              </w:rPr>
              <w:instrText xml:space="preserve"> PAGEREF _Toc241243002 \h </w:instrText>
            </w:r>
            <w:r w:rsidRPr="00B363AA">
              <w:rPr>
                <w:webHidden/>
              </w:rPr>
            </w:r>
            <w:r w:rsidRPr="00B363AA">
              <w:rPr>
                <w:webHidden/>
              </w:rPr>
              <w:fldChar w:fldCharType="separate"/>
            </w:r>
            <w:r w:rsidRPr="00B363AA">
              <w:rPr>
                <w:webHidden/>
              </w:rPr>
              <w:t>43</w:t>
            </w:r>
            <w:r w:rsidRPr="00B363AA">
              <w:rPr>
                <w:webHidden/>
              </w:rPr>
              <w:fldChar w:fldCharType="end"/>
            </w:r>
          </w:hyperlink>
        </w:p>
        <w:p w14:paraId="07E75438" w14:textId="02DAB40C"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3003" w:history="1">
            <w:r w:rsidRPr="00B363AA">
              <w:rPr>
                <w:rStyle w:val="Lienhypertexte"/>
                <w:rFonts w:cs="Calibri"/>
              </w:rPr>
              <w:t>5.3.</w:t>
            </w:r>
            <w:r w:rsidRPr="00B363AA">
              <w:rPr>
                <w:rFonts w:asciiTheme="minorHAnsi" w:eastAsiaTheme="minorEastAsia" w:hAnsiTheme="minorHAnsi"/>
                <w:sz w:val="24"/>
                <w:lang w:eastAsia="fr-BE"/>
              </w:rPr>
              <w:tab/>
            </w:r>
            <w:r w:rsidRPr="00B363AA">
              <w:rPr>
                <w:rStyle w:val="Lienhypertexte"/>
              </w:rPr>
              <w:t>Intégration dans les évaluations environnementales</w:t>
            </w:r>
            <w:r w:rsidRPr="00B363AA">
              <w:rPr>
                <w:webHidden/>
              </w:rPr>
              <w:tab/>
            </w:r>
            <w:r w:rsidRPr="00B363AA">
              <w:rPr>
                <w:webHidden/>
              </w:rPr>
              <w:fldChar w:fldCharType="begin"/>
            </w:r>
            <w:r w:rsidRPr="00B363AA">
              <w:rPr>
                <w:webHidden/>
              </w:rPr>
              <w:instrText xml:space="preserve"> PAGEREF _Toc241243003 \h </w:instrText>
            </w:r>
            <w:r w:rsidRPr="00B363AA">
              <w:rPr>
                <w:webHidden/>
              </w:rPr>
            </w:r>
            <w:r w:rsidRPr="00B363AA">
              <w:rPr>
                <w:webHidden/>
              </w:rPr>
              <w:fldChar w:fldCharType="separate"/>
            </w:r>
            <w:r w:rsidRPr="00B363AA">
              <w:rPr>
                <w:webHidden/>
              </w:rPr>
              <w:t>45</w:t>
            </w:r>
            <w:r w:rsidRPr="00B363AA">
              <w:rPr>
                <w:webHidden/>
              </w:rPr>
              <w:fldChar w:fldCharType="end"/>
            </w:r>
          </w:hyperlink>
        </w:p>
        <w:p w14:paraId="50969620" w14:textId="1445B8AE"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3004" w:history="1">
            <w:r w:rsidRPr="00B363AA">
              <w:rPr>
                <w:rStyle w:val="Lienhypertexte"/>
              </w:rPr>
              <w:t>5.3.1.</w:t>
            </w:r>
            <w:r w:rsidRPr="00B363AA">
              <w:rPr>
                <w:rFonts w:asciiTheme="minorHAnsi" w:eastAsiaTheme="minorEastAsia" w:hAnsiTheme="minorHAnsi"/>
                <w:sz w:val="24"/>
                <w:lang w:eastAsia="fr-BE"/>
              </w:rPr>
              <w:tab/>
            </w:r>
            <w:r w:rsidRPr="00B363AA">
              <w:rPr>
                <w:rStyle w:val="Lienhypertexte"/>
              </w:rPr>
              <w:t>Exemples d’implémentations concrètes (à l’étranger)</w:t>
            </w:r>
            <w:r w:rsidRPr="00B363AA">
              <w:rPr>
                <w:webHidden/>
              </w:rPr>
              <w:tab/>
            </w:r>
            <w:r w:rsidRPr="00B363AA">
              <w:rPr>
                <w:webHidden/>
              </w:rPr>
              <w:fldChar w:fldCharType="begin"/>
            </w:r>
            <w:r w:rsidRPr="00B363AA">
              <w:rPr>
                <w:webHidden/>
              </w:rPr>
              <w:instrText xml:space="preserve"> PAGEREF _Toc241243004 \h </w:instrText>
            </w:r>
            <w:r w:rsidRPr="00B363AA">
              <w:rPr>
                <w:webHidden/>
              </w:rPr>
            </w:r>
            <w:r w:rsidRPr="00B363AA">
              <w:rPr>
                <w:webHidden/>
              </w:rPr>
              <w:fldChar w:fldCharType="separate"/>
            </w:r>
            <w:r w:rsidRPr="00B363AA">
              <w:rPr>
                <w:webHidden/>
              </w:rPr>
              <w:t>45</w:t>
            </w:r>
            <w:r w:rsidRPr="00B363AA">
              <w:rPr>
                <w:webHidden/>
              </w:rPr>
              <w:fldChar w:fldCharType="end"/>
            </w:r>
          </w:hyperlink>
        </w:p>
        <w:p w14:paraId="3C0A22CA" w14:textId="696107A1"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3005" w:history="1">
            <w:r w:rsidRPr="00B363AA">
              <w:rPr>
                <w:rStyle w:val="Lienhypertexte"/>
              </w:rPr>
              <w:t>5.3.2.</w:t>
            </w:r>
            <w:r w:rsidRPr="00B363AA">
              <w:rPr>
                <w:rFonts w:asciiTheme="minorHAnsi" w:eastAsiaTheme="minorEastAsia" w:hAnsiTheme="minorHAnsi"/>
                <w:sz w:val="24"/>
                <w:lang w:eastAsia="fr-BE"/>
              </w:rPr>
              <w:tab/>
            </w:r>
            <w:r w:rsidRPr="00B363AA">
              <w:rPr>
                <w:rStyle w:val="Lienhypertexte"/>
              </w:rPr>
              <w:t>Transposition au contexte wallon</w:t>
            </w:r>
            <w:r w:rsidRPr="00B363AA">
              <w:rPr>
                <w:webHidden/>
              </w:rPr>
              <w:tab/>
            </w:r>
            <w:r w:rsidRPr="00B363AA">
              <w:rPr>
                <w:webHidden/>
              </w:rPr>
              <w:fldChar w:fldCharType="begin"/>
            </w:r>
            <w:r w:rsidRPr="00B363AA">
              <w:rPr>
                <w:webHidden/>
              </w:rPr>
              <w:instrText xml:space="preserve"> PAGEREF _Toc241243005 \h </w:instrText>
            </w:r>
            <w:r w:rsidRPr="00B363AA">
              <w:rPr>
                <w:webHidden/>
              </w:rPr>
            </w:r>
            <w:r w:rsidRPr="00B363AA">
              <w:rPr>
                <w:webHidden/>
              </w:rPr>
              <w:fldChar w:fldCharType="separate"/>
            </w:r>
            <w:r w:rsidRPr="00B363AA">
              <w:rPr>
                <w:webHidden/>
              </w:rPr>
              <w:t>46</w:t>
            </w:r>
            <w:r w:rsidRPr="00B363AA">
              <w:rPr>
                <w:webHidden/>
              </w:rPr>
              <w:fldChar w:fldCharType="end"/>
            </w:r>
          </w:hyperlink>
        </w:p>
        <w:p w14:paraId="6BE57F10" w14:textId="0DC41044"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3006" w:history="1">
            <w:r w:rsidRPr="00B363AA">
              <w:rPr>
                <w:rStyle w:val="Lienhypertexte"/>
                <w:rFonts w:cs="Calibri"/>
              </w:rPr>
              <w:t>5.4.</w:t>
            </w:r>
            <w:r w:rsidRPr="00B363AA">
              <w:rPr>
                <w:rFonts w:asciiTheme="minorHAnsi" w:eastAsiaTheme="minorEastAsia" w:hAnsiTheme="minorHAnsi"/>
                <w:sz w:val="24"/>
                <w:lang w:eastAsia="fr-BE"/>
              </w:rPr>
              <w:tab/>
            </w:r>
            <w:r w:rsidRPr="00B363AA">
              <w:rPr>
                <w:rStyle w:val="Lienhypertexte"/>
              </w:rPr>
              <w:t>Évaluation d’impact dans le cas des études sur projet</w:t>
            </w:r>
            <w:r w:rsidRPr="00B363AA">
              <w:rPr>
                <w:webHidden/>
              </w:rPr>
              <w:tab/>
            </w:r>
            <w:r w:rsidRPr="00B363AA">
              <w:rPr>
                <w:webHidden/>
              </w:rPr>
              <w:fldChar w:fldCharType="begin"/>
            </w:r>
            <w:r w:rsidRPr="00B363AA">
              <w:rPr>
                <w:webHidden/>
              </w:rPr>
              <w:instrText xml:space="preserve"> PAGEREF _Toc241243006 \h </w:instrText>
            </w:r>
            <w:r w:rsidRPr="00B363AA">
              <w:rPr>
                <w:webHidden/>
              </w:rPr>
            </w:r>
            <w:r w:rsidRPr="00B363AA">
              <w:rPr>
                <w:webHidden/>
              </w:rPr>
              <w:fldChar w:fldCharType="separate"/>
            </w:r>
            <w:r w:rsidRPr="00B363AA">
              <w:rPr>
                <w:webHidden/>
              </w:rPr>
              <w:t>47</w:t>
            </w:r>
            <w:r w:rsidRPr="00B363AA">
              <w:rPr>
                <w:webHidden/>
              </w:rPr>
              <w:fldChar w:fldCharType="end"/>
            </w:r>
          </w:hyperlink>
        </w:p>
        <w:p w14:paraId="5E48874A" w14:textId="5A4D143B"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3007" w:history="1">
            <w:r w:rsidRPr="00B363AA">
              <w:rPr>
                <w:rStyle w:val="Lienhypertexte"/>
              </w:rPr>
              <w:t>5.4.1.</w:t>
            </w:r>
            <w:r w:rsidRPr="00B363AA">
              <w:rPr>
                <w:rFonts w:asciiTheme="minorHAnsi" w:eastAsiaTheme="minorEastAsia" w:hAnsiTheme="minorHAnsi"/>
                <w:sz w:val="24"/>
                <w:lang w:eastAsia="fr-BE"/>
              </w:rPr>
              <w:tab/>
            </w:r>
            <w:r w:rsidRPr="00B363AA">
              <w:rPr>
                <w:rStyle w:val="Lienhypertexte"/>
              </w:rPr>
              <w:t>Bilan avant-après projet</w:t>
            </w:r>
            <w:r w:rsidRPr="00B363AA">
              <w:rPr>
                <w:webHidden/>
              </w:rPr>
              <w:tab/>
            </w:r>
            <w:r w:rsidRPr="00B363AA">
              <w:rPr>
                <w:webHidden/>
              </w:rPr>
              <w:fldChar w:fldCharType="begin"/>
            </w:r>
            <w:r w:rsidRPr="00B363AA">
              <w:rPr>
                <w:webHidden/>
              </w:rPr>
              <w:instrText xml:space="preserve"> PAGEREF _Toc241243007 \h </w:instrText>
            </w:r>
            <w:r w:rsidRPr="00B363AA">
              <w:rPr>
                <w:webHidden/>
              </w:rPr>
            </w:r>
            <w:r w:rsidRPr="00B363AA">
              <w:rPr>
                <w:webHidden/>
              </w:rPr>
              <w:fldChar w:fldCharType="separate"/>
            </w:r>
            <w:r w:rsidRPr="00B363AA">
              <w:rPr>
                <w:webHidden/>
              </w:rPr>
              <w:t>47</w:t>
            </w:r>
            <w:r w:rsidRPr="00B363AA">
              <w:rPr>
                <w:webHidden/>
              </w:rPr>
              <w:fldChar w:fldCharType="end"/>
            </w:r>
          </w:hyperlink>
        </w:p>
        <w:p w14:paraId="1F7B131A" w14:textId="663F1C50"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3008" w:history="1">
            <w:r w:rsidRPr="00B363AA">
              <w:rPr>
                <w:rStyle w:val="Lienhypertexte"/>
              </w:rPr>
              <w:t>5.4.2.</w:t>
            </w:r>
            <w:r w:rsidRPr="00B363AA">
              <w:rPr>
                <w:rFonts w:asciiTheme="minorHAnsi" w:eastAsiaTheme="minorEastAsia" w:hAnsiTheme="minorHAnsi"/>
                <w:sz w:val="24"/>
                <w:lang w:eastAsia="fr-BE"/>
              </w:rPr>
              <w:tab/>
            </w:r>
            <w:r w:rsidRPr="00B363AA">
              <w:rPr>
                <w:rStyle w:val="Lienhypertexte"/>
              </w:rPr>
              <w:t>Zonage du site</w:t>
            </w:r>
            <w:r w:rsidRPr="00B363AA">
              <w:rPr>
                <w:webHidden/>
              </w:rPr>
              <w:tab/>
            </w:r>
            <w:r w:rsidRPr="00B363AA">
              <w:rPr>
                <w:webHidden/>
              </w:rPr>
              <w:fldChar w:fldCharType="begin"/>
            </w:r>
            <w:r w:rsidRPr="00B363AA">
              <w:rPr>
                <w:webHidden/>
              </w:rPr>
              <w:instrText xml:space="preserve"> PAGEREF _Toc241243008 \h </w:instrText>
            </w:r>
            <w:r w:rsidRPr="00B363AA">
              <w:rPr>
                <w:webHidden/>
              </w:rPr>
            </w:r>
            <w:r w:rsidRPr="00B363AA">
              <w:rPr>
                <w:webHidden/>
              </w:rPr>
              <w:fldChar w:fldCharType="separate"/>
            </w:r>
            <w:r w:rsidRPr="00B363AA">
              <w:rPr>
                <w:webHidden/>
              </w:rPr>
              <w:t>48</w:t>
            </w:r>
            <w:r w:rsidRPr="00B363AA">
              <w:rPr>
                <w:webHidden/>
              </w:rPr>
              <w:fldChar w:fldCharType="end"/>
            </w:r>
          </w:hyperlink>
        </w:p>
        <w:p w14:paraId="4F989187" w14:textId="695FA4FD"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3009" w:history="1">
            <w:r w:rsidRPr="00B363AA">
              <w:rPr>
                <w:rStyle w:val="Lienhypertexte"/>
              </w:rPr>
              <w:t>5.4.3.</w:t>
            </w:r>
            <w:r w:rsidRPr="00B363AA">
              <w:rPr>
                <w:rFonts w:asciiTheme="minorHAnsi" w:eastAsiaTheme="minorEastAsia" w:hAnsiTheme="minorHAnsi"/>
                <w:sz w:val="24"/>
                <w:lang w:eastAsia="fr-BE"/>
              </w:rPr>
              <w:tab/>
            </w:r>
            <w:r w:rsidRPr="00B363AA">
              <w:rPr>
                <w:rStyle w:val="Lienhypertexte"/>
              </w:rPr>
              <w:t>Évaluation du capital sol actuel (pré-projet)</w:t>
            </w:r>
            <w:r w:rsidRPr="00B363AA">
              <w:rPr>
                <w:webHidden/>
              </w:rPr>
              <w:tab/>
            </w:r>
            <w:r w:rsidRPr="00B363AA">
              <w:rPr>
                <w:webHidden/>
              </w:rPr>
              <w:fldChar w:fldCharType="begin"/>
            </w:r>
            <w:r w:rsidRPr="00B363AA">
              <w:rPr>
                <w:webHidden/>
              </w:rPr>
              <w:instrText xml:space="preserve"> PAGEREF _Toc241243009 \h </w:instrText>
            </w:r>
            <w:r w:rsidRPr="00B363AA">
              <w:rPr>
                <w:webHidden/>
              </w:rPr>
            </w:r>
            <w:r w:rsidRPr="00B363AA">
              <w:rPr>
                <w:webHidden/>
              </w:rPr>
              <w:fldChar w:fldCharType="separate"/>
            </w:r>
            <w:r w:rsidRPr="00B363AA">
              <w:rPr>
                <w:webHidden/>
              </w:rPr>
              <w:t>48</w:t>
            </w:r>
            <w:r w:rsidRPr="00B363AA">
              <w:rPr>
                <w:webHidden/>
              </w:rPr>
              <w:fldChar w:fldCharType="end"/>
            </w:r>
          </w:hyperlink>
        </w:p>
        <w:p w14:paraId="2B13D404" w14:textId="3D196B7F"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3010" w:history="1">
            <w:r w:rsidRPr="00B363AA">
              <w:rPr>
                <w:rStyle w:val="Lienhypertexte"/>
              </w:rPr>
              <w:t>5.4.4.</w:t>
            </w:r>
            <w:r w:rsidRPr="00B363AA">
              <w:rPr>
                <w:rFonts w:asciiTheme="minorHAnsi" w:eastAsiaTheme="minorEastAsia" w:hAnsiTheme="minorHAnsi"/>
                <w:sz w:val="24"/>
                <w:lang w:eastAsia="fr-BE"/>
              </w:rPr>
              <w:tab/>
            </w:r>
            <w:r w:rsidRPr="00B363AA">
              <w:rPr>
                <w:rStyle w:val="Lienhypertexte"/>
              </w:rPr>
              <w:t>Évaluation du capital sol projeté (post-projet)</w:t>
            </w:r>
            <w:r w:rsidRPr="00B363AA">
              <w:rPr>
                <w:webHidden/>
              </w:rPr>
              <w:tab/>
            </w:r>
            <w:r w:rsidRPr="00B363AA">
              <w:rPr>
                <w:webHidden/>
              </w:rPr>
              <w:fldChar w:fldCharType="begin"/>
            </w:r>
            <w:r w:rsidRPr="00B363AA">
              <w:rPr>
                <w:webHidden/>
              </w:rPr>
              <w:instrText xml:space="preserve"> PAGEREF _Toc241243010 \h </w:instrText>
            </w:r>
            <w:r w:rsidRPr="00B363AA">
              <w:rPr>
                <w:webHidden/>
              </w:rPr>
            </w:r>
            <w:r w:rsidRPr="00B363AA">
              <w:rPr>
                <w:webHidden/>
              </w:rPr>
              <w:fldChar w:fldCharType="separate"/>
            </w:r>
            <w:r w:rsidRPr="00B363AA">
              <w:rPr>
                <w:webHidden/>
              </w:rPr>
              <w:t>48</w:t>
            </w:r>
            <w:r w:rsidRPr="00B363AA">
              <w:rPr>
                <w:webHidden/>
              </w:rPr>
              <w:fldChar w:fldCharType="end"/>
            </w:r>
          </w:hyperlink>
        </w:p>
        <w:p w14:paraId="32B96D7A" w14:textId="41243F62"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3011" w:history="1">
            <w:r w:rsidRPr="00B363AA">
              <w:rPr>
                <w:rStyle w:val="Lienhypertexte"/>
              </w:rPr>
              <w:t>5.4.5.</w:t>
            </w:r>
            <w:r w:rsidRPr="00B363AA">
              <w:rPr>
                <w:rFonts w:asciiTheme="minorHAnsi" w:eastAsiaTheme="minorEastAsia" w:hAnsiTheme="minorHAnsi"/>
                <w:sz w:val="24"/>
                <w:lang w:eastAsia="fr-BE"/>
              </w:rPr>
              <w:tab/>
            </w:r>
            <w:r w:rsidRPr="00B363AA">
              <w:rPr>
                <w:rStyle w:val="Lienhypertexte"/>
              </w:rPr>
              <w:t>Perte de services écosystémiques</w:t>
            </w:r>
            <w:r w:rsidRPr="00B363AA">
              <w:rPr>
                <w:webHidden/>
              </w:rPr>
              <w:tab/>
            </w:r>
            <w:r w:rsidRPr="00B363AA">
              <w:rPr>
                <w:webHidden/>
              </w:rPr>
              <w:fldChar w:fldCharType="begin"/>
            </w:r>
            <w:r w:rsidRPr="00B363AA">
              <w:rPr>
                <w:webHidden/>
              </w:rPr>
              <w:instrText xml:space="preserve"> PAGEREF _Toc241243011 \h </w:instrText>
            </w:r>
            <w:r w:rsidRPr="00B363AA">
              <w:rPr>
                <w:webHidden/>
              </w:rPr>
            </w:r>
            <w:r w:rsidRPr="00B363AA">
              <w:rPr>
                <w:webHidden/>
              </w:rPr>
              <w:fldChar w:fldCharType="separate"/>
            </w:r>
            <w:r w:rsidRPr="00B363AA">
              <w:rPr>
                <w:webHidden/>
              </w:rPr>
              <w:t>49</w:t>
            </w:r>
            <w:r w:rsidRPr="00B363AA">
              <w:rPr>
                <w:webHidden/>
              </w:rPr>
              <w:fldChar w:fldCharType="end"/>
            </w:r>
          </w:hyperlink>
        </w:p>
        <w:p w14:paraId="0EA9BADD" w14:textId="736FDC97"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3012" w:history="1">
            <w:r w:rsidRPr="00B363AA">
              <w:rPr>
                <w:rStyle w:val="Lienhypertexte"/>
              </w:rPr>
              <w:t>5.4.6.</w:t>
            </w:r>
            <w:r w:rsidRPr="00B363AA">
              <w:rPr>
                <w:rFonts w:asciiTheme="minorHAnsi" w:eastAsiaTheme="minorEastAsia" w:hAnsiTheme="minorHAnsi"/>
                <w:sz w:val="24"/>
                <w:lang w:eastAsia="fr-BE"/>
              </w:rPr>
              <w:tab/>
            </w:r>
            <w:r w:rsidRPr="00B363AA">
              <w:rPr>
                <w:rStyle w:val="Lienhypertexte"/>
              </w:rPr>
              <w:t>Gain de services écosystémiques</w:t>
            </w:r>
            <w:r w:rsidRPr="00B363AA">
              <w:rPr>
                <w:webHidden/>
              </w:rPr>
              <w:tab/>
            </w:r>
            <w:r w:rsidRPr="00B363AA">
              <w:rPr>
                <w:webHidden/>
              </w:rPr>
              <w:fldChar w:fldCharType="begin"/>
            </w:r>
            <w:r w:rsidRPr="00B363AA">
              <w:rPr>
                <w:webHidden/>
              </w:rPr>
              <w:instrText xml:space="preserve"> PAGEREF _Toc241243012 \h </w:instrText>
            </w:r>
            <w:r w:rsidRPr="00B363AA">
              <w:rPr>
                <w:webHidden/>
              </w:rPr>
            </w:r>
            <w:r w:rsidRPr="00B363AA">
              <w:rPr>
                <w:webHidden/>
              </w:rPr>
              <w:fldChar w:fldCharType="separate"/>
            </w:r>
            <w:r w:rsidRPr="00B363AA">
              <w:rPr>
                <w:webHidden/>
              </w:rPr>
              <w:t>50</w:t>
            </w:r>
            <w:r w:rsidRPr="00B363AA">
              <w:rPr>
                <w:webHidden/>
              </w:rPr>
              <w:fldChar w:fldCharType="end"/>
            </w:r>
          </w:hyperlink>
        </w:p>
        <w:p w14:paraId="20726616" w14:textId="1C76F22A" w:rsidR="0051081A" w:rsidRPr="00B363AA" w:rsidRDefault="0051081A">
          <w:pPr>
            <w:pStyle w:val="TM3"/>
            <w:tabs>
              <w:tab w:val="left" w:pos="1440"/>
              <w:tab w:val="right" w:leader="dot" w:pos="9060"/>
            </w:tabs>
            <w:rPr>
              <w:rFonts w:asciiTheme="minorHAnsi" w:eastAsiaTheme="minorEastAsia" w:hAnsiTheme="minorHAnsi"/>
              <w:sz w:val="24"/>
              <w:lang w:eastAsia="fr-BE"/>
            </w:rPr>
          </w:pPr>
          <w:hyperlink w:anchor="_Toc241243013" w:history="1">
            <w:r w:rsidRPr="00B363AA">
              <w:rPr>
                <w:rStyle w:val="Lienhypertexte"/>
              </w:rPr>
              <w:t>5.4.7.</w:t>
            </w:r>
            <w:r w:rsidRPr="00B363AA">
              <w:rPr>
                <w:rFonts w:asciiTheme="minorHAnsi" w:eastAsiaTheme="minorEastAsia" w:hAnsiTheme="minorHAnsi"/>
                <w:sz w:val="24"/>
                <w:lang w:eastAsia="fr-BE"/>
              </w:rPr>
              <w:tab/>
            </w:r>
            <w:r w:rsidRPr="00B363AA">
              <w:rPr>
                <w:rStyle w:val="Lienhypertexte"/>
              </w:rPr>
              <w:t>Interprétation</w:t>
            </w:r>
            <w:r w:rsidRPr="00B363AA">
              <w:rPr>
                <w:webHidden/>
              </w:rPr>
              <w:tab/>
            </w:r>
            <w:r w:rsidRPr="00B363AA">
              <w:rPr>
                <w:webHidden/>
              </w:rPr>
              <w:fldChar w:fldCharType="begin"/>
            </w:r>
            <w:r w:rsidRPr="00B363AA">
              <w:rPr>
                <w:webHidden/>
              </w:rPr>
              <w:instrText xml:space="preserve"> PAGEREF _Toc241243013 \h </w:instrText>
            </w:r>
            <w:r w:rsidRPr="00B363AA">
              <w:rPr>
                <w:webHidden/>
              </w:rPr>
            </w:r>
            <w:r w:rsidRPr="00B363AA">
              <w:rPr>
                <w:webHidden/>
              </w:rPr>
              <w:fldChar w:fldCharType="separate"/>
            </w:r>
            <w:r w:rsidRPr="00B363AA">
              <w:rPr>
                <w:webHidden/>
              </w:rPr>
              <w:t>51</w:t>
            </w:r>
            <w:r w:rsidRPr="00B363AA">
              <w:rPr>
                <w:webHidden/>
              </w:rPr>
              <w:fldChar w:fldCharType="end"/>
            </w:r>
          </w:hyperlink>
        </w:p>
        <w:p w14:paraId="5FC31D80" w14:textId="7A446C4D"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3014" w:history="1">
            <w:r w:rsidRPr="00B363AA">
              <w:rPr>
                <w:rStyle w:val="Lienhypertexte"/>
                <w:rFonts w:cs="Calibri"/>
              </w:rPr>
              <w:t>5.5.</w:t>
            </w:r>
            <w:r w:rsidRPr="00B363AA">
              <w:rPr>
                <w:rFonts w:asciiTheme="minorHAnsi" w:eastAsiaTheme="minorEastAsia" w:hAnsiTheme="minorHAnsi"/>
                <w:sz w:val="24"/>
                <w:lang w:eastAsia="fr-BE"/>
              </w:rPr>
              <w:tab/>
            </w:r>
            <w:r w:rsidRPr="00B363AA">
              <w:rPr>
                <w:rStyle w:val="Lienhypertexte"/>
              </w:rPr>
              <w:t>Évaluation d’impact dans le cas des études sur plans et programmes</w:t>
            </w:r>
            <w:r w:rsidRPr="00B363AA">
              <w:rPr>
                <w:webHidden/>
              </w:rPr>
              <w:tab/>
            </w:r>
            <w:r w:rsidRPr="00B363AA">
              <w:rPr>
                <w:webHidden/>
              </w:rPr>
              <w:fldChar w:fldCharType="begin"/>
            </w:r>
            <w:r w:rsidRPr="00B363AA">
              <w:rPr>
                <w:webHidden/>
              </w:rPr>
              <w:instrText xml:space="preserve"> PAGEREF _Toc241243014 \h </w:instrText>
            </w:r>
            <w:r w:rsidRPr="00B363AA">
              <w:rPr>
                <w:webHidden/>
              </w:rPr>
            </w:r>
            <w:r w:rsidRPr="00B363AA">
              <w:rPr>
                <w:webHidden/>
              </w:rPr>
              <w:fldChar w:fldCharType="separate"/>
            </w:r>
            <w:r w:rsidRPr="00B363AA">
              <w:rPr>
                <w:webHidden/>
              </w:rPr>
              <w:t>52</w:t>
            </w:r>
            <w:r w:rsidRPr="00B363AA">
              <w:rPr>
                <w:webHidden/>
              </w:rPr>
              <w:fldChar w:fldCharType="end"/>
            </w:r>
          </w:hyperlink>
        </w:p>
        <w:p w14:paraId="5B4FAA97" w14:textId="30614D56" w:rsidR="0051081A" w:rsidRPr="00B363AA" w:rsidRDefault="0051081A">
          <w:pPr>
            <w:pStyle w:val="TM1"/>
            <w:tabs>
              <w:tab w:val="left" w:pos="480"/>
              <w:tab w:val="right" w:leader="dot" w:pos="9060"/>
            </w:tabs>
            <w:rPr>
              <w:rFonts w:asciiTheme="minorHAnsi" w:eastAsiaTheme="minorEastAsia" w:hAnsiTheme="minorHAnsi"/>
              <w:sz w:val="24"/>
              <w:lang w:eastAsia="fr-BE"/>
            </w:rPr>
          </w:pPr>
          <w:hyperlink w:anchor="_Toc241243015" w:history="1">
            <w:r w:rsidRPr="00B363AA">
              <w:rPr>
                <w:rStyle w:val="Lienhypertexte"/>
              </w:rPr>
              <w:t>6.</w:t>
            </w:r>
            <w:r w:rsidRPr="00B363AA">
              <w:rPr>
                <w:rFonts w:asciiTheme="minorHAnsi" w:eastAsiaTheme="minorEastAsia" w:hAnsiTheme="minorHAnsi"/>
                <w:sz w:val="24"/>
                <w:lang w:eastAsia="fr-BE"/>
              </w:rPr>
              <w:tab/>
            </w:r>
            <w:r w:rsidRPr="00B363AA">
              <w:rPr>
                <w:rStyle w:val="Lienhypertexte"/>
              </w:rPr>
              <w:t>Recommandations</w:t>
            </w:r>
            <w:r w:rsidRPr="00B363AA">
              <w:rPr>
                <w:webHidden/>
              </w:rPr>
              <w:tab/>
            </w:r>
            <w:r w:rsidRPr="00B363AA">
              <w:rPr>
                <w:webHidden/>
              </w:rPr>
              <w:fldChar w:fldCharType="begin"/>
            </w:r>
            <w:r w:rsidRPr="00B363AA">
              <w:rPr>
                <w:webHidden/>
              </w:rPr>
              <w:instrText xml:space="preserve"> PAGEREF _Toc241243015 \h </w:instrText>
            </w:r>
            <w:r w:rsidRPr="00B363AA">
              <w:rPr>
                <w:webHidden/>
              </w:rPr>
            </w:r>
            <w:r w:rsidRPr="00B363AA">
              <w:rPr>
                <w:webHidden/>
              </w:rPr>
              <w:fldChar w:fldCharType="separate"/>
            </w:r>
            <w:r w:rsidRPr="00B363AA">
              <w:rPr>
                <w:webHidden/>
              </w:rPr>
              <w:t>53</w:t>
            </w:r>
            <w:r w:rsidRPr="00B363AA">
              <w:rPr>
                <w:webHidden/>
              </w:rPr>
              <w:fldChar w:fldCharType="end"/>
            </w:r>
          </w:hyperlink>
        </w:p>
        <w:p w14:paraId="1A503CB2" w14:textId="0B76ACA4"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3016" w:history="1">
            <w:r w:rsidRPr="00B363AA">
              <w:rPr>
                <w:rStyle w:val="Lienhypertexte"/>
                <w:rFonts w:cs="Calibri"/>
              </w:rPr>
              <w:t>6.1.</w:t>
            </w:r>
            <w:r w:rsidRPr="00B363AA">
              <w:rPr>
                <w:rFonts w:asciiTheme="minorHAnsi" w:eastAsiaTheme="minorEastAsia" w:hAnsiTheme="minorHAnsi"/>
                <w:sz w:val="24"/>
                <w:lang w:eastAsia="fr-BE"/>
              </w:rPr>
              <w:tab/>
            </w:r>
            <w:r w:rsidRPr="00B363AA">
              <w:rPr>
                <w:rStyle w:val="Lienhypertexte"/>
              </w:rPr>
              <w:t>Bonnes pratiques de gestion</w:t>
            </w:r>
            <w:r w:rsidRPr="00B363AA">
              <w:rPr>
                <w:webHidden/>
              </w:rPr>
              <w:tab/>
            </w:r>
            <w:r w:rsidRPr="00B363AA">
              <w:rPr>
                <w:webHidden/>
              </w:rPr>
              <w:fldChar w:fldCharType="begin"/>
            </w:r>
            <w:r w:rsidRPr="00B363AA">
              <w:rPr>
                <w:webHidden/>
              </w:rPr>
              <w:instrText xml:space="preserve"> PAGEREF _Toc241243016 \h </w:instrText>
            </w:r>
            <w:r w:rsidRPr="00B363AA">
              <w:rPr>
                <w:webHidden/>
              </w:rPr>
            </w:r>
            <w:r w:rsidRPr="00B363AA">
              <w:rPr>
                <w:webHidden/>
              </w:rPr>
              <w:fldChar w:fldCharType="separate"/>
            </w:r>
            <w:r w:rsidRPr="00B363AA">
              <w:rPr>
                <w:webHidden/>
              </w:rPr>
              <w:t>53</w:t>
            </w:r>
            <w:r w:rsidRPr="00B363AA">
              <w:rPr>
                <w:webHidden/>
              </w:rPr>
              <w:fldChar w:fldCharType="end"/>
            </w:r>
          </w:hyperlink>
        </w:p>
        <w:p w14:paraId="13354A57" w14:textId="70192F98"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3017" w:history="1">
            <w:r w:rsidRPr="00B363AA">
              <w:rPr>
                <w:rStyle w:val="Lienhypertexte"/>
                <w:rFonts w:cs="Calibri"/>
              </w:rPr>
              <w:t>6.2.</w:t>
            </w:r>
            <w:r w:rsidRPr="00B363AA">
              <w:rPr>
                <w:rFonts w:asciiTheme="minorHAnsi" w:eastAsiaTheme="minorEastAsia" w:hAnsiTheme="minorHAnsi"/>
                <w:sz w:val="24"/>
                <w:lang w:eastAsia="fr-BE"/>
              </w:rPr>
              <w:tab/>
            </w:r>
            <w:r w:rsidRPr="00B363AA">
              <w:rPr>
                <w:rStyle w:val="Lienhypertexte"/>
              </w:rPr>
              <w:t>Mesures compensatoires</w:t>
            </w:r>
            <w:r w:rsidRPr="00B363AA">
              <w:rPr>
                <w:webHidden/>
              </w:rPr>
              <w:tab/>
            </w:r>
            <w:r w:rsidRPr="00B363AA">
              <w:rPr>
                <w:webHidden/>
              </w:rPr>
              <w:fldChar w:fldCharType="begin"/>
            </w:r>
            <w:r w:rsidRPr="00B363AA">
              <w:rPr>
                <w:webHidden/>
              </w:rPr>
              <w:instrText xml:space="preserve"> PAGEREF _Toc241243017 \h </w:instrText>
            </w:r>
            <w:r w:rsidRPr="00B363AA">
              <w:rPr>
                <w:webHidden/>
              </w:rPr>
            </w:r>
            <w:r w:rsidRPr="00B363AA">
              <w:rPr>
                <w:webHidden/>
              </w:rPr>
              <w:fldChar w:fldCharType="separate"/>
            </w:r>
            <w:r w:rsidRPr="00B363AA">
              <w:rPr>
                <w:webHidden/>
              </w:rPr>
              <w:t>57</w:t>
            </w:r>
            <w:r w:rsidRPr="00B363AA">
              <w:rPr>
                <w:webHidden/>
              </w:rPr>
              <w:fldChar w:fldCharType="end"/>
            </w:r>
          </w:hyperlink>
        </w:p>
        <w:p w14:paraId="7E719EA1" w14:textId="70257553"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3018" w:history="1">
            <w:r w:rsidRPr="00B363AA">
              <w:rPr>
                <w:rStyle w:val="Lienhypertexte"/>
                <w:rFonts w:cs="Calibri"/>
              </w:rPr>
              <w:t>6.3.</w:t>
            </w:r>
            <w:r w:rsidRPr="00B363AA">
              <w:rPr>
                <w:rFonts w:asciiTheme="minorHAnsi" w:eastAsiaTheme="minorEastAsia" w:hAnsiTheme="minorHAnsi"/>
                <w:sz w:val="24"/>
                <w:lang w:eastAsia="fr-BE"/>
              </w:rPr>
              <w:tab/>
            </w:r>
            <w:r w:rsidRPr="00B363AA">
              <w:rPr>
                <w:rStyle w:val="Lienhypertexte"/>
              </w:rPr>
              <w:t>Mesures de prévention lors du chantier</w:t>
            </w:r>
            <w:r w:rsidRPr="00B363AA">
              <w:rPr>
                <w:webHidden/>
              </w:rPr>
              <w:tab/>
            </w:r>
            <w:r w:rsidRPr="00B363AA">
              <w:rPr>
                <w:webHidden/>
              </w:rPr>
              <w:fldChar w:fldCharType="begin"/>
            </w:r>
            <w:r w:rsidRPr="00B363AA">
              <w:rPr>
                <w:webHidden/>
              </w:rPr>
              <w:instrText xml:space="preserve"> PAGEREF _Toc241243018 \h </w:instrText>
            </w:r>
            <w:r w:rsidRPr="00B363AA">
              <w:rPr>
                <w:webHidden/>
              </w:rPr>
            </w:r>
            <w:r w:rsidRPr="00B363AA">
              <w:rPr>
                <w:webHidden/>
              </w:rPr>
              <w:fldChar w:fldCharType="separate"/>
            </w:r>
            <w:r w:rsidRPr="00B363AA">
              <w:rPr>
                <w:webHidden/>
              </w:rPr>
              <w:t>57</w:t>
            </w:r>
            <w:r w:rsidRPr="00B363AA">
              <w:rPr>
                <w:webHidden/>
              </w:rPr>
              <w:fldChar w:fldCharType="end"/>
            </w:r>
          </w:hyperlink>
        </w:p>
        <w:p w14:paraId="67DF7B13" w14:textId="38B6ADE9"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3019" w:history="1">
            <w:r w:rsidRPr="00B363AA">
              <w:rPr>
                <w:rStyle w:val="Lienhypertexte"/>
                <w:rFonts w:cs="Calibri"/>
              </w:rPr>
              <w:t>6.4.</w:t>
            </w:r>
            <w:r w:rsidRPr="00B363AA">
              <w:rPr>
                <w:rFonts w:asciiTheme="minorHAnsi" w:eastAsiaTheme="minorEastAsia" w:hAnsiTheme="minorHAnsi"/>
                <w:sz w:val="24"/>
                <w:lang w:eastAsia="fr-BE"/>
              </w:rPr>
              <w:tab/>
            </w:r>
            <w:r w:rsidRPr="00B363AA">
              <w:rPr>
                <w:rStyle w:val="Lienhypertexte"/>
              </w:rPr>
              <w:t>Suivi post-projet</w:t>
            </w:r>
            <w:r w:rsidRPr="00B363AA">
              <w:rPr>
                <w:webHidden/>
              </w:rPr>
              <w:tab/>
            </w:r>
            <w:r w:rsidRPr="00B363AA">
              <w:rPr>
                <w:webHidden/>
              </w:rPr>
              <w:fldChar w:fldCharType="begin"/>
            </w:r>
            <w:r w:rsidRPr="00B363AA">
              <w:rPr>
                <w:webHidden/>
              </w:rPr>
              <w:instrText xml:space="preserve"> PAGEREF _Toc241243019 \h </w:instrText>
            </w:r>
            <w:r w:rsidRPr="00B363AA">
              <w:rPr>
                <w:webHidden/>
              </w:rPr>
            </w:r>
            <w:r w:rsidRPr="00B363AA">
              <w:rPr>
                <w:webHidden/>
              </w:rPr>
              <w:fldChar w:fldCharType="separate"/>
            </w:r>
            <w:r w:rsidRPr="00B363AA">
              <w:rPr>
                <w:webHidden/>
              </w:rPr>
              <w:t>58</w:t>
            </w:r>
            <w:r w:rsidRPr="00B363AA">
              <w:rPr>
                <w:webHidden/>
              </w:rPr>
              <w:fldChar w:fldCharType="end"/>
            </w:r>
          </w:hyperlink>
        </w:p>
        <w:p w14:paraId="03817A06" w14:textId="06EFBB4E" w:rsidR="0051081A" w:rsidRPr="00B363AA" w:rsidRDefault="0051081A">
          <w:pPr>
            <w:pStyle w:val="TM1"/>
            <w:tabs>
              <w:tab w:val="left" w:pos="480"/>
              <w:tab w:val="right" w:leader="dot" w:pos="9060"/>
            </w:tabs>
            <w:rPr>
              <w:rFonts w:asciiTheme="minorHAnsi" w:eastAsiaTheme="minorEastAsia" w:hAnsiTheme="minorHAnsi"/>
              <w:sz w:val="24"/>
              <w:lang w:eastAsia="fr-BE"/>
            </w:rPr>
          </w:pPr>
          <w:hyperlink w:anchor="_Toc241243020" w:history="1">
            <w:r w:rsidRPr="00B363AA">
              <w:rPr>
                <w:rStyle w:val="Lienhypertexte"/>
              </w:rPr>
              <w:t>7.</w:t>
            </w:r>
            <w:r w:rsidRPr="00B363AA">
              <w:rPr>
                <w:rFonts w:asciiTheme="minorHAnsi" w:eastAsiaTheme="minorEastAsia" w:hAnsiTheme="minorHAnsi"/>
                <w:sz w:val="24"/>
                <w:lang w:eastAsia="fr-BE"/>
              </w:rPr>
              <w:tab/>
            </w:r>
            <w:r w:rsidRPr="00B363AA">
              <w:rPr>
                <w:rStyle w:val="Lienhypertexte"/>
              </w:rPr>
              <w:t>Étapes du diagnostic</w:t>
            </w:r>
            <w:r w:rsidRPr="00B363AA">
              <w:rPr>
                <w:webHidden/>
              </w:rPr>
              <w:tab/>
            </w:r>
            <w:r w:rsidRPr="00B363AA">
              <w:rPr>
                <w:webHidden/>
              </w:rPr>
              <w:fldChar w:fldCharType="begin"/>
            </w:r>
            <w:r w:rsidRPr="00B363AA">
              <w:rPr>
                <w:webHidden/>
              </w:rPr>
              <w:instrText xml:space="preserve"> PAGEREF _Toc241243020 \h </w:instrText>
            </w:r>
            <w:r w:rsidRPr="00B363AA">
              <w:rPr>
                <w:webHidden/>
              </w:rPr>
            </w:r>
            <w:r w:rsidRPr="00B363AA">
              <w:rPr>
                <w:webHidden/>
              </w:rPr>
              <w:fldChar w:fldCharType="separate"/>
            </w:r>
            <w:r w:rsidRPr="00B363AA">
              <w:rPr>
                <w:webHidden/>
              </w:rPr>
              <w:t>59</w:t>
            </w:r>
            <w:r w:rsidRPr="00B363AA">
              <w:rPr>
                <w:webHidden/>
              </w:rPr>
              <w:fldChar w:fldCharType="end"/>
            </w:r>
          </w:hyperlink>
        </w:p>
        <w:p w14:paraId="1932DDCC" w14:textId="07199AB2"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3021" w:history="1">
            <w:r w:rsidRPr="00B363AA">
              <w:rPr>
                <w:rStyle w:val="Lienhypertexte"/>
                <w:rFonts w:cs="Calibri"/>
              </w:rPr>
              <w:t>7.1.</w:t>
            </w:r>
            <w:r w:rsidRPr="00B363AA">
              <w:rPr>
                <w:rFonts w:asciiTheme="minorHAnsi" w:eastAsiaTheme="minorEastAsia" w:hAnsiTheme="minorHAnsi"/>
                <w:sz w:val="24"/>
                <w:lang w:eastAsia="fr-BE"/>
              </w:rPr>
              <w:tab/>
            </w:r>
            <w:r w:rsidRPr="00B363AA">
              <w:rPr>
                <w:rStyle w:val="Lienhypertexte"/>
              </w:rPr>
              <w:t>Délimitation des zones homogènes</w:t>
            </w:r>
            <w:r w:rsidRPr="00B363AA">
              <w:rPr>
                <w:webHidden/>
              </w:rPr>
              <w:tab/>
            </w:r>
            <w:r w:rsidRPr="00B363AA">
              <w:rPr>
                <w:webHidden/>
              </w:rPr>
              <w:fldChar w:fldCharType="begin"/>
            </w:r>
            <w:r w:rsidRPr="00B363AA">
              <w:rPr>
                <w:webHidden/>
              </w:rPr>
              <w:instrText xml:space="preserve"> PAGEREF _Toc241243021 \h </w:instrText>
            </w:r>
            <w:r w:rsidRPr="00B363AA">
              <w:rPr>
                <w:webHidden/>
              </w:rPr>
            </w:r>
            <w:r w:rsidRPr="00B363AA">
              <w:rPr>
                <w:webHidden/>
              </w:rPr>
              <w:fldChar w:fldCharType="separate"/>
            </w:r>
            <w:r w:rsidRPr="00B363AA">
              <w:rPr>
                <w:webHidden/>
              </w:rPr>
              <w:t>59</w:t>
            </w:r>
            <w:r w:rsidRPr="00B363AA">
              <w:rPr>
                <w:webHidden/>
              </w:rPr>
              <w:fldChar w:fldCharType="end"/>
            </w:r>
          </w:hyperlink>
        </w:p>
        <w:p w14:paraId="4F7395A1" w14:textId="2DF0BD55"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3022" w:history="1">
            <w:r w:rsidRPr="00B363AA">
              <w:rPr>
                <w:rStyle w:val="Lienhypertexte"/>
                <w:rFonts w:cs="Calibri"/>
              </w:rPr>
              <w:t>7.2.</w:t>
            </w:r>
            <w:r w:rsidRPr="00B363AA">
              <w:rPr>
                <w:rFonts w:asciiTheme="minorHAnsi" w:eastAsiaTheme="minorEastAsia" w:hAnsiTheme="minorHAnsi"/>
                <w:sz w:val="24"/>
                <w:lang w:eastAsia="fr-BE"/>
              </w:rPr>
              <w:tab/>
            </w:r>
            <w:r w:rsidRPr="00B363AA">
              <w:rPr>
                <w:rStyle w:val="Lienhypertexte"/>
              </w:rPr>
              <w:t>Établissement de la stratégie d’échantillonnage</w:t>
            </w:r>
            <w:r w:rsidRPr="00B363AA">
              <w:rPr>
                <w:webHidden/>
              </w:rPr>
              <w:tab/>
            </w:r>
            <w:r w:rsidRPr="00B363AA">
              <w:rPr>
                <w:webHidden/>
              </w:rPr>
              <w:fldChar w:fldCharType="begin"/>
            </w:r>
            <w:r w:rsidRPr="00B363AA">
              <w:rPr>
                <w:webHidden/>
              </w:rPr>
              <w:instrText xml:space="preserve"> PAGEREF _Toc241243022 \h </w:instrText>
            </w:r>
            <w:r w:rsidRPr="00B363AA">
              <w:rPr>
                <w:webHidden/>
              </w:rPr>
            </w:r>
            <w:r w:rsidRPr="00B363AA">
              <w:rPr>
                <w:webHidden/>
              </w:rPr>
              <w:fldChar w:fldCharType="separate"/>
            </w:r>
            <w:r w:rsidRPr="00B363AA">
              <w:rPr>
                <w:webHidden/>
              </w:rPr>
              <w:t>59</w:t>
            </w:r>
            <w:r w:rsidRPr="00B363AA">
              <w:rPr>
                <w:webHidden/>
              </w:rPr>
              <w:fldChar w:fldCharType="end"/>
            </w:r>
          </w:hyperlink>
        </w:p>
        <w:p w14:paraId="20401602" w14:textId="0EB8995E"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3023" w:history="1">
            <w:r w:rsidRPr="00B363AA">
              <w:rPr>
                <w:rStyle w:val="Lienhypertexte"/>
                <w:rFonts w:cs="Calibri"/>
              </w:rPr>
              <w:t>7.3.</w:t>
            </w:r>
            <w:r w:rsidRPr="00B363AA">
              <w:rPr>
                <w:rFonts w:asciiTheme="minorHAnsi" w:eastAsiaTheme="minorEastAsia" w:hAnsiTheme="minorHAnsi"/>
                <w:sz w:val="24"/>
                <w:lang w:eastAsia="fr-BE"/>
              </w:rPr>
              <w:tab/>
            </w:r>
            <w:r w:rsidRPr="00B363AA">
              <w:rPr>
                <w:rStyle w:val="Lienhypertexte"/>
              </w:rPr>
              <w:t>Travaux de terrain</w:t>
            </w:r>
            <w:r w:rsidRPr="00B363AA">
              <w:rPr>
                <w:webHidden/>
              </w:rPr>
              <w:tab/>
            </w:r>
            <w:r w:rsidRPr="00B363AA">
              <w:rPr>
                <w:webHidden/>
              </w:rPr>
              <w:fldChar w:fldCharType="begin"/>
            </w:r>
            <w:r w:rsidRPr="00B363AA">
              <w:rPr>
                <w:webHidden/>
              </w:rPr>
              <w:instrText xml:space="preserve"> PAGEREF _Toc241243023 \h </w:instrText>
            </w:r>
            <w:r w:rsidRPr="00B363AA">
              <w:rPr>
                <w:webHidden/>
              </w:rPr>
            </w:r>
            <w:r w:rsidRPr="00B363AA">
              <w:rPr>
                <w:webHidden/>
              </w:rPr>
              <w:fldChar w:fldCharType="separate"/>
            </w:r>
            <w:r w:rsidRPr="00B363AA">
              <w:rPr>
                <w:webHidden/>
              </w:rPr>
              <w:t>61</w:t>
            </w:r>
            <w:r w:rsidRPr="00B363AA">
              <w:rPr>
                <w:webHidden/>
              </w:rPr>
              <w:fldChar w:fldCharType="end"/>
            </w:r>
          </w:hyperlink>
        </w:p>
        <w:p w14:paraId="5599205E" w14:textId="6B86FE36"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3024" w:history="1">
            <w:r w:rsidRPr="00B363AA">
              <w:rPr>
                <w:rStyle w:val="Lienhypertexte"/>
                <w:rFonts w:cs="Calibri"/>
              </w:rPr>
              <w:t>7.4.</w:t>
            </w:r>
            <w:r w:rsidRPr="00B363AA">
              <w:rPr>
                <w:rFonts w:asciiTheme="minorHAnsi" w:eastAsiaTheme="minorEastAsia" w:hAnsiTheme="minorHAnsi"/>
                <w:sz w:val="24"/>
                <w:lang w:eastAsia="fr-BE"/>
              </w:rPr>
              <w:tab/>
            </w:r>
            <w:r w:rsidRPr="00B363AA">
              <w:rPr>
                <w:rStyle w:val="Lienhypertexte"/>
              </w:rPr>
              <w:t>Analyses de laboratoire</w:t>
            </w:r>
            <w:r w:rsidRPr="00B363AA">
              <w:rPr>
                <w:webHidden/>
              </w:rPr>
              <w:tab/>
            </w:r>
            <w:r w:rsidRPr="00B363AA">
              <w:rPr>
                <w:webHidden/>
              </w:rPr>
              <w:fldChar w:fldCharType="begin"/>
            </w:r>
            <w:r w:rsidRPr="00B363AA">
              <w:rPr>
                <w:webHidden/>
              </w:rPr>
              <w:instrText xml:space="preserve"> PAGEREF _Toc241243024 \h </w:instrText>
            </w:r>
            <w:r w:rsidRPr="00B363AA">
              <w:rPr>
                <w:webHidden/>
              </w:rPr>
            </w:r>
            <w:r w:rsidRPr="00B363AA">
              <w:rPr>
                <w:webHidden/>
              </w:rPr>
              <w:fldChar w:fldCharType="separate"/>
            </w:r>
            <w:r w:rsidRPr="00B363AA">
              <w:rPr>
                <w:webHidden/>
              </w:rPr>
              <w:t>61</w:t>
            </w:r>
            <w:r w:rsidRPr="00B363AA">
              <w:rPr>
                <w:webHidden/>
              </w:rPr>
              <w:fldChar w:fldCharType="end"/>
            </w:r>
          </w:hyperlink>
        </w:p>
        <w:p w14:paraId="6E7BA796" w14:textId="27BE0156" w:rsidR="0051081A" w:rsidRPr="00B363AA" w:rsidRDefault="0051081A">
          <w:pPr>
            <w:pStyle w:val="TM2"/>
            <w:tabs>
              <w:tab w:val="left" w:pos="880"/>
              <w:tab w:val="right" w:leader="dot" w:pos="9060"/>
            </w:tabs>
            <w:rPr>
              <w:rFonts w:asciiTheme="minorHAnsi" w:eastAsiaTheme="minorEastAsia" w:hAnsiTheme="minorHAnsi"/>
              <w:sz w:val="24"/>
              <w:lang w:eastAsia="fr-BE"/>
            </w:rPr>
          </w:pPr>
          <w:hyperlink w:anchor="_Toc241243025" w:history="1">
            <w:r w:rsidRPr="00B363AA">
              <w:rPr>
                <w:rStyle w:val="Lienhypertexte"/>
                <w:rFonts w:cs="Calibri"/>
              </w:rPr>
              <w:t>7.5.</w:t>
            </w:r>
            <w:r w:rsidRPr="00B363AA">
              <w:rPr>
                <w:rFonts w:asciiTheme="minorHAnsi" w:eastAsiaTheme="minorEastAsia" w:hAnsiTheme="minorHAnsi"/>
                <w:sz w:val="24"/>
                <w:lang w:eastAsia="fr-BE"/>
              </w:rPr>
              <w:tab/>
            </w:r>
            <w:r w:rsidRPr="00B363AA">
              <w:rPr>
                <w:rStyle w:val="Lienhypertexte"/>
              </w:rPr>
              <w:t>Encodage et interprétation des résultats</w:t>
            </w:r>
            <w:r w:rsidRPr="00B363AA">
              <w:rPr>
                <w:webHidden/>
              </w:rPr>
              <w:tab/>
            </w:r>
            <w:r w:rsidRPr="00B363AA">
              <w:rPr>
                <w:webHidden/>
              </w:rPr>
              <w:fldChar w:fldCharType="begin"/>
            </w:r>
            <w:r w:rsidRPr="00B363AA">
              <w:rPr>
                <w:webHidden/>
              </w:rPr>
              <w:instrText xml:space="preserve"> PAGEREF _Toc241243025 \h </w:instrText>
            </w:r>
            <w:r w:rsidRPr="00B363AA">
              <w:rPr>
                <w:webHidden/>
              </w:rPr>
            </w:r>
            <w:r w:rsidRPr="00B363AA">
              <w:rPr>
                <w:webHidden/>
              </w:rPr>
              <w:fldChar w:fldCharType="separate"/>
            </w:r>
            <w:r w:rsidRPr="00B363AA">
              <w:rPr>
                <w:webHidden/>
              </w:rPr>
              <w:t>61</w:t>
            </w:r>
            <w:r w:rsidRPr="00B363AA">
              <w:rPr>
                <w:webHidden/>
              </w:rPr>
              <w:fldChar w:fldCharType="end"/>
            </w:r>
          </w:hyperlink>
        </w:p>
        <w:p w14:paraId="18D925D9" w14:textId="7D3E6200" w:rsidR="0051081A" w:rsidRPr="00B363AA" w:rsidRDefault="0051081A">
          <w:pPr>
            <w:pStyle w:val="TM1"/>
            <w:tabs>
              <w:tab w:val="right" w:leader="dot" w:pos="9060"/>
            </w:tabs>
            <w:rPr>
              <w:rFonts w:asciiTheme="minorHAnsi" w:eastAsiaTheme="minorEastAsia" w:hAnsiTheme="minorHAnsi"/>
              <w:sz w:val="24"/>
              <w:lang w:eastAsia="fr-BE"/>
            </w:rPr>
          </w:pPr>
          <w:hyperlink w:anchor="_Toc241243026" w:history="1">
            <w:r w:rsidRPr="00B363AA">
              <w:rPr>
                <w:rStyle w:val="Lienhypertexte"/>
              </w:rPr>
              <w:t>Bibliographie</w:t>
            </w:r>
            <w:r w:rsidRPr="00B363AA">
              <w:rPr>
                <w:webHidden/>
              </w:rPr>
              <w:tab/>
            </w:r>
            <w:r w:rsidRPr="00B363AA">
              <w:rPr>
                <w:webHidden/>
              </w:rPr>
              <w:fldChar w:fldCharType="begin"/>
            </w:r>
            <w:r w:rsidRPr="00B363AA">
              <w:rPr>
                <w:webHidden/>
              </w:rPr>
              <w:instrText xml:space="preserve"> PAGEREF _Toc241243026 \h </w:instrText>
            </w:r>
            <w:r w:rsidRPr="00B363AA">
              <w:rPr>
                <w:webHidden/>
              </w:rPr>
            </w:r>
            <w:r w:rsidRPr="00B363AA">
              <w:rPr>
                <w:webHidden/>
              </w:rPr>
              <w:fldChar w:fldCharType="separate"/>
            </w:r>
            <w:r w:rsidRPr="00B363AA">
              <w:rPr>
                <w:webHidden/>
              </w:rPr>
              <w:t>62</w:t>
            </w:r>
            <w:r w:rsidRPr="00B363AA">
              <w:rPr>
                <w:webHidden/>
              </w:rPr>
              <w:fldChar w:fldCharType="end"/>
            </w:r>
          </w:hyperlink>
        </w:p>
        <w:p w14:paraId="5D8DAF27" w14:textId="5C4B4F6E" w:rsidR="0051081A" w:rsidRPr="00B363AA" w:rsidRDefault="0051081A">
          <w:pPr>
            <w:pStyle w:val="TM1"/>
            <w:tabs>
              <w:tab w:val="right" w:leader="dot" w:pos="9060"/>
            </w:tabs>
            <w:rPr>
              <w:rFonts w:asciiTheme="minorHAnsi" w:eastAsiaTheme="minorEastAsia" w:hAnsiTheme="minorHAnsi"/>
              <w:sz w:val="24"/>
              <w:lang w:eastAsia="fr-BE"/>
            </w:rPr>
          </w:pPr>
          <w:hyperlink w:anchor="_Toc241243027" w:history="1">
            <w:r w:rsidRPr="00B363AA">
              <w:rPr>
                <w:rStyle w:val="Lienhypertexte"/>
              </w:rPr>
              <w:t>Financement et porteurs de projet</w:t>
            </w:r>
            <w:r w:rsidRPr="00B363AA">
              <w:rPr>
                <w:webHidden/>
              </w:rPr>
              <w:tab/>
            </w:r>
            <w:r w:rsidRPr="00B363AA">
              <w:rPr>
                <w:webHidden/>
              </w:rPr>
              <w:fldChar w:fldCharType="begin"/>
            </w:r>
            <w:r w:rsidRPr="00B363AA">
              <w:rPr>
                <w:webHidden/>
              </w:rPr>
              <w:instrText xml:space="preserve"> PAGEREF _Toc241243027 \h </w:instrText>
            </w:r>
            <w:r w:rsidRPr="00B363AA">
              <w:rPr>
                <w:webHidden/>
              </w:rPr>
            </w:r>
            <w:r w:rsidRPr="00B363AA">
              <w:rPr>
                <w:webHidden/>
              </w:rPr>
              <w:fldChar w:fldCharType="separate"/>
            </w:r>
            <w:r w:rsidRPr="00B363AA">
              <w:rPr>
                <w:webHidden/>
              </w:rPr>
              <w:t>69</w:t>
            </w:r>
            <w:r w:rsidRPr="00B363AA">
              <w:rPr>
                <w:webHidden/>
              </w:rPr>
              <w:fldChar w:fldCharType="end"/>
            </w:r>
          </w:hyperlink>
        </w:p>
        <w:p w14:paraId="1F854349" w14:textId="53F06F19" w:rsidR="0051081A" w:rsidRPr="00B363AA" w:rsidRDefault="0051081A">
          <w:pPr>
            <w:pStyle w:val="TM1"/>
            <w:tabs>
              <w:tab w:val="right" w:leader="dot" w:pos="9060"/>
            </w:tabs>
            <w:rPr>
              <w:rFonts w:asciiTheme="minorHAnsi" w:eastAsiaTheme="minorEastAsia" w:hAnsiTheme="minorHAnsi"/>
              <w:sz w:val="24"/>
              <w:lang w:eastAsia="fr-BE"/>
            </w:rPr>
          </w:pPr>
          <w:hyperlink w:anchor="_Toc241243028" w:history="1">
            <w:r w:rsidRPr="00B363AA">
              <w:rPr>
                <w:rStyle w:val="Lienhypertexte"/>
              </w:rPr>
              <w:t>Remerciements</w:t>
            </w:r>
            <w:r w:rsidRPr="00B363AA">
              <w:rPr>
                <w:webHidden/>
              </w:rPr>
              <w:tab/>
            </w:r>
            <w:r w:rsidRPr="00B363AA">
              <w:rPr>
                <w:webHidden/>
              </w:rPr>
              <w:fldChar w:fldCharType="begin"/>
            </w:r>
            <w:r w:rsidRPr="00B363AA">
              <w:rPr>
                <w:webHidden/>
              </w:rPr>
              <w:instrText xml:space="preserve"> PAGEREF _Toc241243028 \h </w:instrText>
            </w:r>
            <w:r w:rsidRPr="00B363AA">
              <w:rPr>
                <w:webHidden/>
              </w:rPr>
            </w:r>
            <w:r w:rsidRPr="00B363AA">
              <w:rPr>
                <w:webHidden/>
              </w:rPr>
              <w:fldChar w:fldCharType="separate"/>
            </w:r>
            <w:r w:rsidRPr="00B363AA">
              <w:rPr>
                <w:webHidden/>
              </w:rPr>
              <w:t>70</w:t>
            </w:r>
            <w:r w:rsidRPr="00B363AA">
              <w:rPr>
                <w:webHidden/>
              </w:rPr>
              <w:fldChar w:fldCharType="end"/>
            </w:r>
          </w:hyperlink>
        </w:p>
        <w:p w14:paraId="05350A04" w14:textId="5673125F" w:rsidR="004E6804" w:rsidRPr="00B363AA" w:rsidRDefault="001C2230">
          <w:r w:rsidRPr="00B363AA">
            <w:lastRenderedPageBreak/>
            <w:fldChar w:fldCharType="end"/>
          </w:r>
        </w:p>
      </w:sdtContent>
    </w:sdt>
    <w:p w14:paraId="337A1912" w14:textId="77777777" w:rsidR="00907350" w:rsidRPr="00B363AA" w:rsidRDefault="00907350" w:rsidP="00907350"/>
    <w:bookmarkEnd w:id="0"/>
    <w:p w14:paraId="5FF4B8CA" w14:textId="41457536" w:rsidR="00C848A1" w:rsidRPr="00B363AA" w:rsidRDefault="002B35A6" w:rsidP="00562E50">
      <w:r w:rsidRPr="00B363AA">
        <w:br w:type="page"/>
      </w:r>
    </w:p>
    <w:p w14:paraId="79BF0E80" w14:textId="5D673667" w:rsidR="007C00F7" w:rsidRPr="00B363AA" w:rsidRDefault="00A95190" w:rsidP="00A95190">
      <w:pPr>
        <w:pStyle w:val="Titre1"/>
      </w:pPr>
      <w:bookmarkStart w:id="1" w:name="_Toc241242928"/>
      <w:r w:rsidRPr="00B363AA">
        <w:lastRenderedPageBreak/>
        <w:t>Glossaire</w:t>
      </w:r>
      <w:bookmarkEnd w:id="1"/>
    </w:p>
    <w:p w14:paraId="2E718439" w14:textId="495B304A" w:rsidR="00264005" w:rsidRPr="00B363AA" w:rsidRDefault="00FC23E9" w:rsidP="00306AE9">
      <w:r w:rsidRPr="00B363AA">
        <w:t xml:space="preserve">De nombreuses définitions </w:t>
      </w:r>
      <w:r w:rsidR="00335731" w:rsidRPr="00B363AA">
        <w:t xml:space="preserve">existent pour </w:t>
      </w:r>
      <w:r w:rsidR="00240377" w:rsidRPr="00B363AA">
        <w:t>les</w:t>
      </w:r>
      <w:r w:rsidR="00335731" w:rsidRPr="00B363AA">
        <w:t xml:space="preserve"> concepts clés</w:t>
      </w:r>
      <w:r w:rsidR="00240377" w:rsidRPr="00B363AA">
        <w:t xml:space="preserve"> </w:t>
      </w:r>
      <w:r w:rsidRPr="00B363AA">
        <w:t>listés</w:t>
      </w:r>
      <w:r w:rsidR="005F5A25" w:rsidRPr="00B363AA">
        <w:t xml:space="preserve"> ci-dessous</w:t>
      </w:r>
      <w:r w:rsidR="0041707C" w:rsidRPr="00B363AA">
        <w:t>. Afin d’uniformiser le vocabulaire,</w:t>
      </w:r>
      <w:r w:rsidR="00510253" w:rsidRPr="00B363AA">
        <w:t xml:space="preserve"> </w:t>
      </w:r>
      <w:r w:rsidR="00F11A52" w:rsidRPr="00B363AA">
        <w:t>les définitions</w:t>
      </w:r>
      <w:r w:rsidRPr="00B363AA">
        <w:t xml:space="preserve"> de chaque terme au sens de </w:t>
      </w:r>
      <w:r w:rsidR="00510253" w:rsidRPr="00B363AA">
        <w:t xml:space="preserve">l’IQSW-pro </w:t>
      </w:r>
      <w:r w:rsidR="00F11A52" w:rsidRPr="00B363AA">
        <w:t>sont</w:t>
      </w:r>
      <w:r w:rsidR="00510253" w:rsidRPr="00B363AA">
        <w:t xml:space="preserve"> </w:t>
      </w:r>
      <w:r w:rsidRPr="00B363AA">
        <w:t>reprise</w:t>
      </w:r>
      <w:r w:rsidR="00F11A52" w:rsidRPr="00B363AA">
        <w:t>s</w:t>
      </w:r>
      <w:r w:rsidR="005F5A25" w:rsidRPr="00B363AA">
        <w:t xml:space="preserve"> dans le tableau suivant</w:t>
      </w:r>
      <w:r w:rsidR="00F11A52" w:rsidRPr="00B363AA">
        <w:t xml:space="preserve"> et servent de balise pour la suite du document</w:t>
      </w:r>
      <w:r w:rsidR="005F5A25" w:rsidRPr="00B363AA">
        <w:t>.</w:t>
      </w:r>
    </w:p>
    <w:tbl>
      <w:tblPr>
        <w:tblStyle w:val="Grilledutableau"/>
        <w:tblW w:w="0" w:type="auto"/>
        <w:tblLook w:val="04A0" w:firstRow="1" w:lastRow="0" w:firstColumn="1" w:lastColumn="0" w:noHBand="0" w:noVBand="1"/>
      </w:tblPr>
      <w:tblGrid>
        <w:gridCol w:w="1838"/>
        <w:gridCol w:w="5954"/>
        <w:gridCol w:w="1268"/>
      </w:tblGrid>
      <w:tr w:rsidR="00F34FA9" w:rsidRPr="00B363AA" w14:paraId="438D7622" w14:textId="77777777" w:rsidTr="004306AE">
        <w:tc>
          <w:tcPr>
            <w:tcW w:w="18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44767C29" w14:textId="3600DD4C" w:rsidR="00F34FA9" w:rsidRPr="00B363AA" w:rsidRDefault="00F34FA9" w:rsidP="008C773D">
            <w:pPr>
              <w:jc w:val="center"/>
              <w:rPr>
                <w:sz w:val="20"/>
                <w:szCs w:val="20"/>
              </w:rPr>
            </w:pPr>
            <w:r w:rsidRPr="00B363AA">
              <w:rPr>
                <w:sz w:val="20"/>
                <w:szCs w:val="20"/>
              </w:rPr>
              <w:t>Terme</w:t>
            </w:r>
          </w:p>
        </w:tc>
        <w:tc>
          <w:tcPr>
            <w:tcW w:w="7222"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040B60CE" w14:textId="430A48B9" w:rsidR="00F34FA9" w:rsidRPr="00B363AA" w:rsidRDefault="00F34FA9" w:rsidP="008C773D">
            <w:pPr>
              <w:jc w:val="center"/>
              <w:rPr>
                <w:sz w:val="20"/>
                <w:szCs w:val="20"/>
              </w:rPr>
            </w:pPr>
            <w:r w:rsidRPr="00B363AA">
              <w:rPr>
                <w:sz w:val="20"/>
                <w:szCs w:val="20"/>
              </w:rPr>
              <w:t>Définition</w:t>
            </w:r>
          </w:p>
        </w:tc>
      </w:tr>
      <w:tr w:rsidR="0002445E" w:rsidRPr="00B363AA" w14:paraId="62042616" w14:textId="6F8931EB" w:rsidTr="00F34FA9">
        <w:tc>
          <w:tcPr>
            <w:tcW w:w="1838" w:type="dxa"/>
            <w:tcBorders>
              <w:top w:val="single" w:sz="4" w:space="0" w:color="FFFFFF" w:themeColor="background1"/>
            </w:tcBorders>
            <w:vAlign w:val="center"/>
          </w:tcPr>
          <w:p w14:paraId="6D1BA769" w14:textId="3EAB9346" w:rsidR="0002445E" w:rsidRPr="00B363AA" w:rsidRDefault="0002445E" w:rsidP="008C773D">
            <w:pPr>
              <w:jc w:val="left"/>
              <w:rPr>
                <w:b/>
                <w:bCs/>
                <w:sz w:val="20"/>
                <w:szCs w:val="20"/>
              </w:rPr>
            </w:pPr>
            <w:r w:rsidRPr="00B363AA">
              <w:rPr>
                <w:b/>
                <w:bCs/>
                <w:sz w:val="20"/>
                <w:szCs w:val="20"/>
              </w:rPr>
              <w:t>Qualité du sol</w:t>
            </w:r>
          </w:p>
        </w:tc>
        <w:tc>
          <w:tcPr>
            <w:tcW w:w="5954" w:type="dxa"/>
            <w:tcBorders>
              <w:top w:val="single" w:sz="4" w:space="0" w:color="FFFFFF" w:themeColor="background1"/>
            </w:tcBorders>
          </w:tcPr>
          <w:p w14:paraId="58F249C0" w14:textId="113A1622" w:rsidR="0002445E" w:rsidRPr="00B363AA" w:rsidRDefault="001E18F0" w:rsidP="00A95190">
            <w:pPr>
              <w:rPr>
                <w:sz w:val="20"/>
                <w:szCs w:val="20"/>
              </w:rPr>
            </w:pPr>
            <w:r w:rsidRPr="00B363AA">
              <w:rPr>
                <w:sz w:val="20"/>
                <w:szCs w:val="20"/>
              </w:rPr>
              <w:t>La qualité d’un sol est sa capacité actuelle à remplir un service ou une fonction donnée. Elle correspond à l’état absolu d’un indicateur. L’attribution d’un score de qualité, en lien avec une fonction donnée, consiste à interpréter la valeur mesurée d’un indicateur par rapport au niveau optimal absolu de remplissage de la fonction, établi indépendamment du type de sol évalué.</w:t>
            </w:r>
          </w:p>
        </w:tc>
        <w:tc>
          <w:tcPr>
            <w:tcW w:w="1268" w:type="dxa"/>
            <w:tcBorders>
              <w:top w:val="single" w:sz="4" w:space="0" w:color="FFFFFF" w:themeColor="background1"/>
            </w:tcBorders>
            <w:vAlign w:val="center"/>
          </w:tcPr>
          <w:p w14:paraId="7D4CFAE7" w14:textId="1844D111" w:rsidR="0002445E" w:rsidRPr="00B363AA" w:rsidRDefault="0002445E" w:rsidP="00467681">
            <w:pPr>
              <w:jc w:val="left"/>
              <w:rPr>
                <w:sz w:val="20"/>
                <w:szCs w:val="20"/>
              </w:rPr>
            </w:pPr>
            <w:r w:rsidRPr="00B363AA">
              <w:rPr>
                <w:rFonts w:ascii="Wingdings" w:eastAsia="Wingdings" w:hAnsi="Wingdings" w:cs="Wingdings"/>
                <w:sz w:val="20"/>
                <w:szCs w:val="20"/>
              </w:rPr>
              <w:t>à</w:t>
            </w:r>
            <w:r w:rsidR="00F34FA9" w:rsidRPr="00B363AA">
              <w:rPr>
                <w:sz w:val="20"/>
                <w:szCs w:val="20"/>
              </w:rPr>
              <w:t xml:space="preserve"> Voir </w:t>
            </w:r>
            <w:r w:rsidR="008C34E0" w:rsidRPr="00B363AA">
              <w:rPr>
                <w:sz w:val="20"/>
                <w:szCs w:val="20"/>
              </w:rPr>
              <w:fldChar w:fldCharType="begin"/>
            </w:r>
            <w:r w:rsidR="008C34E0" w:rsidRPr="00B363AA">
              <w:rPr>
                <w:sz w:val="20"/>
                <w:szCs w:val="20"/>
              </w:rPr>
              <w:instrText xml:space="preserve"> REF _Ref232250869 \r \h </w:instrText>
            </w:r>
            <w:r w:rsidR="00467681" w:rsidRPr="00B363AA">
              <w:rPr>
                <w:sz w:val="20"/>
                <w:szCs w:val="20"/>
              </w:rPr>
              <w:instrText xml:space="preserve"> \* MERGEFORMAT </w:instrText>
            </w:r>
            <w:r w:rsidR="008C34E0" w:rsidRPr="00B363AA">
              <w:rPr>
                <w:sz w:val="20"/>
                <w:szCs w:val="20"/>
              </w:rPr>
            </w:r>
            <w:r w:rsidR="008C34E0" w:rsidRPr="00B363AA">
              <w:rPr>
                <w:sz w:val="20"/>
                <w:szCs w:val="20"/>
              </w:rPr>
              <w:fldChar w:fldCharType="separate"/>
            </w:r>
            <w:r w:rsidR="004526A3" w:rsidRPr="00B363AA">
              <w:rPr>
                <w:sz w:val="20"/>
                <w:szCs w:val="20"/>
              </w:rPr>
              <w:t>3.5</w:t>
            </w:r>
            <w:r w:rsidR="008C34E0" w:rsidRPr="00B363AA">
              <w:rPr>
                <w:sz w:val="20"/>
                <w:szCs w:val="20"/>
              </w:rPr>
              <w:fldChar w:fldCharType="end"/>
            </w:r>
          </w:p>
        </w:tc>
      </w:tr>
      <w:tr w:rsidR="0002445E" w:rsidRPr="00B363AA" w14:paraId="7B432E9A" w14:textId="508573F7" w:rsidTr="00F34FA9">
        <w:tc>
          <w:tcPr>
            <w:tcW w:w="1838" w:type="dxa"/>
            <w:vAlign w:val="center"/>
          </w:tcPr>
          <w:p w14:paraId="543603F1" w14:textId="3EB7C859" w:rsidR="0002445E" w:rsidRPr="00B363AA" w:rsidRDefault="0002445E" w:rsidP="008C773D">
            <w:pPr>
              <w:jc w:val="left"/>
              <w:rPr>
                <w:b/>
                <w:bCs/>
                <w:sz w:val="20"/>
                <w:szCs w:val="20"/>
              </w:rPr>
            </w:pPr>
            <w:r w:rsidRPr="00B363AA">
              <w:rPr>
                <w:b/>
                <w:bCs/>
                <w:sz w:val="20"/>
                <w:szCs w:val="20"/>
              </w:rPr>
              <w:t>Santé du sol</w:t>
            </w:r>
          </w:p>
        </w:tc>
        <w:tc>
          <w:tcPr>
            <w:tcW w:w="5954" w:type="dxa"/>
          </w:tcPr>
          <w:p w14:paraId="3742083F" w14:textId="6170589B" w:rsidR="0002445E" w:rsidRPr="00B363AA" w:rsidRDefault="0059278B" w:rsidP="00A95190">
            <w:pPr>
              <w:rPr>
                <w:sz w:val="20"/>
                <w:szCs w:val="20"/>
              </w:rPr>
            </w:pPr>
            <w:r w:rsidRPr="00B363AA">
              <w:rPr>
                <w:sz w:val="20"/>
                <w:szCs w:val="20"/>
              </w:rPr>
              <w:t>La santé d’un sol est un niveau relatif de remplissage d’une fonction par rapport au potentiel intrinsèque du sol, dépendant du type de sol. Elle correspond au rapport entre la qualité absolue et la qualité potentielle du sol (soit le potentiel maximum atteignable par un sol donné, moyennant une gestion optimale). L’attribution d’un score de santé, en lien avec une fonction donnée, consiste à interpréter la valeur mesurée d’un indicateur par rapport au niveau potentiel de remplissage de la fonction, établi selon le type de sol évalué car contraint par les propriétés intrinsèques du sol telles que la texture.</w:t>
            </w:r>
          </w:p>
        </w:tc>
        <w:tc>
          <w:tcPr>
            <w:tcW w:w="1268" w:type="dxa"/>
            <w:vAlign w:val="center"/>
          </w:tcPr>
          <w:p w14:paraId="2ABEB368" w14:textId="023E87BA" w:rsidR="00B94E98" w:rsidRPr="00B363AA" w:rsidRDefault="008C34E0" w:rsidP="00467681">
            <w:pPr>
              <w:jc w:val="left"/>
              <w:rPr>
                <w:sz w:val="20"/>
                <w:szCs w:val="20"/>
              </w:rPr>
            </w:pPr>
            <w:r w:rsidRPr="00B363AA">
              <w:rPr>
                <w:rFonts w:ascii="Wingdings" w:eastAsia="Wingdings" w:hAnsi="Wingdings" w:cs="Wingdings"/>
                <w:sz w:val="20"/>
                <w:szCs w:val="20"/>
              </w:rPr>
              <w:t>à</w:t>
            </w:r>
            <w:r w:rsidRPr="00B363AA">
              <w:rPr>
                <w:sz w:val="20"/>
                <w:szCs w:val="20"/>
              </w:rPr>
              <w:t xml:space="preserve"> </w:t>
            </w:r>
            <w:r w:rsidR="00F34FA9" w:rsidRPr="00B363AA">
              <w:rPr>
                <w:sz w:val="20"/>
                <w:szCs w:val="20"/>
              </w:rPr>
              <w:t xml:space="preserve">Voir </w:t>
            </w:r>
            <w:r w:rsidRPr="00B363AA">
              <w:rPr>
                <w:sz w:val="20"/>
                <w:szCs w:val="20"/>
              </w:rPr>
              <w:fldChar w:fldCharType="begin"/>
            </w:r>
            <w:r w:rsidRPr="00B363AA">
              <w:rPr>
                <w:sz w:val="20"/>
                <w:szCs w:val="20"/>
              </w:rPr>
              <w:instrText xml:space="preserve"> REF _Ref232250869 \r \h </w:instrText>
            </w:r>
            <w:r w:rsidR="00467681" w:rsidRPr="00B363AA">
              <w:rPr>
                <w:sz w:val="20"/>
                <w:szCs w:val="20"/>
              </w:rPr>
              <w:instrText xml:space="preserve"> \* MERGEFORMAT </w:instrText>
            </w:r>
            <w:r w:rsidRPr="00B363AA">
              <w:rPr>
                <w:sz w:val="20"/>
                <w:szCs w:val="20"/>
              </w:rPr>
            </w:r>
            <w:r w:rsidRPr="00B363AA">
              <w:rPr>
                <w:sz w:val="20"/>
                <w:szCs w:val="20"/>
              </w:rPr>
              <w:fldChar w:fldCharType="separate"/>
            </w:r>
            <w:r w:rsidR="004526A3" w:rsidRPr="00B363AA">
              <w:rPr>
                <w:sz w:val="20"/>
                <w:szCs w:val="20"/>
              </w:rPr>
              <w:t>3.5</w:t>
            </w:r>
            <w:r w:rsidRPr="00B363AA">
              <w:rPr>
                <w:sz w:val="20"/>
                <w:szCs w:val="20"/>
              </w:rPr>
              <w:fldChar w:fldCharType="end"/>
            </w:r>
          </w:p>
        </w:tc>
      </w:tr>
      <w:tr w:rsidR="0002445E" w:rsidRPr="00B363AA" w14:paraId="100A2DF4" w14:textId="25D48AAD" w:rsidTr="00F34FA9">
        <w:tc>
          <w:tcPr>
            <w:tcW w:w="1838" w:type="dxa"/>
            <w:vAlign w:val="center"/>
          </w:tcPr>
          <w:p w14:paraId="5B5FC25B" w14:textId="41EED4AC" w:rsidR="0002445E" w:rsidRPr="00B363AA" w:rsidRDefault="0002445E" w:rsidP="008C773D">
            <w:pPr>
              <w:jc w:val="left"/>
              <w:rPr>
                <w:b/>
                <w:bCs/>
                <w:sz w:val="20"/>
                <w:szCs w:val="20"/>
              </w:rPr>
            </w:pPr>
            <w:r w:rsidRPr="00B363AA">
              <w:rPr>
                <w:b/>
                <w:bCs/>
                <w:sz w:val="20"/>
                <w:szCs w:val="20"/>
              </w:rPr>
              <w:t>Service écosystémique</w:t>
            </w:r>
          </w:p>
        </w:tc>
        <w:tc>
          <w:tcPr>
            <w:tcW w:w="5954" w:type="dxa"/>
          </w:tcPr>
          <w:p w14:paraId="03AFF301" w14:textId="534C88CD" w:rsidR="0002445E" w:rsidRPr="00B363AA" w:rsidRDefault="000E4D2B" w:rsidP="00A95190">
            <w:pPr>
              <w:rPr>
                <w:sz w:val="20"/>
                <w:szCs w:val="20"/>
              </w:rPr>
            </w:pPr>
            <w:r w:rsidRPr="00B363AA">
              <w:rPr>
                <w:sz w:val="20"/>
                <w:szCs w:val="20"/>
              </w:rPr>
              <w:t>« </w:t>
            </w:r>
            <w:r w:rsidR="00897E85" w:rsidRPr="00B363AA">
              <w:rPr>
                <w:sz w:val="20"/>
                <w:szCs w:val="20"/>
              </w:rPr>
              <w:t>Les services écosystémiques sont l</w:t>
            </w:r>
            <w:r w:rsidR="0002445E" w:rsidRPr="00B363AA">
              <w:rPr>
                <w:sz w:val="20"/>
                <w:szCs w:val="20"/>
              </w:rPr>
              <w:t xml:space="preserve">es contributions directes ou indirectes des écosystèmes aux bénéfices environnementaux, économiques, sociaux, culturels et autres que les personnes tirent des écosystèmes » </w:t>
            </w:r>
            <w:r w:rsidRPr="00B363AA">
              <w:rPr>
                <w:sz w:val="20"/>
                <w:szCs w:val="20"/>
              </w:rPr>
              <w:t>(</w:t>
            </w:r>
            <w:r w:rsidR="003D369C" w:rsidRPr="00B363AA">
              <w:rPr>
                <w:sz w:val="20"/>
                <w:szCs w:val="20"/>
              </w:rPr>
              <w:t>d</w:t>
            </w:r>
            <w:r w:rsidRPr="00B363AA">
              <w:rPr>
                <w:sz w:val="20"/>
                <w:szCs w:val="20"/>
              </w:rPr>
              <w:t xml:space="preserve">irective sur la surveillance des sols, </w:t>
            </w:r>
            <w:r w:rsidR="00897E85" w:rsidRPr="00B363AA">
              <w:rPr>
                <w:sz w:val="20"/>
                <w:szCs w:val="20"/>
              </w:rPr>
              <w:fldChar w:fldCharType="begin"/>
            </w:r>
            <w:r w:rsidR="00377A1A" w:rsidRPr="00B363AA">
              <w:rPr>
                <w:sz w:val="20"/>
                <w:szCs w:val="20"/>
              </w:rPr>
              <w:instrText xml:space="preserve"> ADDIN ZOTERO_ITEM CSL_CITATION {"citationID":"S7iPW92t","properties":{"unsorted":false,"formattedCitation":"(UE, 2025)","plainCitation":"(UE, 2025)","dontUpdate":true,"noteIndex":0},"citationItems":[{"id":540,"uris":["http://zotero.org/groups/5684833/items/YXXNAEQQ"],"itemData":{"id":540,"type":"document","note":"OJ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897E85" w:rsidRPr="00B363AA">
              <w:rPr>
                <w:sz w:val="20"/>
                <w:szCs w:val="20"/>
              </w:rPr>
              <w:fldChar w:fldCharType="separate"/>
            </w:r>
            <w:r w:rsidR="00897E85" w:rsidRPr="00B363AA">
              <w:rPr>
                <w:rFonts w:cs="Calibri"/>
                <w:sz w:val="20"/>
              </w:rPr>
              <w:t>UE, 2025)</w:t>
            </w:r>
            <w:r w:rsidR="00897E85" w:rsidRPr="00B363AA">
              <w:rPr>
                <w:sz w:val="20"/>
                <w:szCs w:val="20"/>
              </w:rPr>
              <w:fldChar w:fldCharType="end"/>
            </w:r>
            <w:r w:rsidR="003D369C" w:rsidRPr="00B363AA">
              <w:rPr>
                <w:sz w:val="20"/>
                <w:szCs w:val="20"/>
              </w:rPr>
              <w:t>.</w:t>
            </w:r>
          </w:p>
        </w:tc>
        <w:tc>
          <w:tcPr>
            <w:tcW w:w="1268" w:type="dxa"/>
            <w:vAlign w:val="center"/>
          </w:tcPr>
          <w:p w14:paraId="65D8DAD3" w14:textId="23F6A8D2" w:rsidR="0002445E" w:rsidRPr="00B363AA" w:rsidRDefault="00B94E98" w:rsidP="00467681">
            <w:pPr>
              <w:jc w:val="left"/>
              <w:rPr>
                <w:sz w:val="20"/>
                <w:szCs w:val="20"/>
              </w:rPr>
            </w:pPr>
            <w:r w:rsidRPr="00B363AA">
              <w:rPr>
                <w:rFonts w:ascii="Wingdings" w:eastAsia="Wingdings" w:hAnsi="Wingdings" w:cs="Wingdings"/>
                <w:sz w:val="20"/>
                <w:szCs w:val="20"/>
              </w:rPr>
              <w:t>à</w:t>
            </w:r>
            <w:r w:rsidRPr="00B363AA">
              <w:rPr>
                <w:sz w:val="20"/>
                <w:szCs w:val="20"/>
              </w:rPr>
              <w:t xml:space="preserve"> </w:t>
            </w:r>
            <w:r w:rsidR="00F34FA9" w:rsidRPr="00B363AA">
              <w:rPr>
                <w:sz w:val="20"/>
                <w:szCs w:val="20"/>
              </w:rPr>
              <w:t xml:space="preserve">Voir </w:t>
            </w:r>
            <w:r w:rsidR="00050851" w:rsidRPr="00B363AA">
              <w:rPr>
                <w:sz w:val="20"/>
                <w:szCs w:val="20"/>
              </w:rPr>
              <w:fldChar w:fldCharType="begin"/>
            </w:r>
            <w:r w:rsidR="00050851" w:rsidRPr="00B363AA">
              <w:rPr>
                <w:sz w:val="20"/>
                <w:szCs w:val="20"/>
              </w:rPr>
              <w:instrText xml:space="preserve"> REF _Ref233110970 \r \h </w:instrText>
            </w:r>
            <w:r w:rsidR="00050851" w:rsidRPr="00B363AA">
              <w:rPr>
                <w:sz w:val="20"/>
                <w:szCs w:val="20"/>
              </w:rPr>
            </w:r>
            <w:r w:rsidR="00050851" w:rsidRPr="00B363AA">
              <w:rPr>
                <w:sz w:val="20"/>
                <w:szCs w:val="20"/>
              </w:rPr>
              <w:fldChar w:fldCharType="separate"/>
            </w:r>
            <w:r w:rsidR="004526A3" w:rsidRPr="00B363AA">
              <w:rPr>
                <w:sz w:val="20"/>
                <w:szCs w:val="20"/>
              </w:rPr>
              <w:t>4.1.1</w:t>
            </w:r>
            <w:r w:rsidR="00050851" w:rsidRPr="00B363AA">
              <w:rPr>
                <w:sz w:val="20"/>
                <w:szCs w:val="20"/>
              </w:rPr>
              <w:fldChar w:fldCharType="end"/>
            </w:r>
          </w:p>
        </w:tc>
      </w:tr>
      <w:tr w:rsidR="0002445E" w:rsidRPr="00B363AA" w14:paraId="7667AB48" w14:textId="701D5186" w:rsidTr="00F34FA9">
        <w:tc>
          <w:tcPr>
            <w:tcW w:w="1838" w:type="dxa"/>
            <w:vAlign w:val="center"/>
          </w:tcPr>
          <w:p w14:paraId="7191B325" w14:textId="5838D7B8" w:rsidR="0002445E" w:rsidRPr="00B363AA" w:rsidRDefault="0002445E" w:rsidP="008C773D">
            <w:pPr>
              <w:jc w:val="left"/>
              <w:rPr>
                <w:b/>
                <w:bCs/>
                <w:sz w:val="20"/>
                <w:szCs w:val="20"/>
              </w:rPr>
            </w:pPr>
            <w:r w:rsidRPr="00B363AA">
              <w:rPr>
                <w:b/>
                <w:bCs/>
                <w:sz w:val="20"/>
                <w:szCs w:val="20"/>
              </w:rPr>
              <w:t>Fonction</w:t>
            </w:r>
          </w:p>
        </w:tc>
        <w:tc>
          <w:tcPr>
            <w:tcW w:w="5954" w:type="dxa"/>
          </w:tcPr>
          <w:p w14:paraId="7D92738C" w14:textId="7A1C7FAF" w:rsidR="0002445E" w:rsidRPr="00B363AA" w:rsidRDefault="00421531" w:rsidP="00A95190">
            <w:pPr>
              <w:rPr>
                <w:sz w:val="20"/>
                <w:szCs w:val="20"/>
              </w:rPr>
            </w:pPr>
            <w:r w:rsidRPr="00B363AA">
              <w:rPr>
                <w:sz w:val="20"/>
                <w:szCs w:val="20"/>
              </w:rPr>
              <w:t xml:space="preserve">Échelle de sous-découpage des services écosystémiques, se référant à un processus pédologique </w:t>
            </w:r>
            <w:r w:rsidR="00A70CDA" w:rsidRPr="00B363AA">
              <w:rPr>
                <w:sz w:val="20"/>
                <w:szCs w:val="20"/>
              </w:rPr>
              <w:t>particulier.</w:t>
            </w:r>
            <w:r w:rsidR="00BA33BB" w:rsidRPr="00B363AA">
              <w:rPr>
                <w:sz w:val="20"/>
                <w:szCs w:val="20"/>
              </w:rPr>
              <w:t xml:space="preserve"> Une fonction est le résultat </w:t>
            </w:r>
            <w:r w:rsidR="003D369C" w:rsidRPr="00B363AA">
              <w:rPr>
                <w:sz w:val="20"/>
                <w:szCs w:val="20"/>
              </w:rPr>
              <w:t xml:space="preserve">de processus naturels internes au sol </w:t>
            </w:r>
            <w:r w:rsidR="003D369C" w:rsidRPr="00B363AA">
              <w:rPr>
                <w:sz w:val="20"/>
                <w:szCs w:val="20"/>
              </w:rPr>
              <w:fldChar w:fldCharType="begin"/>
            </w:r>
            <w:r w:rsidR="003D369C" w:rsidRPr="00B363AA">
              <w:rPr>
                <w:sz w:val="20"/>
                <w:szCs w:val="20"/>
              </w:rPr>
              <w:instrText xml:space="preserve"> ADDIN ZOTERO_ITEM CSL_CITATION {"citationID":"2R0rugkb","properties":{"unsorted":false,"formattedCitation":"(de\\uc0\\u160{}Groot et al., 2002)","plainCitation":"(de Groot et al., 2002)","noteIndex":0},"citationItems":[{"id":604,"uris":["http://zotero.org/groups/5684833/items/QJRRCWD8"],"itemData":{"id":604,"type":"article-journal","abstract":"An increasing amount of information is being collected on the ecological and socio-economic value of goods and services provided by natural and semi-natural ecosystems. However, much of this information appears scattered throughout a disciplinary academic literature, unpublished government agency reports, and across the World Wide Web. In addition, data on ecosystem goods and services often appears at incompatible scales of analysis and is classified differently by different authors. In order to make comparative ecological economic analysis possible, a standardized framework for the comprehensive assessment of ecosystem functions, goods and services is needed. In response to this challenge, this paper presents a conceptual framework and typology for describing, classifying and valuing ecosystem functions, goods and services in a clear and consistent manner. In the following analysis, a classification is given for the fullest possible range of 23 ecosystem functions that provide a much larger number of goods and services. In the second part of the paper, a checklist and matrix is provided, linking these ecosystem functions to the main ecological, socio–cultural and economic valuation methods.","container-title":"Ecological Economics","DOI":"10.1016/S0921-8009(02)00089-7","ISSN":"0921-8009","issue":"3","journalAbbreviation":"Ecological Economics","page":"393-408","source":"ScienceDirect","title":"A typology for the classification, description and valuation of ecosystem functions, goods and services","volume":"41","author":[{"family":"Groot","given":"Rudolf S","non-dropping-particle":"de"},{"family":"Wilson","given":"Matthew A"},{"family":"Boumans","given":"Roelof M. J"}],"issued":{"date-parts":[["2002",6,1]]}}}],"schema":"https://github.com/citation-style-language/schema/raw/master/csl-citation.json"} </w:instrText>
            </w:r>
            <w:r w:rsidR="003D369C" w:rsidRPr="00B363AA">
              <w:rPr>
                <w:sz w:val="20"/>
                <w:szCs w:val="20"/>
              </w:rPr>
              <w:fldChar w:fldCharType="separate"/>
            </w:r>
            <w:r w:rsidR="003D369C" w:rsidRPr="00B363AA">
              <w:rPr>
                <w:rFonts w:cs="Calibri"/>
                <w:kern w:val="0"/>
                <w:sz w:val="20"/>
              </w:rPr>
              <w:t>(de Groot et al., 2002)</w:t>
            </w:r>
            <w:r w:rsidR="003D369C" w:rsidRPr="00B363AA">
              <w:rPr>
                <w:sz w:val="20"/>
                <w:szCs w:val="20"/>
              </w:rPr>
              <w:fldChar w:fldCharType="end"/>
            </w:r>
            <w:r w:rsidR="003D369C" w:rsidRPr="00B363AA">
              <w:rPr>
                <w:sz w:val="20"/>
                <w:szCs w:val="20"/>
              </w:rPr>
              <w:t>.</w:t>
            </w:r>
          </w:p>
        </w:tc>
        <w:tc>
          <w:tcPr>
            <w:tcW w:w="1268" w:type="dxa"/>
            <w:vAlign w:val="center"/>
          </w:tcPr>
          <w:p w14:paraId="2FCD731F" w14:textId="3A8592A1" w:rsidR="0002445E" w:rsidRPr="00B363AA" w:rsidRDefault="008C773D" w:rsidP="00467681">
            <w:pPr>
              <w:jc w:val="left"/>
              <w:rPr>
                <w:sz w:val="20"/>
                <w:szCs w:val="20"/>
              </w:rPr>
            </w:pPr>
            <w:r w:rsidRPr="00B363AA">
              <w:rPr>
                <w:rFonts w:ascii="Wingdings" w:eastAsia="Wingdings" w:hAnsi="Wingdings" w:cs="Wingdings"/>
                <w:sz w:val="20"/>
                <w:szCs w:val="20"/>
              </w:rPr>
              <w:t>à</w:t>
            </w:r>
            <w:r w:rsidRPr="00B363AA">
              <w:rPr>
                <w:sz w:val="20"/>
                <w:szCs w:val="20"/>
              </w:rPr>
              <w:t xml:space="preserve"> </w:t>
            </w:r>
            <w:r w:rsidR="00F34FA9" w:rsidRPr="00B363AA">
              <w:rPr>
                <w:sz w:val="20"/>
                <w:szCs w:val="20"/>
              </w:rPr>
              <w:t xml:space="preserve">Voir </w:t>
            </w:r>
            <w:r w:rsidR="008C34E0" w:rsidRPr="00B363AA">
              <w:rPr>
                <w:sz w:val="20"/>
                <w:szCs w:val="20"/>
              </w:rPr>
              <w:fldChar w:fldCharType="begin"/>
            </w:r>
            <w:r w:rsidR="008C34E0" w:rsidRPr="00B363AA">
              <w:rPr>
                <w:sz w:val="20"/>
                <w:szCs w:val="20"/>
              </w:rPr>
              <w:instrText xml:space="preserve"> REF _Ref232250903 \r \h </w:instrText>
            </w:r>
            <w:r w:rsidR="00467681" w:rsidRPr="00B363AA">
              <w:rPr>
                <w:sz w:val="20"/>
                <w:szCs w:val="20"/>
              </w:rPr>
              <w:instrText xml:space="preserve"> \* MERGEFORMAT </w:instrText>
            </w:r>
            <w:r w:rsidR="008C34E0" w:rsidRPr="00B363AA">
              <w:rPr>
                <w:sz w:val="20"/>
                <w:szCs w:val="20"/>
              </w:rPr>
            </w:r>
            <w:r w:rsidR="008C34E0" w:rsidRPr="00B363AA">
              <w:rPr>
                <w:sz w:val="20"/>
                <w:szCs w:val="20"/>
              </w:rPr>
              <w:fldChar w:fldCharType="separate"/>
            </w:r>
            <w:r w:rsidR="004526A3" w:rsidRPr="00B363AA">
              <w:rPr>
                <w:sz w:val="20"/>
                <w:szCs w:val="20"/>
              </w:rPr>
              <w:t>4.1.2</w:t>
            </w:r>
            <w:r w:rsidR="008C34E0" w:rsidRPr="00B363AA">
              <w:rPr>
                <w:sz w:val="20"/>
                <w:szCs w:val="20"/>
              </w:rPr>
              <w:fldChar w:fldCharType="end"/>
            </w:r>
          </w:p>
        </w:tc>
      </w:tr>
      <w:tr w:rsidR="0002445E" w:rsidRPr="00B363AA" w14:paraId="6CAA9208" w14:textId="4AC27100" w:rsidTr="00F34FA9">
        <w:tc>
          <w:tcPr>
            <w:tcW w:w="1838" w:type="dxa"/>
            <w:vAlign w:val="center"/>
          </w:tcPr>
          <w:p w14:paraId="0222D8E1" w14:textId="16AAE1E4" w:rsidR="0002445E" w:rsidRPr="00B363AA" w:rsidRDefault="0002445E" w:rsidP="008C773D">
            <w:pPr>
              <w:jc w:val="left"/>
              <w:rPr>
                <w:b/>
                <w:bCs/>
                <w:sz w:val="20"/>
                <w:szCs w:val="20"/>
              </w:rPr>
            </w:pPr>
            <w:r w:rsidRPr="00B363AA">
              <w:rPr>
                <w:b/>
                <w:bCs/>
                <w:sz w:val="20"/>
                <w:szCs w:val="20"/>
              </w:rPr>
              <w:t>Indicateur</w:t>
            </w:r>
          </w:p>
        </w:tc>
        <w:tc>
          <w:tcPr>
            <w:tcW w:w="5954" w:type="dxa"/>
          </w:tcPr>
          <w:p w14:paraId="0AFE9156" w14:textId="221B8BED" w:rsidR="00AE1D2B" w:rsidRPr="00B363AA" w:rsidRDefault="00AE1D2B" w:rsidP="00AE1D2B">
            <w:pPr>
              <w:rPr>
                <w:sz w:val="20"/>
                <w:szCs w:val="20"/>
              </w:rPr>
            </w:pPr>
            <w:r w:rsidRPr="00B363AA">
              <w:rPr>
                <w:sz w:val="20"/>
                <w:szCs w:val="20"/>
              </w:rPr>
              <w:t>Un indicateur est un paramètre (ou une combinaison de paramètres) auquel une interprétation est attribuée en lien avec une fonction donnée (par exemple, l</w:t>
            </w:r>
            <w:r w:rsidR="00E20A7A" w:rsidRPr="00B363AA">
              <w:rPr>
                <w:sz w:val="20"/>
                <w:szCs w:val="20"/>
              </w:rPr>
              <w:t>a teneur en</w:t>
            </w:r>
            <w:r w:rsidRPr="00B363AA">
              <w:rPr>
                <w:sz w:val="20"/>
                <w:szCs w:val="20"/>
              </w:rPr>
              <w:t xml:space="preserve"> phosphore est un indicateur du statut nutritif du sol). Deux types d’indicateurs se distinguent dans l’IQSW-pro : les indicateurs mesurés et les indicateurs calculés</w:t>
            </w:r>
            <w:r w:rsidR="00375514" w:rsidRPr="00B363AA">
              <w:rPr>
                <w:sz w:val="20"/>
                <w:szCs w:val="20"/>
              </w:rPr>
              <w:t>.</w:t>
            </w:r>
          </w:p>
          <w:p w14:paraId="2DE156E1" w14:textId="77777777" w:rsidR="00375514" w:rsidRPr="00B363AA" w:rsidRDefault="00375514" w:rsidP="00AE1D2B">
            <w:pPr>
              <w:rPr>
                <w:sz w:val="20"/>
                <w:szCs w:val="20"/>
              </w:rPr>
            </w:pPr>
          </w:p>
          <w:p w14:paraId="631A5254" w14:textId="3C689D6C" w:rsidR="00AE1D2B" w:rsidRPr="00B363AA" w:rsidRDefault="00AE1D2B">
            <w:pPr>
              <w:pStyle w:val="Paragraphedeliste"/>
              <w:numPr>
                <w:ilvl w:val="0"/>
                <w:numId w:val="13"/>
              </w:numPr>
              <w:rPr>
                <w:sz w:val="20"/>
                <w:szCs w:val="20"/>
              </w:rPr>
            </w:pPr>
            <w:r w:rsidRPr="00B363AA">
              <w:rPr>
                <w:sz w:val="20"/>
                <w:szCs w:val="20"/>
              </w:rPr>
              <w:t xml:space="preserve">Un </w:t>
            </w:r>
            <w:r w:rsidRPr="00B363AA">
              <w:rPr>
                <w:i/>
                <w:iCs/>
                <w:sz w:val="20"/>
                <w:szCs w:val="20"/>
              </w:rPr>
              <w:t>indicateur mesuré</w:t>
            </w:r>
            <w:r w:rsidRPr="00B363AA">
              <w:rPr>
                <w:sz w:val="20"/>
                <w:szCs w:val="20"/>
              </w:rPr>
              <w:t xml:space="preserve"> correspond à un paramètre qui est directement interprété individuellement (par exemple, un score est associé directement à la </w:t>
            </w:r>
            <w:r w:rsidR="00E20A7A" w:rsidRPr="00B363AA">
              <w:rPr>
                <w:sz w:val="20"/>
                <w:szCs w:val="20"/>
              </w:rPr>
              <w:t>teneur en</w:t>
            </w:r>
            <w:r w:rsidRPr="00B363AA">
              <w:rPr>
                <w:sz w:val="20"/>
                <w:szCs w:val="20"/>
              </w:rPr>
              <w:t xml:space="preserve"> </w:t>
            </w:r>
            <w:r w:rsidR="00E20A7A" w:rsidRPr="00B363AA">
              <w:rPr>
                <w:sz w:val="20"/>
                <w:szCs w:val="20"/>
              </w:rPr>
              <w:t>phosphore</w:t>
            </w:r>
            <w:r w:rsidRPr="00B363AA">
              <w:rPr>
                <w:sz w:val="20"/>
                <w:szCs w:val="20"/>
              </w:rPr>
              <w:t xml:space="preserve"> mesurée). </w:t>
            </w:r>
          </w:p>
          <w:p w14:paraId="6CD6A249" w14:textId="77777777" w:rsidR="00375514" w:rsidRPr="00B363AA" w:rsidRDefault="00375514" w:rsidP="00375514">
            <w:pPr>
              <w:pStyle w:val="Paragraphedeliste"/>
              <w:ind w:left="360"/>
              <w:rPr>
                <w:sz w:val="20"/>
                <w:szCs w:val="20"/>
              </w:rPr>
            </w:pPr>
          </w:p>
          <w:p w14:paraId="0DE6DCA0" w14:textId="6F72A191" w:rsidR="0002445E" w:rsidRPr="00B363AA" w:rsidRDefault="00AE1D2B">
            <w:pPr>
              <w:pStyle w:val="Paragraphedeliste"/>
              <w:numPr>
                <w:ilvl w:val="0"/>
                <w:numId w:val="13"/>
              </w:numPr>
              <w:rPr>
                <w:sz w:val="20"/>
                <w:szCs w:val="20"/>
              </w:rPr>
            </w:pPr>
            <w:r w:rsidRPr="00B363AA">
              <w:rPr>
                <w:sz w:val="20"/>
                <w:szCs w:val="20"/>
              </w:rPr>
              <w:t xml:space="preserve">Un </w:t>
            </w:r>
            <w:r w:rsidRPr="00B363AA">
              <w:rPr>
                <w:i/>
                <w:iCs/>
                <w:sz w:val="20"/>
                <w:szCs w:val="20"/>
              </w:rPr>
              <w:t>indicateur calculé</w:t>
            </w:r>
            <w:r w:rsidRPr="00B363AA">
              <w:rPr>
                <w:sz w:val="20"/>
                <w:szCs w:val="20"/>
              </w:rPr>
              <w:t>, quant à lui, implique une étape intermédiaire de combinaison de plusieurs paramètres, à travers un calcul (une équation) avant d’être interprété. Par exemple, la réserve en eau utile</w:t>
            </w:r>
            <w:r w:rsidR="002C6C9A" w:rsidRPr="00B363AA">
              <w:rPr>
                <w:sz w:val="20"/>
                <w:szCs w:val="20"/>
              </w:rPr>
              <w:t xml:space="preserve"> (REU)</w:t>
            </w:r>
            <w:r w:rsidRPr="00B363AA">
              <w:rPr>
                <w:sz w:val="20"/>
                <w:szCs w:val="20"/>
              </w:rPr>
              <w:t xml:space="preserve"> est un indicateur calculé en intégrant différents paramètres dont la texture ou la teneur en carbone organique. Dans la fonction considérée, la texture n’est pas scorée individuellement, mais c’est le résultat du calcul de la REU qui est scoré.</w:t>
            </w:r>
          </w:p>
        </w:tc>
        <w:tc>
          <w:tcPr>
            <w:tcW w:w="1268" w:type="dxa"/>
            <w:vAlign w:val="center"/>
          </w:tcPr>
          <w:p w14:paraId="2075EAAA" w14:textId="6262E525" w:rsidR="0002445E" w:rsidRPr="00B363AA" w:rsidRDefault="002A09FF" w:rsidP="00467681">
            <w:pPr>
              <w:jc w:val="left"/>
              <w:rPr>
                <w:sz w:val="20"/>
                <w:szCs w:val="20"/>
              </w:rPr>
            </w:pPr>
            <w:r w:rsidRPr="00B363AA">
              <w:rPr>
                <w:rFonts w:ascii="Wingdings" w:eastAsia="Wingdings" w:hAnsi="Wingdings" w:cs="Wingdings"/>
                <w:sz w:val="20"/>
                <w:szCs w:val="20"/>
              </w:rPr>
              <w:t>à</w:t>
            </w:r>
            <w:r w:rsidRPr="00B363AA">
              <w:rPr>
                <w:sz w:val="20"/>
                <w:szCs w:val="20"/>
              </w:rPr>
              <w:t xml:space="preserve"> </w:t>
            </w:r>
            <w:r w:rsidR="00F34FA9" w:rsidRPr="00B363AA">
              <w:rPr>
                <w:sz w:val="20"/>
                <w:szCs w:val="20"/>
              </w:rPr>
              <w:t xml:space="preserve">Voir </w:t>
            </w:r>
            <w:r w:rsidR="002224EE" w:rsidRPr="00B363AA">
              <w:rPr>
                <w:sz w:val="20"/>
                <w:szCs w:val="20"/>
              </w:rPr>
              <w:fldChar w:fldCharType="begin"/>
            </w:r>
            <w:r w:rsidR="002224EE" w:rsidRPr="00B363AA">
              <w:rPr>
                <w:sz w:val="20"/>
                <w:szCs w:val="20"/>
              </w:rPr>
              <w:instrText xml:space="preserve"> REF _Ref241228404 \r \h </w:instrText>
            </w:r>
            <w:r w:rsidR="002224EE" w:rsidRPr="00B363AA">
              <w:rPr>
                <w:sz w:val="20"/>
                <w:szCs w:val="20"/>
              </w:rPr>
            </w:r>
            <w:r w:rsidR="002224EE" w:rsidRPr="00B363AA">
              <w:rPr>
                <w:sz w:val="20"/>
                <w:szCs w:val="20"/>
              </w:rPr>
              <w:fldChar w:fldCharType="separate"/>
            </w:r>
            <w:r w:rsidR="002224EE" w:rsidRPr="00B363AA">
              <w:rPr>
                <w:sz w:val="20"/>
                <w:szCs w:val="20"/>
              </w:rPr>
              <w:t>3.6.1</w:t>
            </w:r>
            <w:r w:rsidR="002224EE" w:rsidRPr="00B363AA">
              <w:rPr>
                <w:sz w:val="20"/>
                <w:szCs w:val="20"/>
              </w:rPr>
              <w:fldChar w:fldCharType="end"/>
            </w:r>
          </w:p>
        </w:tc>
      </w:tr>
      <w:tr w:rsidR="0002445E" w:rsidRPr="00B363AA" w14:paraId="00C5E391" w14:textId="143BB025" w:rsidTr="00F34FA9">
        <w:tc>
          <w:tcPr>
            <w:tcW w:w="1838" w:type="dxa"/>
            <w:vAlign w:val="center"/>
          </w:tcPr>
          <w:p w14:paraId="66B13EAE" w14:textId="6323C0AE" w:rsidR="0002445E" w:rsidRPr="00B363AA" w:rsidRDefault="0002445E" w:rsidP="008C773D">
            <w:pPr>
              <w:jc w:val="left"/>
              <w:rPr>
                <w:b/>
                <w:bCs/>
                <w:sz w:val="20"/>
                <w:szCs w:val="20"/>
              </w:rPr>
            </w:pPr>
            <w:r w:rsidRPr="00B363AA">
              <w:rPr>
                <w:b/>
                <w:bCs/>
                <w:sz w:val="20"/>
                <w:szCs w:val="20"/>
              </w:rPr>
              <w:t>Paramètre</w:t>
            </w:r>
          </w:p>
        </w:tc>
        <w:tc>
          <w:tcPr>
            <w:tcW w:w="5954" w:type="dxa"/>
          </w:tcPr>
          <w:p w14:paraId="38BE8A21" w14:textId="4F954425" w:rsidR="0002445E" w:rsidRPr="00B363AA" w:rsidRDefault="00AE1D2B" w:rsidP="00A95190">
            <w:pPr>
              <w:rPr>
                <w:sz w:val="20"/>
                <w:szCs w:val="20"/>
              </w:rPr>
            </w:pPr>
            <w:r w:rsidRPr="00B363AA">
              <w:rPr>
                <w:sz w:val="20"/>
                <w:szCs w:val="20"/>
              </w:rPr>
              <w:t>Un paramètre est une propriété qui est directement mesurée (par exemple, l</w:t>
            </w:r>
            <w:r w:rsidR="00E20A7A" w:rsidRPr="00B363AA">
              <w:rPr>
                <w:sz w:val="20"/>
                <w:szCs w:val="20"/>
              </w:rPr>
              <w:t>a teneur en</w:t>
            </w:r>
            <w:r w:rsidRPr="00B363AA">
              <w:rPr>
                <w:sz w:val="20"/>
                <w:szCs w:val="20"/>
              </w:rPr>
              <w:t xml:space="preserve"> </w:t>
            </w:r>
            <w:r w:rsidR="00E20A7A" w:rsidRPr="00B363AA">
              <w:rPr>
                <w:sz w:val="20"/>
                <w:szCs w:val="20"/>
              </w:rPr>
              <w:t>phosphore</w:t>
            </w:r>
            <w:r w:rsidRPr="00B363AA">
              <w:rPr>
                <w:sz w:val="20"/>
                <w:szCs w:val="20"/>
              </w:rPr>
              <w:t>). Si la valeur du paramètre est interprétée en lien avec une fonction donnée, le paramètre devient un indicateur pour la fonction.</w:t>
            </w:r>
          </w:p>
        </w:tc>
        <w:tc>
          <w:tcPr>
            <w:tcW w:w="1268" w:type="dxa"/>
            <w:vAlign w:val="center"/>
          </w:tcPr>
          <w:p w14:paraId="50E12D0B" w14:textId="47084F30" w:rsidR="0002445E" w:rsidRPr="00B363AA" w:rsidRDefault="008C34E0" w:rsidP="00467681">
            <w:pPr>
              <w:jc w:val="left"/>
              <w:rPr>
                <w:sz w:val="20"/>
                <w:szCs w:val="20"/>
              </w:rPr>
            </w:pPr>
            <w:r w:rsidRPr="00B363AA">
              <w:rPr>
                <w:rFonts w:ascii="Wingdings" w:eastAsia="Wingdings" w:hAnsi="Wingdings" w:cs="Wingdings"/>
                <w:sz w:val="20"/>
                <w:szCs w:val="20"/>
              </w:rPr>
              <w:t>à</w:t>
            </w:r>
            <w:r w:rsidRPr="00B363AA">
              <w:rPr>
                <w:sz w:val="20"/>
                <w:szCs w:val="20"/>
              </w:rPr>
              <w:t xml:space="preserve"> </w:t>
            </w:r>
            <w:r w:rsidR="00F34FA9" w:rsidRPr="00B363AA">
              <w:rPr>
                <w:sz w:val="20"/>
                <w:szCs w:val="20"/>
              </w:rPr>
              <w:t xml:space="preserve">Voir </w:t>
            </w:r>
            <w:r w:rsidR="002224EE" w:rsidRPr="00B363AA">
              <w:rPr>
                <w:sz w:val="20"/>
                <w:szCs w:val="20"/>
              </w:rPr>
              <w:fldChar w:fldCharType="begin"/>
            </w:r>
            <w:r w:rsidR="002224EE" w:rsidRPr="00B363AA">
              <w:rPr>
                <w:sz w:val="20"/>
                <w:szCs w:val="20"/>
              </w:rPr>
              <w:instrText xml:space="preserve"> REF _Ref241228421 \r \h </w:instrText>
            </w:r>
            <w:r w:rsidR="002224EE" w:rsidRPr="00B363AA">
              <w:rPr>
                <w:sz w:val="20"/>
                <w:szCs w:val="20"/>
              </w:rPr>
            </w:r>
            <w:r w:rsidR="002224EE" w:rsidRPr="00B363AA">
              <w:rPr>
                <w:sz w:val="20"/>
                <w:szCs w:val="20"/>
              </w:rPr>
              <w:fldChar w:fldCharType="separate"/>
            </w:r>
            <w:r w:rsidR="002224EE" w:rsidRPr="00B363AA">
              <w:rPr>
                <w:sz w:val="20"/>
                <w:szCs w:val="20"/>
              </w:rPr>
              <w:t>3.6.1</w:t>
            </w:r>
            <w:r w:rsidR="002224EE" w:rsidRPr="00B363AA">
              <w:rPr>
                <w:sz w:val="20"/>
                <w:szCs w:val="20"/>
              </w:rPr>
              <w:fldChar w:fldCharType="end"/>
            </w:r>
          </w:p>
        </w:tc>
      </w:tr>
    </w:tbl>
    <w:p w14:paraId="74317AB6" w14:textId="7F46BF30" w:rsidR="00A95190" w:rsidRPr="00B363AA" w:rsidRDefault="00A95190" w:rsidP="00A95190">
      <w:pPr>
        <w:jc w:val="left"/>
      </w:pPr>
      <w:r w:rsidRPr="00B363AA">
        <w:br w:type="page"/>
      </w:r>
    </w:p>
    <w:p w14:paraId="54D9E413" w14:textId="483EFDC1" w:rsidR="000B7D1B" w:rsidRPr="00B363AA" w:rsidRDefault="000B7D1B" w:rsidP="000B7D1B">
      <w:pPr>
        <w:pStyle w:val="Titre1"/>
      </w:pPr>
      <w:bookmarkStart w:id="2" w:name="_Toc241242929"/>
      <w:r w:rsidRPr="00B363AA">
        <w:lastRenderedPageBreak/>
        <w:t>Table des figures</w:t>
      </w:r>
      <w:bookmarkEnd w:id="2"/>
    </w:p>
    <w:p w14:paraId="3D921790" w14:textId="7232CC34" w:rsidR="001A7BE1" w:rsidRPr="00B363AA" w:rsidRDefault="000B7D1B">
      <w:pPr>
        <w:pStyle w:val="Tabledesillustrations"/>
        <w:tabs>
          <w:tab w:val="right" w:leader="dot" w:pos="9060"/>
        </w:tabs>
        <w:rPr>
          <w:rFonts w:asciiTheme="minorHAnsi" w:eastAsiaTheme="minorEastAsia" w:hAnsiTheme="minorHAnsi"/>
          <w:sz w:val="24"/>
          <w:lang w:eastAsia="fr-BE"/>
        </w:rPr>
      </w:pPr>
      <w:r w:rsidRPr="00B363AA">
        <w:fldChar w:fldCharType="begin"/>
      </w:r>
      <w:r w:rsidRPr="00B363AA">
        <w:instrText xml:space="preserve"> TOC \h \z \c "Figure" </w:instrText>
      </w:r>
      <w:r w:rsidRPr="00B363AA">
        <w:fldChar w:fldCharType="separate"/>
      </w:r>
      <w:hyperlink w:anchor="_Toc241229816" w:history="1">
        <w:r w:rsidR="001A7BE1" w:rsidRPr="00B363AA">
          <w:rPr>
            <w:rStyle w:val="Lienhypertexte"/>
          </w:rPr>
          <w:t>Figure 1 : Étapes du calcul des indices IQSW-pro (schéma simplifié)</w:t>
        </w:r>
        <w:r w:rsidR="001A7BE1" w:rsidRPr="00B363AA">
          <w:rPr>
            <w:webHidden/>
          </w:rPr>
          <w:tab/>
        </w:r>
        <w:r w:rsidR="001A7BE1" w:rsidRPr="00B363AA">
          <w:rPr>
            <w:webHidden/>
          </w:rPr>
          <w:fldChar w:fldCharType="begin"/>
        </w:r>
        <w:r w:rsidR="001A7BE1" w:rsidRPr="00B363AA">
          <w:rPr>
            <w:webHidden/>
          </w:rPr>
          <w:instrText xml:space="preserve"> PAGEREF _Toc241229816 \h </w:instrText>
        </w:r>
        <w:r w:rsidR="001A7BE1" w:rsidRPr="00B363AA">
          <w:rPr>
            <w:webHidden/>
          </w:rPr>
        </w:r>
        <w:r w:rsidR="001A7BE1" w:rsidRPr="00B363AA">
          <w:rPr>
            <w:webHidden/>
          </w:rPr>
          <w:fldChar w:fldCharType="separate"/>
        </w:r>
        <w:r w:rsidR="001A7BE1" w:rsidRPr="00B363AA">
          <w:rPr>
            <w:webHidden/>
          </w:rPr>
          <w:t>8</w:t>
        </w:r>
        <w:r w:rsidR="001A7BE1" w:rsidRPr="00B363AA">
          <w:rPr>
            <w:webHidden/>
          </w:rPr>
          <w:fldChar w:fldCharType="end"/>
        </w:r>
      </w:hyperlink>
    </w:p>
    <w:p w14:paraId="289ECF99" w14:textId="62A95EA5" w:rsidR="001A7BE1" w:rsidRPr="00B363AA" w:rsidRDefault="001A7BE1">
      <w:pPr>
        <w:pStyle w:val="Tabledesillustrations"/>
        <w:tabs>
          <w:tab w:val="right" w:leader="dot" w:pos="9060"/>
        </w:tabs>
        <w:rPr>
          <w:rFonts w:asciiTheme="minorHAnsi" w:eastAsiaTheme="minorEastAsia" w:hAnsiTheme="minorHAnsi"/>
          <w:sz w:val="24"/>
          <w:lang w:eastAsia="fr-BE"/>
        </w:rPr>
      </w:pPr>
      <w:hyperlink w:anchor="_Toc241229817" w:history="1">
        <w:r w:rsidRPr="00B363AA">
          <w:rPr>
            <w:rStyle w:val="Lienhypertexte"/>
          </w:rPr>
          <w:t>Figure 2 : Étapes du calcul des indices IQSW-pro</w:t>
        </w:r>
        <w:r w:rsidRPr="00B363AA">
          <w:rPr>
            <w:webHidden/>
          </w:rPr>
          <w:tab/>
        </w:r>
        <w:r w:rsidRPr="00B363AA">
          <w:rPr>
            <w:webHidden/>
          </w:rPr>
          <w:fldChar w:fldCharType="begin"/>
        </w:r>
        <w:r w:rsidRPr="00B363AA">
          <w:rPr>
            <w:webHidden/>
          </w:rPr>
          <w:instrText xml:space="preserve"> PAGEREF _Toc241229817 \h </w:instrText>
        </w:r>
        <w:r w:rsidRPr="00B363AA">
          <w:rPr>
            <w:webHidden/>
          </w:rPr>
        </w:r>
        <w:r w:rsidRPr="00B363AA">
          <w:rPr>
            <w:webHidden/>
          </w:rPr>
          <w:fldChar w:fldCharType="separate"/>
        </w:r>
        <w:r w:rsidRPr="00B363AA">
          <w:rPr>
            <w:webHidden/>
          </w:rPr>
          <w:t>16</w:t>
        </w:r>
        <w:r w:rsidRPr="00B363AA">
          <w:rPr>
            <w:webHidden/>
          </w:rPr>
          <w:fldChar w:fldCharType="end"/>
        </w:r>
      </w:hyperlink>
    </w:p>
    <w:p w14:paraId="6F8EE3B7" w14:textId="307C8E63" w:rsidR="001A7BE1" w:rsidRPr="00B363AA" w:rsidRDefault="001A7BE1">
      <w:pPr>
        <w:pStyle w:val="Tabledesillustrations"/>
        <w:tabs>
          <w:tab w:val="right" w:leader="dot" w:pos="9060"/>
        </w:tabs>
        <w:rPr>
          <w:rFonts w:asciiTheme="minorHAnsi" w:eastAsiaTheme="minorEastAsia" w:hAnsiTheme="minorHAnsi"/>
          <w:sz w:val="24"/>
          <w:lang w:eastAsia="fr-BE"/>
        </w:rPr>
      </w:pPr>
      <w:hyperlink w:anchor="_Toc241229818" w:history="1">
        <w:r w:rsidRPr="00B363AA">
          <w:rPr>
            <w:rStyle w:val="Lienhypertexte"/>
          </w:rPr>
          <w:t>Figure 3 : Illustration schématique des concepts de qualité et santé du sol</w:t>
        </w:r>
        <w:r w:rsidRPr="00B363AA">
          <w:rPr>
            <w:webHidden/>
          </w:rPr>
          <w:tab/>
        </w:r>
        <w:r w:rsidRPr="00B363AA">
          <w:rPr>
            <w:webHidden/>
          </w:rPr>
          <w:fldChar w:fldCharType="begin"/>
        </w:r>
        <w:r w:rsidRPr="00B363AA">
          <w:rPr>
            <w:webHidden/>
          </w:rPr>
          <w:instrText xml:space="preserve"> PAGEREF _Toc241229818 \h </w:instrText>
        </w:r>
        <w:r w:rsidRPr="00B363AA">
          <w:rPr>
            <w:webHidden/>
          </w:rPr>
        </w:r>
        <w:r w:rsidRPr="00B363AA">
          <w:rPr>
            <w:webHidden/>
          </w:rPr>
          <w:fldChar w:fldCharType="separate"/>
        </w:r>
        <w:r w:rsidRPr="00B363AA">
          <w:rPr>
            <w:webHidden/>
          </w:rPr>
          <w:t>17</w:t>
        </w:r>
        <w:r w:rsidRPr="00B363AA">
          <w:rPr>
            <w:webHidden/>
          </w:rPr>
          <w:fldChar w:fldCharType="end"/>
        </w:r>
      </w:hyperlink>
    </w:p>
    <w:p w14:paraId="57C2DA17" w14:textId="085A2713" w:rsidR="001A7BE1" w:rsidRPr="00B363AA" w:rsidRDefault="001A7BE1">
      <w:pPr>
        <w:pStyle w:val="Tabledesillustrations"/>
        <w:tabs>
          <w:tab w:val="right" w:leader="dot" w:pos="9060"/>
        </w:tabs>
        <w:rPr>
          <w:rFonts w:asciiTheme="minorHAnsi" w:eastAsiaTheme="minorEastAsia" w:hAnsiTheme="minorHAnsi"/>
          <w:sz w:val="24"/>
          <w:lang w:eastAsia="fr-BE"/>
        </w:rPr>
      </w:pPr>
      <w:hyperlink w:anchor="_Toc241229819" w:history="1">
        <w:r w:rsidRPr="00B363AA">
          <w:rPr>
            <w:rStyle w:val="Lienhypertexte"/>
          </w:rPr>
          <w:t>Figure 4 : Exemple du schéma de construction d'une fonction d’interprétation (cas de l'infiltration). Des classes de valeurs sont interpolées pour calculer un score pour chaque valeur de Ksat.</w:t>
        </w:r>
        <w:r w:rsidRPr="00B363AA">
          <w:rPr>
            <w:webHidden/>
          </w:rPr>
          <w:tab/>
        </w:r>
        <w:r w:rsidRPr="00B363AA">
          <w:rPr>
            <w:webHidden/>
          </w:rPr>
          <w:fldChar w:fldCharType="begin"/>
        </w:r>
        <w:r w:rsidRPr="00B363AA">
          <w:rPr>
            <w:webHidden/>
          </w:rPr>
          <w:instrText xml:space="preserve"> PAGEREF _Toc241229819 \h </w:instrText>
        </w:r>
        <w:r w:rsidRPr="00B363AA">
          <w:rPr>
            <w:webHidden/>
          </w:rPr>
        </w:r>
        <w:r w:rsidRPr="00B363AA">
          <w:rPr>
            <w:webHidden/>
          </w:rPr>
          <w:fldChar w:fldCharType="separate"/>
        </w:r>
        <w:r w:rsidRPr="00B363AA">
          <w:rPr>
            <w:webHidden/>
          </w:rPr>
          <w:t>20</w:t>
        </w:r>
        <w:r w:rsidRPr="00B363AA">
          <w:rPr>
            <w:webHidden/>
          </w:rPr>
          <w:fldChar w:fldCharType="end"/>
        </w:r>
      </w:hyperlink>
    </w:p>
    <w:p w14:paraId="693592DF" w14:textId="72DB0FE7" w:rsidR="001A7BE1" w:rsidRPr="00B363AA" w:rsidRDefault="001A7BE1">
      <w:pPr>
        <w:pStyle w:val="Tabledesillustrations"/>
        <w:tabs>
          <w:tab w:val="right" w:leader="dot" w:pos="9060"/>
        </w:tabs>
        <w:rPr>
          <w:rFonts w:asciiTheme="minorHAnsi" w:eastAsiaTheme="minorEastAsia" w:hAnsiTheme="minorHAnsi"/>
          <w:sz w:val="24"/>
          <w:lang w:eastAsia="fr-BE"/>
        </w:rPr>
      </w:pPr>
      <w:hyperlink w:anchor="_Toc241229820" w:history="1">
        <w:r w:rsidRPr="00B363AA">
          <w:rPr>
            <w:rStyle w:val="Lienhypertexte"/>
          </w:rPr>
          <w:t>Figure 5 : Illustration graphique des trois formes que peut prendre la fonction d'interprétation (more is better, less is better ou optimum), selon l'influence du paramètre sur la combinaison service-fonction évaluée</w:t>
        </w:r>
        <w:r w:rsidRPr="00B363AA">
          <w:rPr>
            <w:webHidden/>
          </w:rPr>
          <w:tab/>
        </w:r>
        <w:r w:rsidRPr="00B363AA">
          <w:rPr>
            <w:webHidden/>
          </w:rPr>
          <w:fldChar w:fldCharType="begin"/>
        </w:r>
        <w:r w:rsidRPr="00B363AA">
          <w:rPr>
            <w:webHidden/>
          </w:rPr>
          <w:instrText xml:space="preserve"> PAGEREF _Toc241229820 \h </w:instrText>
        </w:r>
        <w:r w:rsidRPr="00B363AA">
          <w:rPr>
            <w:webHidden/>
          </w:rPr>
        </w:r>
        <w:r w:rsidRPr="00B363AA">
          <w:rPr>
            <w:webHidden/>
          </w:rPr>
          <w:fldChar w:fldCharType="separate"/>
        </w:r>
        <w:r w:rsidRPr="00B363AA">
          <w:rPr>
            <w:webHidden/>
          </w:rPr>
          <w:t>20</w:t>
        </w:r>
        <w:r w:rsidRPr="00B363AA">
          <w:rPr>
            <w:webHidden/>
          </w:rPr>
          <w:fldChar w:fldCharType="end"/>
        </w:r>
      </w:hyperlink>
    </w:p>
    <w:p w14:paraId="47507224" w14:textId="23799FBE" w:rsidR="001A7BE1" w:rsidRPr="00B363AA" w:rsidRDefault="001A7BE1">
      <w:pPr>
        <w:pStyle w:val="Tabledesillustrations"/>
        <w:tabs>
          <w:tab w:val="right" w:leader="dot" w:pos="9060"/>
        </w:tabs>
        <w:rPr>
          <w:rFonts w:asciiTheme="minorHAnsi" w:eastAsiaTheme="minorEastAsia" w:hAnsiTheme="minorHAnsi"/>
          <w:sz w:val="24"/>
          <w:lang w:eastAsia="fr-BE"/>
        </w:rPr>
      </w:pPr>
      <w:hyperlink w:anchor="_Toc241229821" w:history="1">
        <w:r w:rsidRPr="00B363AA">
          <w:rPr>
            <w:rStyle w:val="Lienhypertexte"/>
          </w:rPr>
          <w:t>Figure 6 : Étapes d'agrégation, des paramètres aux services écosystémiques décomposés en fonctions. Les paramètres, indicateurs, fonctions et services repris ici sont uniquement à titre d’exemple, et ne sont pas exhaustifs.</w:t>
        </w:r>
        <w:r w:rsidRPr="00B363AA">
          <w:rPr>
            <w:webHidden/>
          </w:rPr>
          <w:tab/>
        </w:r>
        <w:r w:rsidRPr="00B363AA">
          <w:rPr>
            <w:webHidden/>
          </w:rPr>
          <w:fldChar w:fldCharType="begin"/>
        </w:r>
        <w:r w:rsidRPr="00B363AA">
          <w:rPr>
            <w:webHidden/>
          </w:rPr>
          <w:instrText xml:space="preserve"> PAGEREF _Toc241229821 \h </w:instrText>
        </w:r>
        <w:r w:rsidRPr="00B363AA">
          <w:rPr>
            <w:webHidden/>
          </w:rPr>
        </w:r>
        <w:r w:rsidRPr="00B363AA">
          <w:rPr>
            <w:webHidden/>
          </w:rPr>
          <w:fldChar w:fldCharType="separate"/>
        </w:r>
        <w:r w:rsidRPr="00B363AA">
          <w:rPr>
            <w:webHidden/>
          </w:rPr>
          <w:t>23</w:t>
        </w:r>
        <w:r w:rsidRPr="00B363AA">
          <w:rPr>
            <w:webHidden/>
          </w:rPr>
          <w:fldChar w:fldCharType="end"/>
        </w:r>
      </w:hyperlink>
    </w:p>
    <w:p w14:paraId="7437B5F4" w14:textId="5BF96D9C" w:rsidR="001A7BE1" w:rsidRPr="00B363AA" w:rsidRDefault="001A7BE1">
      <w:pPr>
        <w:pStyle w:val="Tabledesillustrations"/>
        <w:tabs>
          <w:tab w:val="right" w:leader="dot" w:pos="9060"/>
        </w:tabs>
        <w:rPr>
          <w:rFonts w:asciiTheme="minorHAnsi" w:eastAsiaTheme="minorEastAsia" w:hAnsiTheme="minorHAnsi"/>
          <w:sz w:val="24"/>
          <w:lang w:eastAsia="fr-BE"/>
        </w:rPr>
      </w:pPr>
      <w:hyperlink w:anchor="_Toc241229822" w:history="1">
        <w:r w:rsidRPr="00B363AA">
          <w:rPr>
            <w:rStyle w:val="Lienhypertexte"/>
          </w:rPr>
          <w:t>Figure 7 : Schéma général d'évaluation du service écosystémique Production de biomasse</w:t>
        </w:r>
        <w:r w:rsidRPr="00B363AA">
          <w:rPr>
            <w:webHidden/>
          </w:rPr>
          <w:tab/>
        </w:r>
        <w:r w:rsidRPr="00B363AA">
          <w:rPr>
            <w:webHidden/>
          </w:rPr>
          <w:fldChar w:fldCharType="begin"/>
        </w:r>
        <w:r w:rsidRPr="00B363AA">
          <w:rPr>
            <w:webHidden/>
          </w:rPr>
          <w:instrText xml:space="preserve"> PAGEREF _Toc241229822 \h </w:instrText>
        </w:r>
        <w:r w:rsidRPr="00B363AA">
          <w:rPr>
            <w:webHidden/>
          </w:rPr>
        </w:r>
        <w:r w:rsidRPr="00B363AA">
          <w:rPr>
            <w:webHidden/>
          </w:rPr>
          <w:fldChar w:fldCharType="separate"/>
        </w:r>
        <w:r w:rsidRPr="00B363AA">
          <w:rPr>
            <w:webHidden/>
          </w:rPr>
          <w:t>28</w:t>
        </w:r>
        <w:r w:rsidRPr="00B363AA">
          <w:rPr>
            <w:webHidden/>
          </w:rPr>
          <w:fldChar w:fldCharType="end"/>
        </w:r>
      </w:hyperlink>
    </w:p>
    <w:p w14:paraId="184C3A8B" w14:textId="095461D3" w:rsidR="001A7BE1" w:rsidRPr="00B363AA" w:rsidRDefault="001A7BE1">
      <w:pPr>
        <w:pStyle w:val="Tabledesillustrations"/>
        <w:tabs>
          <w:tab w:val="right" w:leader="dot" w:pos="9060"/>
        </w:tabs>
        <w:rPr>
          <w:rFonts w:asciiTheme="minorHAnsi" w:eastAsiaTheme="minorEastAsia" w:hAnsiTheme="minorHAnsi"/>
          <w:sz w:val="24"/>
          <w:lang w:eastAsia="fr-BE"/>
        </w:rPr>
      </w:pPr>
      <w:hyperlink w:anchor="_Toc241229823" w:history="1">
        <w:r w:rsidRPr="00B363AA">
          <w:rPr>
            <w:rStyle w:val="Lienhypertexte"/>
          </w:rPr>
          <w:t>Figure 8 : Temporalité des études type "plans et programmes" et proposition d’intégration d’un diagnostic IQSW.</w:t>
        </w:r>
        <w:r w:rsidRPr="00B363AA">
          <w:rPr>
            <w:webHidden/>
          </w:rPr>
          <w:tab/>
        </w:r>
        <w:r w:rsidRPr="00B363AA">
          <w:rPr>
            <w:webHidden/>
          </w:rPr>
          <w:fldChar w:fldCharType="begin"/>
        </w:r>
        <w:r w:rsidRPr="00B363AA">
          <w:rPr>
            <w:webHidden/>
          </w:rPr>
          <w:instrText xml:space="preserve"> PAGEREF _Toc241229823 \h </w:instrText>
        </w:r>
        <w:r w:rsidRPr="00B363AA">
          <w:rPr>
            <w:webHidden/>
          </w:rPr>
        </w:r>
        <w:r w:rsidRPr="00B363AA">
          <w:rPr>
            <w:webHidden/>
          </w:rPr>
          <w:fldChar w:fldCharType="separate"/>
        </w:r>
        <w:r w:rsidRPr="00B363AA">
          <w:rPr>
            <w:webHidden/>
          </w:rPr>
          <w:t>46</w:t>
        </w:r>
        <w:r w:rsidRPr="00B363AA">
          <w:rPr>
            <w:webHidden/>
          </w:rPr>
          <w:fldChar w:fldCharType="end"/>
        </w:r>
      </w:hyperlink>
    </w:p>
    <w:p w14:paraId="3F6EA55C" w14:textId="0A65EB7C" w:rsidR="001A7BE1" w:rsidRPr="00B363AA" w:rsidRDefault="001A7BE1">
      <w:pPr>
        <w:pStyle w:val="Tabledesillustrations"/>
        <w:tabs>
          <w:tab w:val="right" w:leader="dot" w:pos="9060"/>
        </w:tabs>
        <w:rPr>
          <w:rFonts w:asciiTheme="minorHAnsi" w:eastAsiaTheme="minorEastAsia" w:hAnsiTheme="minorHAnsi"/>
          <w:sz w:val="24"/>
          <w:lang w:eastAsia="fr-BE"/>
        </w:rPr>
      </w:pPr>
      <w:hyperlink w:anchor="_Toc241229824" w:history="1">
        <w:r w:rsidRPr="00B363AA">
          <w:rPr>
            <w:rStyle w:val="Lienhypertexte"/>
          </w:rPr>
          <w:t>Figure 9 : Temporalité des études type "projet" et proposition d’intégration d’un diagnostic IQSW.</w:t>
        </w:r>
        <w:r w:rsidRPr="00B363AA">
          <w:rPr>
            <w:webHidden/>
          </w:rPr>
          <w:tab/>
        </w:r>
        <w:r w:rsidRPr="00B363AA">
          <w:rPr>
            <w:webHidden/>
          </w:rPr>
          <w:fldChar w:fldCharType="begin"/>
        </w:r>
        <w:r w:rsidRPr="00B363AA">
          <w:rPr>
            <w:webHidden/>
          </w:rPr>
          <w:instrText xml:space="preserve"> PAGEREF _Toc241229824 \h </w:instrText>
        </w:r>
        <w:r w:rsidRPr="00B363AA">
          <w:rPr>
            <w:webHidden/>
          </w:rPr>
        </w:r>
        <w:r w:rsidRPr="00B363AA">
          <w:rPr>
            <w:webHidden/>
          </w:rPr>
          <w:fldChar w:fldCharType="separate"/>
        </w:r>
        <w:r w:rsidRPr="00B363AA">
          <w:rPr>
            <w:webHidden/>
          </w:rPr>
          <w:t>46</w:t>
        </w:r>
        <w:r w:rsidRPr="00B363AA">
          <w:rPr>
            <w:webHidden/>
          </w:rPr>
          <w:fldChar w:fldCharType="end"/>
        </w:r>
      </w:hyperlink>
    </w:p>
    <w:p w14:paraId="12CAA379" w14:textId="59535E99" w:rsidR="001A7BE1" w:rsidRPr="00B363AA" w:rsidRDefault="001A7BE1">
      <w:pPr>
        <w:pStyle w:val="Tabledesillustrations"/>
        <w:tabs>
          <w:tab w:val="right" w:leader="dot" w:pos="9060"/>
        </w:tabs>
        <w:rPr>
          <w:rFonts w:asciiTheme="minorHAnsi" w:eastAsiaTheme="minorEastAsia" w:hAnsiTheme="minorHAnsi"/>
          <w:sz w:val="24"/>
          <w:lang w:eastAsia="fr-BE"/>
        </w:rPr>
      </w:pPr>
      <w:hyperlink w:anchor="_Toc241229825" w:history="1">
        <w:r w:rsidRPr="00B363AA">
          <w:rPr>
            <w:rStyle w:val="Lienhypertexte"/>
          </w:rPr>
          <w:t>Figure 10 : Exemple de répartition spatiale des zones d'échantillonnage, des points de mesures in situ et des lieux de prélèvement des échantillons élémentaires en fonction de la délimitation des zones homogènes et de leur superficie</w:t>
        </w:r>
        <w:r w:rsidRPr="00B363AA">
          <w:rPr>
            <w:webHidden/>
          </w:rPr>
          <w:tab/>
        </w:r>
        <w:r w:rsidRPr="00B363AA">
          <w:rPr>
            <w:webHidden/>
          </w:rPr>
          <w:fldChar w:fldCharType="begin"/>
        </w:r>
        <w:r w:rsidRPr="00B363AA">
          <w:rPr>
            <w:webHidden/>
          </w:rPr>
          <w:instrText xml:space="preserve"> PAGEREF _Toc241229825 \h </w:instrText>
        </w:r>
        <w:r w:rsidRPr="00B363AA">
          <w:rPr>
            <w:webHidden/>
          </w:rPr>
        </w:r>
        <w:r w:rsidRPr="00B363AA">
          <w:rPr>
            <w:webHidden/>
          </w:rPr>
          <w:fldChar w:fldCharType="separate"/>
        </w:r>
        <w:r w:rsidRPr="00B363AA">
          <w:rPr>
            <w:webHidden/>
          </w:rPr>
          <w:t>59</w:t>
        </w:r>
        <w:r w:rsidRPr="00B363AA">
          <w:rPr>
            <w:webHidden/>
          </w:rPr>
          <w:fldChar w:fldCharType="end"/>
        </w:r>
      </w:hyperlink>
    </w:p>
    <w:p w14:paraId="50023AC9" w14:textId="02EE25C3" w:rsidR="007129BF" w:rsidRPr="00B363AA" w:rsidRDefault="000B7D1B" w:rsidP="00A95190">
      <w:pPr>
        <w:jc w:val="left"/>
      </w:pPr>
      <w:r w:rsidRPr="00B363AA">
        <w:fldChar w:fldCharType="end"/>
      </w:r>
    </w:p>
    <w:p w14:paraId="5C84C50B" w14:textId="4C1CC14D" w:rsidR="00D02637" w:rsidRPr="00B363AA" w:rsidRDefault="007129BF" w:rsidP="00A95190">
      <w:pPr>
        <w:jc w:val="left"/>
      </w:pPr>
      <w:r w:rsidRPr="00B363AA">
        <w:br w:type="page"/>
      </w:r>
    </w:p>
    <w:p w14:paraId="67DC62B2" w14:textId="0ED8D112" w:rsidR="002B6231" w:rsidRPr="00B363AA" w:rsidRDefault="00950888">
      <w:pPr>
        <w:pStyle w:val="Titre1"/>
        <w:numPr>
          <w:ilvl w:val="0"/>
          <w:numId w:val="12"/>
        </w:numPr>
      </w:pPr>
      <w:bookmarkStart w:id="3" w:name="_Toc241242930"/>
      <w:bookmarkStart w:id="4" w:name="_Toc230267081"/>
      <w:r w:rsidRPr="00B363AA">
        <w:lastRenderedPageBreak/>
        <w:t>L’</w:t>
      </w:r>
      <w:r w:rsidR="00367BDF" w:rsidRPr="00B363AA">
        <w:t>IQSW-pro</w:t>
      </w:r>
      <w:r w:rsidRPr="00B363AA">
        <w:t xml:space="preserve"> en bref</w:t>
      </w:r>
      <w:bookmarkEnd w:id="3"/>
    </w:p>
    <w:p w14:paraId="6C1BA08D" w14:textId="17F7E5B5" w:rsidR="0040641B" w:rsidRPr="00B363AA" w:rsidRDefault="00597A59" w:rsidP="0040641B">
      <w:r w:rsidRPr="00B363AA">
        <w:t>L’Indice de Qualité des Sols Wallons, dans son volet professionnel</w:t>
      </w:r>
      <w:r w:rsidR="00306AE9" w:rsidRPr="00B363AA">
        <w:t xml:space="preserve"> (IQSW-pro)</w:t>
      </w:r>
      <w:r w:rsidRPr="00B363AA">
        <w:rPr>
          <w:rStyle w:val="Appelnotedebasdep"/>
        </w:rPr>
        <w:footnoteReference w:id="1"/>
      </w:r>
      <w:r w:rsidRPr="00B363AA">
        <w:t>, a pour vocation</w:t>
      </w:r>
      <w:r w:rsidR="0040641B" w:rsidRPr="00B363AA">
        <w:t xml:space="preserve"> </w:t>
      </w:r>
      <w:r w:rsidR="00273CF1" w:rsidRPr="00B363AA">
        <w:t>d’interpréter des</w:t>
      </w:r>
      <w:r w:rsidR="0040641B" w:rsidRPr="00B363AA">
        <w:t xml:space="preserve"> paramètres physiques, chimiques et biologiques</w:t>
      </w:r>
      <w:r w:rsidR="00454A50" w:rsidRPr="00B363AA">
        <w:t xml:space="preserve"> en </w:t>
      </w:r>
      <w:r w:rsidR="006947FC" w:rsidRPr="00B363AA">
        <w:t>indices</w:t>
      </w:r>
      <w:r w:rsidR="00454A50" w:rsidRPr="00B363AA">
        <w:t xml:space="preserve"> de services écosystémiques. Le résultat du diagnostic doit </w:t>
      </w:r>
      <w:r w:rsidR="00982655" w:rsidRPr="00B363AA">
        <w:t xml:space="preserve">servir (1) d’outil d’aide à la décision dans l’aménagement du territoire </w:t>
      </w:r>
      <w:r w:rsidR="3158152B" w:rsidRPr="00B363AA">
        <w:t>et</w:t>
      </w:r>
      <w:r w:rsidR="00982655" w:rsidRPr="00B363AA">
        <w:t xml:space="preserve"> (2) </w:t>
      </w:r>
      <w:r w:rsidR="00E80718" w:rsidRPr="00B363AA">
        <w:t xml:space="preserve">de balise </w:t>
      </w:r>
      <w:r w:rsidR="008A0234" w:rsidRPr="00B363AA">
        <w:t>pour l’amélioration de la santé des sols</w:t>
      </w:r>
      <w:r w:rsidR="00E80718" w:rsidRPr="00B363AA">
        <w:t>.</w:t>
      </w:r>
      <w:r w:rsidR="00BA1211" w:rsidRPr="00B363AA">
        <w:t xml:space="preserve"> </w:t>
      </w:r>
      <w:r w:rsidR="00BE1B43" w:rsidRPr="00B363AA">
        <w:t xml:space="preserve">Pour remplir ces objectifs, </w:t>
      </w:r>
      <w:r w:rsidR="00124B17" w:rsidRPr="00B363AA">
        <w:t xml:space="preserve">l’IQSW-pro </w:t>
      </w:r>
      <w:r w:rsidR="001543DC" w:rsidRPr="00B363AA">
        <w:t>mobilise les</w:t>
      </w:r>
      <w:r w:rsidR="00124B17" w:rsidRPr="00B363AA">
        <w:t xml:space="preserve"> no</w:t>
      </w:r>
      <w:r w:rsidR="008D293B" w:rsidRPr="00B363AA">
        <w:t xml:space="preserve">tions de qualité et de santé du sol </w:t>
      </w:r>
      <w:r w:rsidR="001543DC" w:rsidRPr="00B363AA">
        <w:t>(</w:t>
      </w:r>
      <w:r w:rsidR="00942D14" w:rsidRPr="00B363AA">
        <w:t>définies dans le Glossaire)</w:t>
      </w:r>
      <w:r w:rsidR="001543DC" w:rsidRPr="00B363AA">
        <w:t xml:space="preserve"> </w:t>
      </w:r>
      <w:r w:rsidR="008D293B" w:rsidRPr="00B363AA">
        <w:t>en</w:t>
      </w:r>
      <w:r w:rsidR="00124B17" w:rsidRPr="00B363AA">
        <w:t xml:space="preserve"> se décompos</w:t>
      </w:r>
      <w:r w:rsidR="00942D14" w:rsidRPr="00B363AA">
        <w:t xml:space="preserve">ant </w:t>
      </w:r>
      <w:r w:rsidR="00124B17" w:rsidRPr="00B363AA">
        <w:t>en deux indices miroir : l’IQSW (</w:t>
      </w:r>
      <w:r w:rsidR="008D293B" w:rsidRPr="00B363AA">
        <w:t>I</w:t>
      </w:r>
      <w:r w:rsidR="00124B17" w:rsidRPr="00B363AA">
        <w:t xml:space="preserve">ndice de </w:t>
      </w:r>
      <w:r w:rsidR="008D293B" w:rsidRPr="00B363AA">
        <w:t>Q</w:t>
      </w:r>
      <w:r w:rsidR="00124B17" w:rsidRPr="00B363AA">
        <w:t>ualité</w:t>
      </w:r>
      <w:r w:rsidR="008D293B" w:rsidRPr="00B363AA">
        <w:t xml:space="preserve"> des Sols Wallons</w:t>
      </w:r>
      <w:r w:rsidR="00124B17" w:rsidRPr="00B363AA">
        <w:t>) et l’ISSW (</w:t>
      </w:r>
      <w:r w:rsidR="008D293B" w:rsidRPr="00B363AA">
        <w:t>Indice de Santé des Sols Wallons</w:t>
      </w:r>
      <w:r w:rsidR="00124B17" w:rsidRPr="00B363AA">
        <w:t>)</w:t>
      </w:r>
      <w:r w:rsidR="008D293B" w:rsidRPr="00B363AA">
        <w:t>.</w:t>
      </w:r>
      <w:r w:rsidR="0060724E" w:rsidRPr="00B363AA">
        <w:t xml:space="preserve"> </w:t>
      </w:r>
      <w:r w:rsidR="0040641B" w:rsidRPr="00B363AA">
        <w:t xml:space="preserve">Le calcul des </w:t>
      </w:r>
      <w:r w:rsidR="006947FC" w:rsidRPr="00B363AA">
        <w:t>indices</w:t>
      </w:r>
      <w:r w:rsidR="0040641B" w:rsidRPr="00B363AA">
        <w:t xml:space="preserve"> IQSW-pro </w:t>
      </w:r>
      <w:r w:rsidR="3EDAE3E3" w:rsidRPr="00B363AA">
        <w:t xml:space="preserve">(IQSW et ISSW) </w:t>
      </w:r>
      <w:r w:rsidR="0040641B" w:rsidRPr="00B363AA">
        <w:t>s’effectue suivant ces étapes</w:t>
      </w:r>
      <w:r w:rsidR="009E59FE" w:rsidRPr="00B363AA">
        <w:t xml:space="preserve"> (voir partie </w:t>
      </w:r>
      <w:r w:rsidR="009E59FE" w:rsidRPr="00B363AA">
        <w:fldChar w:fldCharType="begin"/>
      </w:r>
      <w:r w:rsidR="009E59FE" w:rsidRPr="00B363AA">
        <w:instrText xml:space="preserve"> REF _Ref232208232 \r \h </w:instrText>
      </w:r>
      <w:r w:rsidR="009E59FE" w:rsidRPr="00B363AA">
        <w:fldChar w:fldCharType="separate"/>
      </w:r>
      <w:r w:rsidR="00316A78" w:rsidRPr="00B363AA">
        <w:t>3.4</w:t>
      </w:r>
      <w:r w:rsidR="009E59FE" w:rsidRPr="00B363AA">
        <w:fldChar w:fldCharType="end"/>
      </w:r>
      <w:r w:rsidR="009E59FE" w:rsidRPr="00B363AA">
        <w:t>)</w:t>
      </w:r>
      <w:r w:rsidR="0040641B" w:rsidRPr="00B363AA">
        <w:t> :</w:t>
      </w:r>
    </w:p>
    <w:p w14:paraId="7AEB4338" w14:textId="69C6AC9B" w:rsidR="0040641B" w:rsidRPr="00B363AA" w:rsidRDefault="004664F1">
      <w:pPr>
        <w:pStyle w:val="Paragraphedeliste"/>
        <w:numPr>
          <w:ilvl w:val="0"/>
          <w:numId w:val="23"/>
        </w:numPr>
      </w:pPr>
      <w:r w:rsidRPr="00B363AA">
        <w:t xml:space="preserve">Attribution d’un score </w:t>
      </w:r>
      <w:r w:rsidR="00784AB4" w:rsidRPr="00B363AA">
        <w:t xml:space="preserve">aux indicateurs individuels </w:t>
      </w:r>
      <w:r w:rsidR="4E58C278" w:rsidRPr="00B363AA">
        <w:t>(qu’ils soient mesurés ou calculés)</w:t>
      </w:r>
      <w:r w:rsidR="0040641B" w:rsidRPr="00B363AA">
        <w:t xml:space="preserve"> au sein de la fonction et/ou du service considéré</w:t>
      </w:r>
      <w:r w:rsidR="00C119A1" w:rsidRPr="00B363AA">
        <w:t> ;</w:t>
      </w:r>
    </w:p>
    <w:p w14:paraId="2E7EC13E" w14:textId="17407039" w:rsidR="0040641B" w:rsidRPr="00B363AA" w:rsidRDefault="00E66089">
      <w:pPr>
        <w:pStyle w:val="Paragraphedeliste"/>
        <w:numPr>
          <w:ilvl w:val="0"/>
          <w:numId w:val="23"/>
        </w:numPr>
      </w:pPr>
      <w:r w:rsidRPr="00B363AA">
        <w:t>A</w:t>
      </w:r>
      <w:r w:rsidR="0040641B" w:rsidRPr="00B363AA">
        <w:t xml:space="preserve">grégation des scores </w:t>
      </w:r>
      <w:r w:rsidR="0DBE7626" w:rsidRPr="00B363AA">
        <w:t xml:space="preserve">de ces </w:t>
      </w:r>
      <w:r w:rsidR="0040641B" w:rsidRPr="00B363AA">
        <w:t>indicateurs en scores de fonction</w:t>
      </w:r>
      <w:r w:rsidR="00C119A1" w:rsidRPr="00B363AA">
        <w:t> ;</w:t>
      </w:r>
    </w:p>
    <w:p w14:paraId="4FC831C7" w14:textId="4A03DB3A" w:rsidR="0040641B" w:rsidRPr="00B363AA" w:rsidRDefault="0040641B">
      <w:pPr>
        <w:pStyle w:val="Paragraphedeliste"/>
        <w:numPr>
          <w:ilvl w:val="0"/>
          <w:numId w:val="23"/>
        </w:numPr>
      </w:pPr>
      <w:r w:rsidRPr="00B363AA">
        <w:t>Agrégation des scores de fonction en scores de service écosystémique</w:t>
      </w:r>
      <w:r w:rsidR="00C119A1" w:rsidRPr="00B363AA">
        <w:t> ;</w:t>
      </w:r>
    </w:p>
    <w:p w14:paraId="4E2A795B" w14:textId="39E962D2" w:rsidR="0040641B" w:rsidRPr="00B363AA" w:rsidRDefault="0040641B">
      <w:pPr>
        <w:pStyle w:val="Paragraphedeliste"/>
        <w:numPr>
          <w:ilvl w:val="0"/>
          <w:numId w:val="23"/>
        </w:numPr>
      </w:pPr>
      <w:r w:rsidRPr="00B363AA">
        <w:t xml:space="preserve">Application des </w:t>
      </w:r>
      <w:r w:rsidR="00DA5D59" w:rsidRPr="00B363AA">
        <w:t>coefficients</w:t>
      </w:r>
      <w:r w:rsidRPr="00B363AA">
        <w:t xml:space="preserve"> de contrainte</w:t>
      </w:r>
      <w:r w:rsidR="00F70624" w:rsidRPr="00B363AA">
        <w:t xml:space="preserve"> </w:t>
      </w:r>
      <w:r w:rsidRPr="00B363AA">
        <w:t>sur les services,</w:t>
      </w:r>
      <w:r w:rsidR="00CD2898" w:rsidRPr="00B363AA">
        <w:t xml:space="preserve"> afin d’atténuer un score s’il est contraint par exemple par la présence de cailloux (</w:t>
      </w:r>
      <w:r w:rsidR="00D62DAA" w:rsidRPr="00B363AA">
        <w:t>réduction</w:t>
      </w:r>
      <w:r w:rsidR="00CD2898" w:rsidRPr="00B363AA">
        <w:t xml:space="preserve"> volume de sol utile)</w:t>
      </w:r>
      <w:r w:rsidR="00D62DAA" w:rsidRPr="00B363AA">
        <w:t>, la présence d</w:t>
      </w:r>
      <w:r w:rsidR="00B12AB2" w:rsidRPr="00B363AA">
        <w:t xml:space="preserve">’espèces </w:t>
      </w:r>
      <w:r w:rsidR="00D62DAA" w:rsidRPr="00B363AA">
        <w:t>exotiques envahissante</w:t>
      </w:r>
      <w:r w:rsidR="00B12AB2" w:rsidRPr="00B363AA">
        <w:t>s</w:t>
      </w:r>
      <w:r w:rsidR="00741A20" w:rsidRPr="00B363AA">
        <w:t xml:space="preserve"> (EEE)</w:t>
      </w:r>
      <w:r w:rsidR="00D62DAA" w:rsidRPr="00B363AA">
        <w:t xml:space="preserve"> </w:t>
      </w:r>
      <w:r w:rsidR="003E32CF" w:rsidRPr="00B363AA">
        <w:t>ou une pollution avérée</w:t>
      </w:r>
      <w:r w:rsidR="00C119A1" w:rsidRPr="00B363AA">
        <w:t> ;</w:t>
      </w:r>
    </w:p>
    <w:p w14:paraId="4E7E7EA3" w14:textId="3E370564" w:rsidR="0040641B" w:rsidRPr="00B363AA" w:rsidRDefault="00AD0839">
      <w:pPr>
        <w:pStyle w:val="Paragraphedeliste"/>
        <w:numPr>
          <w:ilvl w:val="0"/>
          <w:numId w:val="23"/>
        </w:numPr>
      </w:pPr>
      <w:r w:rsidRPr="00B363AA">
        <w:t>Pondération de l’importance des services écosystémiques au sein d’un usage donné et a</w:t>
      </w:r>
      <w:r w:rsidR="0040641B" w:rsidRPr="00B363AA">
        <w:t>grégation des scores de services</w:t>
      </w:r>
      <w:r w:rsidRPr="00B363AA">
        <w:t xml:space="preserve"> écosystémiques</w:t>
      </w:r>
      <w:r w:rsidR="0040641B" w:rsidRPr="00B363AA">
        <w:t xml:space="preserve"> en score IQSW-pro global</w:t>
      </w:r>
      <w:r w:rsidR="00613CE0" w:rsidRPr="00B363AA">
        <w:t xml:space="preserve"> par usage</w:t>
      </w:r>
      <w:r w:rsidR="0040641B" w:rsidRPr="00B363AA">
        <w:t>.</w:t>
      </w:r>
    </w:p>
    <w:p w14:paraId="7EBEA34B" w14:textId="2B5C4B5F" w:rsidR="00515EC7" w:rsidRPr="00B363AA" w:rsidRDefault="00613CE0" w:rsidP="005A0ED0">
      <w:r w:rsidRPr="00B363AA">
        <w:t xml:space="preserve">Bien </w:t>
      </w:r>
      <w:r w:rsidR="007F0358" w:rsidRPr="00B363AA">
        <w:t xml:space="preserve">que la méthode permette </w:t>
      </w:r>
      <w:r w:rsidR="00CE34F1" w:rsidRPr="00B363AA">
        <w:t>de déduire</w:t>
      </w:r>
      <w:r w:rsidR="007F0358" w:rsidRPr="00B363AA">
        <w:t xml:space="preserve"> </w:t>
      </w:r>
      <w:r w:rsidR="00CE34F1" w:rsidRPr="00B363AA">
        <w:t xml:space="preserve">un </w:t>
      </w:r>
      <w:r w:rsidR="007F0358" w:rsidRPr="00B363AA">
        <w:t>indice global par usage</w:t>
      </w:r>
      <w:r w:rsidR="00CE34F1" w:rsidRPr="00B363AA">
        <w:t>,</w:t>
      </w:r>
      <w:r w:rsidR="006D7026" w:rsidRPr="00B363AA">
        <w:t xml:space="preserve"> qui </w:t>
      </w:r>
      <w:r w:rsidRPr="00B363AA">
        <w:t xml:space="preserve">présente </w:t>
      </w:r>
      <w:r w:rsidR="00F80291" w:rsidRPr="00B363AA">
        <w:t xml:space="preserve">l’avantage </w:t>
      </w:r>
      <w:r w:rsidR="000148EF" w:rsidRPr="00B363AA">
        <w:t xml:space="preserve">opérationnel </w:t>
      </w:r>
      <w:r w:rsidR="006D7026" w:rsidRPr="00B363AA">
        <w:t>de donner</w:t>
      </w:r>
      <w:r w:rsidR="000148EF" w:rsidRPr="00B363AA">
        <w:t xml:space="preserve"> un aperçu</w:t>
      </w:r>
      <w:r w:rsidR="00CE34F1" w:rsidRPr="00B363AA">
        <w:t xml:space="preserve"> rapide</w:t>
      </w:r>
      <w:r w:rsidR="000148EF" w:rsidRPr="00B363AA">
        <w:t xml:space="preserve"> de l’adéquation d’un sol avec un usage donné, </w:t>
      </w:r>
      <w:r w:rsidR="00515EC7" w:rsidRPr="00B363AA">
        <w:t xml:space="preserve">c’est </w:t>
      </w:r>
      <w:r w:rsidR="00642751" w:rsidRPr="00B363AA">
        <w:t>à l’échelle des</w:t>
      </w:r>
      <w:r w:rsidR="00BB370A" w:rsidRPr="00B363AA">
        <w:t xml:space="preserve"> scores de </w:t>
      </w:r>
      <w:r w:rsidR="00642751" w:rsidRPr="00B363AA">
        <w:t>services écosystémiques que les conclusions en termes d</w:t>
      </w:r>
      <w:r w:rsidR="007F0358" w:rsidRPr="00B363AA">
        <w:t>’orientation de l’usage devront être tirées</w:t>
      </w:r>
      <w:r w:rsidR="006D7026" w:rsidRPr="00B363AA">
        <w:t xml:space="preserve">, en raison des antagonismes </w:t>
      </w:r>
      <w:r w:rsidR="00945B4D" w:rsidRPr="00B363AA">
        <w:t xml:space="preserve">pouvant exister entre </w:t>
      </w:r>
      <w:r w:rsidR="00613713" w:rsidRPr="00B363AA">
        <w:t>service écosystémique</w:t>
      </w:r>
      <w:r w:rsidR="00945B4D" w:rsidRPr="00B363AA">
        <w:t xml:space="preserve"> (une même propriété </w:t>
      </w:r>
      <w:r w:rsidR="008C34E0" w:rsidRPr="00B363AA">
        <w:t xml:space="preserve">peut être </w:t>
      </w:r>
      <w:r w:rsidR="00945B4D" w:rsidRPr="00B363AA">
        <w:t xml:space="preserve">favorable </w:t>
      </w:r>
      <w:r w:rsidR="008C34E0" w:rsidRPr="00B363AA">
        <w:t>pour</w:t>
      </w:r>
      <w:r w:rsidR="00945B4D" w:rsidRPr="00B363AA">
        <w:t xml:space="preserve"> un </w:t>
      </w:r>
      <w:r w:rsidR="00613713" w:rsidRPr="00B363AA">
        <w:t>service écosystémique</w:t>
      </w:r>
      <w:r w:rsidR="00945B4D" w:rsidRPr="00B363AA">
        <w:t xml:space="preserve"> et </w:t>
      </w:r>
      <w:r w:rsidR="008C34E0" w:rsidRPr="00B363AA">
        <w:t>défavorable pour un autre)</w:t>
      </w:r>
      <w:r w:rsidR="007F0358" w:rsidRPr="00B363AA">
        <w:t>.</w:t>
      </w:r>
      <w:r w:rsidR="001514E8" w:rsidRPr="00B363AA">
        <w:t xml:space="preserve"> Concernant les questions relatives à la gestion durable</w:t>
      </w:r>
      <w:r w:rsidR="003D4217" w:rsidRPr="00B363AA">
        <w:t xml:space="preserve"> des sols dans leur usage donné, </w:t>
      </w:r>
      <w:r w:rsidR="00FC7412" w:rsidRPr="00B363AA">
        <w:t xml:space="preserve">la prise en compte des scores des fonctions et des indicateurs individuels </w:t>
      </w:r>
      <w:r w:rsidR="4E4F41A5" w:rsidRPr="00B363AA">
        <w:t>complète</w:t>
      </w:r>
      <w:r w:rsidR="00434C7D" w:rsidRPr="00B363AA">
        <w:t xml:space="preserve"> avantageusement les scores de services écosystémiques, car </w:t>
      </w:r>
      <w:r w:rsidR="4E4F41A5" w:rsidRPr="00B363AA">
        <w:t>ceux-ci</w:t>
      </w:r>
      <w:r w:rsidR="00434C7D" w:rsidRPr="00B363AA">
        <w:t xml:space="preserve"> permettent d’affiner le</w:t>
      </w:r>
      <w:r w:rsidR="00466D12" w:rsidRPr="00B363AA">
        <w:t xml:space="preserve"> diagnostic et d’identifier </w:t>
      </w:r>
      <w:r w:rsidR="4E4F41A5" w:rsidRPr="00B363AA">
        <w:t>avec plus de précision</w:t>
      </w:r>
      <w:r w:rsidR="00466D12" w:rsidRPr="00B363AA">
        <w:t xml:space="preserve"> les caractéristiques à améliorer.</w:t>
      </w:r>
    </w:p>
    <w:p w14:paraId="25E1C5EF" w14:textId="0149AD59" w:rsidR="00453497" w:rsidRPr="00B363AA" w:rsidRDefault="00F80291" w:rsidP="0040641B">
      <w:r w:rsidRPr="00B363AA">
        <w:t>Les</w:t>
      </w:r>
      <w:r w:rsidR="005A0ED0" w:rsidRPr="00B363AA">
        <w:t xml:space="preserve"> étapes</w:t>
      </w:r>
      <w:r w:rsidRPr="00B363AA">
        <w:t xml:space="preserve"> de calcul</w:t>
      </w:r>
      <w:r w:rsidR="005A0ED0" w:rsidRPr="00B363AA">
        <w:t xml:space="preserve"> sont </w:t>
      </w:r>
      <w:r w:rsidR="006F1D1E" w:rsidRPr="00B363AA">
        <w:t>similaires pour l’établissement des deux indices (qualité et santé)</w:t>
      </w:r>
      <w:r w:rsidR="008A0234" w:rsidRPr="00B363AA">
        <w:t xml:space="preserve">, qui se calculent donc </w:t>
      </w:r>
      <w:r w:rsidR="69589AF5" w:rsidRPr="00B363AA">
        <w:t>à partir des</w:t>
      </w:r>
      <w:r w:rsidR="2188EE97" w:rsidRPr="00B363AA">
        <w:t xml:space="preserve"> mêmes indicateurs et des</w:t>
      </w:r>
      <w:r w:rsidR="69589AF5" w:rsidRPr="00B363AA">
        <w:t xml:space="preserve"> </w:t>
      </w:r>
      <w:r w:rsidR="007A4BC2" w:rsidRPr="00B363AA">
        <w:t>mêmes équations</w:t>
      </w:r>
      <w:r w:rsidR="006F1D1E" w:rsidRPr="00B363AA">
        <w:t xml:space="preserve">. La seule différence réside dans </w:t>
      </w:r>
      <w:r w:rsidR="006C3E43" w:rsidRPr="00B363AA">
        <w:t>le choix des</w:t>
      </w:r>
      <w:r w:rsidR="008475FE" w:rsidRPr="00B363AA">
        <w:t xml:space="preserve"> référentiels utilisés pour l’interprétation des paramètres et indicateurs (étape 1)</w:t>
      </w:r>
      <w:r w:rsidR="006C3E43" w:rsidRPr="00B363AA">
        <w:t xml:space="preserve"> : référentiels </w:t>
      </w:r>
      <w:r w:rsidR="00D31087" w:rsidRPr="00B363AA">
        <w:t xml:space="preserve">absolus </w:t>
      </w:r>
      <w:r w:rsidR="006C3E43" w:rsidRPr="00B363AA">
        <w:t xml:space="preserve">pour l’IQSW, référentiels </w:t>
      </w:r>
      <w:r w:rsidR="00A616A1" w:rsidRPr="00B363AA">
        <w:t xml:space="preserve">relatifs (c’est-à-dire, </w:t>
      </w:r>
      <w:r w:rsidR="006C3E43" w:rsidRPr="00B363AA">
        <w:t>selon le type de sol</w:t>
      </w:r>
      <w:r w:rsidR="00A616A1" w:rsidRPr="00B363AA">
        <w:t>)</w:t>
      </w:r>
      <w:r w:rsidR="006C3E43" w:rsidRPr="00B363AA">
        <w:t xml:space="preserve"> pour l’ISSW.</w:t>
      </w:r>
      <w:r w:rsidR="00945B4D" w:rsidRPr="00B363AA">
        <w:t xml:space="preserve"> </w:t>
      </w:r>
      <w:r w:rsidR="0040641B" w:rsidRPr="00B363AA">
        <w:t xml:space="preserve">Le schéma </w:t>
      </w:r>
      <w:r w:rsidR="202868E3" w:rsidRPr="00B363AA">
        <w:t xml:space="preserve">présenté à la </w:t>
      </w:r>
      <w:r w:rsidR="006472FD" w:rsidRPr="00B363AA">
        <w:fldChar w:fldCharType="begin"/>
      </w:r>
      <w:r w:rsidR="006472FD" w:rsidRPr="00B363AA">
        <w:instrText xml:space="preserve"> REF _Ref233111472 \h  \* MERGEFORMAT </w:instrText>
      </w:r>
      <w:r w:rsidR="006472FD" w:rsidRPr="00B363AA">
        <w:fldChar w:fldCharType="separate"/>
      </w:r>
      <w:r w:rsidR="00F423D5" w:rsidRPr="00B363AA">
        <w:t>Figure 1</w:t>
      </w:r>
      <w:r w:rsidR="006472FD" w:rsidRPr="00B363AA">
        <w:fldChar w:fldCharType="end"/>
      </w:r>
      <w:r w:rsidR="006472FD" w:rsidRPr="00B363AA">
        <w:t xml:space="preserve"> </w:t>
      </w:r>
      <w:r w:rsidR="0040641B" w:rsidRPr="00B363AA">
        <w:t xml:space="preserve">décrit </w:t>
      </w:r>
      <w:r w:rsidR="202868E3" w:rsidRPr="00B363AA">
        <w:t xml:space="preserve">les </w:t>
      </w:r>
      <w:r w:rsidR="0040641B" w:rsidRPr="00B363AA">
        <w:t>étapes</w:t>
      </w:r>
      <w:r w:rsidR="202868E3" w:rsidRPr="00B363AA">
        <w:t xml:space="preserve"> du système</w:t>
      </w:r>
      <w:r w:rsidR="23DCF134" w:rsidRPr="00B363AA">
        <w:t xml:space="preserve"> de </w:t>
      </w:r>
      <w:r w:rsidR="00892709" w:rsidRPr="00B363AA">
        <w:t>notation</w:t>
      </w:r>
      <w:r w:rsidR="7203AA8C" w:rsidRPr="00B363AA">
        <w:t>.</w:t>
      </w:r>
      <w:r w:rsidR="23DCF134" w:rsidRPr="00B363AA">
        <w:t xml:space="preserve"> Chaque score obtenu est présenté sur une échelle de 0 à 5</w:t>
      </w:r>
      <w:r w:rsidR="0040641B" w:rsidRPr="00B363AA">
        <w:t>.</w:t>
      </w:r>
      <w:r w:rsidR="00453497" w:rsidRPr="00B363AA">
        <w:t xml:space="preserve"> </w:t>
      </w:r>
    </w:p>
    <w:p w14:paraId="65CD003D" w14:textId="4FA2714F" w:rsidR="0040641B" w:rsidRPr="00B363AA" w:rsidRDefault="00453497" w:rsidP="0040641B">
      <w:r w:rsidRPr="00B363AA">
        <w:rPr>
          <w:noProof/>
        </w:rPr>
        <w:drawing>
          <wp:inline distT="0" distB="0" distL="0" distR="0" wp14:anchorId="6121CFB5" wp14:editId="018DE05E">
            <wp:extent cx="5781675" cy="913522"/>
            <wp:effectExtent l="0" t="0" r="0" b="1270"/>
            <wp:docPr id="53032532"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2532" name="Image 5303253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97355" cy="931800"/>
                    </a:xfrm>
                    <a:prstGeom prst="rect">
                      <a:avLst/>
                    </a:prstGeom>
                  </pic:spPr>
                </pic:pic>
              </a:graphicData>
            </a:graphic>
          </wp:inline>
        </w:drawing>
      </w:r>
    </w:p>
    <w:p w14:paraId="1F318873" w14:textId="44E66427" w:rsidR="00A24278" w:rsidRPr="00B363AA" w:rsidRDefault="005B53C5" w:rsidP="00642858">
      <w:pPr>
        <w:pStyle w:val="Lgende"/>
        <w:jc w:val="center"/>
        <w:rPr>
          <w:i w:val="0"/>
          <w:iCs w:val="0"/>
        </w:rPr>
      </w:pPr>
      <w:bookmarkStart w:id="5" w:name="_Ref233111472"/>
      <w:bookmarkStart w:id="6" w:name="_Toc241229816"/>
      <w:r w:rsidRPr="00B363AA">
        <w:rPr>
          <w:i w:val="0"/>
          <w:iCs w:val="0"/>
        </w:rPr>
        <w:t xml:space="preserve">Figure </w:t>
      </w:r>
      <w:r w:rsidRPr="00B363AA">
        <w:rPr>
          <w:i w:val="0"/>
          <w:iCs w:val="0"/>
        </w:rPr>
        <w:fldChar w:fldCharType="begin"/>
      </w:r>
      <w:r w:rsidRPr="00B363AA">
        <w:rPr>
          <w:i w:val="0"/>
          <w:iCs w:val="0"/>
        </w:rPr>
        <w:instrText xml:space="preserve"> SEQ Figure \* ARABIC </w:instrText>
      </w:r>
      <w:r w:rsidRPr="00B363AA">
        <w:rPr>
          <w:i w:val="0"/>
          <w:iCs w:val="0"/>
        </w:rPr>
        <w:fldChar w:fldCharType="separate"/>
      </w:r>
      <w:r w:rsidR="00F423D5" w:rsidRPr="00B363AA">
        <w:rPr>
          <w:i w:val="0"/>
          <w:iCs w:val="0"/>
        </w:rPr>
        <w:t>1</w:t>
      </w:r>
      <w:r w:rsidRPr="00B363AA">
        <w:rPr>
          <w:i w:val="0"/>
          <w:iCs w:val="0"/>
        </w:rPr>
        <w:fldChar w:fldCharType="end"/>
      </w:r>
      <w:bookmarkEnd w:id="5"/>
      <w:r w:rsidRPr="00B363AA">
        <w:rPr>
          <w:i w:val="0"/>
          <w:iCs w:val="0"/>
        </w:rPr>
        <w:t xml:space="preserve"> : </w:t>
      </w:r>
      <w:r w:rsidR="0059516C" w:rsidRPr="00B363AA">
        <w:rPr>
          <w:i w:val="0"/>
          <w:iCs w:val="0"/>
        </w:rPr>
        <w:t>É</w:t>
      </w:r>
      <w:r w:rsidRPr="00B363AA">
        <w:rPr>
          <w:i w:val="0"/>
          <w:iCs w:val="0"/>
        </w:rPr>
        <w:t>tapes du calcul des indices IQSW-pro</w:t>
      </w:r>
      <w:r w:rsidR="0059516C" w:rsidRPr="00B363AA">
        <w:rPr>
          <w:i w:val="0"/>
          <w:iCs w:val="0"/>
        </w:rPr>
        <w:t xml:space="preserve"> (schéma simplifié)</w:t>
      </w:r>
      <w:bookmarkEnd w:id="6"/>
    </w:p>
    <w:p w14:paraId="0C9821EE" w14:textId="33EBAE1D" w:rsidR="003536C9" w:rsidRPr="00B363AA" w:rsidRDefault="003F7C4F">
      <w:pPr>
        <w:pStyle w:val="Titre1"/>
        <w:numPr>
          <w:ilvl w:val="0"/>
          <w:numId w:val="12"/>
        </w:numPr>
      </w:pPr>
      <w:bookmarkStart w:id="7" w:name="_Toc241242931"/>
      <w:r w:rsidRPr="00B363AA">
        <w:lastRenderedPageBreak/>
        <w:t>É</w:t>
      </w:r>
      <w:r w:rsidR="00D25497" w:rsidRPr="00B363AA">
        <w:t>valuer la qualité des sols</w:t>
      </w:r>
      <w:r w:rsidRPr="00B363AA">
        <w:t> : pourquoi</w:t>
      </w:r>
      <w:r w:rsidR="00211597" w:rsidRPr="00B363AA">
        <w:t> ?</w:t>
      </w:r>
      <w:bookmarkEnd w:id="4"/>
      <w:bookmarkEnd w:id="7"/>
    </w:p>
    <w:p w14:paraId="1895D213" w14:textId="6EAC5CD0" w:rsidR="00563ED2" w:rsidRPr="00B363AA" w:rsidRDefault="00850343">
      <w:pPr>
        <w:pStyle w:val="Titre2"/>
        <w:numPr>
          <w:ilvl w:val="1"/>
          <w:numId w:val="12"/>
        </w:numPr>
      </w:pPr>
      <w:bookmarkStart w:id="8" w:name="_Toc230267082"/>
      <w:bookmarkStart w:id="9" w:name="_Toc241242932"/>
      <w:r w:rsidRPr="00B363AA">
        <w:t>Améliorer la gestion des sols en Wallonie</w:t>
      </w:r>
      <w:bookmarkEnd w:id="8"/>
      <w:bookmarkEnd w:id="9"/>
    </w:p>
    <w:p w14:paraId="21E7FA44" w14:textId="788DA5F9" w:rsidR="002B35A6" w:rsidRPr="00B363AA" w:rsidRDefault="00FC5D6A" w:rsidP="00E067EE">
      <w:r w:rsidRPr="00B363AA">
        <w:t>S</w:t>
      </w:r>
      <w:r w:rsidR="00DB7AF9" w:rsidRPr="00B363AA">
        <w:t>elon l</w:t>
      </w:r>
      <w:r w:rsidR="00550DEE" w:rsidRPr="00B363AA">
        <w:t>e</w:t>
      </w:r>
      <w:r w:rsidR="003F7C4F" w:rsidRPr="00B363AA">
        <w:t xml:space="preserve"> cahier des charges </w:t>
      </w:r>
      <w:r w:rsidR="00A24278" w:rsidRPr="00B363AA">
        <w:t xml:space="preserve">établi à la genèse </w:t>
      </w:r>
      <w:r w:rsidR="003F7C4F" w:rsidRPr="00B363AA">
        <w:t>du projet</w:t>
      </w:r>
      <w:r w:rsidR="00DB7AF9" w:rsidRPr="00B363AA">
        <w:t xml:space="preserve">, </w:t>
      </w:r>
      <w:r w:rsidRPr="00B363AA">
        <w:t xml:space="preserve">la volonté première </w:t>
      </w:r>
      <w:r w:rsidR="00DB7AF9" w:rsidRPr="00B363AA">
        <w:t xml:space="preserve">est de </w:t>
      </w:r>
      <w:r w:rsidR="00624BA1" w:rsidRPr="00B363AA">
        <w:t>permettre</w:t>
      </w:r>
      <w:r w:rsidR="00C20F47" w:rsidRPr="00B363AA">
        <w:t xml:space="preserve">, à travers l’IQSW-pro, </w:t>
      </w:r>
      <w:r w:rsidR="00624BA1" w:rsidRPr="00B363AA">
        <w:t xml:space="preserve">de faciliter l’intégration de la notion de qualité du sol dans la conception et l’évaluation </w:t>
      </w:r>
      <w:r w:rsidR="004629B7" w:rsidRPr="00B363AA">
        <w:t>des projets pour les différents types d’usage de sol</w:t>
      </w:r>
      <w:r w:rsidR="006D6D40" w:rsidRPr="00B363AA">
        <w:t xml:space="preserve"> </w:t>
      </w:r>
      <w:r w:rsidR="00EF7473" w:rsidRPr="00B363AA">
        <w:t>tels que définis dans le</w:t>
      </w:r>
      <w:r w:rsidR="004F3683" w:rsidRPr="00B363AA">
        <w:t xml:space="preserve"> Décret relatif à la gestion et à l'assainissement des sols du 1er mars 2018</w:t>
      </w:r>
      <w:r w:rsidR="001D1C12" w:rsidRPr="00B363AA">
        <w:t>, aussi appelé Décret sols</w:t>
      </w:r>
      <w:r w:rsidR="004F3683" w:rsidRPr="00B363AA">
        <w:t xml:space="preserve"> </w:t>
      </w:r>
      <w:r w:rsidR="004F3683" w:rsidRPr="00B363AA">
        <w:fldChar w:fldCharType="begin"/>
      </w:r>
      <w:r w:rsidR="00A00849" w:rsidRPr="00B363AA">
        <w:instrText xml:space="preserve"> ADDIN ZOTERO_ITEM CSL_CITATION {"citationID":"BVVYaun0","properties":{"formattedCitation":"(Gouvernement wallon, 2018)","plainCitation":"(Gouvernement wallon, 2018)","noteIndex":0},"citationItems":[{"id":542,"uris":["http://zotero.org/groups/5684833/items/XS5CPQ3E"],"itemData":{"id":542,"type":"document","language":"fr","title":"Décret relatif à la gestion et à l'assainissement des sols du 1er mars 2018","URL":"https://wallex.wallonie.be/eli/loi-decret/2018/03/01/2018070014/2018/04/01","author":[{"family":"Gouvernement wallon","given":""}],"accessed":{"date-parts":[["2026",5,15]]},"issued":{"date-parts":[["2018"]]}}}],"schema":"https://github.com/citation-style-language/schema/raw/master/csl-citation.json"} </w:instrText>
      </w:r>
      <w:r w:rsidR="004F3683" w:rsidRPr="00B363AA">
        <w:fldChar w:fldCharType="separate"/>
      </w:r>
      <w:r w:rsidR="00A00849" w:rsidRPr="00B363AA">
        <w:rPr>
          <w:rFonts w:cs="Calibri"/>
        </w:rPr>
        <w:t>(Gouvernement wallon, 2018)</w:t>
      </w:r>
      <w:r w:rsidR="004F3683" w:rsidRPr="00B363AA">
        <w:fldChar w:fldCharType="end"/>
      </w:r>
      <w:r w:rsidR="007E364E" w:rsidRPr="00B363AA">
        <w:rPr>
          <w:rStyle w:val="Appelnotedebasdep"/>
        </w:rPr>
        <w:footnoteReference w:id="2"/>
      </w:r>
      <w:r w:rsidR="004629B7" w:rsidRPr="00B363AA">
        <w:t xml:space="preserve">, et </w:t>
      </w:r>
      <w:r w:rsidR="00020EB3" w:rsidRPr="00B363AA">
        <w:t xml:space="preserve">d’adapter au mieux l’adéquation entre l’utilisation future du sol et son état </w:t>
      </w:r>
      <w:r w:rsidRPr="00B363AA">
        <w:t>de qualité</w:t>
      </w:r>
      <w:r w:rsidR="00020EB3" w:rsidRPr="00B363AA">
        <w:t xml:space="preserve"> actuel.</w:t>
      </w:r>
      <w:r w:rsidR="007F7280" w:rsidRPr="00B363AA">
        <w:t xml:space="preserve"> Il doit également alimenter l</w:t>
      </w:r>
      <w:r w:rsidR="006D6D40" w:rsidRPr="00B363AA">
        <w:t>es réflexions sur la restauration de la qualité des sols</w:t>
      </w:r>
      <w:r w:rsidR="00501A01" w:rsidRPr="00B363AA">
        <w:t>, selon les types d’usages considérés, et sur la meilleure affectation des sols en fonction des services écosystémiques qu’ils peuvent fournir.</w:t>
      </w:r>
    </w:p>
    <w:p w14:paraId="20B40C25" w14:textId="30629FD9" w:rsidR="00D001E2" w:rsidRPr="00B363AA" w:rsidRDefault="002C23BB">
      <w:pPr>
        <w:pStyle w:val="Titre2"/>
        <w:numPr>
          <w:ilvl w:val="1"/>
          <w:numId w:val="12"/>
        </w:numPr>
      </w:pPr>
      <w:bookmarkStart w:id="10" w:name="_Toc230267083"/>
      <w:bookmarkStart w:id="11" w:name="_Toc241242933"/>
      <w:r w:rsidRPr="00B363AA">
        <w:t>Contexte européen</w:t>
      </w:r>
      <w:bookmarkEnd w:id="10"/>
      <w:bookmarkEnd w:id="11"/>
    </w:p>
    <w:p w14:paraId="766396D3" w14:textId="320F0B17" w:rsidR="0046723B" w:rsidRPr="00B363AA" w:rsidRDefault="00B80679" w:rsidP="003700E7">
      <w:r w:rsidRPr="00B363AA">
        <w:t xml:space="preserve">Le développement </w:t>
      </w:r>
      <w:r w:rsidR="000508C6" w:rsidRPr="00B363AA">
        <w:t xml:space="preserve">de l’IQSW-pro est en phase avec une </w:t>
      </w:r>
      <w:r w:rsidR="00325EDF" w:rsidRPr="00B363AA">
        <w:t xml:space="preserve">prise de conscience de l’importance </w:t>
      </w:r>
      <w:r w:rsidR="00314C37" w:rsidRPr="00B363AA">
        <w:t xml:space="preserve">de la santé </w:t>
      </w:r>
      <w:r w:rsidR="00325EDF" w:rsidRPr="00B363AA">
        <w:t xml:space="preserve">des sols au niveau européen. </w:t>
      </w:r>
      <w:r w:rsidR="00FF38FC" w:rsidRPr="00B363AA">
        <w:t xml:space="preserve">En 2021, la publication de la </w:t>
      </w:r>
      <w:r w:rsidR="002F1CFB" w:rsidRPr="00B363AA">
        <w:rPr>
          <w:rFonts w:cs="Calibri"/>
          <w:kern w:val="0"/>
        </w:rPr>
        <w:t>Stratégie de l’UE pour la protection des sols à l’horizon 2030</w:t>
      </w:r>
      <w:r w:rsidR="00CA5B59" w:rsidRPr="00B363AA">
        <w:rPr>
          <w:rFonts w:cs="Calibri"/>
          <w:kern w:val="0"/>
        </w:rPr>
        <w:t xml:space="preserve"> </w:t>
      </w:r>
      <w:r w:rsidR="00A40DD8" w:rsidRPr="00B363AA">
        <w:rPr>
          <w:rFonts w:cs="Calibri"/>
          <w:kern w:val="0"/>
        </w:rPr>
        <w:fldChar w:fldCharType="begin"/>
      </w:r>
      <w:r w:rsidR="007F616D" w:rsidRPr="00B363AA">
        <w:rPr>
          <w:rFonts w:cs="Calibri"/>
          <w:kern w:val="0"/>
        </w:rPr>
        <w:instrText xml:space="preserve"> ADDIN ZOTERO_ITEM CSL_CITATION {"citationID":"DoxbcWdu","properties":{"formattedCitation":"(UE COM/2021/699, 2021)","plainCitation":"(UE COM/2021/699, 2021)","noteIndex":0},"citationItems":[{"id":548,"uris":["http://zotero.org/groups/5684833/items/TYNIXDBV"],"itemData":{"id":548,"type":"document","citation-key":"COMMUNICATION DE LA COMMISSION AU PARLEMENT EUROPÉEN, AU CONSEIL, AU COMITÉ ÉCONOMIQUE ET SOCIAL EUROPÉEN ET AU COMITÉ DES RÉGIONS","language":"fr","note":"Récolter les fruits de sols en bonne santé pour les êtres humains, l’alimentation, la nature et le climat","title":"Stratégie de l’UE pour la protection des sols à l’horizon 2030","URL":"https://eur-lex.europa.eu/legal-content/FR/TXT/?uri=CELEX%3A52021DC0699&amp;lang1=FR&amp;from=EN&amp;lang3=choose&amp;lang2=choose&amp;_csrf=a78b6a5f-f9e9-44c3-85cc-836ba47b3c12","author":[{"family":"UE COM/2021/699","given":""}],"accessed":{"date-parts":[["2026",5,21]]},"issued":{"date-parts":[["2021"]]}}}],"schema":"https://github.com/citation-style-language/schema/raw/master/csl-citation.json"} </w:instrText>
      </w:r>
      <w:r w:rsidR="00A40DD8" w:rsidRPr="00B363AA">
        <w:rPr>
          <w:rFonts w:cs="Calibri"/>
          <w:kern w:val="0"/>
        </w:rPr>
        <w:fldChar w:fldCharType="separate"/>
      </w:r>
      <w:r w:rsidR="007F616D" w:rsidRPr="00B363AA">
        <w:rPr>
          <w:rFonts w:cs="Calibri"/>
        </w:rPr>
        <w:t>(UE COM/2021/699, 2021)</w:t>
      </w:r>
      <w:r w:rsidR="00A40DD8" w:rsidRPr="00B363AA">
        <w:rPr>
          <w:rFonts w:cs="Calibri"/>
          <w:kern w:val="0"/>
        </w:rPr>
        <w:fldChar w:fldCharType="end"/>
      </w:r>
      <w:r w:rsidR="00F71673" w:rsidRPr="00B363AA">
        <w:t xml:space="preserve"> </w:t>
      </w:r>
      <w:r w:rsidR="00DA7CCA" w:rsidRPr="00B363AA">
        <w:t xml:space="preserve">propose une série de mesures pour atteindre un bon état de santé des sols dans l’UE à l’horizon 2050. </w:t>
      </w:r>
      <w:r w:rsidR="00E75CA9" w:rsidRPr="00B363AA">
        <w:t xml:space="preserve">Une proposition de directive voit ensuite le jour et, </w:t>
      </w:r>
      <w:r w:rsidR="003700E7" w:rsidRPr="00B363AA">
        <w:t xml:space="preserve">après </w:t>
      </w:r>
      <w:r w:rsidR="00F42BE4" w:rsidRPr="00B363AA">
        <w:t>plusieurs</w:t>
      </w:r>
      <w:r w:rsidR="003700E7" w:rsidRPr="00B363AA">
        <w:t xml:space="preserve"> </w:t>
      </w:r>
      <w:r w:rsidR="00F42BE4" w:rsidRPr="00B363AA">
        <w:t>phases de révision</w:t>
      </w:r>
      <w:r w:rsidR="003700E7" w:rsidRPr="00B363AA">
        <w:t xml:space="preserve">, </w:t>
      </w:r>
      <w:r w:rsidR="00612553" w:rsidRPr="00B363AA">
        <w:t>la</w:t>
      </w:r>
      <w:r w:rsidR="00F90507" w:rsidRPr="00B363AA">
        <w:t xml:space="preserve"> </w:t>
      </w:r>
      <w:r w:rsidR="00F90507" w:rsidRPr="00B363AA">
        <w:rPr>
          <w:rFonts w:cs="Calibri"/>
          <w:kern w:val="0"/>
        </w:rPr>
        <w:t>Directive du Parlement européen et du Conseil du 12 novembre 2025 relative à la surveillance et à la résilience des sols (directive sur la surveillance des sols)</w:t>
      </w:r>
      <w:r w:rsidR="00F90507" w:rsidRPr="00B363AA">
        <w:t xml:space="preserve"> </w:t>
      </w:r>
      <w:r w:rsidR="003D1E08" w:rsidRPr="00B363AA">
        <w:t>est entrée en vigueur</w:t>
      </w:r>
      <w:r w:rsidR="00F42BE4" w:rsidRPr="00B363AA">
        <w:t xml:space="preserve"> </w:t>
      </w:r>
      <w:r w:rsidR="00F90507" w:rsidRPr="00B363AA">
        <w:fldChar w:fldCharType="begin"/>
      </w:r>
      <w:r w:rsidR="00377A1A" w:rsidRPr="00B363AA">
        <w:instrText xml:space="preserve"> ADDIN ZOTERO_ITEM CSL_CITATION {"citationID":"oqcymlcM","properties":{"formattedCitation":"(UE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F90507" w:rsidRPr="00B363AA">
        <w:fldChar w:fldCharType="separate"/>
      </w:r>
      <w:r w:rsidR="00377A1A" w:rsidRPr="00B363AA">
        <w:rPr>
          <w:rFonts w:cs="Calibri"/>
        </w:rPr>
        <w:t>(UE 2025/2360, 2025)</w:t>
      </w:r>
      <w:r w:rsidR="00F90507" w:rsidRPr="00B363AA">
        <w:fldChar w:fldCharType="end"/>
      </w:r>
      <w:r w:rsidR="00F42BE4" w:rsidRPr="00B363AA">
        <w:t>.</w:t>
      </w:r>
      <w:r w:rsidR="00BB6B96" w:rsidRPr="00B363AA">
        <w:t xml:space="preserve"> </w:t>
      </w:r>
    </w:p>
    <w:p w14:paraId="2EABA960" w14:textId="247F5CFC" w:rsidR="00A51355" w:rsidRPr="00B363AA" w:rsidRDefault="002F12E9" w:rsidP="00D001E2">
      <w:r w:rsidRPr="00B363AA">
        <w:t>Considérant</w:t>
      </w:r>
      <w:r w:rsidR="00DD4C86" w:rsidRPr="00B363AA">
        <w:t xml:space="preserve"> que « l</w:t>
      </w:r>
      <w:r w:rsidR="00A51355" w:rsidRPr="00B363AA">
        <w:t>es sols constituent une ressource vitale limitée et sont considérés comme étant non renouvelables et irremplaçables sur une échelle de temps humain</w:t>
      </w:r>
      <w:r w:rsidR="00DD4C86" w:rsidRPr="00B363AA">
        <w:t> »</w:t>
      </w:r>
      <w:r w:rsidR="00563EC2" w:rsidRPr="00B363AA">
        <w:t>,</w:t>
      </w:r>
      <w:r w:rsidRPr="00B363AA">
        <w:t xml:space="preserve"> la directive établit un cadre </w:t>
      </w:r>
      <w:r w:rsidR="004772CA" w:rsidRPr="00B363AA">
        <w:t>pour</w:t>
      </w:r>
      <w:r w:rsidR="00BF40F4" w:rsidRPr="00B363AA">
        <w:t xml:space="preserve"> répondre à l’objecti</w:t>
      </w:r>
      <w:r w:rsidR="004A7EF0" w:rsidRPr="00B363AA">
        <w:t>f de la stratégie pour la protection des sols (sols sains en 2050)</w:t>
      </w:r>
      <w:r w:rsidR="004357E9" w:rsidRPr="00B363AA">
        <w:t xml:space="preserve"> à travers :</w:t>
      </w:r>
      <w:r w:rsidR="004772CA" w:rsidRPr="00B363AA">
        <w:t xml:space="preserve"> (1) la surveillance et l’évaluation de la santé des sols, (2) la résilience des sols et (3) la gestion des sites contaminés</w:t>
      </w:r>
      <w:r w:rsidR="004357E9" w:rsidRPr="00B363AA">
        <w:t xml:space="preserve">. </w:t>
      </w:r>
      <w:r w:rsidR="00CB0D70" w:rsidRPr="00B363AA">
        <w:t xml:space="preserve">La directive </w:t>
      </w:r>
      <w:r w:rsidR="00500A1A" w:rsidRPr="00B363AA">
        <w:t>définit les sols en bonne santé comme « </w:t>
      </w:r>
      <w:r w:rsidR="006A0E3F" w:rsidRPr="00B363AA">
        <w:t xml:space="preserve">présentant un bon état chimique, biologique et physique et qui peuvent dès lors fournir des services écosystémiques vitaux pour les humains et l'environnement </w:t>
      </w:r>
      <w:r w:rsidR="007B3938" w:rsidRPr="00B363AA">
        <w:t>[…]</w:t>
      </w:r>
      <w:r w:rsidR="006A0E3F" w:rsidRPr="00B363AA">
        <w:t> ».</w:t>
      </w:r>
    </w:p>
    <w:p w14:paraId="48A6CE69" w14:textId="36C62AD9" w:rsidR="002652F6" w:rsidRPr="00B363AA" w:rsidRDefault="0057779E" w:rsidP="00D001E2">
      <w:r w:rsidRPr="00B363AA">
        <w:t>Ainsi, en plus de la mise en œuvre d’un réseau de surveillance de la qualité des sols, l</w:t>
      </w:r>
      <w:r w:rsidR="00823E9F" w:rsidRPr="00B363AA">
        <w:t xml:space="preserve">a directive invite </w:t>
      </w:r>
      <w:r w:rsidR="00667B3E" w:rsidRPr="00B363AA">
        <w:t xml:space="preserve">notamment </w:t>
      </w:r>
      <w:r w:rsidR="00823E9F" w:rsidRPr="00B363AA">
        <w:t>les États membres</w:t>
      </w:r>
      <w:r w:rsidR="002652F6" w:rsidRPr="00B363AA">
        <w:t> </w:t>
      </w:r>
      <w:r w:rsidR="00B37796" w:rsidRPr="00B363AA">
        <w:t>à</w:t>
      </w:r>
      <w:r w:rsidR="002652F6" w:rsidRPr="00B363AA">
        <w:t> :</w:t>
      </w:r>
    </w:p>
    <w:p w14:paraId="39FAA5C4" w14:textId="5031ADBB" w:rsidR="002652F6" w:rsidRPr="00B363AA" w:rsidRDefault="002652F6">
      <w:pPr>
        <w:pStyle w:val="Paragraphedeliste"/>
        <w:numPr>
          <w:ilvl w:val="0"/>
          <w:numId w:val="1"/>
        </w:numPr>
      </w:pPr>
      <w:r w:rsidRPr="00B363AA">
        <w:t>S</w:t>
      </w:r>
      <w:r w:rsidR="00B37796" w:rsidRPr="00B363AA">
        <w:t xml:space="preserve">urveiller les effets de l’imperméabilisation et </w:t>
      </w:r>
      <w:r w:rsidR="009C7311" w:rsidRPr="00B363AA">
        <w:t xml:space="preserve">l’excavation </w:t>
      </w:r>
      <w:r w:rsidR="00B37796" w:rsidRPr="00B363AA">
        <w:t>des sols sur leur capacité à fournir des services écosystémiques</w:t>
      </w:r>
      <w:r w:rsidRPr="00B363AA">
        <w:t> ;</w:t>
      </w:r>
    </w:p>
    <w:p w14:paraId="5E8E4FB0" w14:textId="4A142D88" w:rsidR="00EF3E11" w:rsidRPr="00B363AA" w:rsidRDefault="002652F6">
      <w:pPr>
        <w:pStyle w:val="Paragraphedeliste"/>
        <w:numPr>
          <w:ilvl w:val="0"/>
          <w:numId w:val="1"/>
        </w:numPr>
      </w:pPr>
      <w:r w:rsidRPr="00B363AA">
        <w:t>S</w:t>
      </w:r>
      <w:r w:rsidR="0020197D" w:rsidRPr="00B363AA">
        <w:t xml:space="preserve">urveiller et gérer durablement </w:t>
      </w:r>
      <w:r w:rsidRPr="00B363AA">
        <w:t>les sols des</w:t>
      </w:r>
      <w:r w:rsidR="00145576" w:rsidRPr="00B363AA">
        <w:t xml:space="preserve"> superficies d'établissement qui ne sont pas imperméabilisés (notamment en zones urbaines) ;</w:t>
      </w:r>
    </w:p>
    <w:p w14:paraId="7B8D87B0" w14:textId="6593EF2A" w:rsidR="00FC1D43" w:rsidRPr="00B363AA" w:rsidRDefault="004C2621">
      <w:pPr>
        <w:pStyle w:val="Paragraphedeliste"/>
        <w:numPr>
          <w:ilvl w:val="0"/>
          <w:numId w:val="1"/>
        </w:numPr>
      </w:pPr>
      <w:r w:rsidRPr="00B363AA">
        <w:t xml:space="preserve">Veiller à </w:t>
      </w:r>
      <w:r w:rsidR="00C17492" w:rsidRPr="00B363AA">
        <w:t>« </w:t>
      </w:r>
      <w:r w:rsidRPr="00B363AA">
        <w:t xml:space="preserve">atténuer </w:t>
      </w:r>
      <w:r w:rsidR="00C17492" w:rsidRPr="00B363AA">
        <w:t xml:space="preserve">l'incidence de l'imperméabilisation des sols et de </w:t>
      </w:r>
      <w:r w:rsidR="006F0D3E" w:rsidRPr="00B363AA">
        <w:t xml:space="preserve">l’excavation </w:t>
      </w:r>
      <w:r w:rsidR="00C17492" w:rsidRPr="00B363AA">
        <w:t xml:space="preserve">des sols, en adoptant une approche fondée sur l'effort qui tienne compte d'un large éventail de bonnes </w:t>
      </w:r>
      <w:r w:rsidR="00C17492" w:rsidRPr="00B363AA">
        <w:lastRenderedPageBreak/>
        <w:t>pratiques visant à réduire au minimum et à compenser la perte de la capacité des sols à fournir des services écosystémiques »</w:t>
      </w:r>
      <w:r w:rsidR="00190277" w:rsidRPr="00B363AA">
        <w:t xml:space="preserve">, en respectant le principe de hiérarchisation des </w:t>
      </w:r>
      <w:r w:rsidR="00903867" w:rsidRPr="00B363AA">
        <w:t>usages</w:t>
      </w:r>
      <w:r w:rsidR="00C17492" w:rsidRPr="00B363AA">
        <w:t>.</w:t>
      </w:r>
    </w:p>
    <w:p w14:paraId="09B786D4" w14:textId="45E7C5A8" w:rsidR="00FC1D43" w:rsidRPr="00B363AA" w:rsidRDefault="004D492D">
      <w:pPr>
        <w:pStyle w:val="Titre2"/>
        <w:numPr>
          <w:ilvl w:val="1"/>
          <w:numId w:val="12"/>
        </w:numPr>
      </w:pPr>
      <w:bookmarkStart w:id="12" w:name="_Toc230267084"/>
      <w:bookmarkStart w:id="13" w:name="_Toc241242934"/>
      <w:r w:rsidRPr="00B363AA">
        <w:t>L’IQSW</w:t>
      </w:r>
      <w:r w:rsidR="006F375F" w:rsidRPr="00B363AA">
        <w:t>-pro</w:t>
      </w:r>
      <w:r w:rsidRPr="00B363AA">
        <w:t xml:space="preserve"> pour o</w:t>
      </w:r>
      <w:r w:rsidR="003F526D" w:rsidRPr="00B363AA">
        <w:t>rienter l’usage du sol</w:t>
      </w:r>
      <w:bookmarkEnd w:id="12"/>
      <w:bookmarkEnd w:id="13"/>
    </w:p>
    <w:p w14:paraId="1D1219D7" w14:textId="4D8A6CD8" w:rsidR="008D4FB0" w:rsidRPr="00B363AA" w:rsidRDefault="008D4FB0" w:rsidP="008D4FB0">
      <w:r w:rsidRPr="00B363AA">
        <w:t>En accord avec les principes de hiérarchisation des usages, article 12 de la</w:t>
      </w:r>
      <w:r w:rsidR="00BF7C19" w:rsidRPr="00B363AA">
        <w:t xml:space="preserve"> </w:t>
      </w:r>
      <w:r w:rsidR="00BF7C19" w:rsidRPr="00B363AA">
        <w:rPr>
          <w:rFonts w:cs="Calibri"/>
          <w:kern w:val="0"/>
        </w:rPr>
        <w:t>directive sur la surveillance des sols</w:t>
      </w:r>
      <w:r w:rsidRPr="00B363AA">
        <w:t xml:space="preserve"> </w:t>
      </w:r>
      <w:r w:rsidRPr="00B363AA">
        <w:fldChar w:fldCharType="begin"/>
      </w:r>
      <w:r w:rsidR="00377A1A" w:rsidRPr="00B363AA">
        <w:instrText xml:space="preserve"> ADDIN ZOTERO_ITEM CSL_CITATION {"citationID":"uUbVPAi1","properties":{"formattedCitation":"(UE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Pr="00B363AA">
        <w:fldChar w:fldCharType="separate"/>
      </w:r>
      <w:r w:rsidR="00377A1A" w:rsidRPr="00B363AA">
        <w:rPr>
          <w:rFonts w:cs="Calibri"/>
        </w:rPr>
        <w:t>(UE 2025/2360, 2025)</w:t>
      </w:r>
      <w:r w:rsidRPr="00B363AA">
        <w:fldChar w:fldCharType="end"/>
      </w:r>
      <w:r w:rsidR="00A24159" w:rsidRPr="00B363AA">
        <w:t xml:space="preserve">, il est </w:t>
      </w:r>
      <w:r w:rsidR="00633359" w:rsidRPr="00B363AA">
        <w:t>nécessaire de pouvoir réserver « le bon usage pour le bon sol ».</w:t>
      </w:r>
    </w:p>
    <w:p w14:paraId="356C9BA3" w14:textId="410942A3" w:rsidR="006A4307" w:rsidRPr="00B363AA" w:rsidRDefault="006A4307" w:rsidP="006A4307">
      <w:r w:rsidRPr="00B363AA">
        <w:t>L’IQSW</w:t>
      </w:r>
      <w:r w:rsidR="001E5953" w:rsidRPr="00B363AA">
        <w:t>-pro</w:t>
      </w:r>
      <w:r w:rsidRPr="00B363AA">
        <w:t xml:space="preserve">, en permettant d’améliorer la connaissance </w:t>
      </w:r>
      <w:r w:rsidR="00087D58" w:rsidRPr="00B363AA">
        <w:t>des</w:t>
      </w:r>
      <w:r w:rsidRPr="00B363AA">
        <w:t xml:space="preserve"> sols au-delà des paramètres de pollution, </w:t>
      </w:r>
      <w:r w:rsidR="00087D58" w:rsidRPr="00B363AA">
        <w:t xml:space="preserve">a pour vocation de contribuer </w:t>
      </w:r>
      <w:r w:rsidRPr="00B363AA">
        <w:t xml:space="preserve">à mieux les préserver. </w:t>
      </w:r>
      <w:r w:rsidR="009D4C48" w:rsidRPr="00B363AA">
        <w:t>L</w:t>
      </w:r>
      <w:r w:rsidRPr="00B363AA">
        <w:t xml:space="preserve">’outil </w:t>
      </w:r>
      <w:r w:rsidR="001E5953" w:rsidRPr="00B363AA">
        <w:t xml:space="preserve">vise à </w:t>
      </w:r>
      <w:r w:rsidRPr="00B363AA">
        <w:t>orienter l’usage futur d’un sol</w:t>
      </w:r>
      <w:r w:rsidR="00D32C07" w:rsidRPr="00B363AA">
        <w:t xml:space="preserve"> à travers, par exemple </w:t>
      </w:r>
      <w:r w:rsidRPr="00B363AA">
        <w:t>:</w:t>
      </w:r>
    </w:p>
    <w:p w14:paraId="229B81AD" w14:textId="2FD33105" w:rsidR="006A4307" w:rsidRPr="00B363AA" w:rsidRDefault="006A4307">
      <w:pPr>
        <w:pStyle w:val="Paragraphedeliste"/>
        <w:numPr>
          <w:ilvl w:val="0"/>
          <w:numId w:val="6"/>
        </w:numPr>
        <w:spacing w:after="200" w:line="276" w:lineRule="auto"/>
      </w:pPr>
      <w:r w:rsidRPr="00B363AA">
        <w:t>Une amélioration de la prise en compte de l’impact des projets d’aménagement</w:t>
      </w:r>
      <w:r w:rsidR="0083343C" w:rsidRPr="00B363AA">
        <w:t xml:space="preserve"> sur la ressource « sol » et les services écosystémiques associés</w:t>
      </w:r>
      <w:r w:rsidR="001E5953" w:rsidRPr="00B363AA">
        <w:t> ;</w:t>
      </w:r>
    </w:p>
    <w:p w14:paraId="42CA8BEF" w14:textId="621E0D3C" w:rsidR="006A4307" w:rsidRPr="00B363AA" w:rsidRDefault="006A4307">
      <w:pPr>
        <w:pStyle w:val="Paragraphedeliste"/>
        <w:numPr>
          <w:ilvl w:val="0"/>
          <w:numId w:val="6"/>
        </w:numPr>
        <w:spacing w:after="200" w:line="276" w:lineRule="auto"/>
      </w:pPr>
      <w:r w:rsidRPr="00B363AA">
        <w:t xml:space="preserve">Une revalorisation des terres à haut potentiel agricole ou naturel, afin d’objectiver l’impact de la dégradation </w:t>
      </w:r>
      <w:r w:rsidR="00FE606C" w:rsidRPr="00B363AA">
        <w:t xml:space="preserve">ou de l’artificialisation </w:t>
      </w:r>
      <w:r w:rsidR="0032376F" w:rsidRPr="00B363AA">
        <w:t>des sols de ces usages</w:t>
      </w:r>
      <w:r w:rsidRPr="00B363AA">
        <w:t>,</w:t>
      </w:r>
      <w:r w:rsidR="003652A2" w:rsidRPr="00B363AA">
        <w:t xml:space="preserve"> ou</w:t>
      </w:r>
      <w:r w:rsidRPr="00B363AA">
        <w:t xml:space="preserve"> la protection d’écosystèmes particuliers</w:t>
      </w:r>
      <w:r w:rsidR="006F16AD" w:rsidRPr="00B363AA">
        <w:t xml:space="preserve"> </w:t>
      </w:r>
      <w:r w:rsidR="001E5953" w:rsidRPr="00B363AA">
        <w:t>;</w:t>
      </w:r>
    </w:p>
    <w:p w14:paraId="6F67319A" w14:textId="5BEB66E8" w:rsidR="006A4307" w:rsidRPr="00B363AA" w:rsidRDefault="006A4307">
      <w:pPr>
        <w:pStyle w:val="Paragraphedeliste"/>
        <w:numPr>
          <w:ilvl w:val="0"/>
          <w:numId w:val="6"/>
        </w:numPr>
        <w:spacing w:after="200" w:line="276" w:lineRule="auto"/>
      </w:pPr>
      <w:r w:rsidRPr="00B363AA">
        <w:t>Une aide à l’orientation des projets dans le cadre du schéma de développement territorial (SDT) ou d’un schéma de développement communal (SDC)</w:t>
      </w:r>
      <w:r w:rsidR="001E5953" w:rsidRPr="00B363AA">
        <w:t> ;</w:t>
      </w:r>
    </w:p>
    <w:p w14:paraId="64E6E2B8" w14:textId="11A9E273" w:rsidR="006A4307" w:rsidRPr="00B363AA" w:rsidRDefault="006A4307">
      <w:pPr>
        <w:pStyle w:val="Paragraphedeliste"/>
        <w:numPr>
          <w:ilvl w:val="0"/>
          <w:numId w:val="6"/>
        </w:numPr>
        <w:spacing w:after="200" w:line="276" w:lineRule="auto"/>
      </w:pPr>
      <w:r w:rsidRPr="00B363AA">
        <w:t xml:space="preserve">Une meilleure prise en compte du potentiel du sol d’une parcelle, en identifiant les zones </w:t>
      </w:r>
      <w:r w:rsidR="00E771EF" w:rsidRPr="00B363AA">
        <w:t xml:space="preserve">les plus à même </w:t>
      </w:r>
      <w:r w:rsidRPr="00B363AA">
        <w:t xml:space="preserve">d’accueillir un potager, des arbres, du bâti, </w:t>
      </w:r>
      <w:r w:rsidR="001E5953" w:rsidRPr="00B363AA">
        <w:t>etc. ;</w:t>
      </w:r>
    </w:p>
    <w:p w14:paraId="001D464E" w14:textId="4A02ECA4" w:rsidR="00004707" w:rsidRPr="00B363AA" w:rsidRDefault="006A4307">
      <w:pPr>
        <w:pStyle w:val="Paragraphedeliste"/>
        <w:numPr>
          <w:ilvl w:val="0"/>
          <w:numId w:val="6"/>
        </w:numPr>
        <w:spacing w:after="200" w:line="276" w:lineRule="auto"/>
      </w:pPr>
      <w:r w:rsidRPr="00B363AA">
        <w:t>L’établissement de mesures de compensation adaptées</w:t>
      </w:r>
      <w:r w:rsidR="002B7EEB" w:rsidRPr="00B363AA">
        <w:t xml:space="preserve"> en cas de dégradation inévitable</w:t>
      </w:r>
      <w:r w:rsidRPr="00B363AA">
        <w:t>, pensées en termes de qualité du sol et pas seulement en termes surfaciques</w:t>
      </w:r>
      <w:r w:rsidR="008B3CB5" w:rsidRPr="00B363AA">
        <w:t xml:space="preserve">, </w:t>
      </w:r>
      <w:r w:rsidRPr="00B363AA">
        <w:t>notamment dans le cadre des objectifs de zéro artificialisation nette</w:t>
      </w:r>
      <w:r w:rsidR="008B3CB5" w:rsidRPr="00B363AA">
        <w:t xml:space="preserve"> </w:t>
      </w:r>
      <w:r w:rsidR="00432908" w:rsidRPr="00B363AA">
        <w:fldChar w:fldCharType="begin"/>
      </w:r>
      <w:r w:rsidR="00432908" w:rsidRPr="00B363AA">
        <w:instrText xml:space="preserve"> ADDIN ZOTERO_ITEM CSL_CITATION {"citationID":"hFmw4L1s","properties":{"unsorted":false,"formattedCitation":"(G\\uc0\\u233{}ronnez et al., 2025)","plainCitation":"(Géronnez et al., 2025)","noteIndex":0},"citationItems":[{"id":634,"uris":["http://zotero.org/groups/5684833/items/I595X3U3"],"itemData":{"id":634,"type":"report","abstract":"Quelles actions possibles pour concilier le « zéro artificialisation nette » (ZAN) et accessibilité financière du logement ? Où produire si le sol compte ? [2025] | , Ce document a été réalisé dans le cadre de la Présidence belge du Conseil de l’Union eur","ISBN":"978-2-8056-0748-6","language":"fr-be","page":"44","publisher":"SPW / EDIWALL","title":"Quelles actions possibles pour concilier le « zéro artificialisation nette » (ZAN) et accessibilité financière du logement ? Où produire si le sol compte ?","title-short":"Quelles actions possibles pour concilier le « zéro artificialisation nette » (ZAN) et accessibilité financière du logement ?","URL":"https://ediwall.wallonie.be/quelles-actions-possibles-pour-concilier-le-zero-artificialisation-nette-zan-et-accessibilite-financiere-du-logement-ou-produire-si-le-sol-compte-2025-135835","author":[{"family":"Géronnez","given":"Loïc"},{"family":"Vialay","given":"Gaëlle"},{"family":"Zaman","given":"Jan"}],"accessed":{"date-parts":[["2026",9,23]]},"issued":{"date-parts":[["2025"]]}}}],"schema":"https://github.com/citation-style-language/schema/raw/master/csl-citation.json"} </w:instrText>
      </w:r>
      <w:r w:rsidR="00432908" w:rsidRPr="00B363AA">
        <w:fldChar w:fldCharType="separate"/>
      </w:r>
      <w:r w:rsidR="00432908" w:rsidRPr="00B363AA">
        <w:rPr>
          <w:rFonts w:cs="Calibri"/>
          <w:kern w:val="0"/>
        </w:rPr>
        <w:t>(</w:t>
      </w:r>
      <w:proofErr w:type="spellStart"/>
      <w:r w:rsidR="00432908" w:rsidRPr="00B363AA">
        <w:rPr>
          <w:rFonts w:cs="Calibri"/>
          <w:kern w:val="0"/>
        </w:rPr>
        <w:t>Géronnez</w:t>
      </w:r>
      <w:proofErr w:type="spellEnd"/>
      <w:r w:rsidR="00432908" w:rsidRPr="00B363AA">
        <w:rPr>
          <w:rFonts w:cs="Calibri"/>
          <w:kern w:val="0"/>
        </w:rPr>
        <w:t xml:space="preserve"> et al., 2025)</w:t>
      </w:r>
      <w:r w:rsidR="00432908" w:rsidRPr="00B363AA">
        <w:fldChar w:fldCharType="end"/>
      </w:r>
      <w:r w:rsidRPr="00B363AA">
        <w:t>.</w:t>
      </w:r>
    </w:p>
    <w:p w14:paraId="7989CF0E" w14:textId="778D9048" w:rsidR="00800A59" w:rsidRPr="00B363AA" w:rsidRDefault="00800A59" w:rsidP="00800A59">
      <w:pPr>
        <w:spacing w:after="200" w:line="276" w:lineRule="auto"/>
      </w:pPr>
      <w:r w:rsidRPr="00B363AA">
        <w:t xml:space="preserve">Ainsi, à travers un guide méthodologique </w:t>
      </w:r>
      <w:r w:rsidR="0010513B" w:rsidRPr="00B363AA">
        <w:t>spécifique</w:t>
      </w:r>
      <w:r w:rsidRPr="00B363AA">
        <w:t>, l’IQSW-pro vise à baliser le volet « sol » de</w:t>
      </w:r>
      <w:r w:rsidR="0010513B" w:rsidRPr="00B363AA">
        <w:t>s</w:t>
      </w:r>
      <w:r w:rsidR="00F7725B" w:rsidRPr="00B363AA">
        <w:t xml:space="preserve"> évaluations environnementales</w:t>
      </w:r>
      <w:r w:rsidR="00EF4216" w:rsidRPr="00B363AA">
        <w:t xml:space="preserve">, </w:t>
      </w:r>
      <w:r w:rsidR="00F7725B" w:rsidRPr="00B363AA">
        <w:t xml:space="preserve">dont </w:t>
      </w:r>
      <w:r w:rsidR="00EF4216" w:rsidRPr="00B363AA">
        <w:t xml:space="preserve">les </w:t>
      </w:r>
      <w:r w:rsidR="00F7725B" w:rsidRPr="00B363AA">
        <w:t>É</w:t>
      </w:r>
      <w:r w:rsidR="0010513B" w:rsidRPr="00B363AA">
        <w:t>tudes d’Incidence Environnementale</w:t>
      </w:r>
      <w:r w:rsidR="00EF4216" w:rsidRPr="00B363AA">
        <w:t xml:space="preserve"> (EIE)</w:t>
      </w:r>
      <w:r w:rsidR="0089278B" w:rsidRPr="00B363AA">
        <w:t xml:space="preserve"> </w:t>
      </w:r>
      <w:r w:rsidR="00F7725B" w:rsidRPr="00B363AA">
        <w:t>et</w:t>
      </w:r>
      <w:r w:rsidR="0089278B" w:rsidRPr="00B363AA">
        <w:t xml:space="preserve"> </w:t>
      </w:r>
      <w:r w:rsidR="00EF4216" w:rsidRPr="00B363AA">
        <w:t xml:space="preserve">les </w:t>
      </w:r>
      <w:r w:rsidR="0089278B" w:rsidRPr="00B363AA">
        <w:t>Rapports d’Incidence Environnementale (RIE)</w:t>
      </w:r>
      <w:r w:rsidR="000571F9" w:rsidRPr="00B363AA">
        <w:t>, pour traduire les principes de la directive en actions concrètes en faveur de la qualité des sols.</w:t>
      </w:r>
    </w:p>
    <w:p w14:paraId="7F0154E2" w14:textId="313F2736" w:rsidR="002B4718" w:rsidRPr="00B363AA" w:rsidRDefault="00814B95" w:rsidP="00FB4A39">
      <w:pPr>
        <w:spacing w:after="200" w:line="276" w:lineRule="auto"/>
      </w:pPr>
      <w:r w:rsidRPr="00B363AA">
        <w:t xml:space="preserve">L’IQSW-pro, </w:t>
      </w:r>
      <w:r w:rsidR="00BF11A4" w:rsidRPr="00B363AA">
        <w:t>par son architecture</w:t>
      </w:r>
      <w:r w:rsidRPr="00B363AA">
        <w:t xml:space="preserve"> (</w:t>
      </w:r>
      <w:r w:rsidR="00D74544" w:rsidRPr="00B363AA">
        <w:t xml:space="preserve">voir </w:t>
      </w:r>
      <w:r w:rsidR="002B4718" w:rsidRPr="00B363AA">
        <w:t>partie</w:t>
      </w:r>
      <w:r w:rsidR="00991B38" w:rsidRPr="00B363AA">
        <w:t xml:space="preserve"> </w:t>
      </w:r>
      <w:r w:rsidR="00991B38" w:rsidRPr="00B363AA">
        <w:fldChar w:fldCharType="begin"/>
      </w:r>
      <w:r w:rsidR="00991B38" w:rsidRPr="00B363AA">
        <w:instrText xml:space="preserve"> REF _Ref233111183 \r \h </w:instrText>
      </w:r>
      <w:r w:rsidR="00991B38" w:rsidRPr="00B363AA">
        <w:fldChar w:fldCharType="separate"/>
      </w:r>
      <w:r w:rsidR="0089263B" w:rsidRPr="00B363AA">
        <w:t>3.5</w:t>
      </w:r>
      <w:r w:rsidR="00991B38" w:rsidRPr="00B363AA">
        <w:fldChar w:fldCharType="end"/>
      </w:r>
      <w:r w:rsidR="002B4718" w:rsidRPr="00B363AA">
        <w:t xml:space="preserve">), </w:t>
      </w:r>
      <w:r w:rsidR="00BF11A4" w:rsidRPr="00B363AA">
        <w:t>vise</w:t>
      </w:r>
      <w:r w:rsidR="002B4718" w:rsidRPr="00B363AA">
        <w:t xml:space="preserve"> </w:t>
      </w:r>
      <w:r w:rsidR="00FB4A39" w:rsidRPr="00B363AA">
        <w:t xml:space="preserve">d’une part </w:t>
      </w:r>
      <w:r w:rsidR="00BF11A4" w:rsidRPr="00B363AA">
        <w:t>à</w:t>
      </w:r>
      <w:r w:rsidR="002B4718" w:rsidRPr="00B363AA">
        <w:t xml:space="preserve"> diagnostiquer </w:t>
      </w:r>
      <w:r w:rsidR="00FB4A39" w:rsidRPr="00B363AA">
        <w:t>l</w:t>
      </w:r>
      <w:r w:rsidR="002B4718" w:rsidRPr="00B363AA">
        <w:t>a qualité du sol</w:t>
      </w:r>
      <w:r w:rsidR="00331163" w:rsidRPr="00B363AA">
        <w:t xml:space="preserve"> pour un usage défini</w:t>
      </w:r>
      <w:r w:rsidR="002B4718" w:rsidRPr="00B363AA">
        <w:t xml:space="preserve">, </w:t>
      </w:r>
      <w:r w:rsidR="00FB4A39" w:rsidRPr="00B363AA">
        <w:t>soit s</w:t>
      </w:r>
      <w:r w:rsidR="00331163" w:rsidRPr="00B363AA">
        <w:t xml:space="preserve">on adéquation en l’état actuel, mais également </w:t>
      </w:r>
      <w:r w:rsidR="0090545B" w:rsidRPr="00B363AA">
        <w:t>d’identifier le potentiel maximal atteignable par le sol</w:t>
      </w:r>
      <w:r w:rsidR="00740385" w:rsidRPr="00B363AA">
        <w:t>,</w:t>
      </w:r>
      <w:r w:rsidR="00761879" w:rsidRPr="00B363AA">
        <w:t xml:space="preserve"> afin d’identifier la marge de progression possible</w:t>
      </w:r>
      <w:r w:rsidR="003F7F51" w:rsidRPr="00B363AA">
        <w:t xml:space="preserve"> via des pratiques de gestion améliorées.</w:t>
      </w:r>
    </w:p>
    <w:p w14:paraId="7FB186BE" w14:textId="4C90D5DE" w:rsidR="00004707" w:rsidRPr="00B363AA" w:rsidRDefault="004D492D">
      <w:pPr>
        <w:pStyle w:val="Titre2"/>
        <w:numPr>
          <w:ilvl w:val="1"/>
          <w:numId w:val="12"/>
        </w:numPr>
      </w:pPr>
      <w:bookmarkStart w:id="14" w:name="_Toc230267085"/>
      <w:bookmarkStart w:id="15" w:name="_Toc241242935"/>
      <w:r w:rsidRPr="00B363AA">
        <w:t>L’IQSW</w:t>
      </w:r>
      <w:r w:rsidR="006F375F" w:rsidRPr="00B363AA">
        <w:t>-pro</w:t>
      </w:r>
      <w:r w:rsidRPr="00B363AA">
        <w:t xml:space="preserve"> pour a</w:t>
      </w:r>
      <w:r w:rsidR="00004707" w:rsidRPr="00B363AA">
        <w:t>méliorer la qualité des sols</w:t>
      </w:r>
      <w:bookmarkEnd w:id="14"/>
      <w:bookmarkEnd w:id="15"/>
    </w:p>
    <w:p w14:paraId="2F461A66" w14:textId="2FFBF283" w:rsidR="002B03B1" w:rsidRPr="00B363AA" w:rsidRDefault="005E576F" w:rsidP="002F033D">
      <w:r w:rsidRPr="00B363AA">
        <w:t>L’IQSW-pro permet également d’améliorer la qualité du sol à travers une meilleure évaluation de l’impact des pratiques</w:t>
      </w:r>
      <w:r w:rsidR="002F033D" w:rsidRPr="00B363AA">
        <w:t xml:space="preserve"> </w:t>
      </w:r>
      <w:r w:rsidR="583AEBF7" w:rsidRPr="00B363AA">
        <w:t>et par</w:t>
      </w:r>
      <w:r w:rsidRPr="00B363AA">
        <w:t xml:space="preserve"> des recommandations pour une meilleure gestion et ce, pour tous les usages</w:t>
      </w:r>
      <w:r w:rsidR="002F033D" w:rsidRPr="00B363AA">
        <w:t>.</w:t>
      </w:r>
    </w:p>
    <w:p w14:paraId="7D30765F" w14:textId="6D3D2585" w:rsidR="00800A59" w:rsidRPr="00B363AA" w:rsidRDefault="00A66415" w:rsidP="00800A59">
      <w:r w:rsidRPr="00B363AA">
        <w:t xml:space="preserve">L’IQSW-pro a également pour vocation d’être utilisé en tant qu’outil de </w:t>
      </w:r>
      <w:r w:rsidR="531632A2" w:rsidRPr="00B363AA">
        <w:t>surveillance</w:t>
      </w:r>
      <w:r w:rsidR="25BBEF94" w:rsidRPr="00B363AA">
        <w:t>.</w:t>
      </w:r>
      <w:r w:rsidR="002975CC" w:rsidRPr="00B363AA">
        <w:t xml:space="preserve"> </w:t>
      </w:r>
      <w:r w:rsidR="00460498" w:rsidRPr="00B363AA">
        <w:t>En effet</w:t>
      </w:r>
      <w:r w:rsidRPr="00B363AA">
        <w:t xml:space="preserve">, via une évaluation de l’état initial et final de la </w:t>
      </w:r>
      <w:r w:rsidR="002F2BBB" w:rsidRPr="00B363AA">
        <w:t xml:space="preserve">santé </w:t>
      </w:r>
      <w:r w:rsidRPr="00B363AA">
        <w:t>du sol</w:t>
      </w:r>
      <w:r w:rsidR="00460498" w:rsidRPr="00B363AA">
        <w:t>, l’IQSW</w:t>
      </w:r>
      <w:r w:rsidR="27BA1DE0" w:rsidRPr="00B363AA">
        <w:t>-pro</w:t>
      </w:r>
      <w:r w:rsidR="00460498" w:rsidRPr="00B363AA">
        <w:t xml:space="preserve"> </w:t>
      </w:r>
      <w:r w:rsidR="009E203A" w:rsidRPr="00B363AA">
        <w:t>peut aider</w:t>
      </w:r>
      <w:r w:rsidR="00460498" w:rsidRPr="00B363AA">
        <w:t xml:space="preserve"> à guider</w:t>
      </w:r>
      <w:r w:rsidR="00DC0420" w:rsidRPr="00B363AA">
        <w:t xml:space="preserve"> les démar</w:t>
      </w:r>
      <w:r w:rsidR="00C67086" w:rsidRPr="00B363AA">
        <w:t>ches</w:t>
      </w:r>
      <w:r w:rsidR="00482DFA" w:rsidRPr="00B363AA">
        <w:t xml:space="preserve"> entreprises, par exemple,</w:t>
      </w:r>
      <w:r w:rsidR="00C67086" w:rsidRPr="00B363AA">
        <w:t xml:space="preserve"> dans le cadre de</w:t>
      </w:r>
      <w:r w:rsidR="00460498" w:rsidRPr="00B363AA">
        <w:t xml:space="preserve"> projets de restauration, de réhabilitation de friches ou d’assainissement</w:t>
      </w:r>
      <w:r w:rsidR="00C67086" w:rsidRPr="00B363AA">
        <w:t>, et à en objectiver l’impact</w:t>
      </w:r>
      <w:r w:rsidRPr="00B363AA">
        <w:t>. À ce sujet, l</w:t>
      </w:r>
      <w:r w:rsidR="009D51BC" w:rsidRPr="00B363AA">
        <w:t>a directive</w:t>
      </w:r>
      <w:r w:rsidR="00F22252" w:rsidRPr="00B363AA">
        <w:t xml:space="preserve"> sur la surveillance des sols </w:t>
      </w:r>
      <w:r w:rsidRPr="00B363AA">
        <w:fldChar w:fldCharType="begin"/>
      </w:r>
      <w:r w:rsidRPr="00B363AA">
        <w:instrText xml:space="preserve"> ADDIN ZOTERO_ITEM CSL_CITATION {"citationID":"WH348vnp","properties":{"unsorted":false,"formattedCitation":"(UE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Pr="00B363AA">
        <w:fldChar w:fldCharType="separate"/>
      </w:r>
      <w:r w:rsidR="00377A1A" w:rsidRPr="00B363AA">
        <w:rPr>
          <w:rFonts w:cs="Calibri"/>
        </w:rPr>
        <w:t>(UE 2025/2360, 2025)</w:t>
      </w:r>
      <w:r w:rsidRPr="00B363AA">
        <w:fldChar w:fldCharType="end"/>
      </w:r>
      <w:r w:rsidR="009D51BC" w:rsidRPr="00B363AA">
        <w:t xml:space="preserve"> </w:t>
      </w:r>
      <w:r w:rsidR="00A4152A" w:rsidRPr="00B363AA">
        <w:t>propose des recommandations</w:t>
      </w:r>
      <w:r w:rsidR="009D51BC" w:rsidRPr="00B363AA">
        <w:t xml:space="preserve"> </w:t>
      </w:r>
      <w:r w:rsidR="00EE5218" w:rsidRPr="00B363AA">
        <w:t xml:space="preserve">pour la prise en compte de la qualité des sols dans les mesures de régénération </w:t>
      </w:r>
      <w:r w:rsidR="009D7155" w:rsidRPr="00B363AA">
        <w:t>(</w:t>
      </w:r>
      <w:r w:rsidR="005E5AD3" w:rsidRPr="00B363AA">
        <w:t>considérant 58</w:t>
      </w:r>
      <w:r w:rsidR="009D7155" w:rsidRPr="00B363AA">
        <w:t>)</w:t>
      </w:r>
      <w:r w:rsidR="005E5AD3" w:rsidRPr="00B363AA">
        <w:t xml:space="preserve"> et de réhabilitation d’un sol (considérant 68) </w:t>
      </w:r>
      <w:r w:rsidR="00CD558F" w:rsidRPr="00B363AA">
        <w:t>basées sur l’amélioration de l’état du sol vis-à-vis de son potentiel atteignable.</w:t>
      </w:r>
    </w:p>
    <w:p w14:paraId="654B26B3" w14:textId="611C37E7" w:rsidR="006F375F" w:rsidRPr="00B363AA" w:rsidRDefault="006F375F">
      <w:pPr>
        <w:pStyle w:val="Titre2"/>
        <w:numPr>
          <w:ilvl w:val="1"/>
          <w:numId w:val="12"/>
        </w:numPr>
      </w:pPr>
      <w:bookmarkStart w:id="16" w:name="_Toc230267086"/>
      <w:bookmarkStart w:id="17" w:name="_Toc241242936"/>
      <w:r w:rsidRPr="00B363AA">
        <w:lastRenderedPageBreak/>
        <w:t xml:space="preserve">L’IQSW-pro pour estimer le potentiel </w:t>
      </w:r>
      <w:bookmarkEnd w:id="16"/>
      <w:r w:rsidR="0071293A" w:rsidRPr="00B363AA">
        <w:t xml:space="preserve">des </w:t>
      </w:r>
      <w:r w:rsidR="00CB5017" w:rsidRPr="00B363AA">
        <w:t xml:space="preserve">terres </w:t>
      </w:r>
      <w:r w:rsidR="00C16300" w:rsidRPr="00B363AA">
        <w:t>excavé</w:t>
      </w:r>
      <w:r w:rsidR="00CB5017" w:rsidRPr="00B363AA">
        <w:t>e</w:t>
      </w:r>
      <w:r w:rsidR="00C16300" w:rsidRPr="00B363AA">
        <w:t>s</w:t>
      </w:r>
      <w:r w:rsidR="00CB5017" w:rsidRPr="00B363AA">
        <w:t xml:space="preserve"> et des sols remaniés</w:t>
      </w:r>
      <w:bookmarkEnd w:id="17"/>
      <w:r w:rsidR="00C16300" w:rsidRPr="00B363AA">
        <w:t xml:space="preserve"> </w:t>
      </w:r>
    </w:p>
    <w:p w14:paraId="060C3A47" w14:textId="470870B3" w:rsidR="002544BE" w:rsidRPr="00B363AA" w:rsidRDefault="002544BE" w:rsidP="002544BE">
      <w:r w:rsidRPr="00B363AA">
        <w:t xml:space="preserve">Dans un contexte de réutilisation des terres, il peut être intéressant de diagnostiquer la qualité </w:t>
      </w:r>
      <w:r w:rsidR="612A3DF3" w:rsidRPr="00B363AA">
        <w:t>des terres</w:t>
      </w:r>
      <w:r w:rsidR="0CBE8C49" w:rsidRPr="00B363AA">
        <w:t xml:space="preserve"> </w:t>
      </w:r>
      <w:r w:rsidR="27B88087" w:rsidRPr="00B363AA">
        <w:t>excavé</w:t>
      </w:r>
      <w:r w:rsidR="27C1A291" w:rsidRPr="00B363AA">
        <w:t>es</w:t>
      </w:r>
      <w:r w:rsidRPr="00B363AA">
        <w:t xml:space="preserve"> </w:t>
      </w:r>
      <w:r w:rsidR="5851B81A" w:rsidRPr="00B363AA">
        <w:t>pour</w:t>
      </w:r>
      <w:r w:rsidR="0CBE8C49" w:rsidRPr="00B363AA">
        <w:t xml:space="preserve"> </w:t>
      </w:r>
      <w:r w:rsidRPr="00B363AA">
        <w:t xml:space="preserve">s’assurer que </w:t>
      </w:r>
      <w:r w:rsidR="64C00BA7" w:rsidRPr="00B363AA">
        <w:t>c</w:t>
      </w:r>
      <w:r w:rsidR="0CBE8C49" w:rsidRPr="00B363AA">
        <w:t>es</w:t>
      </w:r>
      <w:r w:rsidRPr="00B363AA">
        <w:t xml:space="preserve"> terres ont bien le potentiel de répondre aux besoins du site récepteur</w:t>
      </w:r>
      <w:r w:rsidR="3FBD531F" w:rsidRPr="00B363AA">
        <w:t>, a</w:t>
      </w:r>
      <w:r w:rsidR="4ACF2E1C" w:rsidRPr="00B363AA">
        <w:t>u</w:t>
      </w:r>
      <w:r w:rsidR="005A3620" w:rsidRPr="00B363AA">
        <w:t>-delà de</w:t>
      </w:r>
      <w:r w:rsidR="003E43E6" w:rsidRPr="00B363AA">
        <w:t xml:space="preserve">s </w:t>
      </w:r>
      <w:r w:rsidR="37492F7D" w:rsidRPr="00B363AA">
        <w:t xml:space="preserve">seuls </w:t>
      </w:r>
      <w:r w:rsidR="003E43E6" w:rsidRPr="00B363AA">
        <w:t xml:space="preserve">critères </w:t>
      </w:r>
      <w:r w:rsidR="005A3620" w:rsidRPr="00B363AA">
        <w:t>de pollution.</w:t>
      </w:r>
      <w:r w:rsidRPr="00B363AA">
        <w:t xml:space="preserve"> </w:t>
      </w:r>
      <w:r w:rsidR="1B115712" w:rsidRPr="00B363AA">
        <w:t>V</w:t>
      </w:r>
      <w:r w:rsidR="0CBE8C49" w:rsidRPr="00B363AA">
        <w:t>érifier</w:t>
      </w:r>
      <w:r w:rsidRPr="00B363AA">
        <w:t xml:space="preserve"> la qualité des terres en amont du projet permet aussi de mieux guider la gestion et la mise en œuvre de bonnes pratiques pour favoriser la régénération du site.</w:t>
      </w:r>
    </w:p>
    <w:p w14:paraId="51E62AFE" w14:textId="2C4A95F4" w:rsidR="002544BE" w:rsidRPr="00B363AA" w:rsidRDefault="002544BE" w:rsidP="00FA6BD0">
      <w:r w:rsidRPr="00B363AA">
        <w:t xml:space="preserve">De la même manière que l’outil permet de diagnostiquer le potentiel atteignable par un sol au vu de ses propriétés intrinsèques, </w:t>
      </w:r>
      <w:r w:rsidR="00E053C3" w:rsidRPr="00B363AA">
        <w:t xml:space="preserve">certains éléments du diagnostic </w:t>
      </w:r>
      <w:r w:rsidR="0089263B" w:rsidRPr="00B363AA">
        <w:t>pourraient</w:t>
      </w:r>
      <w:r w:rsidRPr="00B363AA">
        <w:t xml:space="preserve"> être appliqué</w:t>
      </w:r>
      <w:r w:rsidR="00877D6D" w:rsidRPr="00B363AA">
        <w:t>s</w:t>
      </w:r>
      <w:r w:rsidRPr="00B363AA">
        <w:t xml:space="preserve"> sur </w:t>
      </w:r>
      <w:r w:rsidR="24C8776A" w:rsidRPr="00B363AA">
        <w:t>des terres</w:t>
      </w:r>
      <w:r w:rsidR="0CBE8C49" w:rsidRPr="00B363AA">
        <w:t xml:space="preserve"> excavé</w:t>
      </w:r>
      <w:r w:rsidR="5B6C7476" w:rsidRPr="00B363AA">
        <w:t>es</w:t>
      </w:r>
      <w:r w:rsidR="003D1CE2" w:rsidRPr="00B363AA">
        <w:t xml:space="preserve"> (moyennant adaptations</w:t>
      </w:r>
      <w:r w:rsidR="00B81720" w:rsidRPr="00B363AA">
        <w:t>)</w:t>
      </w:r>
      <w:r w:rsidR="003D1CE2" w:rsidRPr="00B363AA">
        <w:t>, afin de se projeter dans sa réutilisation.</w:t>
      </w:r>
    </w:p>
    <w:p w14:paraId="71288046" w14:textId="3E13CCE6" w:rsidR="00D33DA6" w:rsidRPr="00B363AA" w:rsidRDefault="006F375F" w:rsidP="00506AEF">
      <w:r w:rsidRPr="00B363AA">
        <w:t>Ainsi</w:t>
      </w:r>
      <w:r w:rsidR="00FA6BD0" w:rsidRPr="00B363AA">
        <w:t xml:space="preserve">, </w:t>
      </w:r>
      <w:r w:rsidR="00C0337C" w:rsidRPr="00B363AA">
        <w:t>l’outil peut</w:t>
      </w:r>
      <w:r w:rsidR="00FA6BD0" w:rsidRPr="00B363AA">
        <w:t xml:space="preserve"> </w:t>
      </w:r>
      <w:r w:rsidR="00C0337C" w:rsidRPr="00B363AA">
        <w:t>aider à</w:t>
      </w:r>
      <w:r w:rsidR="00FA6BD0" w:rsidRPr="00B363AA">
        <w:t xml:space="preserve"> mieux orienter les mouvements de terre, en considérant les caractéristiques</w:t>
      </w:r>
      <w:r w:rsidR="009E5DCD" w:rsidRPr="00B363AA">
        <w:t xml:space="preserve"> chimiques et biologiques</w:t>
      </w:r>
      <w:r w:rsidR="00FA6BD0" w:rsidRPr="00B363AA">
        <w:t xml:space="preserve"> de la terre déplacée et </w:t>
      </w:r>
      <w:r w:rsidR="2346FBC5" w:rsidRPr="00B363AA">
        <w:t xml:space="preserve">en les mettant en parallèle </w:t>
      </w:r>
      <w:r w:rsidR="0071293A" w:rsidRPr="00B363AA">
        <w:t>avec les</w:t>
      </w:r>
      <w:r w:rsidR="2346FBC5" w:rsidRPr="00B363AA">
        <w:t xml:space="preserve"> besoins du</w:t>
      </w:r>
      <w:r w:rsidR="00FA6BD0" w:rsidRPr="00B363AA">
        <w:t xml:space="preserve"> site récepteur</w:t>
      </w:r>
      <w:r w:rsidR="0C479CC0" w:rsidRPr="00B363AA">
        <w:t xml:space="preserve"> compte-tenu de son usage projeté</w:t>
      </w:r>
      <w:r w:rsidR="0008021B" w:rsidRPr="00B363AA">
        <w:t xml:space="preserve"> (ex. </w:t>
      </w:r>
      <w:r w:rsidR="00FA6BD0" w:rsidRPr="00B363AA">
        <w:t>éviter l’apport de remblais</w:t>
      </w:r>
      <w:r w:rsidR="00560570" w:rsidRPr="00B363AA">
        <w:t xml:space="preserve"> d’origine agricole</w:t>
      </w:r>
      <w:r w:rsidR="00FA6BD0" w:rsidRPr="00B363AA">
        <w:t xml:space="preserve"> en milieu naturel</w:t>
      </w:r>
      <w:r w:rsidR="00560570" w:rsidRPr="00B363AA">
        <w:t xml:space="preserve"> oligotrophe</w:t>
      </w:r>
      <w:r w:rsidR="00DC5487" w:rsidRPr="00B363AA">
        <w:t>)</w:t>
      </w:r>
      <w:r w:rsidR="0071293A" w:rsidRPr="00B363AA">
        <w:t>.</w:t>
      </w:r>
    </w:p>
    <w:p w14:paraId="4D470F00" w14:textId="3DB0E4DE" w:rsidR="00232E07" w:rsidRPr="00B363AA" w:rsidRDefault="00232E07" w:rsidP="00232E07">
      <w:pPr>
        <w:jc w:val="left"/>
      </w:pPr>
      <w:r w:rsidRPr="00B363AA">
        <w:br w:type="page"/>
      </w:r>
    </w:p>
    <w:p w14:paraId="766235B3" w14:textId="0531E523" w:rsidR="00BC44EA" w:rsidRPr="00B363AA" w:rsidRDefault="004A6040">
      <w:pPr>
        <w:pStyle w:val="Titre1"/>
        <w:numPr>
          <w:ilvl w:val="0"/>
          <w:numId w:val="12"/>
        </w:numPr>
      </w:pPr>
      <w:bookmarkStart w:id="18" w:name="_Toc241242937"/>
      <w:r w:rsidRPr="00B363AA">
        <w:lastRenderedPageBreak/>
        <w:t>Approche conceptuelle</w:t>
      </w:r>
      <w:bookmarkEnd w:id="18"/>
    </w:p>
    <w:p w14:paraId="673CDEE2" w14:textId="1F132C65" w:rsidR="00604C45" w:rsidRPr="00B363AA" w:rsidRDefault="00DC5487">
      <w:pPr>
        <w:pStyle w:val="Titre2"/>
        <w:numPr>
          <w:ilvl w:val="1"/>
          <w:numId w:val="12"/>
        </w:numPr>
      </w:pPr>
      <w:bookmarkStart w:id="19" w:name="_Toc241242938"/>
      <w:r w:rsidRPr="00B363AA">
        <w:t xml:space="preserve">Consultation </w:t>
      </w:r>
      <w:r w:rsidR="00C80D07" w:rsidRPr="00B363AA">
        <w:t xml:space="preserve">des </w:t>
      </w:r>
      <w:r w:rsidR="00CD5F0E" w:rsidRPr="00B363AA">
        <w:t>secteurs</w:t>
      </w:r>
      <w:bookmarkEnd w:id="19"/>
    </w:p>
    <w:p w14:paraId="4DB9E600" w14:textId="696AFF31" w:rsidR="00604C45" w:rsidRPr="00B363AA" w:rsidRDefault="00604C45" w:rsidP="00604C45">
      <w:r w:rsidRPr="00B363AA">
        <w:t xml:space="preserve">Dès le lancement du projet, </w:t>
      </w:r>
      <w:r w:rsidR="009C0D2E" w:rsidRPr="00B363AA">
        <w:t>l</w:t>
      </w:r>
      <w:r w:rsidRPr="00B363AA">
        <w:t>es parties prenantes</w:t>
      </w:r>
      <w:r w:rsidR="00CD5F0E" w:rsidRPr="00B363AA">
        <w:t xml:space="preserve"> des différents secteurs liés </w:t>
      </w:r>
      <w:r w:rsidR="00BB5C6F" w:rsidRPr="00B363AA">
        <w:t>à la gestion ou à l’aménagement du sol (agricole, forestier, urbain et industriel)</w:t>
      </w:r>
      <w:r w:rsidRPr="00B363AA">
        <w:t xml:space="preserve"> </w:t>
      </w:r>
      <w:r w:rsidR="009C0D2E" w:rsidRPr="00B363AA">
        <w:t>ont été invités à participer au</w:t>
      </w:r>
      <w:r w:rsidRPr="00B363AA">
        <w:t xml:space="preserve"> processus de conception de l’IQSW-pro</w:t>
      </w:r>
      <w:r w:rsidR="009C0D2E" w:rsidRPr="00B363AA">
        <w:t>. Cette mo</w:t>
      </w:r>
      <w:r w:rsidR="003430F1" w:rsidRPr="00B363AA">
        <w:t>bilisation</w:t>
      </w:r>
      <w:r w:rsidRPr="00B363AA">
        <w:t xml:space="preserve"> a été identifiée</w:t>
      </w:r>
      <w:r w:rsidR="003430F1" w:rsidRPr="00B363AA">
        <w:t xml:space="preserve"> </w:t>
      </w:r>
      <w:r w:rsidRPr="00B363AA">
        <w:t xml:space="preserve">comme indispensable pour la bonne mise en œuvre de l’outil à terme. </w:t>
      </w:r>
      <w:r w:rsidR="002C70F5" w:rsidRPr="00B363AA">
        <w:t>Les parties prenantes</w:t>
      </w:r>
      <w:r w:rsidRPr="00B363AA">
        <w:t xml:space="preserve"> ont été mobilisé</w:t>
      </w:r>
      <w:r w:rsidR="00B50359" w:rsidRPr="00B363AA">
        <w:t>e</w:t>
      </w:r>
      <w:r w:rsidRPr="00B363AA">
        <w:t>s</w:t>
      </w:r>
      <w:r w:rsidR="00427F36" w:rsidRPr="00B363AA">
        <w:t xml:space="preserve"> et consultées</w:t>
      </w:r>
      <w:r w:rsidRPr="00B363AA">
        <w:t xml:space="preserve"> </w:t>
      </w:r>
      <w:r w:rsidR="00B50359" w:rsidRPr="00B363AA">
        <w:t>à travers divers évènements</w:t>
      </w:r>
      <w:r w:rsidR="00A17A1A" w:rsidRPr="00B363AA">
        <w:t xml:space="preserve"> </w:t>
      </w:r>
      <w:r w:rsidRPr="00B363AA">
        <w:t>: colloque de lancement, séances de groupes de réflexion, réunions spécifiques ciblées, etc. Ces rencontres ont permis de :</w:t>
      </w:r>
    </w:p>
    <w:p w14:paraId="375427EE" w14:textId="58017F6C" w:rsidR="00604C45" w:rsidRPr="00B363AA" w:rsidRDefault="00604C45">
      <w:pPr>
        <w:pStyle w:val="Paragraphedeliste"/>
        <w:numPr>
          <w:ilvl w:val="0"/>
          <w:numId w:val="19"/>
        </w:numPr>
      </w:pPr>
      <w:r w:rsidRPr="00B363AA">
        <w:t xml:space="preserve">Comprendre les réalités et les </w:t>
      </w:r>
      <w:proofErr w:type="gramStart"/>
      <w:r w:rsidRPr="00B363AA">
        <w:t>challenges</w:t>
      </w:r>
      <w:proofErr w:type="gramEnd"/>
      <w:r w:rsidRPr="00B363AA">
        <w:t xml:space="preserve"> de chaque secteur </w:t>
      </w:r>
      <w:r w:rsidR="00B33472" w:rsidRPr="00B363AA">
        <w:t xml:space="preserve">d’activité </w:t>
      </w:r>
      <w:r w:rsidR="00427F36" w:rsidRPr="00B363AA">
        <w:t>en lien avec la gestion du</w:t>
      </w:r>
      <w:r w:rsidR="00B33472" w:rsidRPr="00B363AA">
        <w:t xml:space="preserve"> sol ;</w:t>
      </w:r>
    </w:p>
    <w:p w14:paraId="487E698F" w14:textId="77777777" w:rsidR="00482DFA" w:rsidRPr="00B363AA" w:rsidRDefault="00482DFA" w:rsidP="00482DFA">
      <w:pPr>
        <w:pStyle w:val="Paragraphedeliste"/>
        <w:numPr>
          <w:ilvl w:val="0"/>
          <w:numId w:val="19"/>
        </w:numPr>
      </w:pPr>
      <w:r w:rsidRPr="00B363AA">
        <w:t>Récolter les attentes et les craintes des différents secteurs liées à la mise en œuvre de l’IQSW-pro ;</w:t>
      </w:r>
    </w:p>
    <w:p w14:paraId="328C996C" w14:textId="3BC19C78" w:rsidR="00604C45" w:rsidRPr="00B363AA" w:rsidRDefault="00604C45" w:rsidP="00482DFA">
      <w:pPr>
        <w:pStyle w:val="Paragraphedeliste"/>
        <w:numPr>
          <w:ilvl w:val="0"/>
          <w:numId w:val="19"/>
        </w:numPr>
      </w:pPr>
      <w:r w:rsidRPr="00B363AA">
        <w:t>Saisir les enjeux et priorités spécifiques aux usages de sol</w:t>
      </w:r>
      <w:r w:rsidR="3323928C" w:rsidRPr="00B363AA">
        <w:t xml:space="preserve"> </w:t>
      </w:r>
      <w:r w:rsidR="00B33472" w:rsidRPr="00B363AA">
        <w:t>en termes de services écosystémiques ;</w:t>
      </w:r>
    </w:p>
    <w:p w14:paraId="071B53FA" w14:textId="0D9C8B1A" w:rsidR="00B33472" w:rsidRPr="00B363AA" w:rsidRDefault="009D49A7">
      <w:pPr>
        <w:pStyle w:val="Paragraphedeliste"/>
        <w:numPr>
          <w:ilvl w:val="0"/>
          <w:numId w:val="19"/>
        </w:numPr>
      </w:pPr>
      <w:r w:rsidRPr="00B363AA">
        <w:t xml:space="preserve">Identifier les paramètres </w:t>
      </w:r>
      <w:r w:rsidR="0DBA6C26" w:rsidRPr="00B363AA">
        <w:t xml:space="preserve">de </w:t>
      </w:r>
      <w:r w:rsidRPr="00B363AA">
        <w:t>sol les plus importants</w:t>
      </w:r>
      <w:r w:rsidR="002B5DFE" w:rsidRPr="00B363AA">
        <w:t xml:space="preserve"> à </w:t>
      </w:r>
      <w:r w:rsidR="5CC8C0F7" w:rsidRPr="00B363AA">
        <w:t xml:space="preserve">surveiller </w:t>
      </w:r>
      <w:r w:rsidR="002B5DFE" w:rsidRPr="00B363AA">
        <w:t>selon les contextes, etc.</w:t>
      </w:r>
    </w:p>
    <w:p w14:paraId="3D293619" w14:textId="72E50C59" w:rsidR="001B2067" w:rsidRPr="00B363AA" w:rsidRDefault="001B2067">
      <w:pPr>
        <w:pStyle w:val="Paragraphedeliste"/>
        <w:numPr>
          <w:ilvl w:val="0"/>
          <w:numId w:val="19"/>
        </w:numPr>
      </w:pPr>
      <w:r w:rsidRPr="00B363AA">
        <w:t xml:space="preserve">Collecter du feedback sur les résultats </w:t>
      </w:r>
      <w:r w:rsidR="00965EBC" w:rsidRPr="00B363AA">
        <w:t>dans une démarche itérative d’amélioration</w:t>
      </w:r>
      <w:r w:rsidR="006F5574" w:rsidRPr="00B363AA">
        <w:t xml:space="preserve"> de l’outil</w:t>
      </w:r>
      <w:r w:rsidR="00965EBC" w:rsidRPr="00B363AA">
        <w:t>.</w:t>
      </w:r>
    </w:p>
    <w:p w14:paraId="014EF92D" w14:textId="06A496AC" w:rsidR="00604C45" w:rsidRPr="00B363AA" w:rsidRDefault="00604C45" w:rsidP="00B33472">
      <w:r w:rsidRPr="00B363AA">
        <w:t xml:space="preserve">Les </w:t>
      </w:r>
      <w:r w:rsidR="00B33472" w:rsidRPr="00B363AA">
        <w:t>enseignements</w:t>
      </w:r>
      <w:r w:rsidRPr="00B363AA">
        <w:t xml:space="preserve"> tirés à l’issue de ces échanges ont été autant que possible pris en compte dans la philosophie de construction de l’outil. Les synthèses sont présentées </w:t>
      </w:r>
      <w:r w:rsidR="0014550A" w:rsidRPr="00B363AA">
        <w:t xml:space="preserve">sur le site internet du projet </w:t>
      </w:r>
      <w:hyperlink r:id="rId17" w:history="1">
        <w:r w:rsidR="0014550A" w:rsidRPr="00B363AA">
          <w:rPr>
            <w:rStyle w:val="Lienhypertexte"/>
          </w:rPr>
          <w:t>(</w:t>
        </w:r>
        <w:r w:rsidR="00D4369E" w:rsidRPr="00B363AA">
          <w:rPr>
            <w:rFonts w:ascii="Arial" w:hAnsi="Arial" w:cs="Arial"/>
            <w:sz w:val="20"/>
            <w:szCs w:val="20"/>
          </w:rPr>
          <w:t xml:space="preserve"> </w:t>
        </w:r>
        <w:hyperlink r:id="rId18" w:history="1">
          <w:r w:rsidR="00D4369E" w:rsidRPr="00B363AA">
            <w:rPr>
              <w:rStyle w:val="Lienhypertexte"/>
            </w:rPr>
            <w:t>www.iqsw.be</w:t>
          </w:r>
        </w:hyperlink>
        <w:r w:rsidR="0014550A" w:rsidRPr="00B363AA">
          <w:rPr>
            <w:rStyle w:val="Lienhypertexte"/>
          </w:rPr>
          <w:t>)</w:t>
        </w:r>
      </w:hyperlink>
      <w:r w:rsidR="00C42D06" w:rsidRPr="00B363AA">
        <w:t>. L</w:t>
      </w:r>
      <w:r w:rsidR="00AD2A4F" w:rsidRPr="00B363AA">
        <w:t xml:space="preserve">a manière dont les conclusions de ces échanges ont été </w:t>
      </w:r>
      <w:r w:rsidR="00C42D06" w:rsidRPr="00B363AA">
        <w:t>implémentées dans les choix posés pour la construction de l’indice est explicitée dans les sections correspondantes.</w:t>
      </w:r>
    </w:p>
    <w:p w14:paraId="02A420ED" w14:textId="66EA0345" w:rsidR="006A6196" w:rsidRPr="00B363AA" w:rsidRDefault="00184FAC">
      <w:pPr>
        <w:pStyle w:val="Titre2"/>
        <w:numPr>
          <w:ilvl w:val="1"/>
          <w:numId w:val="12"/>
        </w:numPr>
      </w:pPr>
      <w:bookmarkStart w:id="20" w:name="_Toc230267088"/>
      <w:bookmarkStart w:id="21" w:name="_Toc241242939"/>
      <w:r w:rsidRPr="00B363AA">
        <w:t>Périmètre</w:t>
      </w:r>
      <w:bookmarkEnd w:id="20"/>
      <w:r w:rsidR="00C80D07" w:rsidRPr="00B363AA">
        <w:t xml:space="preserve"> de l’outil</w:t>
      </w:r>
      <w:bookmarkEnd w:id="21"/>
    </w:p>
    <w:p w14:paraId="2894F607" w14:textId="0882A8CC" w:rsidR="006A6196" w:rsidRPr="00B363AA" w:rsidRDefault="00DE7F10">
      <w:pPr>
        <w:pStyle w:val="Titre3"/>
        <w:numPr>
          <w:ilvl w:val="2"/>
          <w:numId w:val="12"/>
        </w:numPr>
      </w:pPr>
      <w:bookmarkStart w:id="22" w:name="_Toc230267089"/>
      <w:bookmarkStart w:id="23" w:name="_Toc241242940"/>
      <w:r w:rsidRPr="00B363AA">
        <w:t>Définition du sol</w:t>
      </w:r>
      <w:r w:rsidR="00184FAC" w:rsidRPr="00B363AA">
        <w:t xml:space="preserve"> et profondeur de diagnostic</w:t>
      </w:r>
      <w:bookmarkEnd w:id="22"/>
      <w:bookmarkEnd w:id="23"/>
    </w:p>
    <w:p w14:paraId="00644C02" w14:textId="38E3A55A" w:rsidR="00C3569F" w:rsidRPr="00B363AA" w:rsidRDefault="004C6A21" w:rsidP="004C6A21">
      <w:r w:rsidRPr="00B363AA">
        <w:t xml:space="preserve">L’IQSW-pro est un </w:t>
      </w:r>
      <w:r w:rsidR="00C3569F" w:rsidRPr="00B363AA">
        <w:t>outil d’évaluation du</w:t>
      </w:r>
      <w:r w:rsidRPr="00B363AA">
        <w:t xml:space="preserve"> sol. </w:t>
      </w:r>
      <w:r w:rsidR="0011373E" w:rsidRPr="00B363AA">
        <w:t xml:space="preserve">Avant de rentrer </w:t>
      </w:r>
      <w:r w:rsidR="000B224C" w:rsidRPr="00B363AA">
        <w:t xml:space="preserve">dans des considérations plus détaillées, il est important de définir </w:t>
      </w:r>
      <w:r w:rsidR="004548EC" w:rsidRPr="00B363AA">
        <w:t xml:space="preserve">sur quelle couche de sol porte le diagnostic. </w:t>
      </w:r>
    </w:p>
    <w:p w14:paraId="52DB2399" w14:textId="3F6BAFCF" w:rsidR="0022002E" w:rsidRPr="00B363AA" w:rsidRDefault="00E73ECB" w:rsidP="004C6A21">
      <w:r w:rsidRPr="00B363AA">
        <w:t xml:space="preserve">La </w:t>
      </w:r>
      <w:r w:rsidR="000E489F" w:rsidRPr="00B363AA">
        <w:t>directive</w:t>
      </w:r>
      <w:r w:rsidR="00393FE8" w:rsidRPr="00B363AA">
        <w:t xml:space="preserve"> sur la surveillance des sols</w:t>
      </w:r>
      <w:r w:rsidR="000E489F" w:rsidRPr="00B363AA">
        <w:t xml:space="preserve"> </w:t>
      </w:r>
      <w:r w:rsidRPr="00B363AA">
        <w:fldChar w:fldCharType="begin"/>
      </w:r>
      <w:r w:rsidR="00377A1A" w:rsidRPr="00B363AA">
        <w:instrText xml:space="preserve"> ADDIN ZOTERO_ITEM CSL_CITATION {"citationID":"r9nOuNsH","properties":{"formattedCitation":"(UE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Pr="00B363AA">
        <w:fldChar w:fldCharType="separate"/>
      </w:r>
      <w:r w:rsidR="00377A1A" w:rsidRPr="00B363AA">
        <w:rPr>
          <w:rFonts w:cs="Calibri"/>
        </w:rPr>
        <w:t>(UE 2025/2360, 2025)</w:t>
      </w:r>
      <w:r w:rsidRPr="00B363AA">
        <w:fldChar w:fldCharType="end"/>
      </w:r>
      <w:r w:rsidRPr="00B363AA">
        <w:t xml:space="preserve"> définit le sol comme étant la couche située entre </w:t>
      </w:r>
      <w:r w:rsidR="00EC4E92" w:rsidRPr="00B363AA">
        <w:t>le matériau parental et la surface terrestre.</w:t>
      </w:r>
      <w:r w:rsidR="00EB2CD4" w:rsidRPr="00B363AA">
        <w:t xml:space="preserve"> Les principaux enjeux liés à la dégradation du sol </w:t>
      </w:r>
      <w:r w:rsidR="00EF3907" w:rsidRPr="00B363AA">
        <w:t>ont lieu dans le sol de surface : érosion et perte en sol</w:t>
      </w:r>
      <w:r w:rsidR="0031237F" w:rsidRPr="00B363AA">
        <w:t>, perte de fertilité, compaction</w:t>
      </w:r>
      <w:r w:rsidR="00F13DAA" w:rsidRPr="00B363AA">
        <w:t>, acidification, pollution, perte en matière organique, excès de nutriments…</w:t>
      </w:r>
      <w:r w:rsidR="008D7FE0" w:rsidRPr="00B363AA">
        <w:t xml:space="preserve"> Pour cette raison, </w:t>
      </w:r>
      <w:r w:rsidR="00784418" w:rsidRPr="00B363AA">
        <w:t xml:space="preserve">la plupart des </w:t>
      </w:r>
      <w:r w:rsidR="00190288" w:rsidRPr="00B363AA">
        <w:t xml:space="preserve">mesures </w:t>
      </w:r>
      <w:r w:rsidR="00784418" w:rsidRPr="00B363AA">
        <w:t xml:space="preserve">réalisées dans </w:t>
      </w:r>
      <w:r w:rsidR="008D7FE0" w:rsidRPr="00B363AA">
        <w:t xml:space="preserve">pour le diagnostic </w:t>
      </w:r>
      <w:r w:rsidR="00920D3D" w:rsidRPr="00B363AA">
        <w:t>IQSW-pro porte</w:t>
      </w:r>
      <w:r w:rsidR="00784418" w:rsidRPr="00B363AA">
        <w:t>nt</w:t>
      </w:r>
      <w:r w:rsidR="00920D3D" w:rsidRPr="00B363AA">
        <w:t xml:space="preserve"> sur</w:t>
      </w:r>
      <w:r w:rsidR="00BB375B" w:rsidRPr="00B363AA">
        <w:t xml:space="preserve"> le sol de surface (0-30 cm)</w:t>
      </w:r>
      <w:r w:rsidR="0001265A" w:rsidRPr="00B363AA">
        <w:t xml:space="preserve">, conformément aux requis de la </w:t>
      </w:r>
      <w:r w:rsidR="0064146C" w:rsidRPr="00B363AA">
        <w:t>d</w:t>
      </w:r>
      <w:r w:rsidR="0001265A" w:rsidRPr="00B363AA">
        <w:t>irective</w:t>
      </w:r>
      <w:r w:rsidR="0031297D" w:rsidRPr="00B363AA">
        <w:t xml:space="preserve"> sur la surveillance des sols</w:t>
      </w:r>
      <w:r w:rsidR="0064146C" w:rsidRPr="00B363AA">
        <w:t xml:space="preserve"> </w:t>
      </w:r>
      <w:r w:rsidR="0031297D" w:rsidRPr="00B363AA">
        <w:fldChar w:fldCharType="begin"/>
      </w:r>
      <w:r w:rsidR="0031297D" w:rsidRPr="00B363AA">
        <w:instrText xml:space="preserve"> ADDIN ZOTERO_ITEM CSL_CITATION {"citationID":"s9rr093T","properties":{"unsorted":false,"formattedCitation":"(UE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31297D" w:rsidRPr="00B363AA">
        <w:fldChar w:fldCharType="separate"/>
      </w:r>
      <w:r w:rsidR="0031297D" w:rsidRPr="00B363AA">
        <w:rPr>
          <w:rFonts w:cs="Calibri"/>
        </w:rPr>
        <w:t>(UE 2025/2360, 2025)</w:t>
      </w:r>
      <w:r w:rsidR="0031297D" w:rsidRPr="00B363AA">
        <w:fldChar w:fldCharType="end"/>
      </w:r>
      <w:r w:rsidR="0001265A" w:rsidRPr="00B363AA">
        <w:t>.</w:t>
      </w:r>
      <w:r w:rsidR="00920D3D" w:rsidRPr="00B363AA">
        <w:t xml:space="preserve"> Toutefois, pour </w:t>
      </w:r>
      <w:r w:rsidR="00185CDA" w:rsidRPr="00B363AA">
        <w:t xml:space="preserve">garantir </w:t>
      </w:r>
      <w:r w:rsidR="00920D3D" w:rsidRPr="00B363AA">
        <w:t xml:space="preserve">une évaluation </w:t>
      </w:r>
      <w:r w:rsidR="00185CDA" w:rsidRPr="00B363AA">
        <w:t xml:space="preserve">en adéquation avec les processus pédologiques, il est </w:t>
      </w:r>
      <w:r w:rsidR="00041800" w:rsidRPr="00B363AA">
        <w:t>pertinent</w:t>
      </w:r>
      <w:r w:rsidR="00185CDA" w:rsidRPr="00B363AA">
        <w:t xml:space="preserve"> d’évaluer certains paramètres jusqu’à une profondeur de 1 m. C’est le cas</w:t>
      </w:r>
      <w:r w:rsidR="0630D188" w:rsidRPr="00B363AA">
        <w:t>,</w:t>
      </w:r>
      <w:r w:rsidR="00185CDA" w:rsidRPr="00B363AA">
        <w:t xml:space="preserve"> </w:t>
      </w:r>
      <w:r w:rsidR="00F4607F" w:rsidRPr="00B363AA">
        <w:t>par exemple</w:t>
      </w:r>
      <w:r w:rsidR="7546CA9E" w:rsidRPr="00B363AA">
        <w:t>,</w:t>
      </w:r>
      <w:r w:rsidR="00185CDA" w:rsidRPr="00B363AA">
        <w:t xml:space="preserve"> </w:t>
      </w:r>
      <w:r w:rsidR="00784418" w:rsidRPr="00B363AA">
        <w:t xml:space="preserve">des paramètres </w:t>
      </w:r>
      <w:r w:rsidR="00F4607F" w:rsidRPr="00B363AA">
        <w:t xml:space="preserve">nécessaires </w:t>
      </w:r>
      <w:r w:rsidR="004338F7" w:rsidRPr="00B363AA">
        <w:t>à la caractérisation du drainage</w:t>
      </w:r>
      <w:r w:rsidR="001C391B" w:rsidRPr="00B363AA">
        <w:t xml:space="preserve"> ou de la réserve en eau utile</w:t>
      </w:r>
      <w:r w:rsidR="00041800" w:rsidRPr="00B363AA">
        <w:t xml:space="preserve">, car les racines </w:t>
      </w:r>
      <w:r w:rsidR="00184FAC" w:rsidRPr="00B363AA">
        <w:t>explorent en pratique assez fréquemment les horizons sous-jacents.</w:t>
      </w:r>
      <w:r w:rsidR="003C12BF" w:rsidRPr="00B363AA">
        <w:t xml:space="preserve"> </w:t>
      </w:r>
      <w:r w:rsidR="00526198" w:rsidRPr="00B363AA">
        <w:t xml:space="preserve">Il est nécessaire de prendre en compte les horizons profonds du sol </w:t>
      </w:r>
      <w:r w:rsidR="00791846" w:rsidRPr="00B363AA">
        <w:t>pour appréhender leur rôle dans la fourniture de certaines fonctions</w:t>
      </w:r>
      <w:r w:rsidR="00AD7F43" w:rsidRPr="00B363AA">
        <w:t xml:space="preserve"> par le sol</w:t>
      </w:r>
      <w:r w:rsidR="00791846" w:rsidRPr="00B363AA">
        <w:t>, comme la rétention d’eau</w:t>
      </w:r>
      <w:r w:rsidR="007D2891" w:rsidRPr="00B363AA">
        <w:t xml:space="preserve"> utile à la croissance des plantes, afin de différencier les propriétés des sols superficiels et profonds. </w:t>
      </w:r>
    </w:p>
    <w:p w14:paraId="0848A5D7" w14:textId="4E599128" w:rsidR="006A6196" w:rsidRPr="00B363AA" w:rsidRDefault="006A6196">
      <w:pPr>
        <w:pStyle w:val="Titre3"/>
        <w:numPr>
          <w:ilvl w:val="2"/>
          <w:numId w:val="12"/>
        </w:numPr>
      </w:pPr>
      <w:bookmarkStart w:id="24" w:name="_Toc230267090"/>
      <w:bookmarkStart w:id="25" w:name="_Toc241242941"/>
      <w:r w:rsidRPr="00B363AA">
        <w:lastRenderedPageBreak/>
        <w:t xml:space="preserve">Complémentarité </w:t>
      </w:r>
      <w:r w:rsidR="00ED011E" w:rsidRPr="00B363AA">
        <w:t xml:space="preserve">et cohérence </w:t>
      </w:r>
      <w:r w:rsidR="009D7F81" w:rsidRPr="00B363AA">
        <w:t>avec les outils existants</w:t>
      </w:r>
      <w:bookmarkEnd w:id="24"/>
      <w:bookmarkEnd w:id="25"/>
    </w:p>
    <w:p w14:paraId="6D11542B" w14:textId="204156E2" w:rsidR="00EB5CE3" w:rsidRPr="00B363AA" w:rsidRDefault="00AD7F43" w:rsidP="00C73FAF">
      <w:r w:rsidRPr="00B363AA">
        <w:t>L</w:t>
      </w:r>
      <w:r w:rsidR="008F2304" w:rsidRPr="00B363AA">
        <w:t xml:space="preserve">’IQSW-pro consiste à </w:t>
      </w:r>
      <w:r w:rsidR="00C87189" w:rsidRPr="00B363AA">
        <w:t xml:space="preserve">évaluer la qualité </w:t>
      </w:r>
      <w:r w:rsidRPr="00B363AA">
        <w:t xml:space="preserve">et la santé </w:t>
      </w:r>
      <w:r w:rsidR="00C87189" w:rsidRPr="00B363AA">
        <w:t xml:space="preserve">du sol, soit son adéquation avec </w:t>
      </w:r>
      <w:r w:rsidR="00192799" w:rsidRPr="00B363AA">
        <w:t>un ou plusieurs usages donnés</w:t>
      </w:r>
      <w:r w:rsidRPr="00B363AA">
        <w:t xml:space="preserve"> et </w:t>
      </w:r>
      <w:r w:rsidR="00F63416" w:rsidRPr="00B363AA">
        <w:t xml:space="preserve">son niveau de dégradation le cas échéant (voir partie </w:t>
      </w:r>
      <w:r w:rsidRPr="00B363AA">
        <w:fldChar w:fldCharType="begin"/>
      </w:r>
      <w:r w:rsidRPr="00B363AA">
        <w:instrText xml:space="preserve"> REF _Ref233046123 \r \h </w:instrText>
      </w:r>
      <w:r w:rsidRPr="00B363AA">
        <w:fldChar w:fldCharType="separate"/>
      </w:r>
      <w:r w:rsidR="009327CA" w:rsidRPr="00B363AA">
        <w:t>3.5</w:t>
      </w:r>
      <w:r w:rsidRPr="00B363AA">
        <w:fldChar w:fldCharType="end"/>
      </w:r>
      <w:r w:rsidR="00F63416" w:rsidRPr="00B363AA">
        <w:t>)</w:t>
      </w:r>
      <w:r w:rsidR="00626C40" w:rsidRPr="00B363AA">
        <w:t xml:space="preserve">. De nombreux outils </w:t>
      </w:r>
      <w:r w:rsidR="00F51FC7" w:rsidRPr="00B363AA">
        <w:t xml:space="preserve">de gestion </w:t>
      </w:r>
      <w:r w:rsidR="00626C40" w:rsidRPr="00B363AA">
        <w:t xml:space="preserve">existent déjà </w:t>
      </w:r>
      <w:r w:rsidR="00F51FC7" w:rsidRPr="00B363AA">
        <w:t>pour guider</w:t>
      </w:r>
      <w:r w:rsidR="000E6286" w:rsidRPr="00B363AA">
        <w:t xml:space="preserve"> l’optimisation de pratiques spécifiques </w:t>
      </w:r>
      <w:r w:rsidR="00ED738B" w:rsidRPr="00B363AA">
        <w:t>(ex</w:t>
      </w:r>
      <w:r w:rsidR="5F2C673A" w:rsidRPr="00B363AA">
        <w:t>.</w:t>
      </w:r>
      <w:r w:rsidR="00ED738B" w:rsidRPr="00B363AA">
        <w:t xml:space="preserve"> </w:t>
      </w:r>
      <w:r w:rsidR="00192799" w:rsidRPr="00B363AA">
        <w:t>le conseil de fertilisation pour les sols agricoles ou le fichier écologique des essences pour les sols forestiers).</w:t>
      </w:r>
      <w:r w:rsidR="00E75131" w:rsidRPr="00B363AA">
        <w:t xml:space="preserve"> La vocation de l’IQSW-pro est </w:t>
      </w:r>
      <w:r w:rsidR="00ED011E" w:rsidRPr="00B363AA">
        <w:t>d’intervenir</w:t>
      </w:r>
      <w:r w:rsidR="00E75131" w:rsidRPr="00B363AA">
        <w:t xml:space="preserve"> en amont </w:t>
      </w:r>
      <w:r w:rsidR="000F1B0D" w:rsidRPr="00B363AA">
        <w:t xml:space="preserve">et en complément </w:t>
      </w:r>
      <w:r w:rsidR="00E75131" w:rsidRPr="00B363AA">
        <w:t>de ces outils, mais sans les remplacer</w:t>
      </w:r>
      <w:r w:rsidR="00687EED" w:rsidRPr="00B363AA">
        <w:t xml:space="preserve">. Ainsi, si on prend l’exemple d’un </w:t>
      </w:r>
      <w:r w:rsidR="00ED011E" w:rsidRPr="00B363AA">
        <w:t>usage</w:t>
      </w:r>
      <w:r w:rsidR="00687EED" w:rsidRPr="00B363AA">
        <w:t xml:space="preserve"> agricole, l’IQSW-pro répond </w:t>
      </w:r>
      <w:r w:rsidR="00D15BAB" w:rsidRPr="00B363AA">
        <w:t>aux</w:t>
      </w:r>
      <w:r w:rsidR="00687EED" w:rsidRPr="00B363AA">
        <w:t xml:space="preserve"> question</w:t>
      </w:r>
      <w:r w:rsidR="00D15BAB" w:rsidRPr="00B363AA">
        <w:t>s</w:t>
      </w:r>
      <w:r w:rsidR="00687EED" w:rsidRPr="00B363AA">
        <w:t xml:space="preserve"> </w:t>
      </w:r>
      <w:r w:rsidR="004C1ECB" w:rsidRPr="00B363AA">
        <w:t>« </w:t>
      </w:r>
      <w:r w:rsidR="5818A27D" w:rsidRPr="00B363AA">
        <w:t>L</w:t>
      </w:r>
      <w:r w:rsidR="00ED011E" w:rsidRPr="00B363AA">
        <w:t>e sol est-il capable d’accueillir une production agricole ?</w:t>
      </w:r>
      <w:r w:rsidR="00150F87" w:rsidRPr="00B363AA">
        <w:t> »</w:t>
      </w:r>
      <w:r w:rsidR="004C1ECB" w:rsidRPr="00B363AA">
        <w:t> </w:t>
      </w:r>
      <w:r w:rsidR="5D6F409B" w:rsidRPr="00B363AA">
        <w:t>ou</w:t>
      </w:r>
      <w:r w:rsidR="00150F87" w:rsidRPr="00B363AA">
        <w:t xml:space="preserve"> « Quels sont les services à la société qu’il rend, en plus de supporter la production agricole (ex. habitat pour la biodiversité, régulation des flux d’eau, stockage de carbone) ? </w:t>
      </w:r>
      <w:r w:rsidR="004C1ECB" w:rsidRPr="00B363AA">
        <w:t xml:space="preserve">». </w:t>
      </w:r>
      <w:r w:rsidR="00943DBA" w:rsidRPr="00B363AA">
        <w:t xml:space="preserve">Ces </w:t>
      </w:r>
      <w:r w:rsidR="004C1ECB" w:rsidRPr="00B363AA">
        <w:t>question</w:t>
      </w:r>
      <w:r w:rsidR="00943DBA" w:rsidRPr="00B363AA">
        <w:t>s</w:t>
      </w:r>
      <w:r w:rsidR="004C1ECB" w:rsidRPr="00B363AA">
        <w:t xml:space="preserve"> intervien</w:t>
      </w:r>
      <w:r w:rsidR="007A11D5" w:rsidRPr="00B363AA">
        <w:t>n</w:t>
      </w:r>
      <w:r w:rsidR="00943DBA" w:rsidRPr="00B363AA">
        <w:t>en</w:t>
      </w:r>
      <w:r w:rsidR="004C1ECB" w:rsidRPr="00B363AA">
        <w:t>t en amont</w:t>
      </w:r>
      <w:r w:rsidR="007C0A23" w:rsidRPr="00B363AA">
        <w:t xml:space="preserve"> ou en complément d’un conseil de fumure</w:t>
      </w:r>
      <w:r w:rsidR="007A11D5" w:rsidRPr="00B363AA">
        <w:t xml:space="preserve"> classique. </w:t>
      </w:r>
    </w:p>
    <w:p w14:paraId="053AC8A4" w14:textId="219FCCEF" w:rsidR="00A960F0" w:rsidRPr="00B363AA" w:rsidRDefault="00F51FC7" w:rsidP="00C73FAF">
      <w:r w:rsidRPr="00B363AA">
        <w:t xml:space="preserve">De la même manière, </w:t>
      </w:r>
      <w:r w:rsidR="00E523BC" w:rsidRPr="00B363AA">
        <w:t xml:space="preserve">l’IQSW-pro </w:t>
      </w:r>
      <w:r w:rsidR="007A11D5" w:rsidRPr="00B363AA">
        <w:t>est</w:t>
      </w:r>
      <w:r w:rsidR="00E523BC" w:rsidRPr="00B363AA">
        <w:t xml:space="preserve"> complémentaire au </w:t>
      </w:r>
      <w:r w:rsidR="003E24EF" w:rsidRPr="00B363AA">
        <w:t>Décret sols</w:t>
      </w:r>
      <w:r w:rsidR="001D1C12" w:rsidRPr="00B363AA">
        <w:t xml:space="preserve"> </w:t>
      </w:r>
      <w:r w:rsidR="001D1C12" w:rsidRPr="00B363AA">
        <w:fldChar w:fldCharType="begin"/>
      </w:r>
      <w:r w:rsidR="001D1C12" w:rsidRPr="00B363AA">
        <w:instrText xml:space="preserve"> ADDIN ZOTERO_ITEM CSL_CITATION {"citationID":"wssGyQd1","properties":{"unsorted":false,"formattedCitation":"(Gouvernement wallon, 2018)","plainCitation":"(Gouvernement wallon, 2018)","noteIndex":0},"citationItems":[{"id":542,"uris":["http://zotero.org/groups/5684833/items/XS5CPQ3E"],"itemData":{"id":542,"type":"document","language":"fr","title":"Décret relatif à la gestion et à l'assainissement des sols du 1er mars 2018","URL":"https://wallex.wallonie.be/eli/loi-decret/2018/03/01/2018070014/2018/04/01","author":[{"family":"Gouvernement wallon","given":""}],"accessed":{"date-parts":[["2026",5,15]]},"issued":{"date-parts":[["2018"]]}}}],"schema":"https://github.com/citation-style-language/schema/raw/master/csl-citation.json"} </w:instrText>
      </w:r>
      <w:r w:rsidR="001D1C12" w:rsidRPr="00B363AA">
        <w:fldChar w:fldCharType="separate"/>
      </w:r>
      <w:r w:rsidR="001D1C12" w:rsidRPr="00B363AA">
        <w:rPr>
          <w:rFonts w:cs="Calibri"/>
        </w:rPr>
        <w:t>(Gouvernement wallon, 2018)</w:t>
      </w:r>
      <w:r w:rsidR="001D1C12" w:rsidRPr="00B363AA">
        <w:fldChar w:fldCharType="end"/>
      </w:r>
      <w:r w:rsidR="003E24EF" w:rsidRPr="00B363AA">
        <w:t>.</w:t>
      </w:r>
      <w:r w:rsidR="00475A89" w:rsidRPr="00B363AA">
        <w:t xml:space="preserve"> En </w:t>
      </w:r>
      <w:r w:rsidR="004B503E" w:rsidRPr="00B363AA">
        <w:t>pratique</w:t>
      </w:r>
      <w:r w:rsidR="00475A89" w:rsidRPr="00B363AA">
        <w:t xml:space="preserve">, la présence d’une pollution </w:t>
      </w:r>
      <w:r w:rsidR="002755CD" w:rsidRPr="00B363AA">
        <w:t xml:space="preserve">peut affecter négativement, voire contraindre (pour raisons sanitaires) l’application d’un usage sur un sol donné. </w:t>
      </w:r>
      <w:r w:rsidR="00C81627" w:rsidRPr="00B363AA">
        <w:t>Si la présence d’une pollution est suspectée, sur base de l’historique du site ou d’observations de terrain, l</w:t>
      </w:r>
      <w:r w:rsidR="004B503E" w:rsidRPr="00B363AA">
        <w:t>es polluants sont mesurés</w:t>
      </w:r>
      <w:r w:rsidR="00BC7888" w:rsidRPr="00B363AA">
        <w:t xml:space="preserve">, et leur présence dans le sol est interprétée </w:t>
      </w:r>
      <w:r w:rsidR="00C81627" w:rsidRPr="00B363AA">
        <w:t xml:space="preserve">dans l’IQSW-pro </w:t>
      </w:r>
      <w:r w:rsidR="00BC7888" w:rsidRPr="00B363AA">
        <w:t>comme une contrainte s’appliqu</w:t>
      </w:r>
      <w:r w:rsidR="00C81627" w:rsidRPr="00B363AA">
        <w:t>ant</w:t>
      </w:r>
      <w:r w:rsidR="00BC7888" w:rsidRPr="00B363AA">
        <w:t xml:space="preserve"> sur </w:t>
      </w:r>
      <w:r w:rsidR="5B6AC29A" w:rsidRPr="00B363AA">
        <w:t xml:space="preserve">certains </w:t>
      </w:r>
      <w:r w:rsidR="00613713" w:rsidRPr="00B363AA">
        <w:t>service</w:t>
      </w:r>
      <w:r w:rsidR="003408D5" w:rsidRPr="00B363AA">
        <w:t>s</w:t>
      </w:r>
      <w:r w:rsidR="00613713" w:rsidRPr="00B363AA">
        <w:t xml:space="preserve"> écosystémique</w:t>
      </w:r>
      <w:r w:rsidR="003408D5" w:rsidRPr="00B363AA">
        <w:t>s</w:t>
      </w:r>
      <w:r w:rsidR="001A11E6" w:rsidRPr="00B363AA">
        <w:t xml:space="preserve"> (voir partie</w:t>
      </w:r>
      <w:r w:rsidR="00020060" w:rsidRPr="00B363AA">
        <w:t xml:space="preserve"> </w:t>
      </w:r>
      <w:r w:rsidR="00020060" w:rsidRPr="00B363AA">
        <w:rPr>
          <w:highlight w:val="yellow"/>
        </w:rPr>
        <w:fldChar w:fldCharType="begin"/>
      </w:r>
      <w:r w:rsidR="00020060" w:rsidRPr="00B363AA">
        <w:instrText xml:space="preserve"> REF _Ref232207791 \r \h </w:instrText>
      </w:r>
      <w:r w:rsidR="00020060" w:rsidRPr="00B363AA">
        <w:rPr>
          <w:highlight w:val="yellow"/>
        </w:rPr>
      </w:r>
      <w:r w:rsidR="00020060" w:rsidRPr="00B363AA">
        <w:rPr>
          <w:highlight w:val="yellow"/>
        </w:rPr>
        <w:fldChar w:fldCharType="separate"/>
      </w:r>
      <w:r w:rsidR="009327CA" w:rsidRPr="00B363AA">
        <w:t>4.1.3</w:t>
      </w:r>
      <w:r w:rsidR="00020060" w:rsidRPr="00B363AA">
        <w:rPr>
          <w:highlight w:val="yellow"/>
        </w:rPr>
        <w:fldChar w:fldCharType="end"/>
      </w:r>
      <w:r w:rsidR="00912FAD" w:rsidRPr="00B363AA">
        <w:t>)</w:t>
      </w:r>
      <w:r w:rsidR="00BC7888" w:rsidRPr="00B363AA">
        <w:t xml:space="preserve">. </w:t>
      </w:r>
      <w:r w:rsidR="002F6329" w:rsidRPr="00B363AA">
        <w:t xml:space="preserve">L’interprétation se base </w:t>
      </w:r>
      <w:r w:rsidR="00912FAD" w:rsidRPr="00B363AA">
        <w:t>soit</w:t>
      </w:r>
      <w:r w:rsidR="00A960F0" w:rsidRPr="00B363AA">
        <w:t> :</w:t>
      </w:r>
    </w:p>
    <w:p w14:paraId="2E7889F4" w14:textId="77777777" w:rsidR="00A960F0" w:rsidRPr="00B363AA" w:rsidRDefault="00A960F0">
      <w:pPr>
        <w:pStyle w:val="Paragraphedeliste"/>
        <w:numPr>
          <w:ilvl w:val="0"/>
          <w:numId w:val="27"/>
        </w:numPr>
      </w:pPr>
      <w:r w:rsidRPr="00B363AA">
        <w:t>S</w:t>
      </w:r>
      <w:r w:rsidR="002F6329" w:rsidRPr="00B363AA">
        <w:t>ur les</w:t>
      </w:r>
      <w:r w:rsidR="00912FAD" w:rsidRPr="00B363AA">
        <w:t xml:space="preserve"> valeurs seuils telles que définies</w:t>
      </w:r>
      <w:r w:rsidR="002F6329" w:rsidRPr="00B363AA">
        <w:t xml:space="preserve"> </w:t>
      </w:r>
      <w:r w:rsidR="00912FAD" w:rsidRPr="00B363AA">
        <w:t xml:space="preserve">dans le Décret sols, </w:t>
      </w:r>
    </w:p>
    <w:p w14:paraId="553C1CE7" w14:textId="2B9347EB" w:rsidR="00A960F0" w:rsidRPr="00B363AA" w:rsidRDefault="00A960F0">
      <w:pPr>
        <w:pStyle w:val="Paragraphedeliste"/>
        <w:numPr>
          <w:ilvl w:val="0"/>
          <w:numId w:val="27"/>
        </w:numPr>
      </w:pPr>
      <w:r w:rsidRPr="00B363AA">
        <w:t xml:space="preserve">Sur les modèles développés dans le Guide de Référence pour </w:t>
      </w:r>
      <w:r w:rsidR="0092600B" w:rsidRPr="00B363AA">
        <w:t>l’Étude de Risques (GRER)</w:t>
      </w:r>
      <w:r w:rsidR="00A25C09" w:rsidRPr="00B363AA">
        <w:rPr>
          <w:rStyle w:val="Appelnotedebasdep"/>
        </w:rPr>
        <w:footnoteReference w:id="3"/>
      </w:r>
      <w:r w:rsidR="0092600B" w:rsidRPr="00B363AA">
        <w:t>,</w:t>
      </w:r>
    </w:p>
    <w:p w14:paraId="4AC2D1DA" w14:textId="2B208AEA" w:rsidR="00912FAD" w:rsidRPr="00B363AA" w:rsidRDefault="00A960F0">
      <w:pPr>
        <w:pStyle w:val="Paragraphedeliste"/>
        <w:numPr>
          <w:ilvl w:val="0"/>
          <w:numId w:val="27"/>
        </w:numPr>
      </w:pPr>
      <w:r w:rsidRPr="00B363AA">
        <w:t>S</w:t>
      </w:r>
      <w:r w:rsidR="000D0500" w:rsidRPr="00B363AA">
        <w:t>ur des valeurs de risque simulées</w:t>
      </w:r>
      <w:r w:rsidR="74D06678" w:rsidRPr="00B363AA">
        <w:t xml:space="preserve">, </w:t>
      </w:r>
      <w:r w:rsidR="1330D234" w:rsidRPr="00B363AA">
        <w:t>en fonction des spécificités de l’usage,</w:t>
      </w:r>
      <w:r w:rsidR="000D0500" w:rsidRPr="00B363AA">
        <w:t xml:space="preserve"> via </w:t>
      </w:r>
      <w:r w:rsidR="00B7C037" w:rsidRPr="00B363AA">
        <w:t>le logiciel de référence en Région wallonne pour l’évaluation des risques pour la santé humaine</w:t>
      </w:r>
      <w:r w:rsidR="004C1728" w:rsidRPr="00B363AA">
        <w:t xml:space="preserve"> (</w:t>
      </w:r>
      <w:r w:rsidR="000D0500" w:rsidRPr="00B363AA">
        <w:t>S-Risk</w:t>
      </w:r>
      <w:r w:rsidR="004C1728" w:rsidRPr="00B363AA">
        <w:t>)</w:t>
      </w:r>
      <w:r w:rsidR="000D0500" w:rsidRPr="00B363AA">
        <w:t>.</w:t>
      </w:r>
    </w:p>
    <w:p w14:paraId="132C3F1D" w14:textId="6A08C8B5" w:rsidR="00ED011E" w:rsidRPr="00B363AA" w:rsidRDefault="00C81627" w:rsidP="00C73FAF">
      <w:r w:rsidRPr="00B363AA">
        <w:t>Dans tous les cas, u</w:t>
      </w:r>
      <w:r w:rsidR="00BC477C" w:rsidRPr="00B363AA">
        <w:t xml:space="preserve">ne attention particulière a </w:t>
      </w:r>
      <w:r w:rsidR="006D5964" w:rsidRPr="00B363AA">
        <w:t>été portée à l</w:t>
      </w:r>
      <w:r w:rsidR="00BC477C" w:rsidRPr="00B363AA">
        <w:t xml:space="preserve">a cohérence </w:t>
      </w:r>
      <w:r w:rsidR="006D5964" w:rsidRPr="00B363AA">
        <w:t>entre</w:t>
      </w:r>
      <w:r w:rsidR="00BC477C" w:rsidRPr="00B363AA">
        <w:t xml:space="preserve"> l’IQSW-pro </w:t>
      </w:r>
      <w:r w:rsidR="006D5964" w:rsidRPr="00B363AA">
        <w:t>et</w:t>
      </w:r>
      <w:r w:rsidR="00BC477C" w:rsidRPr="00B363AA">
        <w:t xml:space="preserve"> ces outils existants</w:t>
      </w:r>
      <w:r w:rsidR="006D5964" w:rsidRPr="00B363AA">
        <w:t xml:space="preserve">, de </w:t>
      </w:r>
      <w:r w:rsidR="006F24D5" w:rsidRPr="00B363AA">
        <w:t>sorte</w:t>
      </w:r>
      <w:r w:rsidR="006D5964" w:rsidRPr="00B363AA">
        <w:t xml:space="preserve"> à éviter des conclusions contradictoires</w:t>
      </w:r>
      <w:r w:rsidR="006F24D5" w:rsidRPr="00B363AA">
        <w:t xml:space="preserve"> pour un même usage</w:t>
      </w:r>
      <w:r w:rsidR="006D5964" w:rsidRPr="00B363AA">
        <w:t>.</w:t>
      </w:r>
    </w:p>
    <w:p w14:paraId="62CCF789" w14:textId="4B739763" w:rsidR="007D23CD" w:rsidRPr="00B363AA" w:rsidRDefault="008746FB">
      <w:pPr>
        <w:pStyle w:val="Titre2"/>
        <w:numPr>
          <w:ilvl w:val="1"/>
          <w:numId w:val="12"/>
        </w:numPr>
      </w:pPr>
      <w:bookmarkStart w:id="26" w:name="_Ref232206889"/>
      <w:bookmarkStart w:id="27" w:name="_Toc241242942"/>
      <w:r w:rsidRPr="00B363AA">
        <w:t>Sélection</w:t>
      </w:r>
      <w:r w:rsidR="002B1137" w:rsidRPr="00B363AA">
        <w:t xml:space="preserve"> des paramètres</w:t>
      </w:r>
      <w:r w:rsidR="005B5A3F" w:rsidRPr="00B363AA">
        <w:t xml:space="preserve"> du </w:t>
      </w:r>
      <w:r w:rsidR="007D23CD" w:rsidRPr="00B363AA">
        <w:t>pa</w:t>
      </w:r>
      <w:r w:rsidR="00282C4F" w:rsidRPr="00B363AA">
        <w:t>ck</w:t>
      </w:r>
      <w:r w:rsidR="007D23CD" w:rsidRPr="00B363AA">
        <w:t xml:space="preserve"> IQSW</w:t>
      </w:r>
      <w:r w:rsidR="00253F54" w:rsidRPr="00B363AA">
        <w:t>-pro</w:t>
      </w:r>
      <w:bookmarkEnd w:id="26"/>
      <w:bookmarkEnd w:id="27"/>
    </w:p>
    <w:p w14:paraId="56B25D85" w14:textId="3432BB4D" w:rsidR="00AE63E4" w:rsidRPr="00B363AA" w:rsidRDefault="000D4001">
      <w:pPr>
        <w:pStyle w:val="Titre3"/>
        <w:numPr>
          <w:ilvl w:val="2"/>
          <w:numId w:val="12"/>
        </w:numPr>
      </w:pPr>
      <w:bookmarkStart w:id="28" w:name="_Toc241242943"/>
      <w:r w:rsidRPr="00B363AA">
        <w:t>Paramètres de base</w:t>
      </w:r>
      <w:bookmarkEnd w:id="28"/>
    </w:p>
    <w:p w14:paraId="560DA5FE" w14:textId="6AA202FF" w:rsidR="009B7E04" w:rsidRPr="00B363AA" w:rsidRDefault="009B7E04" w:rsidP="00963BE7">
      <w:r w:rsidRPr="00B363AA">
        <w:t>Un jeu minimal de paramètre</w:t>
      </w:r>
      <w:r w:rsidR="00D5211F" w:rsidRPr="00B363AA">
        <w:t>s physiques, chimiques et biologiques</w:t>
      </w:r>
      <w:r w:rsidRPr="00B363AA">
        <w:t xml:space="preserve"> </w:t>
      </w:r>
      <w:r w:rsidR="00FD4424" w:rsidRPr="00B363AA">
        <w:t>a été établi</w:t>
      </w:r>
      <w:r w:rsidRPr="00B363AA">
        <w:t xml:space="preserve"> pour</w:t>
      </w:r>
      <w:r w:rsidR="00FD4424" w:rsidRPr="00B363AA">
        <w:t xml:space="preserve"> obtenir un diagnostic IQSW</w:t>
      </w:r>
      <w:r w:rsidR="006472FD" w:rsidRPr="00B363AA">
        <w:t>-pro</w:t>
      </w:r>
      <w:r w:rsidR="00FD4424" w:rsidRPr="00B363AA">
        <w:t xml:space="preserve"> complet </w:t>
      </w:r>
      <w:r w:rsidR="00E50CFC" w:rsidRPr="00B363AA">
        <w:t>tout en limitant les coûts liés aux mesures de terrain et de laboratoire. Ce</w:t>
      </w:r>
      <w:r w:rsidR="00687FCF" w:rsidRPr="00B363AA">
        <w:t xml:space="preserve">tte sélection </w:t>
      </w:r>
      <w:r w:rsidR="00E50CFC" w:rsidRPr="00B363AA">
        <w:t>de paramètres permet d’</w:t>
      </w:r>
      <w:r w:rsidRPr="00B363AA">
        <w:t>estimer l</w:t>
      </w:r>
      <w:r w:rsidR="00E50CFC" w:rsidRPr="00B363AA">
        <w:t>’ensemble d</w:t>
      </w:r>
      <w:r w:rsidRPr="00B363AA">
        <w:t xml:space="preserve">es fonctions et services </w:t>
      </w:r>
      <w:r w:rsidR="00401221" w:rsidRPr="00B363AA">
        <w:t>considérés comme</w:t>
      </w:r>
      <w:r w:rsidRPr="00B363AA">
        <w:t xml:space="preserve"> essentiels pour offrir une vision globale de la qualité et de la santé du sol</w:t>
      </w:r>
      <w:r w:rsidR="3094327C" w:rsidRPr="00B363AA">
        <w:t>,</w:t>
      </w:r>
      <w:r w:rsidRPr="00B363AA">
        <w:t xml:space="preserve"> quel que soit </w:t>
      </w:r>
      <w:r w:rsidR="00E50CFC" w:rsidRPr="00B363AA">
        <w:t xml:space="preserve">son </w:t>
      </w:r>
      <w:r w:rsidRPr="00B363AA">
        <w:t>usage</w:t>
      </w:r>
      <w:r w:rsidR="00DA17B5" w:rsidRPr="00B363AA">
        <w:t xml:space="preserve">, et ainsi pouvoir servir de boussole en </w:t>
      </w:r>
      <w:r w:rsidR="00E80E53" w:rsidRPr="00B363AA">
        <w:t>cas de changement d’usage dans un projet d’aménagement</w:t>
      </w:r>
      <w:r w:rsidRPr="00B363AA">
        <w:t xml:space="preserve">. </w:t>
      </w:r>
      <w:r w:rsidR="00EA18E1" w:rsidRPr="00B363AA">
        <w:t>U</w:t>
      </w:r>
      <w:r w:rsidR="00780946" w:rsidRPr="00B363AA">
        <w:t xml:space="preserve">n diagnostic partiel sur base d’une sous-sélection </w:t>
      </w:r>
      <w:r w:rsidR="7EC1893A" w:rsidRPr="00B363AA">
        <w:t>d’indicateur</w:t>
      </w:r>
      <w:r w:rsidR="1F618797" w:rsidRPr="00B363AA">
        <w:t>s</w:t>
      </w:r>
      <w:r w:rsidR="001A7627" w:rsidRPr="00B363AA">
        <w:t xml:space="preserve"> est techniquement possible mais</w:t>
      </w:r>
      <w:r w:rsidR="00780946" w:rsidRPr="00B363AA">
        <w:t xml:space="preserve"> n’est pas recommandé, </w:t>
      </w:r>
      <w:r w:rsidR="001A7627" w:rsidRPr="00B363AA">
        <w:t xml:space="preserve">car il </w:t>
      </w:r>
      <w:r w:rsidR="009346C6" w:rsidRPr="00B363AA">
        <w:t>empêcherait une comparaison objective entre des sites</w:t>
      </w:r>
      <w:r w:rsidR="00D35068" w:rsidRPr="00B363AA">
        <w:t xml:space="preserve">. De plus, en ne couvrant </w:t>
      </w:r>
      <w:r w:rsidR="00D108F0" w:rsidRPr="00B363AA">
        <w:t xml:space="preserve">pas l’ensemble des </w:t>
      </w:r>
      <w:r w:rsidR="00613713" w:rsidRPr="00B363AA">
        <w:t>service</w:t>
      </w:r>
      <w:r w:rsidR="003408D5" w:rsidRPr="00B363AA">
        <w:t>s</w:t>
      </w:r>
      <w:r w:rsidR="00613713" w:rsidRPr="00B363AA">
        <w:t xml:space="preserve"> écosystémique</w:t>
      </w:r>
      <w:r w:rsidR="003408D5" w:rsidRPr="00B363AA">
        <w:t>s</w:t>
      </w:r>
      <w:r w:rsidR="00D108F0" w:rsidRPr="00B363AA">
        <w:t xml:space="preserve">, </w:t>
      </w:r>
      <w:r w:rsidR="00E45E2D" w:rsidRPr="00B363AA">
        <w:t xml:space="preserve">il </w:t>
      </w:r>
      <w:r w:rsidR="009D05A1" w:rsidRPr="00B363AA">
        <w:t>ne permettrait p</w:t>
      </w:r>
      <w:r w:rsidR="005F2D93" w:rsidRPr="00B363AA">
        <w:t>as d’évaluer l’adéquation du sol pour l’ensemble des usages considérés.</w:t>
      </w:r>
    </w:p>
    <w:p w14:paraId="2FB39AF7" w14:textId="04DEE733" w:rsidR="00174553" w:rsidRPr="00B363AA" w:rsidRDefault="00174553" w:rsidP="00963BE7">
      <w:r w:rsidRPr="00B363AA">
        <w:t xml:space="preserve">Seule l’analyse des polluants normés par le Décret sols </w:t>
      </w:r>
      <w:r w:rsidRPr="00B363AA">
        <w:fldChar w:fldCharType="begin"/>
      </w:r>
      <w:r w:rsidR="00A00849" w:rsidRPr="00B363AA">
        <w:instrText xml:space="preserve"> ADDIN ZOTERO_ITEM CSL_CITATION {"citationID":"95mj1NYQ","properties":{"unsorted":false,"formattedCitation":"(Gouvernement wallon, 2018)","plainCitation":"(Gouvernement wallon, 2018)","noteIndex":0},"citationItems":[{"id":542,"uris":["http://zotero.org/groups/5684833/items/XS5CPQ3E"],"itemData":{"id":542,"type":"document","language":"fr","title":"Décret relatif à la gestion et à l'assainissement des sols du 1er mars 2018","URL":"https://wallex.wallonie.be/eli/loi-decret/2018/03/01/2018070014/2018/04/01","author":[{"family":"Gouvernement wallon","given":""}],"accessed":{"date-parts":[["2026",5,15]]},"issued":{"date-parts":[["2018"]]}}}],"schema":"https://github.com/citation-style-language/schema/raw/master/csl-citation.json"} </w:instrText>
      </w:r>
      <w:r w:rsidRPr="00B363AA">
        <w:fldChar w:fldCharType="separate"/>
      </w:r>
      <w:r w:rsidR="00A00849" w:rsidRPr="00B363AA">
        <w:rPr>
          <w:rFonts w:cs="Calibri"/>
        </w:rPr>
        <w:t>(Gouvernement wallon, 2018)</w:t>
      </w:r>
      <w:r w:rsidRPr="00B363AA">
        <w:fldChar w:fldCharType="end"/>
      </w:r>
      <w:r w:rsidR="004A3E8E" w:rsidRPr="00B363AA">
        <w:t xml:space="preserve"> fait exception. Elle</w:t>
      </w:r>
      <w:r w:rsidRPr="00B363AA">
        <w:t xml:space="preserve"> est uniquement requise en cas de suspicion de pollution quant à l’un ou plusieurs groupes de </w:t>
      </w:r>
      <w:r w:rsidRPr="00B363AA">
        <w:lastRenderedPageBreak/>
        <w:t>paramètres</w:t>
      </w:r>
      <w:r w:rsidR="00331A70" w:rsidRPr="00B363AA">
        <w:t>, en fonction de l’</w:t>
      </w:r>
      <w:r w:rsidRPr="00B363AA">
        <w:t xml:space="preserve">historique du site ou </w:t>
      </w:r>
      <w:r w:rsidR="00DA7C68" w:rsidRPr="00B363AA">
        <w:t>d’</w:t>
      </w:r>
      <w:r w:rsidRPr="00B363AA">
        <w:t xml:space="preserve">observations de terrain. </w:t>
      </w:r>
      <w:r w:rsidR="00292FBE" w:rsidRPr="00B363AA">
        <w:t>Le cas échéant</w:t>
      </w:r>
      <w:r w:rsidR="00DA7C68" w:rsidRPr="00B363AA">
        <w:t xml:space="preserve">, </w:t>
      </w:r>
      <w:r w:rsidR="00292FBE" w:rsidRPr="00B363AA">
        <w:t xml:space="preserve">l’analyse est </w:t>
      </w:r>
      <w:r w:rsidR="00EC0FFD" w:rsidRPr="00B363AA">
        <w:t>préconisée et</w:t>
      </w:r>
      <w:r w:rsidRPr="00B363AA">
        <w:t xml:space="preserve"> sera indispensable au calcul des indices. Sinon, une telle analyse n’est pas requise pour le diagnostic.</w:t>
      </w:r>
    </w:p>
    <w:p w14:paraId="203CFFB5" w14:textId="73368DE2" w:rsidR="00925CB2" w:rsidRPr="00B363AA" w:rsidRDefault="00925CB2" w:rsidP="00963BE7">
      <w:r w:rsidRPr="00B363AA">
        <w:t xml:space="preserve">Les </w:t>
      </w:r>
      <w:r w:rsidR="00916251" w:rsidRPr="00B363AA">
        <w:t xml:space="preserve">principaux </w:t>
      </w:r>
      <w:r w:rsidR="00A84E54" w:rsidRPr="00B363AA">
        <w:t>critères</w:t>
      </w:r>
      <w:r w:rsidRPr="00B363AA">
        <w:t xml:space="preserve"> </w:t>
      </w:r>
      <w:r w:rsidR="008E634C" w:rsidRPr="00B363AA">
        <w:t>suivants</w:t>
      </w:r>
      <w:r w:rsidRPr="00B363AA">
        <w:t xml:space="preserve"> ont</w:t>
      </w:r>
      <w:r w:rsidR="00A84E54" w:rsidRPr="00B363AA">
        <w:t xml:space="preserve"> guidé</w:t>
      </w:r>
      <w:r w:rsidR="00174553" w:rsidRPr="00B363AA">
        <w:t xml:space="preserve"> </w:t>
      </w:r>
      <w:r w:rsidR="008E634C" w:rsidRPr="00B363AA">
        <w:t>la sélection</w:t>
      </w:r>
      <w:r w:rsidR="00A84E54" w:rsidRPr="00B363AA">
        <w:t xml:space="preserve"> d</w:t>
      </w:r>
      <w:r w:rsidR="008E634C" w:rsidRPr="00B363AA">
        <w:t>es paramètres d</w:t>
      </w:r>
      <w:r w:rsidR="00A84E54" w:rsidRPr="00B363AA">
        <w:t>u</w:t>
      </w:r>
      <w:r w:rsidR="00161384" w:rsidRPr="00B363AA">
        <w:t xml:space="preserve"> pa</w:t>
      </w:r>
      <w:r w:rsidR="00ED0EA4" w:rsidRPr="00B363AA">
        <w:t>ck</w:t>
      </w:r>
      <w:r w:rsidR="00161384" w:rsidRPr="00B363AA">
        <w:t xml:space="preserve"> IQSW-pro</w:t>
      </w:r>
      <w:r w:rsidR="008E634C" w:rsidRPr="00B363AA">
        <w:t> :</w:t>
      </w:r>
    </w:p>
    <w:p w14:paraId="10E02CBE" w14:textId="170C3167" w:rsidR="005B5A3F" w:rsidRPr="00B363AA" w:rsidRDefault="005B5A3F">
      <w:pPr>
        <w:pStyle w:val="Paragraphedeliste"/>
        <w:numPr>
          <w:ilvl w:val="0"/>
          <w:numId w:val="16"/>
        </w:numPr>
      </w:pPr>
      <w:r w:rsidRPr="00B363AA">
        <w:t xml:space="preserve">Intégration </w:t>
      </w:r>
      <w:r w:rsidR="00DE334D" w:rsidRPr="00B363AA">
        <w:t>des diverses dimensions</w:t>
      </w:r>
      <w:r w:rsidRPr="00B363AA">
        <w:t xml:space="preserve"> de la qualité du sol (physique, chimique et biologique) ;</w:t>
      </w:r>
    </w:p>
    <w:p w14:paraId="68460E38" w14:textId="371DDE51" w:rsidR="008E634C" w:rsidRPr="00B363AA" w:rsidRDefault="008E634C">
      <w:pPr>
        <w:pStyle w:val="Paragraphedeliste"/>
        <w:numPr>
          <w:ilvl w:val="0"/>
          <w:numId w:val="16"/>
        </w:numPr>
      </w:pPr>
      <w:r w:rsidRPr="00B363AA">
        <w:t xml:space="preserve">Pertinence </w:t>
      </w:r>
      <w:r w:rsidR="00E27D88" w:rsidRPr="00B363AA">
        <w:t xml:space="preserve">et maturité </w:t>
      </w:r>
      <w:r w:rsidRPr="00B363AA">
        <w:t xml:space="preserve">des </w:t>
      </w:r>
      <w:r w:rsidR="00A744B5" w:rsidRPr="00B363AA">
        <w:t>indicateurs : validité scientifique, robustesse méthodologique,</w:t>
      </w:r>
      <w:r w:rsidR="005B5A3F" w:rsidRPr="00B363AA">
        <w:t xml:space="preserve"> stabilité temporelle</w:t>
      </w:r>
      <w:r w:rsidR="00E27D88" w:rsidRPr="00B363AA">
        <w:t xml:space="preserve">, </w:t>
      </w:r>
      <w:r w:rsidR="008E3C88" w:rsidRPr="00B363AA">
        <w:t>disponibilité de référentiels d’interprétation</w:t>
      </w:r>
      <w:r w:rsidR="005B5A3F" w:rsidRPr="00B363AA">
        <w:t> ;</w:t>
      </w:r>
    </w:p>
    <w:p w14:paraId="283F48B6" w14:textId="565C7228" w:rsidR="00A744B5" w:rsidRPr="00B363AA" w:rsidRDefault="00812A92">
      <w:pPr>
        <w:pStyle w:val="Paragraphedeliste"/>
        <w:numPr>
          <w:ilvl w:val="0"/>
          <w:numId w:val="16"/>
        </w:numPr>
      </w:pPr>
      <w:r w:rsidRPr="00B363AA">
        <w:t>Disponibilité des filières analytiques et faisabilité des méthodes de terrain</w:t>
      </w:r>
      <w:r w:rsidR="005B5A3F" w:rsidRPr="00B363AA">
        <w:t> ;</w:t>
      </w:r>
    </w:p>
    <w:p w14:paraId="5FC9B760" w14:textId="0DD4B85F" w:rsidR="00012AA7" w:rsidRPr="00B363AA" w:rsidRDefault="004A5BF2">
      <w:pPr>
        <w:pStyle w:val="Paragraphedeliste"/>
        <w:numPr>
          <w:ilvl w:val="0"/>
          <w:numId w:val="16"/>
        </w:numPr>
      </w:pPr>
      <w:r w:rsidRPr="00B363AA">
        <w:t>Limitation des coûts : éviter les redondances d’information</w:t>
      </w:r>
      <w:r w:rsidR="006B5AB0" w:rsidRPr="00B363AA">
        <w:t>, éviter d’engendrer des coûts disproportionnés</w:t>
      </w:r>
      <w:r w:rsidR="005F333C" w:rsidRPr="00B363AA">
        <w:t>.</w:t>
      </w:r>
    </w:p>
    <w:p w14:paraId="4B37AFBB" w14:textId="7C090FD1" w:rsidR="003F5A7B" w:rsidRPr="00B363AA" w:rsidRDefault="006B5AB0" w:rsidP="00963BE7">
      <w:r w:rsidRPr="00B363AA">
        <w:t xml:space="preserve">Ces critères ont permis d’aboutir </w:t>
      </w:r>
      <w:r w:rsidR="00FE6357" w:rsidRPr="00B363AA">
        <w:t>à la liste de paramètres</w:t>
      </w:r>
      <w:r w:rsidR="00835834" w:rsidRPr="00B363AA">
        <w:t xml:space="preserve"> permettant d’obtenir un diagnostic IQSW-pro complet,</w:t>
      </w:r>
      <w:r w:rsidR="00FE6357" w:rsidRPr="00B363AA">
        <w:t xml:space="preserve"> reprise dans la partie</w:t>
      </w:r>
      <w:r w:rsidR="003764B1" w:rsidRPr="00B363AA">
        <w:t xml:space="preserve"> </w:t>
      </w:r>
      <w:r w:rsidR="00C55A2E" w:rsidRPr="00B363AA">
        <w:fldChar w:fldCharType="begin"/>
      </w:r>
      <w:r w:rsidR="00C55A2E" w:rsidRPr="00B363AA">
        <w:instrText xml:space="preserve"> REF _Ref241761555 \r \h </w:instrText>
      </w:r>
      <w:r w:rsidR="00C55A2E" w:rsidRPr="00B363AA">
        <w:fldChar w:fldCharType="separate"/>
      </w:r>
      <w:r w:rsidR="00C55A2E" w:rsidRPr="00B363AA">
        <w:t>3.3.3</w:t>
      </w:r>
      <w:r w:rsidR="00C55A2E" w:rsidRPr="00B363AA">
        <w:fldChar w:fldCharType="end"/>
      </w:r>
      <w:r w:rsidR="0028619F" w:rsidRPr="00B363AA">
        <w:t xml:space="preserve">. </w:t>
      </w:r>
    </w:p>
    <w:p w14:paraId="475EF836" w14:textId="4D03CA1D" w:rsidR="003F5A7B" w:rsidRPr="00B363AA" w:rsidRDefault="00F12248">
      <w:pPr>
        <w:pStyle w:val="Titre3"/>
        <w:numPr>
          <w:ilvl w:val="2"/>
          <w:numId w:val="12"/>
        </w:numPr>
      </w:pPr>
      <w:r w:rsidRPr="00B363AA">
        <w:t xml:space="preserve"> </w:t>
      </w:r>
      <w:bookmarkStart w:id="29" w:name="_Toc241242944"/>
      <w:r w:rsidRPr="00B363AA">
        <w:t>« </w:t>
      </w:r>
      <w:r w:rsidR="003F5A7B" w:rsidRPr="00B363AA">
        <w:t>Pour aller plus loin</w:t>
      </w:r>
      <w:r w:rsidRPr="00B363AA">
        <w:t> »</w:t>
      </w:r>
      <w:bookmarkEnd w:id="29"/>
    </w:p>
    <w:p w14:paraId="0BB80A80" w14:textId="05F6AEAF" w:rsidR="0050200A" w:rsidRPr="00B363AA" w:rsidRDefault="00AE63E4" w:rsidP="0050200A">
      <w:r w:rsidRPr="00B363AA">
        <w:t>En</w:t>
      </w:r>
      <w:r w:rsidR="0028619F" w:rsidRPr="00B363AA">
        <w:t xml:space="preserve"> vue de conserver une certaine souplesse et de </w:t>
      </w:r>
      <w:r w:rsidR="00E673AF" w:rsidRPr="00B363AA">
        <w:t>permettre de répondre à des attentes ciblées</w:t>
      </w:r>
      <w:r w:rsidR="0028619F" w:rsidRPr="00B363AA">
        <w:t>,</w:t>
      </w:r>
      <w:r w:rsidR="00E90737" w:rsidRPr="00B363AA">
        <w:t xml:space="preserve"> des paramètres </w:t>
      </w:r>
      <w:r w:rsidR="00F575EB" w:rsidRPr="00B363AA">
        <w:t xml:space="preserve">complémentaires </w:t>
      </w:r>
      <w:r w:rsidR="00E90737" w:rsidRPr="00B363AA">
        <w:t xml:space="preserve">peuvent être mesurés dans le cadre d’une analyse IQSW-pro. </w:t>
      </w:r>
      <w:r w:rsidR="00F575EB" w:rsidRPr="00B363AA">
        <w:t xml:space="preserve">Il s’agit d’un niveau d’analyse « Pour aller plus loin » (parallèlement aux tests complémentaires proposés dans l’IQSW-citoyen). </w:t>
      </w:r>
      <w:r w:rsidR="00BB7CED" w:rsidRPr="00B363AA">
        <w:t>Le résultat de ces analyses ne sera pas valorisé directement dans les indices et sera uniquement communiqué à titre informatif.</w:t>
      </w:r>
      <w:r w:rsidR="00F12248" w:rsidRPr="00B363AA">
        <w:t xml:space="preserve"> Cette liste de paramètres </w:t>
      </w:r>
      <w:r w:rsidR="00D35BE2" w:rsidRPr="00B363AA">
        <w:t>pourrait évoluer au fil du temps</w:t>
      </w:r>
      <w:r w:rsidR="00F12248" w:rsidRPr="00B363AA">
        <w:t xml:space="preserve"> et contient</w:t>
      </w:r>
      <w:r w:rsidR="1D8056F8" w:rsidRPr="00B363AA">
        <w:t>,</w:t>
      </w:r>
      <w:r w:rsidR="00F12248" w:rsidRPr="00B363AA">
        <w:t xml:space="preserve"> à ce stade</w:t>
      </w:r>
      <w:r w:rsidR="5B318F4D" w:rsidRPr="00B363AA">
        <w:t>,</w:t>
      </w:r>
      <w:r w:rsidR="00F12248" w:rsidRPr="00B363AA">
        <w:t xml:space="preserve"> </w:t>
      </w:r>
      <w:r w:rsidR="00030CBA" w:rsidRPr="00B363AA">
        <w:t>des paramètres</w:t>
      </w:r>
      <w:r w:rsidR="00381BD6" w:rsidRPr="00B363AA">
        <w:t xml:space="preserve"> pouvant présenter une plus-value dans certains contextes</w:t>
      </w:r>
      <w:r w:rsidR="00431D15" w:rsidRPr="00B363AA">
        <w:t xml:space="preserve"> mais relativement coûteux</w:t>
      </w:r>
      <w:r w:rsidR="00381BD6" w:rsidRPr="00B363AA">
        <w:t xml:space="preserve"> (ex</w:t>
      </w:r>
      <w:r w:rsidR="3DEE82CD" w:rsidRPr="00B363AA">
        <w:t>.</w:t>
      </w:r>
      <w:r w:rsidR="00381BD6" w:rsidRPr="00B363AA">
        <w:t xml:space="preserve"> analyse</w:t>
      </w:r>
      <w:r w:rsidRPr="00B363AA">
        <w:t xml:space="preserve"> de la diversité de</w:t>
      </w:r>
      <w:r w:rsidR="00C30215" w:rsidRPr="00B363AA">
        <w:t>s</w:t>
      </w:r>
      <w:r w:rsidRPr="00B363AA">
        <w:t xml:space="preserve"> bactéries et champignons du sol)</w:t>
      </w:r>
      <w:r w:rsidR="00381BD6" w:rsidRPr="00B363AA">
        <w:t>, ou</w:t>
      </w:r>
      <w:r w:rsidR="00030CBA" w:rsidRPr="00B363AA">
        <w:t xml:space="preserve"> dont l’interprétation est complexe</w:t>
      </w:r>
      <w:r w:rsidRPr="00B363AA">
        <w:t xml:space="preserve"> (ex</w:t>
      </w:r>
      <w:r w:rsidR="1DE505D6" w:rsidRPr="00B363AA">
        <w:t>.</w:t>
      </w:r>
      <w:r w:rsidRPr="00B363AA">
        <w:t xml:space="preserve"> résistance à la pénétration, mesure extrêmement influencée par le taux d’humidité du sol).</w:t>
      </w:r>
      <w:r w:rsidR="00030CBA" w:rsidRPr="00B363AA">
        <w:t xml:space="preserve"> </w:t>
      </w:r>
    </w:p>
    <w:p w14:paraId="6BB32CD8" w14:textId="778FF716" w:rsidR="003E500A" w:rsidRPr="00B363AA" w:rsidRDefault="003E500A" w:rsidP="003E500A">
      <w:pPr>
        <w:jc w:val="left"/>
      </w:pPr>
      <w:r w:rsidRPr="00B363AA">
        <w:br w:type="page"/>
      </w:r>
    </w:p>
    <w:p w14:paraId="14C30C52" w14:textId="778FF716" w:rsidR="0050200A" w:rsidRPr="00B363AA" w:rsidRDefault="00317AF5" w:rsidP="00E362F7">
      <w:pPr>
        <w:pStyle w:val="Titre3"/>
        <w:numPr>
          <w:ilvl w:val="2"/>
          <w:numId w:val="12"/>
        </w:numPr>
      </w:pPr>
      <w:bookmarkStart w:id="30" w:name="_Toc241242945"/>
      <w:bookmarkStart w:id="31" w:name="_Ref241761555"/>
      <w:r w:rsidRPr="00B363AA">
        <w:lastRenderedPageBreak/>
        <w:t xml:space="preserve">Liste </w:t>
      </w:r>
      <w:r w:rsidR="0050200A" w:rsidRPr="00B363AA">
        <w:t xml:space="preserve">des </w:t>
      </w:r>
      <w:r w:rsidR="004526A3" w:rsidRPr="00B363AA">
        <w:t>indicateurs</w:t>
      </w:r>
      <w:r w:rsidR="0050200A" w:rsidRPr="00B363AA">
        <w:t xml:space="preserve"> mesurés</w:t>
      </w:r>
      <w:r w:rsidR="004526A3" w:rsidRPr="00B363AA">
        <w:t xml:space="preserve"> ou calculés</w:t>
      </w:r>
      <w:bookmarkEnd w:id="30"/>
      <w:bookmarkEnd w:id="31"/>
    </w:p>
    <w:p w14:paraId="6374697D" w14:textId="02B0B2B3" w:rsidR="0050200A" w:rsidRPr="00B363AA" w:rsidRDefault="0050200A" w:rsidP="0050200A">
      <w:pPr>
        <w:pStyle w:val="Lgende"/>
        <w:keepNext/>
        <w:jc w:val="center"/>
        <w:rPr>
          <w:i w:val="0"/>
          <w:iCs w:val="0"/>
        </w:rPr>
      </w:pPr>
      <w:bookmarkStart w:id="32" w:name="_Ref241228645"/>
      <w:r w:rsidRPr="00B363AA">
        <w:rPr>
          <w:i w:val="0"/>
          <w:iCs w:val="0"/>
        </w:rPr>
        <w:t xml:space="preserve">Tableau </w:t>
      </w:r>
      <w:r w:rsidRPr="00B363AA">
        <w:rPr>
          <w:i w:val="0"/>
          <w:iCs w:val="0"/>
        </w:rPr>
        <w:fldChar w:fldCharType="begin"/>
      </w:r>
      <w:r w:rsidRPr="00B363AA">
        <w:rPr>
          <w:i w:val="0"/>
          <w:iCs w:val="0"/>
        </w:rPr>
        <w:instrText xml:space="preserve"> SEQ Tableau \* ARABIC </w:instrText>
      </w:r>
      <w:r w:rsidRPr="00B363AA">
        <w:rPr>
          <w:i w:val="0"/>
          <w:iCs w:val="0"/>
        </w:rPr>
        <w:fldChar w:fldCharType="separate"/>
      </w:r>
      <w:r w:rsidR="00984A3C" w:rsidRPr="00B363AA">
        <w:rPr>
          <w:i w:val="0"/>
          <w:iCs w:val="0"/>
        </w:rPr>
        <w:t>1</w:t>
      </w:r>
      <w:r w:rsidRPr="00B363AA">
        <w:rPr>
          <w:i w:val="0"/>
          <w:iCs w:val="0"/>
        </w:rPr>
        <w:fldChar w:fldCharType="end"/>
      </w:r>
      <w:bookmarkEnd w:id="32"/>
      <w:r w:rsidRPr="00B363AA">
        <w:rPr>
          <w:i w:val="0"/>
          <w:iCs w:val="0"/>
        </w:rPr>
        <w:t xml:space="preserve"> : </w:t>
      </w:r>
      <w:r w:rsidR="00317AF5" w:rsidRPr="00B363AA">
        <w:rPr>
          <w:i w:val="0"/>
          <w:iCs w:val="0"/>
        </w:rPr>
        <w:t>I</w:t>
      </w:r>
      <w:r w:rsidRPr="00B363AA">
        <w:rPr>
          <w:i w:val="0"/>
          <w:iCs w:val="0"/>
        </w:rPr>
        <w:t xml:space="preserve">ndicateurs </w:t>
      </w:r>
      <w:r w:rsidR="00984A3C" w:rsidRPr="00B363AA">
        <w:rPr>
          <w:i w:val="0"/>
          <w:iCs w:val="0"/>
        </w:rPr>
        <w:t xml:space="preserve">(1) </w:t>
      </w:r>
      <w:r w:rsidRPr="00B363AA">
        <w:rPr>
          <w:i w:val="0"/>
          <w:iCs w:val="0"/>
        </w:rPr>
        <w:t xml:space="preserve">mesurés </w:t>
      </w:r>
      <w:r w:rsidR="00440AE5" w:rsidRPr="00B363AA">
        <w:rPr>
          <w:i w:val="0"/>
          <w:iCs w:val="0"/>
        </w:rPr>
        <w:t xml:space="preserve">et </w:t>
      </w:r>
      <w:r w:rsidR="00984A3C" w:rsidRPr="00B363AA">
        <w:rPr>
          <w:i w:val="0"/>
          <w:iCs w:val="0"/>
        </w:rPr>
        <w:t xml:space="preserve">(2) </w:t>
      </w:r>
      <w:r w:rsidR="00440AE5" w:rsidRPr="00B363AA">
        <w:rPr>
          <w:i w:val="0"/>
          <w:iCs w:val="0"/>
        </w:rPr>
        <w:t xml:space="preserve">calculés </w:t>
      </w:r>
      <w:r w:rsidR="00984A3C" w:rsidRPr="00B363AA">
        <w:rPr>
          <w:i w:val="0"/>
          <w:iCs w:val="0"/>
        </w:rPr>
        <w:t>(en gras</w:t>
      </w:r>
      <w:r w:rsidR="00440AE5" w:rsidRPr="00B363AA">
        <w:rPr>
          <w:i w:val="0"/>
          <w:iCs w:val="0"/>
        </w:rPr>
        <w:t>)</w:t>
      </w:r>
      <w:r w:rsidR="003E500A" w:rsidRPr="00B363AA">
        <w:rPr>
          <w:i w:val="0"/>
          <w:iCs w:val="0"/>
        </w:rPr>
        <w:t xml:space="preserve"> de l’IQSW-pro</w:t>
      </w:r>
      <w:r w:rsidR="00C55A2E" w:rsidRPr="00B363AA">
        <w:rPr>
          <w:i w:val="0"/>
          <w:iCs w:val="0"/>
        </w:rPr>
        <w:t>. Les</w:t>
      </w:r>
      <w:r w:rsidR="00EC7345" w:rsidRPr="00B363AA">
        <w:rPr>
          <w:i w:val="0"/>
          <w:iCs w:val="0"/>
        </w:rPr>
        <w:t xml:space="preserve"> lignes </w:t>
      </w:r>
      <w:r w:rsidR="00EA5991" w:rsidRPr="00B363AA">
        <w:rPr>
          <w:i w:val="0"/>
          <w:iCs w:val="0"/>
        </w:rPr>
        <w:t>grisées correspondent aux</w:t>
      </w:r>
      <w:r w:rsidR="00C55A2E" w:rsidRPr="00B363AA">
        <w:rPr>
          <w:i w:val="0"/>
          <w:iCs w:val="0"/>
        </w:rPr>
        <w:t xml:space="preserve"> </w:t>
      </w:r>
      <w:r w:rsidR="007178C3" w:rsidRPr="00B363AA">
        <w:rPr>
          <w:i w:val="0"/>
          <w:iCs w:val="0"/>
        </w:rPr>
        <w:t>indicateurs du niveau « Pour aller plus loin » (dont la mesure est facultative).</w:t>
      </w:r>
      <w:r w:rsidR="00F838C8" w:rsidRPr="00B363AA">
        <w:rPr>
          <w:i w:val="0"/>
          <w:iCs w:val="0"/>
        </w:rPr>
        <w:t xml:space="preserve"> Les indicateurs marqués d’un astérisque (polluants) doivent être mesurés uniquement si </w:t>
      </w:r>
      <w:r w:rsidR="004B20CD" w:rsidRPr="00B363AA">
        <w:rPr>
          <w:i w:val="0"/>
          <w:iCs w:val="0"/>
        </w:rPr>
        <w:t>cela se justifie (ex : en cas de signe</w:t>
      </w:r>
      <w:r w:rsidR="003C2916" w:rsidRPr="00B363AA">
        <w:rPr>
          <w:i w:val="0"/>
          <w:iCs w:val="0"/>
        </w:rPr>
        <w:t>s organoleptiques de pollution, ou d’un historique à risque).</w:t>
      </w:r>
    </w:p>
    <w:tbl>
      <w:tblPr>
        <w:tblW w:w="9260" w:type="dxa"/>
        <w:tblCellMar>
          <w:left w:w="70" w:type="dxa"/>
          <w:right w:w="70" w:type="dxa"/>
        </w:tblCellMar>
        <w:tblLook w:val="04A0" w:firstRow="1" w:lastRow="0" w:firstColumn="1" w:lastColumn="0" w:noHBand="0" w:noVBand="1"/>
      </w:tblPr>
      <w:tblGrid>
        <w:gridCol w:w="562"/>
        <w:gridCol w:w="2938"/>
        <w:gridCol w:w="840"/>
        <w:gridCol w:w="3310"/>
        <w:gridCol w:w="1610"/>
      </w:tblGrid>
      <w:tr w:rsidR="00EC7345" w:rsidRPr="00B363AA" w14:paraId="5E29B555" w14:textId="77777777" w:rsidTr="00500340">
        <w:trPr>
          <w:trHeight w:val="225"/>
        </w:trPr>
        <w:tc>
          <w:tcPr>
            <w:tcW w:w="562" w:type="dxa"/>
            <w:tcBorders>
              <w:top w:val="single" w:sz="4" w:space="0" w:color="000000"/>
              <w:left w:val="single" w:sz="4" w:space="0" w:color="auto"/>
              <w:bottom w:val="single" w:sz="4" w:space="0" w:color="FFFFFF" w:themeColor="background1"/>
              <w:right w:val="single" w:sz="4" w:space="0" w:color="FFFFFF" w:themeColor="background1"/>
            </w:tcBorders>
            <w:shd w:val="clear" w:color="auto" w:fill="0A2F41" w:themeFill="accent1" w:themeFillShade="80"/>
            <w:vAlign w:val="center"/>
            <w:hideMark/>
          </w:tcPr>
          <w:p w14:paraId="750FC2D7" w14:textId="77777777" w:rsidR="00EC7345" w:rsidRPr="00B363AA" w:rsidRDefault="00EC7345" w:rsidP="00EC7345">
            <w:pPr>
              <w:spacing w:after="0" w:line="240" w:lineRule="auto"/>
              <w:jc w:val="center"/>
              <w:rPr>
                <w:rFonts w:ascii="Aptos Narrow" w:eastAsia="Times New Roman" w:hAnsi="Aptos Narrow" w:cs="Times New Roman"/>
                <w:b/>
                <w:bCs/>
                <w:color w:val="FFFFFF"/>
                <w:kern w:val="0"/>
                <w:sz w:val="16"/>
                <w:szCs w:val="16"/>
                <w:lang w:eastAsia="fr-BE"/>
                <w14:ligatures w14:val="none"/>
              </w:rPr>
            </w:pPr>
            <w:r w:rsidRPr="00B363AA">
              <w:rPr>
                <w:rFonts w:ascii="Aptos Narrow" w:eastAsia="Times New Roman" w:hAnsi="Aptos Narrow" w:cs="Times New Roman"/>
                <w:b/>
                <w:bCs/>
                <w:color w:val="FFFFFF"/>
                <w:kern w:val="0"/>
                <w:sz w:val="16"/>
                <w:szCs w:val="16"/>
                <w:lang w:eastAsia="fr-BE"/>
                <w14:ligatures w14:val="none"/>
              </w:rPr>
              <w:t>Type</w:t>
            </w:r>
          </w:p>
        </w:tc>
        <w:tc>
          <w:tcPr>
            <w:tcW w:w="2938" w:type="dxa"/>
            <w:tcBorders>
              <w:top w:val="single" w:sz="4" w:space="0" w:color="000000"/>
              <w:left w:val="single" w:sz="4" w:space="0" w:color="FFFFFF" w:themeColor="background1"/>
              <w:bottom w:val="single" w:sz="4" w:space="0" w:color="FFFFFF" w:themeColor="background1"/>
              <w:right w:val="single" w:sz="4" w:space="0" w:color="FFFFFF" w:themeColor="background1"/>
            </w:tcBorders>
            <w:shd w:val="clear" w:color="auto" w:fill="0A2F41" w:themeFill="accent1" w:themeFillShade="80"/>
            <w:vAlign w:val="center"/>
            <w:hideMark/>
          </w:tcPr>
          <w:p w14:paraId="78B2A6C4" w14:textId="77777777" w:rsidR="00EC7345" w:rsidRPr="00B363AA" w:rsidRDefault="00EC7345" w:rsidP="00EC7345">
            <w:pPr>
              <w:spacing w:after="0" w:line="240" w:lineRule="auto"/>
              <w:jc w:val="center"/>
              <w:rPr>
                <w:rFonts w:ascii="Aptos Narrow" w:eastAsia="Times New Roman" w:hAnsi="Aptos Narrow" w:cs="Times New Roman"/>
                <w:b/>
                <w:bCs/>
                <w:color w:val="FFFFFF"/>
                <w:kern w:val="0"/>
                <w:sz w:val="16"/>
                <w:szCs w:val="16"/>
                <w:lang w:eastAsia="fr-BE"/>
                <w14:ligatures w14:val="none"/>
              </w:rPr>
            </w:pPr>
            <w:r w:rsidRPr="00B363AA">
              <w:rPr>
                <w:rFonts w:ascii="Aptos Narrow" w:eastAsia="Times New Roman" w:hAnsi="Aptos Narrow" w:cs="Times New Roman"/>
                <w:b/>
                <w:bCs/>
                <w:color w:val="FFFFFF"/>
                <w:kern w:val="0"/>
                <w:sz w:val="16"/>
                <w:szCs w:val="16"/>
                <w:lang w:eastAsia="fr-BE"/>
                <w14:ligatures w14:val="none"/>
              </w:rPr>
              <w:t>Indicateur</w:t>
            </w:r>
          </w:p>
        </w:tc>
        <w:tc>
          <w:tcPr>
            <w:tcW w:w="840" w:type="dxa"/>
            <w:tcBorders>
              <w:top w:val="single" w:sz="4" w:space="0" w:color="000000"/>
              <w:left w:val="single" w:sz="4" w:space="0" w:color="FFFFFF" w:themeColor="background1"/>
              <w:bottom w:val="single" w:sz="4" w:space="0" w:color="FFFFFF" w:themeColor="background1"/>
              <w:right w:val="single" w:sz="4" w:space="0" w:color="FFFFFF" w:themeColor="background1"/>
            </w:tcBorders>
            <w:shd w:val="clear" w:color="auto" w:fill="0A2F41" w:themeFill="accent1" w:themeFillShade="80"/>
            <w:noWrap/>
            <w:vAlign w:val="center"/>
            <w:hideMark/>
          </w:tcPr>
          <w:p w14:paraId="78B4A65C" w14:textId="77777777" w:rsidR="00EC7345" w:rsidRPr="00B363AA" w:rsidRDefault="00EC7345" w:rsidP="00EC7345">
            <w:pPr>
              <w:spacing w:after="0" w:line="240" w:lineRule="auto"/>
              <w:jc w:val="center"/>
              <w:rPr>
                <w:rFonts w:ascii="Aptos Narrow" w:eastAsia="Times New Roman" w:hAnsi="Aptos Narrow" w:cs="Times New Roman"/>
                <w:b/>
                <w:bCs/>
                <w:color w:val="FFFFFF"/>
                <w:kern w:val="0"/>
                <w:sz w:val="16"/>
                <w:szCs w:val="16"/>
                <w:lang w:eastAsia="fr-BE"/>
                <w14:ligatures w14:val="none"/>
              </w:rPr>
            </w:pPr>
            <w:r w:rsidRPr="00B363AA">
              <w:rPr>
                <w:rFonts w:ascii="Aptos Narrow" w:eastAsia="Times New Roman" w:hAnsi="Aptos Narrow" w:cs="Times New Roman"/>
                <w:b/>
                <w:bCs/>
                <w:color w:val="FFFFFF"/>
                <w:kern w:val="0"/>
                <w:sz w:val="16"/>
                <w:szCs w:val="16"/>
                <w:lang w:eastAsia="fr-BE"/>
                <w14:ligatures w14:val="none"/>
              </w:rPr>
              <w:t>Prof (cm)</w:t>
            </w:r>
          </w:p>
        </w:tc>
        <w:tc>
          <w:tcPr>
            <w:tcW w:w="3310" w:type="dxa"/>
            <w:tcBorders>
              <w:top w:val="single" w:sz="4" w:space="0" w:color="000000"/>
              <w:left w:val="single" w:sz="4" w:space="0" w:color="FFFFFF" w:themeColor="background1"/>
              <w:bottom w:val="single" w:sz="4" w:space="0" w:color="FFFFFF" w:themeColor="background1"/>
              <w:right w:val="single" w:sz="4" w:space="0" w:color="FFFFFF" w:themeColor="background1"/>
            </w:tcBorders>
            <w:shd w:val="clear" w:color="auto" w:fill="0A2F41" w:themeFill="accent1" w:themeFillShade="80"/>
            <w:noWrap/>
            <w:vAlign w:val="center"/>
            <w:hideMark/>
          </w:tcPr>
          <w:p w14:paraId="455F0CAF" w14:textId="77777777" w:rsidR="00EC7345" w:rsidRPr="00B363AA" w:rsidRDefault="00EC7345" w:rsidP="00EC7345">
            <w:pPr>
              <w:spacing w:after="0" w:line="240" w:lineRule="auto"/>
              <w:jc w:val="center"/>
              <w:rPr>
                <w:rFonts w:ascii="Aptos Narrow" w:eastAsia="Times New Roman" w:hAnsi="Aptos Narrow" w:cs="Times New Roman"/>
                <w:b/>
                <w:bCs/>
                <w:color w:val="FFFFFF"/>
                <w:kern w:val="0"/>
                <w:sz w:val="16"/>
                <w:szCs w:val="16"/>
                <w:lang w:eastAsia="fr-BE"/>
                <w14:ligatures w14:val="none"/>
              </w:rPr>
            </w:pPr>
            <w:r w:rsidRPr="00B363AA">
              <w:rPr>
                <w:rFonts w:ascii="Aptos Narrow" w:eastAsia="Times New Roman" w:hAnsi="Aptos Narrow" w:cs="Times New Roman"/>
                <w:b/>
                <w:bCs/>
                <w:color w:val="FFFFFF"/>
                <w:kern w:val="0"/>
                <w:sz w:val="16"/>
                <w:szCs w:val="16"/>
                <w:lang w:eastAsia="fr-BE"/>
                <w14:ligatures w14:val="none"/>
              </w:rPr>
              <w:t>Protocole</w:t>
            </w:r>
          </w:p>
        </w:tc>
        <w:tc>
          <w:tcPr>
            <w:tcW w:w="1610" w:type="dxa"/>
            <w:tcBorders>
              <w:top w:val="single" w:sz="4" w:space="0" w:color="000000"/>
              <w:left w:val="single" w:sz="4" w:space="0" w:color="FFFFFF" w:themeColor="background1"/>
              <w:bottom w:val="single" w:sz="4" w:space="0" w:color="FFFFFF" w:themeColor="background1"/>
              <w:right w:val="nil"/>
            </w:tcBorders>
            <w:shd w:val="clear" w:color="auto" w:fill="0A2F41" w:themeFill="accent1" w:themeFillShade="80"/>
            <w:noWrap/>
            <w:vAlign w:val="center"/>
            <w:hideMark/>
          </w:tcPr>
          <w:p w14:paraId="6A7679C0" w14:textId="63EAED0B" w:rsidR="00EC7345" w:rsidRPr="00B363AA" w:rsidRDefault="00EA5991" w:rsidP="00984A3C">
            <w:pPr>
              <w:spacing w:after="0" w:line="240" w:lineRule="auto"/>
              <w:jc w:val="center"/>
              <w:rPr>
                <w:rFonts w:ascii="Aptos Narrow" w:eastAsia="Times New Roman" w:hAnsi="Aptos Narrow" w:cs="Times New Roman"/>
                <w:b/>
                <w:bCs/>
                <w:color w:val="FFFFFF"/>
                <w:kern w:val="0"/>
                <w:sz w:val="16"/>
                <w:szCs w:val="16"/>
                <w:lang w:eastAsia="fr-BE"/>
                <w14:ligatures w14:val="none"/>
              </w:rPr>
            </w:pPr>
            <w:r w:rsidRPr="00B363AA">
              <w:rPr>
                <w:rFonts w:ascii="Aptos Narrow" w:eastAsia="Times New Roman" w:hAnsi="Aptos Narrow" w:cs="Times New Roman"/>
                <w:b/>
                <w:bCs/>
                <w:color w:val="FFFFFF"/>
                <w:kern w:val="0"/>
                <w:sz w:val="16"/>
                <w:szCs w:val="16"/>
                <w:lang w:eastAsia="fr-BE"/>
                <w14:ligatures w14:val="none"/>
              </w:rPr>
              <w:t>Mesure</w:t>
            </w:r>
          </w:p>
        </w:tc>
      </w:tr>
      <w:tr w:rsidR="00B363AA" w:rsidRPr="00B363AA" w14:paraId="5FD13C0C" w14:textId="77777777" w:rsidTr="00500340">
        <w:trPr>
          <w:trHeight w:val="225"/>
        </w:trPr>
        <w:tc>
          <w:tcPr>
            <w:tcW w:w="562" w:type="dxa"/>
            <w:vMerge w:val="restart"/>
            <w:tcBorders>
              <w:top w:val="single" w:sz="4" w:space="0" w:color="FFFFFF" w:themeColor="background1"/>
              <w:left w:val="single" w:sz="4" w:space="0" w:color="auto"/>
              <w:right w:val="single" w:sz="4" w:space="0" w:color="auto"/>
            </w:tcBorders>
            <w:shd w:val="clear" w:color="auto" w:fill="0A2F41" w:themeFill="accent1" w:themeFillShade="80"/>
            <w:textDirection w:val="btLr"/>
            <w:vAlign w:val="center"/>
            <w:hideMark/>
          </w:tcPr>
          <w:p w14:paraId="011E5E04" w14:textId="045DAB2F" w:rsidR="00B363AA" w:rsidRPr="009D3A06" w:rsidRDefault="00B363AA" w:rsidP="00B363AA">
            <w:pPr>
              <w:spacing w:after="0" w:line="240" w:lineRule="auto"/>
              <w:ind w:left="113" w:right="113"/>
              <w:jc w:val="center"/>
              <w:rPr>
                <w:rFonts w:ascii="Aptos Narrow" w:eastAsia="Times New Roman" w:hAnsi="Aptos Narrow" w:cs="Times New Roman"/>
                <w:color w:val="FFFFFF" w:themeColor="background1"/>
                <w:kern w:val="0"/>
                <w:sz w:val="16"/>
                <w:szCs w:val="16"/>
                <w:lang w:eastAsia="fr-BE"/>
                <w14:ligatures w14:val="none"/>
              </w:rPr>
            </w:pPr>
            <w:r w:rsidRPr="009D3A06">
              <w:rPr>
                <w:rFonts w:ascii="Aptos Narrow" w:eastAsia="Times New Roman" w:hAnsi="Aptos Narrow" w:cs="Times New Roman"/>
                <w:color w:val="FFFFFF" w:themeColor="background1"/>
                <w:kern w:val="0"/>
                <w:sz w:val="16"/>
                <w:szCs w:val="16"/>
                <w:lang w:eastAsia="fr-BE"/>
                <w14:ligatures w14:val="none"/>
              </w:rPr>
              <w:t>Indicateurs physiques</w:t>
            </w:r>
          </w:p>
        </w:tc>
        <w:tc>
          <w:tcPr>
            <w:tcW w:w="2938" w:type="dxa"/>
            <w:tcBorders>
              <w:top w:val="single" w:sz="4" w:space="0" w:color="FFFFFF" w:themeColor="background1"/>
              <w:left w:val="single" w:sz="4" w:space="0" w:color="auto"/>
              <w:bottom w:val="single" w:sz="4" w:space="0" w:color="auto"/>
              <w:right w:val="single" w:sz="4" w:space="0" w:color="auto"/>
            </w:tcBorders>
            <w:vAlign w:val="center"/>
            <w:hideMark/>
          </w:tcPr>
          <w:p w14:paraId="050974A8"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Texture</w:t>
            </w:r>
          </w:p>
        </w:tc>
        <w:tc>
          <w:tcPr>
            <w:tcW w:w="840" w:type="dxa"/>
            <w:tcBorders>
              <w:top w:val="single" w:sz="4" w:space="0" w:color="FFFFFF" w:themeColor="background1"/>
              <w:left w:val="single" w:sz="4" w:space="0" w:color="auto"/>
              <w:bottom w:val="single" w:sz="4" w:space="0" w:color="auto"/>
              <w:right w:val="single" w:sz="4" w:space="0" w:color="auto"/>
            </w:tcBorders>
            <w:vAlign w:val="center"/>
            <w:hideMark/>
          </w:tcPr>
          <w:p w14:paraId="56CD0329"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FFFFFF" w:themeColor="background1"/>
              <w:left w:val="single" w:sz="4" w:space="0" w:color="auto"/>
              <w:bottom w:val="single" w:sz="4" w:space="0" w:color="auto"/>
              <w:right w:val="nil"/>
            </w:tcBorders>
            <w:vAlign w:val="center"/>
            <w:hideMark/>
          </w:tcPr>
          <w:p w14:paraId="11FF0EBA" w14:textId="77777777" w:rsidR="00B363AA" w:rsidRPr="00B363AA" w:rsidRDefault="00B363AA" w:rsidP="00EC7345">
            <w:pPr>
              <w:spacing w:after="0" w:line="240" w:lineRule="auto"/>
              <w:jc w:val="left"/>
              <w:rPr>
                <w:rFonts w:ascii="Aptos Narrow" w:eastAsia="Times New Roman" w:hAnsi="Aptos Narrow" w:cs="Times New Roman"/>
                <w:color w:val="747474"/>
                <w:kern w:val="0"/>
                <w:sz w:val="16"/>
                <w:szCs w:val="16"/>
                <w:lang w:eastAsia="fr-BE"/>
                <w14:ligatures w14:val="none"/>
              </w:rPr>
            </w:pPr>
            <w:r w:rsidRPr="00B363AA">
              <w:rPr>
                <w:rFonts w:ascii="Aptos Narrow" w:eastAsia="Times New Roman" w:hAnsi="Aptos Narrow" w:cs="Times New Roman"/>
                <w:color w:val="747474"/>
                <w:kern w:val="0"/>
                <w:sz w:val="16"/>
                <w:szCs w:val="16"/>
                <w:lang w:eastAsia="fr-BE"/>
                <w14:ligatures w14:val="none"/>
              </w:rPr>
              <w:t>Pipet Method - dérivé</w:t>
            </w:r>
          </w:p>
        </w:tc>
        <w:tc>
          <w:tcPr>
            <w:tcW w:w="1610" w:type="dxa"/>
            <w:tcBorders>
              <w:top w:val="single" w:sz="4" w:space="0" w:color="FFFFFF" w:themeColor="background1"/>
              <w:left w:val="single" w:sz="4" w:space="0" w:color="auto"/>
              <w:bottom w:val="single" w:sz="4" w:space="0" w:color="auto"/>
              <w:right w:val="single" w:sz="4" w:space="0" w:color="auto"/>
            </w:tcBorders>
            <w:vAlign w:val="center"/>
            <w:hideMark/>
          </w:tcPr>
          <w:p w14:paraId="00E4AD19"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3D9840E6"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78F97964" w14:textId="71A47611"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15B2DF40" w14:textId="25EEDF0C"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Profondeur de sol</w:t>
            </w:r>
          </w:p>
        </w:tc>
        <w:tc>
          <w:tcPr>
            <w:tcW w:w="840" w:type="dxa"/>
            <w:tcBorders>
              <w:top w:val="single" w:sz="4" w:space="0" w:color="auto"/>
              <w:left w:val="single" w:sz="4" w:space="0" w:color="auto"/>
              <w:bottom w:val="single" w:sz="4" w:space="0" w:color="auto"/>
              <w:right w:val="single" w:sz="4" w:space="0" w:color="auto"/>
            </w:tcBorders>
            <w:vAlign w:val="center"/>
            <w:hideMark/>
          </w:tcPr>
          <w:p w14:paraId="0A2B5FB6"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0-100</w:t>
            </w:r>
          </w:p>
        </w:tc>
        <w:tc>
          <w:tcPr>
            <w:tcW w:w="3310" w:type="dxa"/>
            <w:tcBorders>
              <w:top w:val="single" w:sz="4" w:space="0" w:color="auto"/>
              <w:left w:val="single" w:sz="4" w:space="0" w:color="auto"/>
              <w:bottom w:val="single" w:sz="4" w:space="0" w:color="auto"/>
              <w:right w:val="nil"/>
            </w:tcBorders>
            <w:vAlign w:val="center"/>
            <w:hideMark/>
          </w:tcPr>
          <w:p w14:paraId="3D038B34" w14:textId="3E9052AD" w:rsidR="00B363AA" w:rsidRPr="00B363AA" w:rsidRDefault="00500340"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Pr>
                <w:rFonts w:ascii="Aptos Narrow" w:eastAsia="Times New Roman" w:hAnsi="Aptos Narrow" w:cs="Times New Roman"/>
                <w:color w:val="000000"/>
                <w:kern w:val="0"/>
                <w:sz w:val="16"/>
                <w:szCs w:val="16"/>
                <w:lang w:eastAsia="fr-BE"/>
                <w14:ligatures w14:val="none"/>
              </w:rPr>
              <w:t>Sondage tarière</w:t>
            </w:r>
          </w:p>
        </w:tc>
        <w:tc>
          <w:tcPr>
            <w:tcW w:w="1610" w:type="dxa"/>
            <w:tcBorders>
              <w:top w:val="single" w:sz="4" w:space="0" w:color="auto"/>
              <w:left w:val="single" w:sz="4" w:space="0" w:color="auto"/>
              <w:bottom w:val="single" w:sz="4" w:space="0" w:color="auto"/>
              <w:right w:val="single" w:sz="4" w:space="0" w:color="auto"/>
            </w:tcBorders>
            <w:vAlign w:val="center"/>
            <w:hideMark/>
          </w:tcPr>
          <w:p w14:paraId="4C002BAC"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0969E2E5"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14FE821C" w14:textId="07887A50"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02D23BC0"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Charge vol. en éléments grossiers</w:t>
            </w:r>
          </w:p>
        </w:tc>
        <w:tc>
          <w:tcPr>
            <w:tcW w:w="840" w:type="dxa"/>
            <w:tcBorders>
              <w:top w:val="single" w:sz="4" w:space="0" w:color="auto"/>
              <w:left w:val="single" w:sz="4" w:space="0" w:color="auto"/>
              <w:bottom w:val="single" w:sz="4" w:space="0" w:color="auto"/>
              <w:right w:val="single" w:sz="4" w:space="0" w:color="auto"/>
            </w:tcBorders>
            <w:vAlign w:val="center"/>
            <w:hideMark/>
          </w:tcPr>
          <w:p w14:paraId="564AE47A"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122C1137"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Tamisage et immersion colonne d'eau</w:t>
            </w:r>
          </w:p>
        </w:tc>
        <w:tc>
          <w:tcPr>
            <w:tcW w:w="1610" w:type="dxa"/>
            <w:tcBorders>
              <w:top w:val="single" w:sz="4" w:space="0" w:color="auto"/>
              <w:left w:val="single" w:sz="4" w:space="0" w:color="auto"/>
              <w:bottom w:val="single" w:sz="4" w:space="0" w:color="auto"/>
              <w:right w:val="single" w:sz="4" w:space="0" w:color="auto"/>
            </w:tcBorders>
            <w:vAlign w:val="center"/>
            <w:hideMark/>
          </w:tcPr>
          <w:p w14:paraId="3F9D1CE2"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5D70989E"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3E322809" w14:textId="2C4D11C0"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2536A7A1"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 xml:space="preserve">Taux de matière sèche </w:t>
            </w:r>
          </w:p>
        </w:tc>
        <w:tc>
          <w:tcPr>
            <w:tcW w:w="840" w:type="dxa"/>
            <w:tcBorders>
              <w:top w:val="single" w:sz="4" w:space="0" w:color="auto"/>
              <w:left w:val="single" w:sz="4" w:space="0" w:color="auto"/>
              <w:bottom w:val="single" w:sz="4" w:space="0" w:color="auto"/>
              <w:right w:val="single" w:sz="4" w:space="0" w:color="auto"/>
            </w:tcBorders>
            <w:vAlign w:val="center"/>
            <w:hideMark/>
          </w:tcPr>
          <w:p w14:paraId="3CC99478"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1C51964A" w14:textId="77777777" w:rsidR="00B363AA" w:rsidRPr="009D3A06" w:rsidRDefault="00B363AA" w:rsidP="00EC7345">
            <w:pPr>
              <w:spacing w:after="0" w:line="240" w:lineRule="auto"/>
              <w:jc w:val="left"/>
              <w:rPr>
                <w:rFonts w:ascii="Aptos Narrow" w:eastAsia="Times New Roman" w:hAnsi="Aptos Narrow" w:cs="Times New Roman"/>
                <w:color w:val="000000"/>
                <w:kern w:val="0"/>
                <w:sz w:val="16"/>
                <w:szCs w:val="16"/>
                <w:lang w:val="en-GB" w:eastAsia="fr-BE"/>
                <w14:ligatures w14:val="none"/>
              </w:rPr>
            </w:pPr>
            <w:proofErr w:type="spellStart"/>
            <w:r w:rsidRPr="009D3A06">
              <w:rPr>
                <w:rFonts w:ascii="Aptos Narrow" w:eastAsia="Times New Roman" w:hAnsi="Aptos Narrow" w:cs="Times New Roman"/>
                <w:color w:val="000000"/>
                <w:kern w:val="0"/>
                <w:sz w:val="16"/>
                <w:szCs w:val="16"/>
                <w:lang w:val="en-GB" w:eastAsia="fr-BE"/>
                <w14:ligatures w14:val="none"/>
              </w:rPr>
              <w:t>Étuve</w:t>
            </w:r>
            <w:proofErr w:type="spellEnd"/>
            <w:r w:rsidRPr="009D3A06">
              <w:rPr>
                <w:rFonts w:ascii="Aptos Narrow" w:eastAsia="Times New Roman" w:hAnsi="Aptos Narrow" w:cs="Times New Roman"/>
                <w:color w:val="000000"/>
                <w:kern w:val="0"/>
                <w:sz w:val="16"/>
                <w:szCs w:val="16"/>
                <w:lang w:val="en-GB" w:eastAsia="fr-BE"/>
                <w14:ligatures w14:val="none"/>
              </w:rPr>
              <w:t xml:space="preserve"> 105°C (CWEA S-I-3)</w:t>
            </w:r>
          </w:p>
        </w:tc>
        <w:tc>
          <w:tcPr>
            <w:tcW w:w="1610" w:type="dxa"/>
            <w:tcBorders>
              <w:top w:val="single" w:sz="4" w:space="0" w:color="auto"/>
              <w:left w:val="single" w:sz="4" w:space="0" w:color="auto"/>
              <w:bottom w:val="single" w:sz="4" w:space="0" w:color="auto"/>
              <w:right w:val="single" w:sz="4" w:space="0" w:color="auto"/>
            </w:tcBorders>
            <w:vAlign w:val="center"/>
            <w:hideMark/>
          </w:tcPr>
          <w:p w14:paraId="00FF4E6F"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564BEF2E"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439BCA41" w14:textId="6B9B7248"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4AAAF149"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Masse volumique apparente</w:t>
            </w:r>
          </w:p>
        </w:tc>
        <w:tc>
          <w:tcPr>
            <w:tcW w:w="840" w:type="dxa"/>
            <w:tcBorders>
              <w:top w:val="single" w:sz="4" w:space="0" w:color="auto"/>
              <w:left w:val="single" w:sz="4" w:space="0" w:color="auto"/>
              <w:bottom w:val="single" w:sz="4" w:space="0" w:color="auto"/>
              <w:right w:val="single" w:sz="4" w:space="0" w:color="auto"/>
            </w:tcBorders>
            <w:vAlign w:val="center"/>
            <w:hideMark/>
          </w:tcPr>
          <w:p w14:paraId="1AF756E9"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1DCDF6DF"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Excavation-remplacement</w:t>
            </w:r>
          </w:p>
        </w:tc>
        <w:tc>
          <w:tcPr>
            <w:tcW w:w="1610" w:type="dxa"/>
            <w:tcBorders>
              <w:top w:val="single" w:sz="4" w:space="0" w:color="auto"/>
              <w:left w:val="single" w:sz="4" w:space="0" w:color="auto"/>
              <w:bottom w:val="single" w:sz="4" w:space="0" w:color="auto"/>
              <w:right w:val="single" w:sz="4" w:space="0" w:color="auto"/>
            </w:tcBorders>
            <w:vAlign w:val="center"/>
            <w:hideMark/>
          </w:tcPr>
          <w:p w14:paraId="018494C5"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19230193"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3A239898" w14:textId="035E658B"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02A1DF35"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Qualité structurale</w:t>
            </w:r>
          </w:p>
        </w:tc>
        <w:tc>
          <w:tcPr>
            <w:tcW w:w="840" w:type="dxa"/>
            <w:tcBorders>
              <w:top w:val="single" w:sz="4" w:space="0" w:color="auto"/>
              <w:left w:val="single" w:sz="4" w:space="0" w:color="auto"/>
              <w:bottom w:val="single" w:sz="4" w:space="0" w:color="auto"/>
              <w:right w:val="single" w:sz="4" w:space="0" w:color="auto"/>
            </w:tcBorders>
            <w:vAlign w:val="center"/>
            <w:hideMark/>
          </w:tcPr>
          <w:p w14:paraId="16FC9B85"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73E6F7AF"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Test VESS</w:t>
            </w:r>
          </w:p>
        </w:tc>
        <w:tc>
          <w:tcPr>
            <w:tcW w:w="1610" w:type="dxa"/>
            <w:tcBorders>
              <w:top w:val="single" w:sz="4" w:space="0" w:color="auto"/>
              <w:left w:val="single" w:sz="4" w:space="0" w:color="auto"/>
              <w:bottom w:val="single" w:sz="4" w:space="0" w:color="auto"/>
              <w:right w:val="single" w:sz="4" w:space="0" w:color="auto"/>
            </w:tcBorders>
            <w:vAlign w:val="center"/>
            <w:hideMark/>
          </w:tcPr>
          <w:p w14:paraId="7EB8F885"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6FF6DDD6"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6F003699" w14:textId="35F2F3EC"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763B6F62"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Taches d’hydromorphie</w:t>
            </w:r>
          </w:p>
        </w:tc>
        <w:tc>
          <w:tcPr>
            <w:tcW w:w="840" w:type="dxa"/>
            <w:tcBorders>
              <w:top w:val="single" w:sz="4" w:space="0" w:color="auto"/>
              <w:left w:val="single" w:sz="4" w:space="0" w:color="auto"/>
              <w:bottom w:val="single" w:sz="4" w:space="0" w:color="auto"/>
              <w:right w:val="single" w:sz="4" w:space="0" w:color="auto"/>
            </w:tcBorders>
            <w:vAlign w:val="center"/>
            <w:hideMark/>
          </w:tcPr>
          <w:p w14:paraId="612D00B4"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0-100</w:t>
            </w:r>
          </w:p>
        </w:tc>
        <w:tc>
          <w:tcPr>
            <w:tcW w:w="3310" w:type="dxa"/>
            <w:tcBorders>
              <w:top w:val="single" w:sz="4" w:space="0" w:color="auto"/>
              <w:left w:val="single" w:sz="4" w:space="0" w:color="auto"/>
              <w:bottom w:val="single" w:sz="4" w:space="0" w:color="auto"/>
              <w:right w:val="nil"/>
            </w:tcBorders>
            <w:vAlign w:val="center"/>
            <w:hideMark/>
          </w:tcPr>
          <w:p w14:paraId="1680EE35"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Observation de terrain</w:t>
            </w:r>
          </w:p>
        </w:tc>
        <w:tc>
          <w:tcPr>
            <w:tcW w:w="1610" w:type="dxa"/>
            <w:tcBorders>
              <w:top w:val="single" w:sz="4" w:space="0" w:color="auto"/>
              <w:left w:val="single" w:sz="4" w:space="0" w:color="auto"/>
              <w:bottom w:val="single" w:sz="4" w:space="0" w:color="auto"/>
              <w:right w:val="single" w:sz="4" w:space="0" w:color="auto"/>
            </w:tcBorders>
            <w:vAlign w:val="center"/>
            <w:hideMark/>
          </w:tcPr>
          <w:p w14:paraId="6B3F218C"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70C2F639" w14:textId="77777777" w:rsidTr="00500340">
        <w:trPr>
          <w:trHeight w:val="450"/>
        </w:trPr>
        <w:tc>
          <w:tcPr>
            <w:tcW w:w="562" w:type="dxa"/>
            <w:vMerge/>
            <w:tcBorders>
              <w:left w:val="single" w:sz="4" w:space="0" w:color="auto"/>
              <w:right w:val="single" w:sz="4" w:space="0" w:color="auto"/>
            </w:tcBorders>
            <w:shd w:val="clear" w:color="auto" w:fill="0A2F41" w:themeFill="accent1" w:themeFillShade="80"/>
            <w:vAlign w:val="center"/>
            <w:hideMark/>
          </w:tcPr>
          <w:p w14:paraId="6CA93CD2" w14:textId="1013BE57"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338F3BA7"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Présence et niveau d'eau nappe permanente</w:t>
            </w:r>
          </w:p>
        </w:tc>
        <w:tc>
          <w:tcPr>
            <w:tcW w:w="840" w:type="dxa"/>
            <w:tcBorders>
              <w:top w:val="single" w:sz="4" w:space="0" w:color="auto"/>
              <w:left w:val="single" w:sz="4" w:space="0" w:color="auto"/>
              <w:bottom w:val="single" w:sz="4" w:space="0" w:color="auto"/>
              <w:right w:val="single" w:sz="4" w:space="0" w:color="auto"/>
            </w:tcBorders>
            <w:vAlign w:val="center"/>
            <w:hideMark/>
          </w:tcPr>
          <w:p w14:paraId="18F036C9"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0-100</w:t>
            </w:r>
          </w:p>
        </w:tc>
        <w:tc>
          <w:tcPr>
            <w:tcW w:w="3310" w:type="dxa"/>
            <w:tcBorders>
              <w:top w:val="single" w:sz="4" w:space="0" w:color="auto"/>
              <w:left w:val="single" w:sz="4" w:space="0" w:color="auto"/>
              <w:bottom w:val="single" w:sz="4" w:space="0" w:color="auto"/>
              <w:right w:val="nil"/>
            </w:tcBorders>
            <w:vAlign w:val="center"/>
            <w:hideMark/>
          </w:tcPr>
          <w:p w14:paraId="52726A93"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Observation de terrain</w:t>
            </w:r>
          </w:p>
        </w:tc>
        <w:tc>
          <w:tcPr>
            <w:tcW w:w="1610" w:type="dxa"/>
            <w:tcBorders>
              <w:top w:val="single" w:sz="4" w:space="0" w:color="auto"/>
              <w:left w:val="single" w:sz="4" w:space="0" w:color="auto"/>
              <w:bottom w:val="single" w:sz="4" w:space="0" w:color="auto"/>
              <w:right w:val="single" w:sz="4" w:space="0" w:color="auto"/>
            </w:tcBorders>
            <w:vAlign w:val="center"/>
            <w:hideMark/>
          </w:tcPr>
          <w:p w14:paraId="0A6F7407"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147C9613" w14:textId="77777777" w:rsidTr="00500340">
        <w:trPr>
          <w:trHeight w:val="209"/>
        </w:trPr>
        <w:tc>
          <w:tcPr>
            <w:tcW w:w="562" w:type="dxa"/>
            <w:vMerge/>
            <w:tcBorders>
              <w:left w:val="single" w:sz="4" w:space="0" w:color="auto"/>
              <w:right w:val="single" w:sz="4" w:space="0" w:color="auto"/>
            </w:tcBorders>
            <w:shd w:val="clear" w:color="auto" w:fill="0A2F41" w:themeFill="accent1" w:themeFillShade="80"/>
            <w:vAlign w:val="center"/>
            <w:hideMark/>
          </w:tcPr>
          <w:p w14:paraId="026CE611" w14:textId="34723C5C"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26C2C94F"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Conductivité hydraulique à saturation (</w:t>
            </w:r>
            <w:proofErr w:type="spellStart"/>
            <w:r w:rsidRPr="00B363AA">
              <w:rPr>
                <w:rFonts w:ascii="Aptos Narrow" w:eastAsia="Times New Roman" w:hAnsi="Aptos Narrow" w:cs="Times New Roman"/>
                <w:color w:val="000000"/>
                <w:kern w:val="0"/>
                <w:sz w:val="16"/>
                <w:szCs w:val="16"/>
                <w:lang w:eastAsia="fr-BE"/>
                <w14:ligatures w14:val="none"/>
              </w:rPr>
              <w:t>Ksat</w:t>
            </w:r>
            <w:proofErr w:type="spellEnd"/>
            <w:r w:rsidRPr="00B363AA">
              <w:rPr>
                <w:rFonts w:ascii="Aptos Narrow" w:eastAsia="Times New Roman" w:hAnsi="Aptos Narrow" w:cs="Times New Roman"/>
                <w:color w:val="000000"/>
                <w:kern w:val="0"/>
                <w:sz w:val="16"/>
                <w:szCs w:val="16"/>
                <w:lang w:eastAsia="fr-BE"/>
                <w14:ligatures w14:val="none"/>
              </w:rPr>
              <w:t>)</w:t>
            </w:r>
          </w:p>
        </w:tc>
        <w:tc>
          <w:tcPr>
            <w:tcW w:w="840" w:type="dxa"/>
            <w:tcBorders>
              <w:top w:val="single" w:sz="4" w:space="0" w:color="auto"/>
              <w:left w:val="single" w:sz="4" w:space="0" w:color="auto"/>
              <w:bottom w:val="single" w:sz="4" w:space="0" w:color="auto"/>
              <w:right w:val="single" w:sz="4" w:space="0" w:color="auto"/>
            </w:tcBorders>
            <w:vAlign w:val="center"/>
            <w:hideMark/>
          </w:tcPr>
          <w:p w14:paraId="19B198D9"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4D416957"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In-situ (</w:t>
            </w:r>
            <w:proofErr w:type="spellStart"/>
            <w:r w:rsidRPr="00B363AA">
              <w:rPr>
                <w:rFonts w:ascii="Aptos Narrow" w:eastAsia="Times New Roman" w:hAnsi="Aptos Narrow" w:cs="Times New Roman"/>
                <w:color w:val="000000"/>
                <w:kern w:val="0"/>
                <w:sz w:val="16"/>
                <w:szCs w:val="16"/>
                <w:lang w:eastAsia="fr-BE"/>
                <w14:ligatures w14:val="none"/>
              </w:rPr>
              <w:t>Porchet</w:t>
            </w:r>
            <w:proofErr w:type="spellEnd"/>
            <w:r w:rsidRPr="00B363AA">
              <w:rPr>
                <w:rFonts w:ascii="Aptos Narrow" w:eastAsia="Times New Roman" w:hAnsi="Aptos Narrow" w:cs="Times New Roman"/>
                <w:color w:val="000000"/>
                <w:kern w:val="0"/>
                <w:sz w:val="16"/>
                <w:szCs w:val="16"/>
                <w:lang w:eastAsia="fr-BE"/>
                <w14:ligatures w14:val="none"/>
              </w:rPr>
              <w:t>)</w:t>
            </w:r>
          </w:p>
        </w:tc>
        <w:tc>
          <w:tcPr>
            <w:tcW w:w="1610" w:type="dxa"/>
            <w:tcBorders>
              <w:top w:val="single" w:sz="4" w:space="0" w:color="auto"/>
              <w:left w:val="single" w:sz="4" w:space="0" w:color="auto"/>
              <w:bottom w:val="single" w:sz="4" w:space="0" w:color="auto"/>
              <w:right w:val="single" w:sz="4" w:space="0" w:color="auto"/>
            </w:tcBorders>
            <w:vAlign w:val="center"/>
            <w:hideMark/>
          </w:tcPr>
          <w:p w14:paraId="61730466"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7DAC92FB" w14:textId="77777777" w:rsidTr="00500340">
        <w:trPr>
          <w:trHeight w:val="225"/>
        </w:trPr>
        <w:tc>
          <w:tcPr>
            <w:tcW w:w="562" w:type="dxa"/>
            <w:vMerge/>
            <w:tcBorders>
              <w:left w:val="single" w:sz="4" w:space="0" w:color="auto"/>
              <w:bottom w:val="single" w:sz="4" w:space="0" w:color="FFFFFF" w:themeColor="background1"/>
              <w:right w:val="single" w:sz="4" w:space="0" w:color="auto"/>
            </w:tcBorders>
            <w:shd w:val="clear" w:color="auto" w:fill="0A2F41" w:themeFill="accent1" w:themeFillShade="80"/>
            <w:vAlign w:val="center"/>
            <w:hideMark/>
          </w:tcPr>
          <w:p w14:paraId="0A96024A" w14:textId="3F43A8BB"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E28AE1"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Stabilité structurale</w:t>
            </w:r>
          </w:p>
        </w:tc>
        <w:tc>
          <w:tcPr>
            <w:tcW w:w="8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8F6A3D9"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0-5</w:t>
            </w:r>
          </w:p>
        </w:tc>
        <w:tc>
          <w:tcPr>
            <w:tcW w:w="3310" w:type="dxa"/>
            <w:tcBorders>
              <w:top w:val="single" w:sz="4" w:space="0" w:color="auto"/>
              <w:left w:val="single" w:sz="4" w:space="0" w:color="auto"/>
              <w:bottom w:val="single" w:sz="4" w:space="0" w:color="auto"/>
              <w:right w:val="nil"/>
            </w:tcBorders>
            <w:shd w:val="clear" w:color="000000" w:fill="D9D9D9"/>
            <w:vAlign w:val="center"/>
            <w:hideMark/>
          </w:tcPr>
          <w:p w14:paraId="78F86198"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proofErr w:type="spellStart"/>
            <w:r w:rsidRPr="00B363AA">
              <w:rPr>
                <w:rFonts w:ascii="Aptos Narrow" w:eastAsia="Times New Roman" w:hAnsi="Aptos Narrow" w:cs="Times New Roman"/>
                <w:color w:val="000000"/>
                <w:kern w:val="0"/>
                <w:sz w:val="16"/>
                <w:szCs w:val="16"/>
                <w:lang w:eastAsia="fr-BE"/>
                <w14:ligatures w14:val="none"/>
              </w:rPr>
              <w:t>QuantiSlake</w:t>
            </w:r>
            <w:proofErr w:type="spellEnd"/>
            <w:r w:rsidRPr="00B363AA">
              <w:rPr>
                <w:rFonts w:ascii="Aptos Narrow" w:eastAsia="Times New Roman" w:hAnsi="Aptos Narrow" w:cs="Times New Roman"/>
                <w:color w:val="000000"/>
                <w:kern w:val="0"/>
                <w:sz w:val="16"/>
                <w:szCs w:val="16"/>
                <w:lang w:eastAsia="fr-BE"/>
                <w14:ligatures w14:val="none"/>
              </w:rPr>
              <w:t xml:space="preserve"> Test</w:t>
            </w:r>
          </w:p>
        </w:tc>
        <w:tc>
          <w:tcPr>
            <w:tcW w:w="161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BC4F309"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Pour aller plus loin</w:t>
            </w:r>
          </w:p>
        </w:tc>
      </w:tr>
      <w:tr w:rsidR="00B363AA" w:rsidRPr="00B363AA" w14:paraId="46D07AD5" w14:textId="77777777" w:rsidTr="00500340">
        <w:trPr>
          <w:trHeight w:val="225"/>
        </w:trPr>
        <w:tc>
          <w:tcPr>
            <w:tcW w:w="562" w:type="dxa"/>
            <w:vMerge w:val="restart"/>
            <w:tcBorders>
              <w:top w:val="single" w:sz="4" w:space="0" w:color="FFFFFF" w:themeColor="background1"/>
              <w:left w:val="single" w:sz="4" w:space="0" w:color="auto"/>
              <w:right w:val="single" w:sz="4" w:space="0" w:color="auto"/>
            </w:tcBorders>
            <w:shd w:val="clear" w:color="auto" w:fill="0A2F41" w:themeFill="accent1" w:themeFillShade="80"/>
            <w:textDirection w:val="btLr"/>
            <w:vAlign w:val="center"/>
            <w:hideMark/>
          </w:tcPr>
          <w:p w14:paraId="608FAAFB" w14:textId="70DE6843" w:rsidR="00B363AA" w:rsidRPr="009D3A06" w:rsidRDefault="00B363AA" w:rsidP="00B363AA">
            <w:pPr>
              <w:spacing w:after="0" w:line="240" w:lineRule="auto"/>
              <w:ind w:left="113" w:right="113"/>
              <w:jc w:val="center"/>
              <w:rPr>
                <w:rFonts w:ascii="Aptos Narrow" w:eastAsia="Times New Roman" w:hAnsi="Aptos Narrow" w:cs="Times New Roman"/>
                <w:color w:val="FFFFFF" w:themeColor="background1"/>
                <w:kern w:val="0"/>
                <w:sz w:val="16"/>
                <w:szCs w:val="16"/>
                <w:lang w:eastAsia="fr-BE"/>
                <w14:ligatures w14:val="none"/>
              </w:rPr>
            </w:pPr>
            <w:r w:rsidRPr="009D3A06">
              <w:rPr>
                <w:rFonts w:ascii="Aptos Narrow" w:eastAsia="Times New Roman" w:hAnsi="Aptos Narrow" w:cs="Times New Roman"/>
                <w:color w:val="FFFFFF" w:themeColor="background1"/>
                <w:kern w:val="0"/>
                <w:sz w:val="16"/>
                <w:szCs w:val="16"/>
                <w:lang w:eastAsia="fr-BE"/>
                <w14:ligatures w14:val="none"/>
              </w:rPr>
              <w:t>Indicateurs chimiques</w:t>
            </w:r>
          </w:p>
        </w:tc>
        <w:tc>
          <w:tcPr>
            <w:tcW w:w="2938" w:type="dxa"/>
            <w:tcBorders>
              <w:top w:val="single" w:sz="4" w:space="0" w:color="auto"/>
              <w:left w:val="single" w:sz="4" w:space="0" w:color="auto"/>
              <w:bottom w:val="single" w:sz="4" w:space="0" w:color="auto"/>
              <w:right w:val="single" w:sz="4" w:space="0" w:color="auto"/>
            </w:tcBorders>
            <w:vAlign w:val="center"/>
            <w:hideMark/>
          </w:tcPr>
          <w:p w14:paraId="029F4C82"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Carbone organique total</w:t>
            </w:r>
          </w:p>
        </w:tc>
        <w:tc>
          <w:tcPr>
            <w:tcW w:w="840" w:type="dxa"/>
            <w:tcBorders>
              <w:top w:val="single" w:sz="4" w:space="0" w:color="auto"/>
              <w:left w:val="single" w:sz="4" w:space="0" w:color="auto"/>
              <w:bottom w:val="single" w:sz="4" w:space="0" w:color="auto"/>
              <w:right w:val="single" w:sz="4" w:space="0" w:color="auto"/>
            </w:tcBorders>
            <w:vAlign w:val="center"/>
            <w:hideMark/>
          </w:tcPr>
          <w:p w14:paraId="3446CB3A"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1AEF4C2A"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Combustion sèche</w:t>
            </w:r>
          </w:p>
        </w:tc>
        <w:tc>
          <w:tcPr>
            <w:tcW w:w="1610" w:type="dxa"/>
            <w:tcBorders>
              <w:top w:val="single" w:sz="4" w:space="0" w:color="auto"/>
              <w:left w:val="single" w:sz="4" w:space="0" w:color="auto"/>
              <w:bottom w:val="single" w:sz="4" w:space="0" w:color="auto"/>
              <w:right w:val="single" w:sz="4" w:space="0" w:color="auto"/>
            </w:tcBorders>
            <w:vAlign w:val="center"/>
            <w:hideMark/>
          </w:tcPr>
          <w:p w14:paraId="69499470"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0C95254A"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470517AB" w14:textId="6D59F05A"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2969D03E"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CEC effective</w:t>
            </w:r>
          </w:p>
        </w:tc>
        <w:tc>
          <w:tcPr>
            <w:tcW w:w="840" w:type="dxa"/>
            <w:tcBorders>
              <w:top w:val="single" w:sz="4" w:space="0" w:color="auto"/>
              <w:left w:val="single" w:sz="4" w:space="0" w:color="auto"/>
              <w:bottom w:val="single" w:sz="4" w:space="0" w:color="auto"/>
              <w:right w:val="single" w:sz="4" w:space="0" w:color="auto"/>
            </w:tcBorders>
            <w:vAlign w:val="center"/>
            <w:hideMark/>
          </w:tcPr>
          <w:p w14:paraId="5B669B2F"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0A5C50EA"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proofErr w:type="spellStart"/>
            <w:r w:rsidRPr="00B363AA">
              <w:rPr>
                <w:rFonts w:ascii="Aptos Narrow" w:eastAsia="Times New Roman" w:hAnsi="Aptos Narrow" w:cs="Times New Roman"/>
                <w:color w:val="000000"/>
                <w:kern w:val="0"/>
                <w:sz w:val="16"/>
                <w:szCs w:val="16"/>
                <w:lang w:eastAsia="fr-BE"/>
                <w14:ligatures w14:val="none"/>
              </w:rPr>
              <w:t>Cobaltihexamine</w:t>
            </w:r>
            <w:proofErr w:type="spellEnd"/>
          </w:p>
        </w:tc>
        <w:tc>
          <w:tcPr>
            <w:tcW w:w="1610" w:type="dxa"/>
            <w:tcBorders>
              <w:top w:val="single" w:sz="4" w:space="0" w:color="auto"/>
              <w:left w:val="single" w:sz="4" w:space="0" w:color="auto"/>
              <w:bottom w:val="single" w:sz="4" w:space="0" w:color="auto"/>
              <w:right w:val="single" w:sz="4" w:space="0" w:color="auto"/>
            </w:tcBorders>
            <w:vAlign w:val="center"/>
            <w:hideMark/>
          </w:tcPr>
          <w:p w14:paraId="1298D7A2"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749E3E58"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50C44DA4" w14:textId="683F3E2B"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15E36A8B"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Statut acido-basique</w:t>
            </w:r>
          </w:p>
        </w:tc>
        <w:tc>
          <w:tcPr>
            <w:tcW w:w="840" w:type="dxa"/>
            <w:tcBorders>
              <w:top w:val="single" w:sz="4" w:space="0" w:color="auto"/>
              <w:left w:val="single" w:sz="4" w:space="0" w:color="auto"/>
              <w:bottom w:val="single" w:sz="4" w:space="0" w:color="auto"/>
              <w:right w:val="single" w:sz="4" w:space="0" w:color="auto"/>
            </w:tcBorders>
            <w:vAlign w:val="center"/>
            <w:hideMark/>
          </w:tcPr>
          <w:p w14:paraId="507B016E"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19F2B5E0"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pH</w:t>
            </w:r>
            <w:proofErr w:type="gramEnd"/>
            <w:r w:rsidRPr="00B363AA">
              <w:rPr>
                <w:rFonts w:ascii="Aptos Narrow" w:eastAsia="Times New Roman" w:hAnsi="Aptos Narrow" w:cs="Times New Roman"/>
                <w:color w:val="000000"/>
                <w:kern w:val="0"/>
                <w:sz w:val="16"/>
                <w:szCs w:val="16"/>
                <w:lang w:eastAsia="fr-BE"/>
                <w14:ligatures w14:val="none"/>
              </w:rPr>
              <w:t xml:space="preserve"> KCl (ratio massique </w:t>
            </w:r>
            <w:proofErr w:type="spellStart"/>
            <w:proofErr w:type="gramStart"/>
            <w:r w:rsidRPr="00B363AA">
              <w:rPr>
                <w:rFonts w:ascii="Aptos Narrow" w:eastAsia="Times New Roman" w:hAnsi="Aptos Narrow" w:cs="Times New Roman"/>
                <w:color w:val="000000"/>
                <w:kern w:val="0"/>
                <w:sz w:val="16"/>
                <w:szCs w:val="16"/>
                <w:lang w:eastAsia="fr-BE"/>
                <w14:ligatures w14:val="none"/>
              </w:rPr>
              <w:t>sol:solution</w:t>
            </w:r>
            <w:proofErr w:type="spellEnd"/>
            <w:proofErr w:type="gramEnd"/>
            <w:r w:rsidRPr="00B363AA">
              <w:rPr>
                <w:rFonts w:ascii="Aptos Narrow" w:eastAsia="Times New Roman" w:hAnsi="Aptos Narrow" w:cs="Times New Roman"/>
                <w:color w:val="000000"/>
                <w:kern w:val="0"/>
                <w:sz w:val="16"/>
                <w:szCs w:val="16"/>
                <w:lang w:eastAsia="fr-BE"/>
                <w14:ligatures w14:val="none"/>
              </w:rPr>
              <w:t xml:space="preserve"> </w:t>
            </w:r>
            <w:proofErr w:type="gramStart"/>
            <w:r w:rsidRPr="00B363AA">
              <w:rPr>
                <w:rFonts w:ascii="Aptos Narrow" w:eastAsia="Times New Roman" w:hAnsi="Aptos Narrow" w:cs="Times New Roman"/>
                <w:color w:val="000000"/>
                <w:kern w:val="0"/>
                <w:sz w:val="16"/>
                <w:szCs w:val="16"/>
                <w:lang w:eastAsia="fr-BE"/>
                <w14:ligatures w14:val="none"/>
              </w:rPr>
              <w:t>1:</w:t>
            </w:r>
            <w:proofErr w:type="gramEnd"/>
            <w:r w:rsidRPr="00B363AA">
              <w:rPr>
                <w:rFonts w:ascii="Aptos Narrow" w:eastAsia="Times New Roman" w:hAnsi="Aptos Narrow" w:cs="Times New Roman"/>
                <w:color w:val="000000"/>
                <w:kern w:val="0"/>
                <w:sz w:val="16"/>
                <w:szCs w:val="16"/>
                <w:lang w:eastAsia="fr-BE"/>
                <w14:ligatures w14:val="none"/>
              </w:rPr>
              <w:t>6)</w:t>
            </w:r>
          </w:p>
        </w:tc>
        <w:tc>
          <w:tcPr>
            <w:tcW w:w="1610" w:type="dxa"/>
            <w:tcBorders>
              <w:top w:val="single" w:sz="4" w:space="0" w:color="auto"/>
              <w:left w:val="single" w:sz="4" w:space="0" w:color="auto"/>
              <w:bottom w:val="single" w:sz="4" w:space="0" w:color="auto"/>
              <w:right w:val="single" w:sz="4" w:space="0" w:color="auto"/>
            </w:tcBorders>
            <w:vAlign w:val="center"/>
            <w:hideMark/>
          </w:tcPr>
          <w:p w14:paraId="0F380ED8"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61E38E86"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75CAB9EA" w14:textId="505F093E"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7D4B4143"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Statut acido-basique</w:t>
            </w:r>
          </w:p>
        </w:tc>
        <w:tc>
          <w:tcPr>
            <w:tcW w:w="840" w:type="dxa"/>
            <w:tcBorders>
              <w:top w:val="single" w:sz="4" w:space="0" w:color="auto"/>
              <w:left w:val="single" w:sz="4" w:space="0" w:color="auto"/>
              <w:bottom w:val="single" w:sz="4" w:space="0" w:color="auto"/>
              <w:right w:val="single" w:sz="4" w:space="0" w:color="auto"/>
            </w:tcBorders>
            <w:vAlign w:val="center"/>
            <w:hideMark/>
          </w:tcPr>
          <w:p w14:paraId="4B139FE6"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4AEA1E6F"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pH</w:t>
            </w:r>
            <w:proofErr w:type="gramEnd"/>
            <w:r w:rsidRPr="00B363AA">
              <w:rPr>
                <w:rFonts w:ascii="Aptos Narrow" w:eastAsia="Times New Roman" w:hAnsi="Aptos Narrow" w:cs="Times New Roman"/>
                <w:color w:val="000000"/>
                <w:kern w:val="0"/>
                <w:sz w:val="16"/>
                <w:szCs w:val="16"/>
                <w:lang w:eastAsia="fr-BE"/>
                <w14:ligatures w14:val="none"/>
              </w:rPr>
              <w:t xml:space="preserve"> eau</w:t>
            </w:r>
          </w:p>
        </w:tc>
        <w:tc>
          <w:tcPr>
            <w:tcW w:w="1610" w:type="dxa"/>
            <w:tcBorders>
              <w:top w:val="single" w:sz="4" w:space="0" w:color="auto"/>
              <w:left w:val="single" w:sz="4" w:space="0" w:color="auto"/>
              <w:bottom w:val="single" w:sz="4" w:space="0" w:color="auto"/>
              <w:right w:val="single" w:sz="4" w:space="0" w:color="auto"/>
            </w:tcBorders>
            <w:vAlign w:val="center"/>
            <w:hideMark/>
          </w:tcPr>
          <w:p w14:paraId="129E6709"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2280690F"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71DF84BE" w14:textId="7D7A2273"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26F4539A"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P disponible</w:t>
            </w:r>
          </w:p>
        </w:tc>
        <w:tc>
          <w:tcPr>
            <w:tcW w:w="840" w:type="dxa"/>
            <w:tcBorders>
              <w:top w:val="single" w:sz="4" w:space="0" w:color="auto"/>
              <w:left w:val="single" w:sz="4" w:space="0" w:color="auto"/>
              <w:bottom w:val="single" w:sz="4" w:space="0" w:color="auto"/>
              <w:right w:val="single" w:sz="4" w:space="0" w:color="auto"/>
            </w:tcBorders>
            <w:vAlign w:val="center"/>
            <w:hideMark/>
          </w:tcPr>
          <w:p w14:paraId="0638080D"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2E998AAE"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Lakanen-</w:t>
            </w:r>
            <w:proofErr w:type="spellStart"/>
            <w:r w:rsidRPr="00B363AA">
              <w:rPr>
                <w:rFonts w:ascii="Aptos Narrow" w:eastAsia="Times New Roman" w:hAnsi="Aptos Narrow" w:cs="Times New Roman"/>
                <w:color w:val="000000"/>
                <w:kern w:val="0"/>
                <w:sz w:val="16"/>
                <w:szCs w:val="16"/>
                <w:lang w:eastAsia="fr-BE"/>
                <w14:ligatures w14:val="none"/>
              </w:rPr>
              <w:t>Erviö</w:t>
            </w:r>
            <w:proofErr w:type="spellEnd"/>
            <w:r w:rsidRPr="00B363AA">
              <w:rPr>
                <w:rFonts w:ascii="Aptos Narrow" w:eastAsia="Times New Roman" w:hAnsi="Aptos Narrow" w:cs="Times New Roman"/>
                <w:color w:val="000000"/>
                <w:kern w:val="0"/>
                <w:sz w:val="16"/>
                <w:szCs w:val="16"/>
                <w:lang w:eastAsia="fr-BE"/>
                <w14:ligatures w14:val="none"/>
              </w:rPr>
              <w:t xml:space="preserve"> (EDTA)</w:t>
            </w:r>
          </w:p>
        </w:tc>
        <w:tc>
          <w:tcPr>
            <w:tcW w:w="1610" w:type="dxa"/>
            <w:tcBorders>
              <w:top w:val="single" w:sz="4" w:space="0" w:color="auto"/>
              <w:left w:val="single" w:sz="4" w:space="0" w:color="auto"/>
              <w:bottom w:val="single" w:sz="4" w:space="0" w:color="auto"/>
              <w:right w:val="single" w:sz="4" w:space="0" w:color="auto"/>
            </w:tcBorders>
            <w:vAlign w:val="center"/>
            <w:hideMark/>
          </w:tcPr>
          <w:p w14:paraId="5369F247"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704509FF"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334B2111" w14:textId="2F74E7F9"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644060FD"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 xml:space="preserve">K, Mg, </w:t>
            </w:r>
            <w:proofErr w:type="gramStart"/>
            <w:r w:rsidRPr="00B363AA">
              <w:rPr>
                <w:rFonts w:ascii="Aptos Narrow" w:eastAsia="Times New Roman" w:hAnsi="Aptos Narrow" w:cs="Times New Roman"/>
                <w:color w:val="000000"/>
                <w:kern w:val="0"/>
                <w:sz w:val="16"/>
                <w:szCs w:val="16"/>
                <w:lang w:eastAsia="fr-BE"/>
                <w14:ligatures w14:val="none"/>
              </w:rPr>
              <w:t>Ca</w:t>
            </w:r>
            <w:proofErr w:type="gramEnd"/>
            <w:r w:rsidRPr="00B363AA">
              <w:rPr>
                <w:rFonts w:ascii="Aptos Narrow" w:eastAsia="Times New Roman" w:hAnsi="Aptos Narrow" w:cs="Times New Roman"/>
                <w:color w:val="000000"/>
                <w:kern w:val="0"/>
                <w:sz w:val="16"/>
                <w:szCs w:val="16"/>
                <w:lang w:eastAsia="fr-BE"/>
                <w14:ligatures w14:val="none"/>
              </w:rPr>
              <w:t xml:space="preserve"> disponibles</w:t>
            </w:r>
          </w:p>
        </w:tc>
        <w:tc>
          <w:tcPr>
            <w:tcW w:w="840" w:type="dxa"/>
            <w:tcBorders>
              <w:top w:val="single" w:sz="4" w:space="0" w:color="auto"/>
              <w:left w:val="single" w:sz="4" w:space="0" w:color="auto"/>
              <w:bottom w:val="single" w:sz="4" w:space="0" w:color="auto"/>
              <w:right w:val="single" w:sz="4" w:space="0" w:color="auto"/>
            </w:tcBorders>
            <w:vAlign w:val="center"/>
            <w:hideMark/>
          </w:tcPr>
          <w:p w14:paraId="14D5C59F"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680B13F7"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Lakanen-</w:t>
            </w:r>
            <w:proofErr w:type="spellStart"/>
            <w:r w:rsidRPr="00B363AA">
              <w:rPr>
                <w:rFonts w:ascii="Aptos Narrow" w:eastAsia="Times New Roman" w:hAnsi="Aptos Narrow" w:cs="Times New Roman"/>
                <w:color w:val="000000"/>
                <w:kern w:val="0"/>
                <w:sz w:val="16"/>
                <w:szCs w:val="16"/>
                <w:lang w:eastAsia="fr-BE"/>
                <w14:ligatures w14:val="none"/>
              </w:rPr>
              <w:t>Erviö</w:t>
            </w:r>
            <w:proofErr w:type="spellEnd"/>
            <w:r w:rsidRPr="00B363AA">
              <w:rPr>
                <w:rFonts w:ascii="Aptos Narrow" w:eastAsia="Times New Roman" w:hAnsi="Aptos Narrow" w:cs="Times New Roman"/>
                <w:color w:val="000000"/>
                <w:kern w:val="0"/>
                <w:sz w:val="16"/>
                <w:szCs w:val="16"/>
                <w:lang w:eastAsia="fr-BE"/>
                <w14:ligatures w14:val="none"/>
              </w:rPr>
              <w:t xml:space="preserve"> (EDTA)</w:t>
            </w:r>
          </w:p>
        </w:tc>
        <w:tc>
          <w:tcPr>
            <w:tcW w:w="1610" w:type="dxa"/>
            <w:tcBorders>
              <w:top w:val="single" w:sz="4" w:space="0" w:color="auto"/>
              <w:left w:val="single" w:sz="4" w:space="0" w:color="auto"/>
              <w:bottom w:val="single" w:sz="4" w:space="0" w:color="auto"/>
              <w:right w:val="single" w:sz="4" w:space="0" w:color="auto"/>
            </w:tcBorders>
            <w:vAlign w:val="center"/>
            <w:hideMark/>
          </w:tcPr>
          <w:p w14:paraId="0C09D535"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002BFB77" w14:textId="77777777" w:rsidTr="00500340">
        <w:trPr>
          <w:trHeight w:val="450"/>
        </w:trPr>
        <w:tc>
          <w:tcPr>
            <w:tcW w:w="562" w:type="dxa"/>
            <w:vMerge/>
            <w:tcBorders>
              <w:left w:val="single" w:sz="4" w:space="0" w:color="auto"/>
              <w:right w:val="single" w:sz="4" w:space="0" w:color="auto"/>
            </w:tcBorders>
            <w:shd w:val="clear" w:color="auto" w:fill="0A2F41" w:themeFill="accent1" w:themeFillShade="80"/>
            <w:vAlign w:val="center"/>
            <w:hideMark/>
          </w:tcPr>
          <w:p w14:paraId="239D813C" w14:textId="52C2175D"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6C73AF8A"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Artéfacts et indices organoleptiques de pollution</w:t>
            </w:r>
          </w:p>
        </w:tc>
        <w:tc>
          <w:tcPr>
            <w:tcW w:w="840" w:type="dxa"/>
            <w:tcBorders>
              <w:top w:val="single" w:sz="4" w:space="0" w:color="auto"/>
              <w:left w:val="single" w:sz="4" w:space="0" w:color="auto"/>
              <w:bottom w:val="single" w:sz="4" w:space="0" w:color="auto"/>
              <w:right w:val="single" w:sz="4" w:space="0" w:color="auto"/>
            </w:tcBorders>
            <w:vAlign w:val="center"/>
            <w:hideMark/>
          </w:tcPr>
          <w:p w14:paraId="2D222BAF"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12F29771"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Observation terrain (indices organoleptiques, matériaux suspects)</w:t>
            </w:r>
          </w:p>
        </w:tc>
        <w:tc>
          <w:tcPr>
            <w:tcW w:w="1610" w:type="dxa"/>
            <w:tcBorders>
              <w:top w:val="single" w:sz="4" w:space="0" w:color="auto"/>
              <w:left w:val="single" w:sz="4" w:space="0" w:color="auto"/>
              <w:bottom w:val="single" w:sz="4" w:space="0" w:color="auto"/>
              <w:right w:val="single" w:sz="4" w:space="0" w:color="auto"/>
            </w:tcBorders>
            <w:vAlign w:val="center"/>
            <w:hideMark/>
          </w:tcPr>
          <w:p w14:paraId="7FA88CBC"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7B156B72"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325ABEC0" w14:textId="18B811E9"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5E54A045"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Polluants : ETM*</w:t>
            </w:r>
          </w:p>
        </w:tc>
        <w:tc>
          <w:tcPr>
            <w:tcW w:w="840" w:type="dxa"/>
            <w:tcBorders>
              <w:top w:val="single" w:sz="4" w:space="0" w:color="auto"/>
              <w:left w:val="single" w:sz="4" w:space="0" w:color="auto"/>
              <w:bottom w:val="single" w:sz="4" w:space="0" w:color="auto"/>
              <w:right w:val="single" w:sz="4" w:space="0" w:color="auto"/>
            </w:tcBorders>
            <w:vAlign w:val="center"/>
            <w:hideMark/>
          </w:tcPr>
          <w:p w14:paraId="6F955B18"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4FD4945D" w14:textId="77777777" w:rsidR="00B363AA" w:rsidRPr="00B363AA" w:rsidRDefault="00B363AA" w:rsidP="00EC7345">
            <w:pPr>
              <w:spacing w:after="0" w:line="240" w:lineRule="auto"/>
              <w:jc w:val="left"/>
              <w:rPr>
                <w:rFonts w:ascii="Aptos Narrow" w:eastAsia="Times New Roman" w:hAnsi="Aptos Narrow" w:cs="Times New Roman"/>
                <w:i/>
                <w:iCs/>
                <w:color w:val="000000"/>
                <w:kern w:val="0"/>
                <w:sz w:val="16"/>
                <w:szCs w:val="16"/>
                <w:lang w:eastAsia="fr-BE"/>
                <w14:ligatures w14:val="none"/>
              </w:rPr>
            </w:pPr>
            <w:r w:rsidRPr="00B363AA">
              <w:rPr>
                <w:rFonts w:ascii="Aptos Narrow" w:eastAsia="Times New Roman" w:hAnsi="Aptos Narrow" w:cs="Times New Roman"/>
                <w:i/>
                <w:iCs/>
                <w:color w:val="000000"/>
                <w:kern w:val="0"/>
                <w:sz w:val="16"/>
                <w:szCs w:val="16"/>
                <w:lang w:eastAsia="fr-BE"/>
                <w14:ligatures w14:val="none"/>
              </w:rPr>
              <w:t>CWEA S-III (eau régale)</w:t>
            </w:r>
          </w:p>
        </w:tc>
        <w:tc>
          <w:tcPr>
            <w:tcW w:w="1610" w:type="dxa"/>
            <w:tcBorders>
              <w:top w:val="single" w:sz="4" w:space="0" w:color="auto"/>
              <w:left w:val="single" w:sz="4" w:space="0" w:color="auto"/>
              <w:bottom w:val="single" w:sz="4" w:space="0" w:color="auto"/>
              <w:right w:val="single" w:sz="4" w:space="0" w:color="auto"/>
            </w:tcBorders>
            <w:vAlign w:val="center"/>
            <w:hideMark/>
          </w:tcPr>
          <w:p w14:paraId="294C9C50"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r w:rsidRPr="00B363AA">
              <w:rPr>
                <w:rFonts w:ascii="Aptos Narrow" w:eastAsia="Times New Roman" w:hAnsi="Aptos Narrow" w:cs="Times New Roman"/>
                <w:color w:val="000000"/>
                <w:kern w:val="0"/>
                <w:sz w:val="16"/>
                <w:szCs w:val="16"/>
                <w:lang w:eastAsia="fr-BE"/>
                <w14:ligatures w14:val="none"/>
              </w:rPr>
              <w:t xml:space="preserve"> si pertinent</w:t>
            </w:r>
          </w:p>
        </w:tc>
      </w:tr>
      <w:tr w:rsidR="00B363AA" w:rsidRPr="00B363AA" w14:paraId="4ED9B808"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7FC7F211" w14:textId="1C8516FA"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349E678B"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Polluants : HM, HAP, BTEX, HCOV*</w:t>
            </w:r>
          </w:p>
        </w:tc>
        <w:tc>
          <w:tcPr>
            <w:tcW w:w="840" w:type="dxa"/>
            <w:tcBorders>
              <w:top w:val="single" w:sz="4" w:space="0" w:color="auto"/>
              <w:left w:val="single" w:sz="4" w:space="0" w:color="auto"/>
              <w:bottom w:val="single" w:sz="4" w:space="0" w:color="auto"/>
              <w:right w:val="single" w:sz="4" w:space="0" w:color="auto"/>
            </w:tcBorders>
            <w:vAlign w:val="center"/>
            <w:hideMark/>
          </w:tcPr>
          <w:p w14:paraId="3BF71298"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1091158E" w14:textId="77777777" w:rsidR="00B363AA" w:rsidRPr="00B363AA" w:rsidRDefault="00B363AA" w:rsidP="00EC7345">
            <w:pPr>
              <w:spacing w:after="0" w:line="240" w:lineRule="auto"/>
              <w:jc w:val="left"/>
              <w:rPr>
                <w:rFonts w:ascii="Aptos Narrow" w:eastAsia="Times New Roman" w:hAnsi="Aptos Narrow" w:cs="Times New Roman"/>
                <w:i/>
                <w:iCs/>
                <w:color w:val="000000"/>
                <w:kern w:val="0"/>
                <w:sz w:val="16"/>
                <w:szCs w:val="16"/>
                <w:lang w:eastAsia="fr-BE"/>
                <w14:ligatures w14:val="none"/>
              </w:rPr>
            </w:pPr>
            <w:r w:rsidRPr="00B363AA">
              <w:rPr>
                <w:rFonts w:ascii="Aptos Narrow" w:eastAsia="Times New Roman" w:hAnsi="Aptos Narrow" w:cs="Times New Roman"/>
                <w:i/>
                <w:iCs/>
                <w:color w:val="000000"/>
                <w:kern w:val="0"/>
                <w:sz w:val="16"/>
                <w:szCs w:val="16"/>
                <w:lang w:eastAsia="fr-BE"/>
                <w14:ligatures w14:val="none"/>
              </w:rPr>
              <w:t>CWEA S-II (chromatographie en phase gazeuse)</w:t>
            </w:r>
          </w:p>
        </w:tc>
        <w:tc>
          <w:tcPr>
            <w:tcW w:w="1610" w:type="dxa"/>
            <w:tcBorders>
              <w:top w:val="single" w:sz="4" w:space="0" w:color="auto"/>
              <w:left w:val="single" w:sz="4" w:space="0" w:color="auto"/>
              <w:bottom w:val="single" w:sz="4" w:space="0" w:color="auto"/>
              <w:right w:val="single" w:sz="4" w:space="0" w:color="auto"/>
            </w:tcBorders>
            <w:vAlign w:val="center"/>
            <w:hideMark/>
          </w:tcPr>
          <w:p w14:paraId="28F4B53D"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r w:rsidRPr="00B363AA">
              <w:rPr>
                <w:rFonts w:ascii="Aptos Narrow" w:eastAsia="Times New Roman" w:hAnsi="Aptos Narrow" w:cs="Times New Roman"/>
                <w:color w:val="000000"/>
                <w:kern w:val="0"/>
                <w:sz w:val="16"/>
                <w:szCs w:val="16"/>
                <w:lang w:eastAsia="fr-BE"/>
                <w14:ligatures w14:val="none"/>
              </w:rPr>
              <w:t xml:space="preserve"> si pertinent</w:t>
            </w:r>
          </w:p>
        </w:tc>
      </w:tr>
      <w:tr w:rsidR="00B363AA" w:rsidRPr="00B363AA" w14:paraId="3D034AC6" w14:textId="77777777" w:rsidTr="00500340">
        <w:trPr>
          <w:trHeight w:val="225"/>
        </w:trPr>
        <w:tc>
          <w:tcPr>
            <w:tcW w:w="562" w:type="dxa"/>
            <w:vMerge/>
            <w:tcBorders>
              <w:left w:val="single" w:sz="4" w:space="0" w:color="auto"/>
              <w:bottom w:val="single" w:sz="4" w:space="0" w:color="FFFFFF" w:themeColor="background1"/>
              <w:right w:val="single" w:sz="4" w:space="0" w:color="auto"/>
            </w:tcBorders>
            <w:shd w:val="clear" w:color="auto" w:fill="0A2F41" w:themeFill="accent1" w:themeFillShade="80"/>
            <w:vAlign w:val="center"/>
            <w:hideMark/>
          </w:tcPr>
          <w:p w14:paraId="1175E0B4" w14:textId="5255CEDC"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23A0C0A"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Conductivité électrique</w:t>
            </w:r>
          </w:p>
        </w:tc>
        <w:tc>
          <w:tcPr>
            <w:tcW w:w="8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ECD3BE"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3840076"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Extrait de pâte saturée</w:t>
            </w:r>
          </w:p>
        </w:tc>
        <w:tc>
          <w:tcPr>
            <w:tcW w:w="161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A125993"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Pour aller plus loin</w:t>
            </w:r>
          </w:p>
        </w:tc>
      </w:tr>
      <w:tr w:rsidR="00B363AA" w:rsidRPr="00B363AA" w14:paraId="0FA15EA0" w14:textId="77777777" w:rsidTr="00500340">
        <w:trPr>
          <w:trHeight w:val="225"/>
        </w:trPr>
        <w:tc>
          <w:tcPr>
            <w:tcW w:w="562" w:type="dxa"/>
            <w:vMerge w:val="restart"/>
            <w:tcBorders>
              <w:top w:val="single" w:sz="4" w:space="0" w:color="FFFFFF" w:themeColor="background1"/>
              <w:left w:val="single" w:sz="4" w:space="0" w:color="auto"/>
              <w:right w:val="single" w:sz="4" w:space="0" w:color="auto"/>
            </w:tcBorders>
            <w:shd w:val="clear" w:color="auto" w:fill="0A2F41" w:themeFill="accent1" w:themeFillShade="80"/>
            <w:textDirection w:val="btLr"/>
            <w:vAlign w:val="center"/>
            <w:hideMark/>
          </w:tcPr>
          <w:p w14:paraId="425856C3" w14:textId="161BB241" w:rsidR="00B363AA" w:rsidRPr="009D3A06" w:rsidRDefault="00B363AA" w:rsidP="00B363AA">
            <w:pPr>
              <w:spacing w:after="0" w:line="240" w:lineRule="auto"/>
              <w:ind w:left="113" w:right="113"/>
              <w:jc w:val="center"/>
              <w:rPr>
                <w:rFonts w:ascii="Aptos Narrow" w:eastAsia="Times New Roman" w:hAnsi="Aptos Narrow" w:cs="Times New Roman"/>
                <w:color w:val="FFFFFF" w:themeColor="background1"/>
                <w:kern w:val="0"/>
                <w:sz w:val="16"/>
                <w:szCs w:val="16"/>
                <w:lang w:eastAsia="fr-BE"/>
                <w14:ligatures w14:val="none"/>
              </w:rPr>
            </w:pPr>
            <w:r w:rsidRPr="009D3A06">
              <w:rPr>
                <w:rFonts w:ascii="Aptos Narrow" w:eastAsia="Times New Roman" w:hAnsi="Aptos Narrow" w:cs="Times New Roman"/>
                <w:color w:val="FFFFFF" w:themeColor="background1"/>
                <w:kern w:val="0"/>
                <w:sz w:val="16"/>
                <w:szCs w:val="16"/>
                <w:lang w:eastAsia="fr-BE"/>
                <w14:ligatures w14:val="none"/>
              </w:rPr>
              <w:t>Indicateurs biologiques</w:t>
            </w:r>
          </w:p>
        </w:tc>
        <w:tc>
          <w:tcPr>
            <w:tcW w:w="2938" w:type="dxa"/>
            <w:tcBorders>
              <w:top w:val="single" w:sz="4" w:space="0" w:color="auto"/>
              <w:left w:val="single" w:sz="4" w:space="0" w:color="auto"/>
              <w:bottom w:val="single" w:sz="4" w:space="0" w:color="auto"/>
              <w:right w:val="single" w:sz="4" w:space="0" w:color="auto"/>
            </w:tcBorders>
            <w:vAlign w:val="center"/>
            <w:hideMark/>
          </w:tcPr>
          <w:p w14:paraId="52053F98"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Biomasse microbienne</w:t>
            </w:r>
          </w:p>
        </w:tc>
        <w:tc>
          <w:tcPr>
            <w:tcW w:w="840" w:type="dxa"/>
            <w:tcBorders>
              <w:top w:val="single" w:sz="4" w:space="0" w:color="auto"/>
              <w:left w:val="single" w:sz="4" w:space="0" w:color="auto"/>
              <w:bottom w:val="single" w:sz="4" w:space="0" w:color="auto"/>
              <w:right w:val="single" w:sz="4" w:space="0" w:color="auto"/>
            </w:tcBorders>
            <w:vAlign w:val="center"/>
            <w:hideMark/>
          </w:tcPr>
          <w:p w14:paraId="2E65925F"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single" w:sz="4" w:space="0" w:color="auto"/>
            </w:tcBorders>
            <w:vAlign w:val="center"/>
            <w:hideMark/>
          </w:tcPr>
          <w:p w14:paraId="09AD0C6C"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Fumigation au chloroforme</w:t>
            </w:r>
          </w:p>
        </w:tc>
        <w:tc>
          <w:tcPr>
            <w:tcW w:w="1610" w:type="dxa"/>
            <w:tcBorders>
              <w:top w:val="single" w:sz="4" w:space="0" w:color="auto"/>
              <w:left w:val="single" w:sz="4" w:space="0" w:color="auto"/>
              <w:bottom w:val="single" w:sz="4" w:space="0" w:color="auto"/>
              <w:right w:val="single" w:sz="4" w:space="0" w:color="auto"/>
            </w:tcBorders>
            <w:vAlign w:val="center"/>
            <w:hideMark/>
          </w:tcPr>
          <w:p w14:paraId="4EC250C4"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6BFB46F3"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3CB7D76C" w14:textId="33C485E7"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73D02605"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Diversité des nématodes</w:t>
            </w:r>
          </w:p>
        </w:tc>
        <w:tc>
          <w:tcPr>
            <w:tcW w:w="840" w:type="dxa"/>
            <w:tcBorders>
              <w:top w:val="single" w:sz="4" w:space="0" w:color="auto"/>
              <w:left w:val="single" w:sz="4" w:space="0" w:color="auto"/>
              <w:bottom w:val="single" w:sz="4" w:space="0" w:color="auto"/>
              <w:right w:val="single" w:sz="4" w:space="0" w:color="auto"/>
            </w:tcBorders>
            <w:vAlign w:val="center"/>
            <w:hideMark/>
          </w:tcPr>
          <w:p w14:paraId="134F7B37"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6B36A7F2"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proofErr w:type="spellStart"/>
            <w:r w:rsidRPr="00B363AA">
              <w:rPr>
                <w:rFonts w:ascii="Aptos Narrow" w:eastAsia="Times New Roman" w:hAnsi="Aptos Narrow" w:cs="Times New Roman"/>
                <w:color w:val="000000"/>
                <w:kern w:val="0"/>
                <w:sz w:val="16"/>
                <w:szCs w:val="16"/>
                <w:lang w:eastAsia="fr-BE"/>
                <w14:ligatures w14:val="none"/>
              </w:rPr>
              <w:t>Métabarcoding</w:t>
            </w:r>
            <w:proofErr w:type="spellEnd"/>
          </w:p>
        </w:tc>
        <w:tc>
          <w:tcPr>
            <w:tcW w:w="1610" w:type="dxa"/>
            <w:tcBorders>
              <w:top w:val="single" w:sz="4" w:space="0" w:color="auto"/>
              <w:left w:val="single" w:sz="4" w:space="0" w:color="auto"/>
              <w:bottom w:val="single" w:sz="4" w:space="0" w:color="auto"/>
              <w:right w:val="single" w:sz="4" w:space="0" w:color="auto"/>
            </w:tcBorders>
            <w:vAlign w:val="center"/>
            <w:hideMark/>
          </w:tcPr>
          <w:p w14:paraId="2AD5ED3F"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Pour aller plus loin</w:t>
            </w:r>
          </w:p>
        </w:tc>
      </w:tr>
      <w:tr w:rsidR="00B363AA" w:rsidRPr="00B363AA" w14:paraId="6E2A58D5" w14:textId="77777777" w:rsidTr="00500340">
        <w:trPr>
          <w:trHeight w:val="450"/>
        </w:trPr>
        <w:tc>
          <w:tcPr>
            <w:tcW w:w="562" w:type="dxa"/>
            <w:vMerge/>
            <w:tcBorders>
              <w:left w:val="single" w:sz="4" w:space="0" w:color="auto"/>
              <w:right w:val="single" w:sz="4" w:space="0" w:color="auto"/>
            </w:tcBorders>
            <w:shd w:val="clear" w:color="auto" w:fill="0A2F41" w:themeFill="accent1" w:themeFillShade="80"/>
            <w:vAlign w:val="center"/>
            <w:hideMark/>
          </w:tcPr>
          <w:p w14:paraId="21DDD9E8" w14:textId="6AAFA91B"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56FD560C"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Espèces exotiques envahissantes</w:t>
            </w:r>
          </w:p>
        </w:tc>
        <w:tc>
          <w:tcPr>
            <w:tcW w:w="840" w:type="dxa"/>
            <w:tcBorders>
              <w:top w:val="single" w:sz="4" w:space="0" w:color="auto"/>
              <w:left w:val="single" w:sz="4" w:space="0" w:color="auto"/>
              <w:bottom w:val="single" w:sz="4" w:space="0" w:color="auto"/>
              <w:right w:val="single" w:sz="4" w:space="0" w:color="auto"/>
            </w:tcBorders>
            <w:vAlign w:val="center"/>
            <w:hideMark/>
          </w:tcPr>
          <w:p w14:paraId="4FDAF01D"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w:t>
            </w:r>
          </w:p>
        </w:tc>
        <w:tc>
          <w:tcPr>
            <w:tcW w:w="3310" w:type="dxa"/>
            <w:tcBorders>
              <w:top w:val="single" w:sz="4" w:space="0" w:color="auto"/>
              <w:left w:val="single" w:sz="4" w:space="0" w:color="auto"/>
              <w:bottom w:val="single" w:sz="4" w:space="0" w:color="auto"/>
              <w:right w:val="nil"/>
            </w:tcBorders>
            <w:vAlign w:val="center"/>
            <w:hideMark/>
          </w:tcPr>
          <w:p w14:paraId="1D3A55A4"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Observation / reconnaissance (espèce et densité de recouvrement)</w:t>
            </w:r>
          </w:p>
        </w:tc>
        <w:tc>
          <w:tcPr>
            <w:tcW w:w="1610" w:type="dxa"/>
            <w:tcBorders>
              <w:top w:val="single" w:sz="4" w:space="0" w:color="auto"/>
              <w:left w:val="single" w:sz="4" w:space="0" w:color="auto"/>
              <w:bottom w:val="single" w:sz="4" w:space="0" w:color="auto"/>
              <w:right w:val="single" w:sz="4" w:space="0" w:color="auto"/>
            </w:tcBorders>
            <w:vAlign w:val="center"/>
            <w:hideMark/>
          </w:tcPr>
          <w:p w14:paraId="61F42488"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proofErr w:type="gramStart"/>
            <w:r w:rsidRPr="00B363AA">
              <w:rPr>
                <w:rFonts w:ascii="Aptos Narrow" w:eastAsia="Times New Roman" w:hAnsi="Aptos Narrow" w:cs="Times New Roman"/>
                <w:color w:val="000000"/>
                <w:kern w:val="0"/>
                <w:sz w:val="16"/>
                <w:szCs w:val="16"/>
                <w:lang w:eastAsia="fr-BE"/>
                <w14:ligatures w14:val="none"/>
              </w:rPr>
              <w:t>x</w:t>
            </w:r>
            <w:proofErr w:type="gramEnd"/>
          </w:p>
        </w:tc>
      </w:tr>
      <w:tr w:rsidR="00B363AA" w:rsidRPr="00B363AA" w14:paraId="45B797C7"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699EE501" w14:textId="2B83D68B"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0FC43A7F"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Diversité des bactéries</w:t>
            </w:r>
          </w:p>
        </w:tc>
        <w:tc>
          <w:tcPr>
            <w:tcW w:w="840" w:type="dxa"/>
            <w:tcBorders>
              <w:top w:val="single" w:sz="4" w:space="0" w:color="auto"/>
              <w:left w:val="single" w:sz="4" w:space="0" w:color="auto"/>
              <w:bottom w:val="single" w:sz="4" w:space="0" w:color="auto"/>
              <w:right w:val="single" w:sz="4" w:space="0" w:color="auto"/>
            </w:tcBorders>
            <w:vAlign w:val="center"/>
            <w:hideMark/>
          </w:tcPr>
          <w:p w14:paraId="7604D986"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3319DD25"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proofErr w:type="spellStart"/>
            <w:r w:rsidRPr="00B363AA">
              <w:rPr>
                <w:rFonts w:ascii="Aptos Narrow" w:eastAsia="Times New Roman" w:hAnsi="Aptos Narrow" w:cs="Times New Roman"/>
                <w:color w:val="000000"/>
                <w:kern w:val="0"/>
                <w:sz w:val="16"/>
                <w:szCs w:val="16"/>
                <w:lang w:eastAsia="fr-BE"/>
                <w14:ligatures w14:val="none"/>
              </w:rPr>
              <w:t>Métabarcoding</w:t>
            </w:r>
            <w:proofErr w:type="spellEnd"/>
          </w:p>
        </w:tc>
        <w:tc>
          <w:tcPr>
            <w:tcW w:w="1610" w:type="dxa"/>
            <w:tcBorders>
              <w:top w:val="single" w:sz="4" w:space="0" w:color="auto"/>
              <w:left w:val="single" w:sz="4" w:space="0" w:color="auto"/>
              <w:bottom w:val="single" w:sz="4" w:space="0" w:color="auto"/>
              <w:right w:val="single" w:sz="4" w:space="0" w:color="auto"/>
            </w:tcBorders>
            <w:vAlign w:val="center"/>
            <w:hideMark/>
          </w:tcPr>
          <w:p w14:paraId="0245AAD6"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Pour aller plus loin</w:t>
            </w:r>
          </w:p>
        </w:tc>
      </w:tr>
      <w:tr w:rsidR="00B363AA" w:rsidRPr="00B363AA" w14:paraId="2C80E522"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2F468470" w14:textId="692307E6"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3F5390AF"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Diversité des champignons</w:t>
            </w:r>
          </w:p>
        </w:tc>
        <w:tc>
          <w:tcPr>
            <w:tcW w:w="840" w:type="dxa"/>
            <w:tcBorders>
              <w:top w:val="single" w:sz="4" w:space="0" w:color="auto"/>
              <w:left w:val="single" w:sz="4" w:space="0" w:color="auto"/>
              <w:bottom w:val="single" w:sz="4" w:space="0" w:color="auto"/>
              <w:right w:val="single" w:sz="4" w:space="0" w:color="auto"/>
            </w:tcBorders>
            <w:vAlign w:val="center"/>
            <w:hideMark/>
          </w:tcPr>
          <w:p w14:paraId="03E254CE"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1CDC2467"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proofErr w:type="spellStart"/>
            <w:r w:rsidRPr="00B363AA">
              <w:rPr>
                <w:rFonts w:ascii="Aptos Narrow" w:eastAsia="Times New Roman" w:hAnsi="Aptos Narrow" w:cs="Times New Roman"/>
                <w:color w:val="000000"/>
                <w:kern w:val="0"/>
                <w:sz w:val="16"/>
                <w:szCs w:val="16"/>
                <w:lang w:eastAsia="fr-BE"/>
                <w14:ligatures w14:val="none"/>
              </w:rPr>
              <w:t>Métabarcoding</w:t>
            </w:r>
            <w:proofErr w:type="spellEnd"/>
          </w:p>
        </w:tc>
        <w:tc>
          <w:tcPr>
            <w:tcW w:w="1610" w:type="dxa"/>
            <w:tcBorders>
              <w:top w:val="single" w:sz="4" w:space="0" w:color="auto"/>
              <w:left w:val="single" w:sz="4" w:space="0" w:color="auto"/>
              <w:bottom w:val="single" w:sz="4" w:space="0" w:color="auto"/>
              <w:right w:val="single" w:sz="4" w:space="0" w:color="auto"/>
            </w:tcBorders>
            <w:vAlign w:val="center"/>
            <w:hideMark/>
          </w:tcPr>
          <w:p w14:paraId="446D346C"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Pour aller plus loin</w:t>
            </w:r>
          </w:p>
        </w:tc>
      </w:tr>
      <w:tr w:rsidR="00B363AA" w:rsidRPr="00B363AA" w14:paraId="1D510EBB" w14:textId="77777777" w:rsidTr="00500340">
        <w:trPr>
          <w:trHeight w:val="450"/>
        </w:trPr>
        <w:tc>
          <w:tcPr>
            <w:tcW w:w="562" w:type="dxa"/>
            <w:vMerge/>
            <w:tcBorders>
              <w:left w:val="single" w:sz="4" w:space="0" w:color="auto"/>
              <w:bottom w:val="single" w:sz="4" w:space="0" w:color="FFFFFF" w:themeColor="background1"/>
              <w:right w:val="single" w:sz="4" w:space="0" w:color="auto"/>
            </w:tcBorders>
            <w:shd w:val="clear" w:color="auto" w:fill="0A2F41" w:themeFill="accent1" w:themeFillShade="80"/>
            <w:vAlign w:val="center"/>
            <w:hideMark/>
          </w:tcPr>
          <w:p w14:paraId="67E31148" w14:textId="053E571B" w:rsidR="00B363AA" w:rsidRPr="009D3A06" w:rsidRDefault="00B363AA" w:rsidP="00EC7345">
            <w:pPr>
              <w:spacing w:after="0" w:line="240" w:lineRule="auto"/>
              <w:jc w:val="left"/>
              <w:rPr>
                <w:rFonts w:ascii="Aptos Narrow" w:eastAsia="Times New Roman" w:hAnsi="Aptos Narrow" w:cs="Times New Roman"/>
                <w:color w:val="FFFFFF" w:themeColor="background1"/>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0D1ADF63"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 xml:space="preserve">Ratio d'abondance </w:t>
            </w:r>
            <w:proofErr w:type="spellStart"/>
            <w:r w:rsidRPr="00B363AA">
              <w:rPr>
                <w:rFonts w:ascii="Aptos Narrow" w:eastAsia="Times New Roman" w:hAnsi="Aptos Narrow" w:cs="Times New Roman"/>
                <w:color w:val="000000"/>
                <w:kern w:val="0"/>
                <w:sz w:val="16"/>
                <w:szCs w:val="16"/>
                <w:lang w:eastAsia="fr-BE"/>
                <w14:ligatures w14:val="none"/>
              </w:rPr>
              <w:t>bact</w:t>
            </w:r>
            <w:proofErr w:type="spellEnd"/>
            <w:r w:rsidRPr="00B363AA">
              <w:rPr>
                <w:rFonts w:ascii="Aptos Narrow" w:eastAsia="Times New Roman" w:hAnsi="Aptos Narrow" w:cs="Times New Roman"/>
                <w:color w:val="000000"/>
                <w:kern w:val="0"/>
                <w:sz w:val="16"/>
                <w:szCs w:val="16"/>
                <w:lang w:eastAsia="fr-BE"/>
                <w14:ligatures w14:val="none"/>
              </w:rPr>
              <w:t>/champignons</w:t>
            </w:r>
          </w:p>
        </w:tc>
        <w:tc>
          <w:tcPr>
            <w:tcW w:w="840" w:type="dxa"/>
            <w:tcBorders>
              <w:top w:val="single" w:sz="4" w:space="0" w:color="auto"/>
              <w:left w:val="single" w:sz="4" w:space="0" w:color="auto"/>
              <w:bottom w:val="single" w:sz="4" w:space="0" w:color="auto"/>
              <w:right w:val="single" w:sz="4" w:space="0" w:color="auto"/>
            </w:tcBorders>
            <w:vAlign w:val="center"/>
            <w:hideMark/>
          </w:tcPr>
          <w:p w14:paraId="5AF87F7A" w14:textId="77777777" w:rsidR="00B363AA" w:rsidRPr="00B363AA" w:rsidRDefault="00B363AA" w:rsidP="00EC7345">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nil"/>
            </w:tcBorders>
            <w:vAlign w:val="center"/>
            <w:hideMark/>
          </w:tcPr>
          <w:p w14:paraId="0A3F5319" w14:textId="77777777" w:rsidR="00B363AA" w:rsidRPr="00B363AA" w:rsidRDefault="00B363AA" w:rsidP="00EC7345">
            <w:pPr>
              <w:spacing w:after="0" w:line="240" w:lineRule="auto"/>
              <w:jc w:val="left"/>
              <w:rPr>
                <w:rFonts w:ascii="Aptos Narrow" w:eastAsia="Times New Roman" w:hAnsi="Aptos Narrow" w:cs="Times New Roman"/>
                <w:color w:val="000000"/>
                <w:kern w:val="0"/>
                <w:sz w:val="16"/>
                <w:szCs w:val="16"/>
                <w:lang w:eastAsia="fr-BE"/>
                <w14:ligatures w14:val="none"/>
              </w:rPr>
            </w:pPr>
            <w:proofErr w:type="spellStart"/>
            <w:proofErr w:type="gramStart"/>
            <w:r w:rsidRPr="00B363AA">
              <w:rPr>
                <w:rFonts w:ascii="Aptos Narrow" w:eastAsia="Times New Roman" w:hAnsi="Aptos Narrow" w:cs="Times New Roman"/>
                <w:color w:val="000000"/>
                <w:kern w:val="0"/>
                <w:sz w:val="16"/>
                <w:szCs w:val="16"/>
                <w:lang w:eastAsia="fr-BE"/>
                <w14:ligatures w14:val="none"/>
              </w:rPr>
              <w:t>qPCR</w:t>
            </w:r>
            <w:proofErr w:type="spellEnd"/>
            <w:proofErr w:type="gramEnd"/>
          </w:p>
        </w:tc>
        <w:tc>
          <w:tcPr>
            <w:tcW w:w="1610" w:type="dxa"/>
            <w:tcBorders>
              <w:top w:val="single" w:sz="4" w:space="0" w:color="auto"/>
              <w:left w:val="single" w:sz="4" w:space="0" w:color="auto"/>
              <w:bottom w:val="single" w:sz="4" w:space="0" w:color="auto"/>
              <w:right w:val="single" w:sz="4" w:space="0" w:color="auto"/>
            </w:tcBorders>
            <w:vAlign w:val="center"/>
            <w:hideMark/>
          </w:tcPr>
          <w:p w14:paraId="3A63AF83" w14:textId="77777777" w:rsidR="00B363AA" w:rsidRPr="00B363AA" w:rsidRDefault="00B363AA" w:rsidP="00984A3C">
            <w:pPr>
              <w:spacing w:after="0" w:line="240" w:lineRule="auto"/>
              <w:jc w:val="center"/>
              <w:rPr>
                <w:rFonts w:ascii="Aptos Narrow" w:eastAsia="Times New Roman" w:hAnsi="Aptos Narrow" w:cs="Times New Roman"/>
                <w:color w:val="000000"/>
                <w:kern w:val="0"/>
                <w:sz w:val="16"/>
                <w:szCs w:val="16"/>
                <w:lang w:eastAsia="fr-BE"/>
                <w14:ligatures w14:val="none"/>
              </w:rPr>
            </w:pPr>
            <w:r w:rsidRPr="00B363AA">
              <w:rPr>
                <w:rFonts w:ascii="Aptos Narrow" w:eastAsia="Times New Roman" w:hAnsi="Aptos Narrow" w:cs="Times New Roman"/>
                <w:color w:val="000000"/>
                <w:kern w:val="0"/>
                <w:sz w:val="16"/>
                <w:szCs w:val="16"/>
                <w:lang w:eastAsia="fr-BE"/>
                <w14:ligatures w14:val="none"/>
              </w:rPr>
              <w:t>Pour aller plus loin</w:t>
            </w:r>
          </w:p>
        </w:tc>
      </w:tr>
      <w:tr w:rsidR="00B363AA" w:rsidRPr="00B363AA" w14:paraId="77EFD19A" w14:textId="77777777" w:rsidTr="00500340">
        <w:trPr>
          <w:trHeight w:val="225"/>
        </w:trPr>
        <w:tc>
          <w:tcPr>
            <w:tcW w:w="562" w:type="dxa"/>
            <w:vMerge w:val="restart"/>
            <w:tcBorders>
              <w:top w:val="single" w:sz="4" w:space="0" w:color="FFFFFF" w:themeColor="background1"/>
              <w:left w:val="single" w:sz="4" w:space="0" w:color="auto"/>
              <w:right w:val="single" w:sz="4" w:space="0" w:color="auto"/>
            </w:tcBorders>
            <w:shd w:val="clear" w:color="auto" w:fill="0A2F41" w:themeFill="accent1" w:themeFillShade="80"/>
            <w:textDirection w:val="btLr"/>
            <w:vAlign w:val="center"/>
            <w:hideMark/>
          </w:tcPr>
          <w:p w14:paraId="49AEE31D" w14:textId="398E6667" w:rsidR="00B363AA" w:rsidRPr="009D3A06" w:rsidRDefault="00B363AA" w:rsidP="00B363AA">
            <w:pPr>
              <w:spacing w:after="0" w:line="240" w:lineRule="auto"/>
              <w:ind w:left="113" w:right="113"/>
              <w:jc w:val="center"/>
              <w:rPr>
                <w:rFonts w:ascii="Aptos Narrow" w:eastAsia="Times New Roman" w:hAnsi="Aptos Narrow" w:cs="Times New Roman"/>
                <w:b/>
                <w:bCs/>
                <w:color w:val="FFFFFF" w:themeColor="background1"/>
                <w:kern w:val="0"/>
                <w:sz w:val="16"/>
                <w:szCs w:val="16"/>
                <w:lang w:eastAsia="fr-BE"/>
                <w14:ligatures w14:val="none"/>
              </w:rPr>
            </w:pPr>
            <w:r w:rsidRPr="009D3A06">
              <w:rPr>
                <w:rFonts w:ascii="Aptos Narrow" w:eastAsia="Times New Roman" w:hAnsi="Aptos Narrow" w:cs="Times New Roman"/>
                <w:b/>
                <w:bCs/>
                <w:color w:val="FFFFFF" w:themeColor="background1"/>
                <w:kern w:val="0"/>
                <w:sz w:val="16"/>
                <w:szCs w:val="16"/>
                <w:lang w:eastAsia="fr-BE"/>
                <w14:ligatures w14:val="none"/>
              </w:rPr>
              <w:t>Indicateurs calculés</w:t>
            </w:r>
          </w:p>
        </w:tc>
        <w:tc>
          <w:tcPr>
            <w:tcW w:w="2938" w:type="dxa"/>
            <w:tcBorders>
              <w:top w:val="single" w:sz="4" w:space="0" w:color="auto"/>
              <w:left w:val="single" w:sz="4" w:space="0" w:color="auto"/>
              <w:bottom w:val="single" w:sz="4" w:space="0" w:color="auto"/>
              <w:right w:val="single" w:sz="4" w:space="0" w:color="auto"/>
            </w:tcBorders>
            <w:vAlign w:val="center"/>
            <w:hideMark/>
          </w:tcPr>
          <w:p w14:paraId="554BBECD" w14:textId="30E30D8B"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 xml:space="preserve">Rapport </w:t>
            </w:r>
            <w:proofErr w:type="spellStart"/>
            <w:r w:rsidRPr="00B363AA">
              <w:rPr>
                <w:rFonts w:ascii="Aptos Narrow" w:eastAsia="Times New Roman" w:hAnsi="Aptos Narrow" w:cs="Times New Roman"/>
                <w:b/>
                <w:bCs/>
                <w:color w:val="000000"/>
                <w:kern w:val="0"/>
                <w:sz w:val="16"/>
                <w:szCs w:val="16"/>
                <w:lang w:eastAsia="fr-BE"/>
                <w14:ligatures w14:val="none"/>
              </w:rPr>
              <w:t>C</w:t>
            </w:r>
            <w:r>
              <w:rPr>
                <w:rFonts w:ascii="Aptos Narrow" w:eastAsia="Times New Roman" w:hAnsi="Aptos Narrow" w:cs="Times New Roman"/>
                <w:b/>
                <w:bCs/>
                <w:color w:val="000000"/>
                <w:kern w:val="0"/>
                <w:sz w:val="16"/>
                <w:szCs w:val="16"/>
                <w:vertAlign w:val="subscript"/>
                <w:lang w:eastAsia="fr-BE"/>
                <w14:ligatures w14:val="none"/>
              </w:rPr>
              <w:t>org</w:t>
            </w:r>
            <w:proofErr w:type="spellEnd"/>
            <w:r w:rsidRPr="00B363AA">
              <w:rPr>
                <w:rFonts w:ascii="Aptos Narrow" w:eastAsia="Times New Roman" w:hAnsi="Aptos Narrow" w:cs="Times New Roman"/>
                <w:b/>
                <w:bCs/>
                <w:color w:val="000000"/>
                <w:kern w:val="0"/>
                <w:sz w:val="16"/>
                <w:szCs w:val="16"/>
                <w:lang w:eastAsia="fr-BE"/>
                <w14:ligatures w14:val="none"/>
              </w:rPr>
              <w:t>/argile</w:t>
            </w:r>
          </w:p>
        </w:tc>
        <w:tc>
          <w:tcPr>
            <w:tcW w:w="840" w:type="dxa"/>
            <w:tcBorders>
              <w:top w:val="single" w:sz="4" w:space="0" w:color="auto"/>
              <w:left w:val="single" w:sz="4" w:space="0" w:color="auto"/>
              <w:bottom w:val="single" w:sz="4" w:space="0" w:color="auto"/>
              <w:right w:val="single" w:sz="4" w:space="0" w:color="auto"/>
            </w:tcBorders>
            <w:vAlign w:val="center"/>
            <w:hideMark/>
          </w:tcPr>
          <w:p w14:paraId="55E3B48F" w14:textId="77777777" w:rsidR="00B363AA" w:rsidRPr="00B363AA" w:rsidRDefault="00B363AA" w:rsidP="00EC7345">
            <w:pPr>
              <w:spacing w:after="0" w:line="240" w:lineRule="auto"/>
              <w:jc w:val="center"/>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single" w:sz="4" w:space="0" w:color="auto"/>
            </w:tcBorders>
            <w:vAlign w:val="center"/>
            <w:hideMark/>
          </w:tcPr>
          <w:p w14:paraId="1B92B5FB" w14:textId="4E84DF52"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 xml:space="preserve">Équation (calcul à partir de </w:t>
            </w:r>
            <w:r>
              <w:rPr>
                <w:rFonts w:ascii="Aptos Narrow" w:eastAsia="Times New Roman" w:hAnsi="Aptos Narrow" w:cs="Times New Roman"/>
                <w:b/>
                <w:bCs/>
                <w:color w:val="000000"/>
                <w:kern w:val="0"/>
                <w:sz w:val="16"/>
                <w:szCs w:val="16"/>
                <w:lang w:eastAsia="fr-BE"/>
                <w14:ligatures w14:val="none"/>
              </w:rPr>
              <w:t>t</w:t>
            </w:r>
            <w:r w:rsidRPr="00B363AA">
              <w:rPr>
                <w:rFonts w:ascii="Aptos Narrow" w:eastAsia="Times New Roman" w:hAnsi="Aptos Narrow" w:cs="Times New Roman"/>
                <w:b/>
                <w:bCs/>
                <w:color w:val="000000"/>
                <w:kern w:val="0"/>
                <w:sz w:val="16"/>
                <w:szCs w:val="16"/>
                <w:lang w:eastAsia="fr-BE"/>
                <w14:ligatures w14:val="none"/>
              </w:rPr>
              <w:t xml:space="preserve">exture, </w:t>
            </w:r>
            <w:proofErr w:type="spellStart"/>
            <w:r w:rsidRPr="00B363AA">
              <w:rPr>
                <w:rFonts w:ascii="Aptos Narrow" w:eastAsia="Times New Roman" w:hAnsi="Aptos Narrow" w:cs="Times New Roman"/>
                <w:b/>
                <w:bCs/>
                <w:color w:val="000000"/>
                <w:kern w:val="0"/>
                <w:sz w:val="16"/>
                <w:szCs w:val="16"/>
                <w:lang w:eastAsia="fr-BE"/>
                <w14:ligatures w14:val="none"/>
              </w:rPr>
              <w:t>C</w:t>
            </w:r>
            <w:r>
              <w:rPr>
                <w:rFonts w:ascii="Aptos Narrow" w:eastAsia="Times New Roman" w:hAnsi="Aptos Narrow" w:cs="Times New Roman"/>
                <w:b/>
                <w:bCs/>
                <w:color w:val="000000"/>
                <w:kern w:val="0"/>
                <w:sz w:val="16"/>
                <w:szCs w:val="16"/>
                <w:vertAlign w:val="subscript"/>
                <w:lang w:eastAsia="fr-BE"/>
                <w14:ligatures w14:val="none"/>
              </w:rPr>
              <w:t>org</w:t>
            </w:r>
            <w:proofErr w:type="spellEnd"/>
            <w:r>
              <w:rPr>
                <w:rFonts w:ascii="Aptos Narrow" w:eastAsia="Times New Roman" w:hAnsi="Aptos Narrow" w:cs="Times New Roman"/>
                <w:b/>
                <w:bCs/>
                <w:color w:val="000000"/>
                <w:kern w:val="0"/>
                <w:sz w:val="16"/>
                <w:szCs w:val="16"/>
                <w:lang w:eastAsia="fr-BE"/>
                <w14:ligatures w14:val="none"/>
              </w:rPr>
              <w:t>)</w:t>
            </w:r>
          </w:p>
        </w:tc>
        <w:tc>
          <w:tcPr>
            <w:tcW w:w="1610" w:type="dxa"/>
            <w:tcBorders>
              <w:top w:val="single" w:sz="4" w:space="0" w:color="auto"/>
              <w:left w:val="single" w:sz="4" w:space="0" w:color="auto"/>
              <w:bottom w:val="single" w:sz="4" w:space="0" w:color="auto"/>
              <w:right w:val="single" w:sz="4" w:space="0" w:color="auto"/>
            </w:tcBorders>
            <w:vAlign w:val="center"/>
            <w:hideMark/>
          </w:tcPr>
          <w:p w14:paraId="665C2477" w14:textId="77777777" w:rsidR="00B363AA" w:rsidRPr="00B363AA" w:rsidRDefault="00B363AA" w:rsidP="00984A3C">
            <w:pPr>
              <w:spacing w:after="0" w:line="240" w:lineRule="auto"/>
              <w:jc w:val="center"/>
              <w:rPr>
                <w:rFonts w:ascii="Aptos Narrow" w:eastAsia="Times New Roman" w:hAnsi="Aptos Narrow" w:cs="Times New Roman"/>
                <w:b/>
                <w:bCs/>
                <w:color w:val="000000"/>
                <w:kern w:val="0"/>
                <w:sz w:val="16"/>
                <w:szCs w:val="16"/>
                <w:lang w:eastAsia="fr-BE"/>
                <w14:ligatures w14:val="none"/>
              </w:rPr>
            </w:pPr>
            <w:proofErr w:type="gramStart"/>
            <w:r w:rsidRPr="00B363AA">
              <w:rPr>
                <w:rFonts w:ascii="Aptos Narrow" w:eastAsia="Times New Roman" w:hAnsi="Aptos Narrow" w:cs="Times New Roman"/>
                <w:b/>
                <w:bCs/>
                <w:color w:val="000000"/>
                <w:kern w:val="0"/>
                <w:sz w:val="16"/>
                <w:szCs w:val="16"/>
                <w:lang w:eastAsia="fr-BE"/>
                <w14:ligatures w14:val="none"/>
              </w:rPr>
              <w:t>x</w:t>
            </w:r>
            <w:proofErr w:type="gramEnd"/>
          </w:p>
        </w:tc>
      </w:tr>
      <w:tr w:rsidR="00B363AA" w:rsidRPr="00B363AA" w14:paraId="035C26C1" w14:textId="77777777" w:rsidTr="00500340">
        <w:trPr>
          <w:trHeight w:val="225"/>
        </w:trPr>
        <w:tc>
          <w:tcPr>
            <w:tcW w:w="562" w:type="dxa"/>
            <w:vMerge/>
            <w:tcBorders>
              <w:left w:val="single" w:sz="4" w:space="0" w:color="auto"/>
              <w:right w:val="single" w:sz="4" w:space="0" w:color="auto"/>
            </w:tcBorders>
            <w:shd w:val="clear" w:color="auto" w:fill="0A2F41" w:themeFill="accent1" w:themeFillShade="80"/>
            <w:vAlign w:val="center"/>
            <w:hideMark/>
          </w:tcPr>
          <w:p w14:paraId="4649021F" w14:textId="51772F52"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79E33ECB" w14:textId="77777777"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Rapport K/Mg</w:t>
            </w:r>
          </w:p>
        </w:tc>
        <w:tc>
          <w:tcPr>
            <w:tcW w:w="840" w:type="dxa"/>
            <w:tcBorders>
              <w:top w:val="single" w:sz="4" w:space="0" w:color="auto"/>
              <w:left w:val="single" w:sz="4" w:space="0" w:color="auto"/>
              <w:bottom w:val="single" w:sz="4" w:space="0" w:color="auto"/>
              <w:right w:val="single" w:sz="4" w:space="0" w:color="auto"/>
            </w:tcBorders>
            <w:vAlign w:val="center"/>
            <w:hideMark/>
          </w:tcPr>
          <w:p w14:paraId="1DECE24A" w14:textId="77777777" w:rsidR="00B363AA" w:rsidRPr="00B363AA" w:rsidRDefault="00B363AA" w:rsidP="00EC7345">
            <w:pPr>
              <w:spacing w:after="0" w:line="240" w:lineRule="auto"/>
              <w:jc w:val="center"/>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single" w:sz="4" w:space="0" w:color="auto"/>
            </w:tcBorders>
            <w:vAlign w:val="center"/>
            <w:hideMark/>
          </w:tcPr>
          <w:p w14:paraId="23B20421" w14:textId="0BE4B48D"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 xml:space="preserve">Équation (calcul à partir </w:t>
            </w:r>
            <w:r>
              <w:rPr>
                <w:rFonts w:ascii="Aptos Narrow" w:eastAsia="Times New Roman" w:hAnsi="Aptos Narrow" w:cs="Times New Roman"/>
                <w:b/>
                <w:bCs/>
                <w:color w:val="000000"/>
                <w:kern w:val="0"/>
                <w:sz w:val="16"/>
                <w:szCs w:val="16"/>
                <w:lang w:eastAsia="fr-BE"/>
                <w14:ligatures w14:val="none"/>
              </w:rPr>
              <w:t xml:space="preserve">de </w:t>
            </w:r>
            <w:r w:rsidRPr="00B363AA">
              <w:rPr>
                <w:rFonts w:ascii="Aptos Narrow" w:eastAsia="Times New Roman" w:hAnsi="Aptos Narrow" w:cs="Times New Roman"/>
                <w:b/>
                <w:bCs/>
                <w:color w:val="000000"/>
                <w:kern w:val="0"/>
                <w:sz w:val="16"/>
                <w:szCs w:val="16"/>
                <w:lang w:eastAsia="fr-BE"/>
                <w14:ligatures w14:val="none"/>
              </w:rPr>
              <w:t>K, Mg</w:t>
            </w:r>
            <w:r>
              <w:rPr>
                <w:rFonts w:ascii="Aptos Narrow" w:eastAsia="Times New Roman" w:hAnsi="Aptos Narrow" w:cs="Times New Roman"/>
                <w:b/>
                <w:bCs/>
                <w:color w:val="000000"/>
                <w:kern w:val="0"/>
                <w:sz w:val="16"/>
                <w:szCs w:val="16"/>
                <w:lang w:eastAsia="fr-BE"/>
                <w14:ligatures w14:val="none"/>
              </w:rPr>
              <w:t>)</w:t>
            </w:r>
          </w:p>
        </w:tc>
        <w:tc>
          <w:tcPr>
            <w:tcW w:w="1610" w:type="dxa"/>
            <w:tcBorders>
              <w:top w:val="single" w:sz="4" w:space="0" w:color="auto"/>
              <w:left w:val="single" w:sz="4" w:space="0" w:color="auto"/>
              <w:bottom w:val="single" w:sz="4" w:space="0" w:color="auto"/>
              <w:right w:val="single" w:sz="4" w:space="0" w:color="auto"/>
            </w:tcBorders>
            <w:vAlign w:val="center"/>
            <w:hideMark/>
          </w:tcPr>
          <w:p w14:paraId="7F553842" w14:textId="77777777" w:rsidR="00B363AA" w:rsidRPr="00B363AA" w:rsidRDefault="00B363AA" w:rsidP="00984A3C">
            <w:pPr>
              <w:spacing w:after="0" w:line="240" w:lineRule="auto"/>
              <w:jc w:val="center"/>
              <w:rPr>
                <w:rFonts w:ascii="Aptos Narrow" w:eastAsia="Times New Roman" w:hAnsi="Aptos Narrow" w:cs="Times New Roman"/>
                <w:b/>
                <w:bCs/>
                <w:color w:val="000000"/>
                <w:kern w:val="0"/>
                <w:sz w:val="16"/>
                <w:szCs w:val="16"/>
                <w:lang w:eastAsia="fr-BE"/>
                <w14:ligatures w14:val="none"/>
              </w:rPr>
            </w:pPr>
            <w:proofErr w:type="gramStart"/>
            <w:r w:rsidRPr="00B363AA">
              <w:rPr>
                <w:rFonts w:ascii="Aptos Narrow" w:eastAsia="Times New Roman" w:hAnsi="Aptos Narrow" w:cs="Times New Roman"/>
                <w:b/>
                <w:bCs/>
                <w:color w:val="000000"/>
                <w:kern w:val="0"/>
                <w:sz w:val="16"/>
                <w:szCs w:val="16"/>
                <w:lang w:eastAsia="fr-BE"/>
                <w14:ligatures w14:val="none"/>
              </w:rPr>
              <w:t>x</w:t>
            </w:r>
            <w:proofErr w:type="gramEnd"/>
          </w:p>
        </w:tc>
      </w:tr>
      <w:tr w:rsidR="00B363AA" w:rsidRPr="00B363AA" w14:paraId="4311CDA0" w14:textId="77777777" w:rsidTr="00500340">
        <w:trPr>
          <w:trHeight w:val="450"/>
        </w:trPr>
        <w:tc>
          <w:tcPr>
            <w:tcW w:w="562" w:type="dxa"/>
            <w:vMerge/>
            <w:tcBorders>
              <w:left w:val="single" w:sz="4" w:space="0" w:color="auto"/>
              <w:right w:val="single" w:sz="4" w:space="0" w:color="auto"/>
            </w:tcBorders>
            <w:shd w:val="clear" w:color="auto" w:fill="0A2F41" w:themeFill="accent1" w:themeFillShade="80"/>
            <w:vAlign w:val="center"/>
            <w:hideMark/>
          </w:tcPr>
          <w:p w14:paraId="01476773" w14:textId="75679721"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2B585622" w14:textId="77777777"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Stock C</w:t>
            </w:r>
          </w:p>
        </w:tc>
        <w:tc>
          <w:tcPr>
            <w:tcW w:w="840" w:type="dxa"/>
            <w:tcBorders>
              <w:top w:val="single" w:sz="4" w:space="0" w:color="auto"/>
              <w:left w:val="single" w:sz="4" w:space="0" w:color="auto"/>
              <w:bottom w:val="single" w:sz="4" w:space="0" w:color="auto"/>
              <w:right w:val="single" w:sz="4" w:space="0" w:color="auto"/>
            </w:tcBorders>
            <w:vAlign w:val="center"/>
            <w:hideMark/>
          </w:tcPr>
          <w:p w14:paraId="76ED2865" w14:textId="77777777" w:rsidR="00B363AA" w:rsidRPr="00B363AA" w:rsidRDefault="00B363AA" w:rsidP="00EC7345">
            <w:pPr>
              <w:spacing w:after="0" w:line="240" w:lineRule="auto"/>
              <w:jc w:val="center"/>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single" w:sz="4" w:space="0" w:color="auto"/>
            </w:tcBorders>
            <w:vAlign w:val="center"/>
            <w:hideMark/>
          </w:tcPr>
          <w:p w14:paraId="0333B26E" w14:textId="181AA826"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 xml:space="preserve">Équation (calcul à partir de </w:t>
            </w:r>
            <w:proofErr w:type="spellStart"/>
            <w:r w:rsidRPr="00B363AA">
              <w:rPr>
                <w:rFonts w:ascii="Aptos Narrow" w:eastAsia="Times New Roman" w:hAnsi="Aptos Narrow" w:cs="Times New Roman"/>
                <w:b/>
                <w:bCs/>
                <w:color w:val="000000"/>
                <w:kern w:val="0"/>
                <w:sz w:val="16"/>
                <w:szCs w:val="16"/>
                <w:lang w:eastAsia="fr-BE"/>
                <w14:ligatures w14:val="none"/>
              </w:rPr>
              <w:t>C</w:t>
            </w:r>
            <w:r>
              <w:rPr>
                <w:rFonts w:ascii="Aptos Narrow" w:eastAsia="Times New Roman" w:hAnsi="Aptos Narrow" w:cs="Times New Roman"/>
                <w:b/>
                <w:bCs/>
                <w:color w:val="000000"/>
                <w:kern w:val="0"/>
                <w:sz w:val="16"/>
                <w:szCs w:val="16"/>
                <w:vertAlign w:val="subscript"/>
                <w:lang w:eastAsia="fr-BE"/>
                <w14:ligatures w14:val="none"/>
              </w:rPr>
              <w:t>org</w:t>
            </w:r>
            <w:proofErr w:type="spellEnd"/>
            <w:r w:rsidRPr="00B363AA">
              <w:rPr>
                <w:rFonts w:ascii="Aptos Narrow" w:eastAsia="Times New Roman" w:hAnsi="Aptos Narrow" w:cs="Times New Roman"/>
                <w:b/>
                <w:bCs/>
                <w:color w:val="000000"/>
                <w:kern w:val="0"/>
                <w:sz w:val="16"/>
                <w:szCs w:val="16"/>
                <w:lang w:eastAsia="fr-BE"/>
                <w14:ligatures w14:val="none"/>
              </w:rPr>
              <w:t>, densité apparente, charge EG)</w:t>
            </w:r>
          </w:p>
        </w:tc>
        <w:tc>
          <w:tcPr>
            <w:tcW w:w="1610" w:type="dxa"/>
            <w:tcBorders>
              <w:top w:val="single" w:sz="4" w:space="0" w:color="auto"/>
              <w:left w:val="single" w:sz="4" w:space="0" w:color="auto"/>
              <w:bottom w:val="single" w:sz="4" w:space="0" w:color="auto"/>
              <w:right w:val="single" w:sz="4" w:space="0" w:color="auto"/>
            </w:tcBorders>
            <w:vAlign w:val="center"/>
            <w:hideMark/>
          </w:tcPr>
          <w:p w14:paraId="7150C7E7" w14:textId="77777777" w:rsidR="00B363AA" w:rsidRPr="00B363AA" w:rsidRDefault="00B363AA" w:rsidP="00984A3C">
            <w:pPr>
              <w:spacing w:after="0" w:line="240" w:lineRule="auto"/>
              <w:jc w:val="center"/>
              <w:rPr>
                <w:rFonts w:ascii="Aptos Narrow" w:eastAsia="Times New Roman" w:hAnsi="Aptos Narrow" w:cs="Times New Roman"/>
                <w:b/>
                <w:bCs/>
                <w:color w:val="000000"/>
                <w:kern w:val="0"/>
                <w:sz w:val="16"/>
                <w:szCs w:val="16"/>
                <w:lang w:eastAsia="fr-BE"/>
                <w14:ligatures w14:val="none"/>
              </w:rPr>
            </w:pPr>
            <w:proofErr w:type="gramStart"/>
            <w:r w:rsidRPr="00B363AA">
              <w:rPr>
                <w:rFonts w:ascii="Aptos Narrow" w:eastAsia="Times New Roman" w:hAnsi="Aptos Narrow" w:cs="Times New Roman"/>
                <w:b/>
                <w:bCs/>
                <w:color w:val="000000"/>
                <w:kern w:val="0"/>
                <w:sz w:val="16"/>
                <w:szCs w:val="16"/>
                <w:lang w:eastAsia="fr-BE"/>
                <w14:ligatures w14:val="none"/>
              </w:rPr>
              <w:t>x</w:t>
            </w:r>
            <w:proofErr w:type="gramEnd"/>
          </w:p>
        </w:tc>
      </w:tr>
      <w:tr w:rsidR="00B363AA" w:rsidRPr="00B363AA" w14:paraId="3F6002C5" w14:textId="77777777" w:rsidTr="00500340">
        <w:trPr>
          <w:trHeight w:val="675"/>
        </w:trPr>
        <w:tc>
          <w:tcPr>
            <w:tcW w:w="562" w:type="dxa"/>
            <w:vMerge/>
            <w:tcBorders>
              <w:left w:val="single" w:sz="4" w:space="0" w:color="auto"/>
              <w:right w:val="single" w:sz="4" w:space="0" w:color="auto"/>
            </w:tcBorders>
            <w:shd w:val="clear" w:color="auto" w:fill="0A2F41" w:themeFill="accent1" w:themeFillShade="80"/>
            <w:vAlign w:val="center"/>
            <w:hideMark/>
          </w:tcPr>
          <w:p w14:paraId="1D0A427A" w14:textId="268EB831"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2DA50382" w14:textId="77777777"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Capacité de rétention en eau</w:t>
            </w:r>
          </w:p>
        </w:tc>
        <w:tc>
          <w:tcPr>
            <w:tcW w:w="840" w:type="dxa"/>
            <w:tcBorders>
              <w:top w:val="single" w:sz="4" w:space="0" w:color="auto"/>
              <w:left w:val="single" w:sz="4" w:space="0" w:color="auto"/>
              <w:bottom w:val="single" w:sz="4" w:space="0" w:color="auto"/>
              <w:right w:val="single" w:sz="4" w:space="0" w:color="auto"/>
            </w:tcBorders>
            <w:vAlign w:val="center"/>
            <w:hideMark/>
          </w:tcPr>
          <w:p w14:paraId="2E846D1E" w14:textId="77777777" w:rsidR="00B363AA" w:rsidRPr="00B363AA" w:rsidRDefault="00B363AA" w:rsidP="00EC7345">
            <w:pPr>
              <w:spacing w:after="0" w:line="240" w:lineRule="auto"/>
              <w:jc w:val="center"/>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single" w:sz="4" w:space="0" w:color="auto"/>
            </w:tcBorders>
            <w:vAlign w:val="center"/>
            <w:hideMark/>
          </w:tcPr>
          <w:p w14:paraId="295AD80A" w14:textId="01D5BB4D"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PTF (estimation réserve en eau utile (REU) à partir de texture,</w:t>
            </w:r>
            <w:r>
              <w:rPr>
                <w:rFonts w:ascii="Aptos Narrow" w:eastAsia="Times New Roman" w:hAnsi="Aptos Narrow" w:cs="Times New Roman"/>
                <w:b/>
                <w:bCs/>
                <w:color w:val="000000"/>
                <w:kern w:val="0"/>
                <w:sz w:val="16"/>
                <w:szCs w:val="16"/>
                <w:lang w:eastAsia="fr-BE"/>
                <w14:ligatures w14:val="none"/>
              </w:rPr>
              <w:t xml:space="preserve"> </w:t>
            </w:r>
            <w:proofErr w:type="spellStart"/>
            <w:r w:rsidRPr="00B363AA">
              <w:rPr>
                <w:rFonts w:ascii="Aptos Narrow" w:eastAsia="Times New Roman" w:hAnsi="Aptos Narrow" w:cs="Times New Roman"/>
                <w:b/>
                <w:bCs/>
                <w:color w:val="000000"/>
                <w:kern w:val="0"/>
                <w:sz w:val="16"/>
                <w:szCs w:val="16"/>
                <w:lang w:eastAsia="fr-BE"/>
                <w14:ligatures w14:val="none"/>
              </w:rPr>
              <w:t>C</w:t>
            </w:r>
            <w:r>
              <w:rPr>
                <w:rFonts w:ascii="Aptos Narrow" w:eastAsia="Times New Roman" w:hAnsi="Aptos Narrow" w:cs="Times New Roman"/>
                <w:b/>
                <w:bCs/>
                <w:color w:val="000000"/>
                <w:kern w:val="0"/>
                <w:sz w:val="16"/>
                <w:szCs w:val="16"/>
                <w:vertAlign w:val="subscript"/>
                <w:lang w:eastAsia="fr-BE"/>
                <w14:ligatures w14:val="none"/>
              </w:rPr>
              <w:t>org</w:t>
            </w:r>
            <w:proofErr w:type="spellEnd"/>
            <w:r w:rsidRPr="00B363AA">
              <w:rPr>
                <w:rFonts w:ascii="Aptos Narrow" w:eastAsia="Times New Roman" w:hAnsi="Aptos Narrow" w:cs="Times New Roman"/>
                <w:b/>
                <w:bCs/>
                <w:color w:val="000000"/>
                <w:kern w:val="0"/>
                <w:sz w:val="16"/>
                <w:szCs w:val="16"/>
                <w:lang w:eastAsia="fr-BE"/>
                <w14:ligatures w14:val="none"/>
              </w:rPr>
              <w:t>, charge EG, profondeur de sol)</w:t>
            </w:r>
          </w:p>
        </w:tc>
        <w:tc>
          <w:tcPr>
            <w:tcW w:w="1610" w:type="dxa"/>
            <w:tcBorders>
              <w:top w:val="single" w:sz="4" w:space="0" w:color="auto"/>
              <w:left w:val="single" w:sz="4" w:space="0" w:color="auto"/>
              <w:bottom w:val="single" w:sz="4" w:space="0" w:color="auto"/>
              <w:right w:val="single" w:sz="4" w:space="0" w:color="auto"/>
            </w:tcBorders>
            <w:vAlign w:val="center"/>
            <w:hideMark/>
          </w:tcPr>
          <w:p w14:paraId="1D1EBDB1" w14:textId="77777777" w:rsidR="00B363AA" w:rsidRPr="00B363AA" w:rsidRDefault="00B363AA" w:rsidP="00984A3C">
            <w:pPr>
              <w:spacing w:after="0" w:line="240" w:lineRule="auto"/>
              <w:jc w:val="center"/>
              <w:rPr>
                <w:rFonts w:ascii="Aptos Narrow" w:eastAsia="Times New Roman" w:hAnsi="Aptos Narrow" w:cs="Times New Roman"/>
                <w:b/>
                <w:bCs/>
                <w:color w:val="000000"/>
                <w:kern w:val="0"/>
                <w:sz w:val="16"/>
                <w:szCs w:val="16"/>
                <w:lang w:eastAsia="fr-BE"/>
                <w14:ligatures w14:val="none"/>
              </w:rPr>
            </w:pPr>
            <w:proofErr w:type="gramStart"/>
            <w:r w:rsidRPr="00B363AA">
              <w:rPr>
                <w:rFonts w:ascii="Aptos Narrow" w:eastAsia="Times New Roman" w:hAnsi="Aptos Narrow" w:cs="Times New Roman"/>
                <w:b/>
                <w:bCs/>
                <w:color w:val="000000"/>
                <w:kern w:val="0"/>
                <w:sz w:val="16"/>
                <w:szCs w:val="16"/>
                <w:lang w:eastAsia="fr-BE"/>
                <w14:ligatures w14:val="none"/>
              </w:rPr>
              <w:t>x</w:t>
            </w:r>
            <w:proofErr w:type="gramEnd"/>
          </w:p>
        </w:tc>
      </w:tr>
      <w:tr w:rsidR="00B363AA" w:rsidRPr="00B363AA" w14:paraId="75715FA1" w14:textId="77777777" w:rsidTr="00500340">
        <w:trPr>
          <w:trHeight w:val="675"/>
        </w:trPr>
        <w:tc>
          <w:tcPr>
            <w:tcW w:w="562" w:type="dxa"/>
            <w:vMerge/>
            <w:tcBorders>
              <w:left w:val="single" w:sz="4" w:space="0" w:color="auto"/>
              <w:right w:val="single" w:sz="4" w:space="0" w:color="auto"/>
            </w:tcBorders>
            <w:shd w:val="clear" w:color="auto" w:fill="0A2F41" w:themeFill="accent1" w:themeFillShade="80"/>
            <w:vAlign w:val="center"/>
            <w:hideMark/>
          </w:tcPr>
          <w:p w14:paraId="615726BE" w14:textId="43A155AA"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6776256E" w14:textId="77777777"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Capacité de rétention en eau</w:t>
            </w:r>
          </w:p>
        </w:tc>
        <w:tc>
          <w:tcPr>
            <w:tcW w:w="840" w:type="dxa"/>
            <w:tcBorders>
              <w:top w:val="single" w:sz="4" w:space="0" w:color="auto"/>
              <w:left w:val="single" w:sz="4" w:space="0" w:color="auto"/>
              <w:bottom w:val="single" w:sz="4" w:space="0" w:color="auto"/>
              <w:right w:val="single" w:sz="4" w:space="0" w:color="auto"/>
            </w:tcBorders>
            <w:vAlign w:val="center"/>
            <w:hideMark/>
          </w:tcPr>
          <w:p w14:paraId="3A86E812" w14:textId="77777777" w:rsidR="00B363AA" w:rsidRPr="00B363AA" w:rsidRDefault="00B363AA" w:rsidP="00EC7345">
            <w:pPr>
              <w:spacing w:after="0" w:line="240" w:lineRule="auto"/>
              <w:jc w:val="center"/>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30-100</w:t>
            </w:r>
          </w:p>
        </w:tc>
        <w:tc>
          <w:tcPr>
            <w:tcW w:w="3310" w:type="dxa"/>
            <w:tcBorders>
              <w:top w:val="single" w:sz="4" w:space="0" w:color="auto"/>
              <w:left w:val="single" w:sz="4" w:space="0" w:color="auto"/>
              <w:bottom w:val="single" w:sz="4" w:space="0" w:color="auto"/>
              <w:right w:val="single" w:sz="4" w:space="0" w:color="auto"/>
            </w:tcBorders>
            <w:vAlign w:val="center"/>
            <w:hideMark/>
          </w:tcPr>
          <w:p w14:paraId="6481BEB9" w14:textId="5DD4339E"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 xml:space="preserve">PTF (estimation réserve en eau utile (REU) à partir de texture, </w:t>
            </w:r>
            <w:proofErr w:type="spellStart"/>
            <w:r w:rsidRPr="00B363AA">
              <w:rPr>
                <w:rFonts w:ascii="Aptos Narrow" w:eastAsia="Times New Roman" w:hAnsi="Aptos Narrow" w:cs="Times New Roman"/>
                <w:b/>
                <w:bCs/>
                <w:color w:val="000000"/>
                <w:kern w:val="0"/>
                <w:sz w:val="16"/>
                <w:szCs w:val="16"/>
                <w:lang w:eastAsia="fr-BE"/>
                <w14:ligatures w14:val="none"/>
              </w:rPr>
              <w:t>C</w:t>
            </w:r>
            <w:r>
              <w:rPr>
                <w:rFonts w:ascii="Aptos Narrow" w:eastAsia="Times New Roman" w:hAnsi="Aptos Narrow" w:cs="Times New Roman"/>
                <w:b/>
                <w:bCs/>
                <w:color w:val="000000"/>
                <w:kern w:val="0"/>
                <w:sz w:val="16"/>
                <w:szCs w:val="16"/>
                <w:vertAlign w:val="subscript"/>
                <w:lang w:eastAsia="fr-BE"/>
                <w14:ligatures w14:val="none"/>
              </w:rPr>
              <w:t>org</w:t>
            </w:r>
            <w:proofErr w:type="spellEnd"/>
            <w:r w:rsidRPr="00B363AA">
              <w:rPr>
                <w:rFonts w:ascii="Aptos Narrow" w:eastAsia="Times New Roman" w:hAnsi="Aptos Narrow" w:cs="Times New Roman"/>
                <w:b/>
                <w:bCs/>
                <w:color w:val="000000"/>
                <w:kern w:val="0"/>
                <w:sz w:val="16"/>
                <w:szCs w:val="16"/>
                <w:lang w:eastAsia="fr-BE"/>
                <w14:ligatures w14:val="none"/>
              </w:rPr>
              <w:t>, charge EG, profondeur de sol)</w:t>
            </w:r>
          </w:p>
        </w:tc>
        <w:tc>
          <w:tcPr>
            <w:tcW w:w="1610" w:type="dxa"/>
            <w:tcBorders>
              <w:top w:val="single" w:sz="4" w:space="0" w:color="auto"/>
              <w:left w:val="single" w:sz="4" w:space="0" w:color="auto"/>
              <w:bottom w:val="single" w:sz="4" w:space="0" w:color="auto"/>
              <w:right w:val="single" w:sz="4" w:space="0" w:color="auto"/>
            </w:tcBorders>
            <w:vAlign w:val="center"/>
            <w:hideMark/>
          </w:tcPr>
          <w:p w14:paraId="607EA449" w14:textId="77777777" w:rsidR="00B363AA" w:rsidRPr="00B363AA" w:rsidRDefault="00B363AA" w:rsidP="00984A3C">
            <w:pPr>
              <w:spacing w:after="0" w:line="240" w:lineRule="auto"/>
              <w:jc w:val="center"/>
              <w:rPr>
                <w:rFonts w:ascii="Aptos Narrow" w:eastAsia="Times New Roman" w:hAnsi="Aptos Narrow" w:cs="Times New Roman"/>
                <w:b/>
                <w:bCs/>
                <w:color w:val="000000"/>
                <w:kern w:val="0"/>
                <w:sz w:val="16"/>
                <w:szCs w:val="16"/>
                <w:lang w:eastAsia="fr-BE"/>
                <w14:ligatures w14:val="none"/>
              </w:rPr>
            </w:pPr>
            <w:proofErr w:type="gramStart"/>
            <w:r w:rsidRPr="00B363AA">
              <w:rPr>
                <w:rFonts w:ascii="Aptos Narrow" w:eastAsia="Times New Roman" w:hAnsi="Aptos Narrow" w:cs="Times New Roman"/>
                <w:b/>
                <w:bCs/>
                <w:color w:val="000000"/>
                <w:kern w:val="0"/>
                <w:sz w:val="16"/>
                <w:szCs w:val="16"/>
                <w:lang w:eastAsia="fr-BE"/>
                <w14:ligatures w14:val="none"/>
              </w:rPr>
              <w:t>x</w:t>
            </w:r>
            <w:proofErr w:type="gramEnd"/>
          </w:p>
        </w:tc>
      </w:tr>
      <w:tr w:rsidR="00B363AA" w:rsidRPr="00B363AA" w14:paraId="495DA4BA" w14:textId="77777777" w:rsidTr="00500340">
        <w:trPr>
          <w:trHeight w:val="450"/>
        </w:trPr>
        <w:tc>
          <w:tcPr>
            <w:tcW w:w="562" w:type="dxa"/>
            <w:vMerge/>
            <w:tcBorders>
              <w:left w:val="single" w:sz="4" w:space="0" w:color="auto"/>
              <w:right w:val="single" w:sz="4" w:space="0" w:color="auto"/>
            </w:tcBorders>
            <w:shd w:val="clear" w:color="auto" w:fill="0A2F41" w:themeFill="accent1" w:themeFillShade="80"/>
            <w:vAlign w:val="center"/>
            <w:hideMark/>
          </w:tcPr>
          <w:p w14:paraId="196E9EE6" w14:textId="5AC4C040"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vAlign w:val="center"/>
            <w:hideMark/>
          </w:tcPr>
          <w:p w14:paraId="43D29753" w14:textId="77777777"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Capacité de rétention maximale en polluants</w:t>
            </w:r>
          </w:p>
        </w:tc>
        <w:tc>
          <w:tcPr>
            <w:tcW w:w="840" w:type="dxa"/>
            <w:tcBorders>
              <w:top w:val="single" w:sz="4" w:space="0" w:color="auto"/>
              <w:left w:val="single" w:sz="4" w:space="0" w:color="auto"/>
              <w:bottom w:val="single" w:sz="4" w:space="0" w:color="auto"/>
              <w:right w:val="single" w:sz="4" w:space="0" w:color="auto"/>
            </w:tcBorders>
            <w:vAlign w:val="center"/>
            <w:hideMark/>
          </w:tcPr>
          <w:p w14:paraId="010426B8" w14:textId="77777777" w:rsidR="00B363AA" w:rsidRPr="00B363AA" w:rsidRDefault="00B363AA" w:rsidP="00EC7345">
            <w:pPr>
              <w:spacing w:after="0" w:line="240" w:lineRule="auto"/>
              <w:jc w:val="center"/>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0-100</w:t>
            </w:r>
          </w:p>
        </w:tc>
        <w:tc>
          <w:tcPr>
            <w:tcW w:w="3310" w:type="dxa"/>
            <w:tcBorders>
              <w:top w:val="single" w:sz="4" w:space="0" w:color="auto"/>
              <w:left w:val="single" w:sz="4" w:space="0" w:color="auto"/>
              <w:bottom w:val="single" w:sz="4" w:space="0" w:color="auto"/>
              <w:right w:val="single" w:sz="4" w:space="0" w:color="auto"/>
            </w:tcBorders>
            <w:vAlign w:val="center"/>
            <w:hideMark/>
          </w:tcPr>
          <w:p w14:paraId="174E12F9" w14:textId="77777777"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 xml:space="preserve">Équation (calcul </w:t>
            </w:r>
            <w:proofErr w:type="spellStart"/>
            <w:r w:rsidRPr="00B363AA">
              <w:rPr>
                <w:rFonts w:ascii="Aptos Narrow" w:eastAsia="Times New Roman" w:hAnsi="Aptos Narrow" w:cs="Times New Roman"/>
                <w:b/>
                <w:bCs/>
                <w:color w:val="000000"/>
                <w:kern w:val="0"/>
                <w:sz w:val="16"/>
                <w:szCs w:val="16"/>
                <w:lang w:eastAsia="fr-BE"/>
                <w14:ligatures w14:val="none"/>
              </w:rPr>
              <w:t>cfr</w:t>
            </w:r>
            <w:proofErr w:type="spellEnd"/>
            <w:r w:rsidRPr="00B363AA">
              <w:rPr>
                <w:rFonts w:ascii="Aptos Narrow" w:eastAsia="Times New Roman" w:hAnsi="Aptos Narrow" w:cs="Times New Roman"/>
                <w:b/>
                <w:bCs/>
                <w:color w:val="000000"/>
                <w:kern w:val="0"/>
                <w:sz w:val="16"/>
                <w:szCs w:val="16"/>
                <w:lang w:eastAsia="fr-BE"/>
                <w14:ligatures w14:val="none"/>
              </w:rPr>
              <w:t xml:space="preserve"> GRER)</w:t>
            </w:r>
          </w:p>
        </w:tc>
        <w:tc>
          <w:tcPr>
            <w:tcW w:w="1610" w:type="dxa"/>
            <w:tcBorders>
              <w:top w:val="single" w:sz="4" w:space="0" w:color="auto"/>
              <w:left w:val="single" w:sz="4" w:space="0" w:color="auto"/>
              <w:bottom w:val="single" w:sz="4" w:space="0" w:color="auto"/>
              <w:right w:val="single" w:sz="4" w:space="0" w:color="auto"/>
            </w:tcBorders>
            <w:vAlign w:val="center"/>
            <w:hideMark/>
          </w:tcPr>
          <w:p w14:paraId="293AA1CB" w14:textId="77777777" w:rsidR="00B363AA" w:rsidRPr="00B363AA" w:rsidRDefault="00B363AA" w:rsidP="00984A3C">
            <w:pPr>
              <w:spacing w:after="0" w:line="240" w:lineRule="auto"/>
              <w:jc w:val="center"/>
              <w:rPr>
                <w:rFonts w:ascii="Aptos Narrow" w:eastAsia="Times New Roman" w:hAnsi="Aptos Narrow" w:cs="Times New Roman"/>
                <w:b/>
                <w:bCs/>
                <w:color w:val="000000"/>
                <w:kern w:val="0"/>
                <w:sz w:val="16"/>
                <w:szCs w:val="16"/>
                <w:lang w:eastAsia="fr-BE"/>
                <w14:ligatures w14:val="none"/>
              </w:rPr>
            </w:pPr>
            <w:proofErr w:type="gramStart"/>
            <w:r w:rsidRPr="00B363AA">
              <w:rPr>
                <w:rFonts w:ascii="Aptos Narrow" w:eastAsia="Times New Roman" w:hAnsi="Aptos Narrow" w:cs="Times New Roman"/>
                <w:b/>
                <w:bCs/>
                <w:color w:val="000000"/>
                <w:kern w:val="0"/>
                <w:sz w:val="16"/>
                <w:szCs w:val="16"/>
                <w:lang w:eastAsia="fr-BE"/>
                <w14:ligatures w14:val="none"/>
              </w:rPr>
              <w:t>x</w:t>
            </w:r>
            <w:proofErr w:type="gramEnd"/>
          </w:p>
        </w:tc>
      </w:tr>
      <w:tr w:rsidR="00B363AA" w:rsidRPr="00B363AA" w14:paraId="08E55FA9" w14:textId="77777777" w:rsidTr="00500340">
        <w:trPr>
          <w:trHeight w:val="251"/>
        </w:trPr>
        <w:tc>
          <w:tcPr>
            <w:tcW w:w="562" w:type="dxa"/>
            <w:vMerge/>
            <w:tcBorders>
              <w:left w:val="single" w:sz="4" w:space="0" w:color="auto"/>
              <w:right w:val="single" w:sz="4" w:space="0" w:color="auto"/>
            </w:tcBorders>
            <w:shd w:val="clear" w:color="auto" w:fill="0A2F41" w:themeFill="accent1" w:themeFillShade="80"/>
            <w:vAlign w:val="center"/>
            <w:hideMark/>
          </w:tcPr>
          <w:p w14:paraId="288549B4" w14:textId="4DB29DB7"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C693D2F" w14:textId="77777777"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Indice de battance</w:t>
            </w:r>
          </w:p>
        </w:tc>
        <w:tc>
          <w:tcPr>
            <w:tcW w:w="8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C5CEFCC" w14:textId="77777777" w:rsidR="00B363AA" w:rsidRPr="00B363AA" w:rsidRDefault="00B363AA" w:rsidP="00EC7345">
            <w:pPr>
              <w:spacing w:after="0" w:line="240" w:lineRule="auto"/>
              <w:jc w:val="center"/>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680FAB" w14:textId="0E5E16AF"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 xml:space="preserve">PTF (estimation à partir de texture, </w:t>
            </w:r>
            <w:proofErr w:type="spellStart"/>
            <w:r w:rsidRPr="00B363AA">
              <w:rPr>
                <w:rFonts w:ascii="Aptos Narrow" w:eastAsia="Times New Roman" w:hAnsi="Aptos Narrow" w:cs="Times New Roman"/>
                <w:b/>
                <w:bCs/>
                <w:color w:val="000000"/>
                <w:kern w:val="0"/>
                <w:sz w:val="16"/>
                <w:szCs w:val="16"/>
                <w:lang w:eastAsia="fr-BE"/>
                <w14:ligatures w14:val="none"/>
              </w:rPr>
              <w:t>C</w:t>
            </w:r>
            <w:r>
              <w:rPr>
                <w:rFonts w:ascii="Aptos Narrow" w:eastAsia="Times New Roman" w:hAnsi="Aptos Narrow" w:cs="Times New Roman"/>
                <w:b/>
                <w:bCs/>
                <w:color w:val="000000"/>
                <w:kern w:val="0"/>
                <w:sz w:val="16"/>
                <w:szCs w:val="16"/>
                <w:vertAlign w:val="subscript"/>
                <w:lang w:eastAsia="fr-BE"/>
                <w14:ligatures w14:val="none"/>
              </w:rPr>
              <w:t>org</w:t>
            </w:r>
            <w:proofErr w:type="spellEnd"/>
            <w:r w:rsidRPr="00B363AA">
              <w:rPr>
                <w:rFonts w:ascii="Aptos Narrow" w:eastAsia="Times New Roman" w:hAnsi="Aptos Narrow" w:cs="Times New Roman"/>
                <w:b/>
                <w:bCs/>
                <w:color w:val="000000"/>
                <w:kern w:val="0"/>
                <w:sz w:val="16"/>
                <w:szCs w:val="16"/>
                <w:lang w:eastAsia="fr-BE"/>
                <w14:ligatures w14:val="none"/>
              </w:rPr>
              <w:t>, pH H2O)</w:t>
            </w:r>
          </w:p>
        </w:tc>
        <w:tc>
          <w:tcPr>
            <w:tcW w:w="161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72DF38F" w14:textId="77777777" w:rsidR="00B363AA" w:rsidRPr="00B363AA" w:rsidRDefault="00B363AA" w:rsidP="00984A3C">
            <w:pPr>
              <w:spacing w:after="0" w:line="240" w:lineRule="auto"/>
              <w:jc w:val="center"/>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Pour aller plus loin</w:t>
            </w:r>
          </w:p>
        </w:tc>
      </w:tr>
      <w:tr w:rsidR="00B363AA" w:rsidRPr="00B363AA" w14:paraId="4B37F8D1" w14:textId="77777777" w:rsidTr="00500340">
        <w:trPr>
          <w:trHeight w:val="127"/>
        </w:trPr>
        <w:tc>
          <w:tcPr>
            <w:tcW w:w="562" w:type="dxa"/>
            <w:vMerge/>
            <w:tcBorders>
              <w:left w:val="single" w:sz="4" w:space="0" w:color="auto"/>
              <w:bottom w:val="single" w:sz="4" w:space="0" w:color="auto"/>
              <w:right w:val="single" w:sz="4" w:space="0" w:color="auto"/>
            </w:tcBorders>
            <w:shd w:val="clear" w:color="auto" w:fill="0A2F41" w:themeFill="accent1" w:themeFillShade="80"/>
            <w:vAlign w:val="center"/>
            <w:hideMark/>
          </w:tcPr>
          <w:p w14:paraId="62939E66" w14:textId="0F54F7E9"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p>
        </w:tc>
        <w:tc>
          <w:tcPr>
            <w:tcW w:w="293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4309E3F" w14:textId="77777777"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Facteur K (érodibilité du sol)</w:t>
            </w:r>
          </w:p>
        </w:tc>
        <w:tc>
          <w:tcPr>
            <w:tcW w:w="8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833C601" w14:textId="77777777" w:rsidR="00B363AA" w:rsidRPr="00B363AA" w:rsidRDefault="00B363AA" w:rsidP="00EC7345">
            <w:pPr>
              <w:spacing w:after="0" w:line="240" w:lineRule="auto"/>
              <w:jc w:val="center"/>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0-30</w:t>
            </w:r>
          </w:p>
        </w:tc>
        <w:tc>
          <w:tcPr>
            <w:tcW w:w="331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53FFC84" w14:textId="268E8AEC" w:rsidR="00B363AA" w:rsidRPr="00B363AA" w:rsidRDefault="00B363AA" w:rsidP="00EC7345">
            <w:pPr>
              <w:spacing w:after="0" w:line="240" w:lineRule="auto"/>
              <w:jc w:val="left"/>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 xml:space="preserve">PTF (estimation à partir de texture, </w:t>
            </w:r>
            <w:proofErr w:type="spellStart"/>
            <w:r w:rsidRPr="00B363AA">
              <w:rPr>
                <w:rFonts w:ascii="Aptos Narrow" w:eastAsia="Times New Roman" w:hAnsi="Aptos Narrow" w:cs="Times New Roman"/>
                <w:b/>
                <w:bCs/>
                <w:color w:val="000000"/>
                <w:kern w:val="0"/>
                <w:sz w:val="16"/>
                <w:szCs w:val="16"/>
                <w:lang w:eastAsia="fr-BE"/>
                <w14:ligatures w14:val="none"/>
              </w:rPr>
              <w:t>C</w:t>
            </w:r>
            <w:r>
              <w:rPr>
                <w:rFonts w:ascii="Aptos Narrow" w:eastAsia="Times New Roman" w:hAnsi="Aptos Narrow" w:cs="Times New Roman"/>
                <w:b/>
                <w:bCs/>
                <w:color w:val="000000"/>
                <w:kern w:val="0"/>
                <w:sz w:val="16"/>
                <w:szCs w:val="16"/>
                <w:vertAlign w:val="subscript"/>
                <w:lang w:eastAsia="fr-BE"/>
                <w14:ligatures w14:val="none"/>
              </w:rPr>
              <w:t>org</w:t>
            </w:r>
            <w:proofErr w:type="spellEnd"/>
            <w:r w:rsidRPr="00B363AA">
              <w:rPr>
                <w:rFonts w:ascii="Aptos Narrow" w:eastAsia="Times New Roman" w:hAnsi="Aptos Narrow" w:cs="Times New Roman"/>
                <w:b/>
                <w:bCs/>
                <w:color w:val="000000"/>
                <w:kern w:val="0"/>
                <w:sz w:val="16"/>
                <w:szCs w:val="16"/>
                <w:lang w:eastAsia="fr-BE"/>
                <w14:ligatures w14:val="none"/>
              </w:rPr>
              <w:t xml:space="preserve">, qualité structurale, </w:t>
            </w:r>
            <w:proofErr w:type="spellStart"/>
            <w:r w:rsidRPr="00B363AA">
              <w:rPr>
                <w:rFonts w:ascii="Aptos Narrow" w:eastAsia="Times New Roman" w:hAnsi="Aptos Narrow" w:cs="Times New Roman"/>
                <w:b/>
                <w:bCs/>
                <w:color w:val="000000"/>
                <w:kern w:val="0"/>
                <w:sz w:val="16"/>
                <w:szCs w:val="16"/>
                <w:lang w:eastAsia="fr-BE"/>
                <w14:ligatures w14:val="none"/>
              </w:rPr>
              <w:t>Ksat</w:t>
            </w:r>
            <w:proofErr w:type="spellEnd"/>
            <w:r w:rsidRPr="00B363AA">
              <w:rPr>
                <w:rFonts w:ascii="Aptos Narrow" w:eastAsia="Times New Roman" w:hAnsi="Aptos Narrow" w:cs="Times New Roman"/>
                <w:b/>
                <w:bCs/>
                <w:color w:val="000000"/>
                <w:kern w:val="0"/>
                <w:sz w:val="16"/>
                <w:szCs w:val="16"/>
                <w:lang w:eastAsia="fr-BE"/>
                <w14:ligatures w14:val="none"/>
              </w:rPr>
              <w:t>)</w:t>
            </w:r>
          </w:p>
        </w:tc>
        <w:tc>
          <w:tcPr>
            <w:tcW w:w="161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2C719DD" w14:textId="77777777" w:rsidR="00B363AA" w:rsidRPr="00B363AA" w:rsidRDefault="00B363AA" w:rsidP="00984A3C">
            <w:pPr>
              <w:spacing w:after="0" w:line="240" w:lineRule="auto"/>
              <w:jc w:val="center"/>
              <w:rPr>
                <w:rFonts w:ascii="Aptos Narrow" w:eastAsia="Times New Roman" w:hAnsi="Aptos Narrow" w:cs="Times New Roman"/>
                <w:b/>
                <w:bCs/>
                <w:color w:val="000000"/>
                <w:kern w:val="0"/>
                <w:sz w:val="16"/>
                <w:szCs w:val="16"/>
                <w:lang w:eastAsia="fr-BE"/>
                <w14:ligatures w14:val="none"/>
              </w:rPr>
            </w:pPr>
            <w:r w:rsidRPr="00B363AA">
              <w:rPr>
                <w:rFonts w:ascii="Aptos Narrow" w:eastAsia="Times New Roman" w:hAnsi="Aptos Narrow" w:cs="Times New Roman"/>
                <w:b/>
                <w:bCs/>
                <w:color w:val="000000"/>
                <w:kern w:val="0"/>
                <w:sz w:val="16"/>
                <w:szCs w:val="16"/>
                <w:lang w:eastAsia="fr-BE"/>
                <w14:ligatures w14:val="none"/>
              </w:rPr>
              <w:t>Pour aller plus loin</w:t>
            </w:r>
          </w:p>
        </w:tc>
      </w:tr>
    </w:tbl>
    <w:p w14:paraId="079BD85C" w14:textId="66C5595D" w:rsidR="00C343A2" w:rsidRDefault="00C343A2" w:rsidP="008A4E60"/>
    <w:p w14:paraId="46C74C42" w14:textId="3C5FE3A1" w:rsidR="008D0536" w:rsidRPr="00B363AA" w:rsidRDefault="00C343A2" w:rsidP="00C343A2">
      <w:pPr>
        <w:jc w:val="left"/>
      </w:pPr>
      <w:r>
        <w:br w:type="page"/>
      </w:r>
    </w:p>
    <w:p w14:paraId="691A2A56" w14:textId="0C0F0654" w:rsidR="00F370FB" w:rsidRPr="00B363AA" w:rsidRDefault="00EC5BB9">
      <w:pPr>
        <w:pStyle w:val="Titre2"/>
        <w:numPr>
          <w:ilvl w:val="1"/>
          <w:numId w:val="12"/>
        </w:numPr>
      </w:pPr>
      <w:bookmarkStart w:id="33" w:name="_Ref232208232"/>
      <w:bookmarkStart w:id="34" w:name="_Toc241242946"/>
      <w:r w:rsidRPr="00B363AA">
        <w:lastRenderedPageBreak/>
        <w:t>Étapes de calcul des indices</w:t>
      </w:r>
      <w:bookmarkEnd w:id="33"/>
      <w:bookmarkEnd w:id="34"/>
    </w:p>
    <w:p w14:paraId="4C1FE127" w14:textId="7849FF5E" w:rsidR="00BA06E6" w:rsidRPr="00B363AA" w:rsidRDefault="00BA06E6" w:rsidP="00BA06E6">
      <w:r w:rsidRPr="00B363AA">
        <w:t xml:space="preserve">Le calcul des indices IQSW-pro s’effectue </w:t>
      </w:r>
      <w:r w:rsidR="001375D6" w:rsidRPr="00B363AA">
        <w:t xml:space="preserve">en cinq </w:t>
      </w:r>
      <w:r w:rsidRPr="00B363AA">
        <w:t>étapes</w:t>
      </w:r>
      <w:r w:rsidR="00D979AF" w:rsidRPr="00B363AA">
        <w:t xml:space="preserve"> (</w:t>
      </w:r>
      <w:r w:rsidR="006472FD" w:rsidRPr="00B363AA">
        <w:rPr>
          <w:highlight w:val="yellow"/>
        </w:rPr>
        <w:fldChar w:fldCharType="begin"/>
      </w:r>
      <w:r w:rsidR="006472FD" w:rsidRPr="00B363AA">
        <w:instrText xml:space="preserve"> REF _Ref233111450 \h </w:instrText>
      </w:r>
      <w:r w:rsidR="006472FD" w:rsidRPr="00B363AA">
        <w:rPr>
          <w:highlight w:val="yellow"/>
        </w:rPr>
        <w:instrText xml:space="preserve"> \* MERGEFORMAT </w:instrText>
      </w:r>
      <w:r w:rsidR="006472FD" w:rsidRPr="00B363AA">
        <w:rPr>
          <w:highlight w:val="yellow"/>
        </w:rPr>
      </w:r>
      <w:r w:rsidR="006472FD" w:rsidRPr="00B363AA">
        <w:rPr>
          <w:highlight w:val="yellow"/>
        </w:rPr>
        <w:fldChar w:fldCharType="separate"/>
      </w:r>
      <w:r w:rsidR="006F5834" w:rsidRPr="00B363AA">
        <w:t>Figure 2</w:t>
      </w:r>
      <w:r w:rsidR="006472FD" w:rsidRPr="00B363AA">
        <w:rPr>
          <w:highlight w:val="yellow"/>
        </w:rPr>
        <w:fldChar w:fldCharType="end"/>
      </w:r>
      <w:r w:rsidR="00D979AF" w:rsidRPr="00B363AA">
        <w:t xml:space="preserve">) </w:t>
      </w:r>
      <w:r w:rsidRPr="00B363AA">
        <w:t>:</w:t>
      </w:r>
    </w:p>
    <w:p w14:paraId="399E7224" w14:textId="219867C3" w:rsidR="00BA06E6" w:rsidRPr="00B363AA" w:rsidRDefault="00BA06E6">
      <w:pPr>
        <w:pStyle w:val="Paragraphedeliste"/>
        <w:numPr>
          <w:ilvl w:val="0"/>
          <w:numId w:val="24"/>
        </w:numPr>
      </w:pPr>
      <w:r w:rsidRPr="00B363AA">
        <w:t xml:space="preserve">Interprétation des indicateurs </w:t>
      </w:r>
      <w:r w:rsidR="3D1D3B84" w:rsidRPr="00B363AA">
        <w:t xml:space="preserve">(mesurés ou calculés) </w:t>
      </w:r>
      <w:r w:rsidRPr="00B363AA">
        <w:t>au sein de la fonction et/ou du service considéré, et attribution des scores de paramètres</w:t>
      </w:r>
      <w:r w:rsidR="00BC459A" w:rsidRPr="00B363AA">
        <w:t xml:space="preserve"> sur une échelle de 0 à 5</w:t>
      </w:r>
      <w:r w:rsidR="00DA5D59" w:rsidRPr="00B363AA">
        <w:t xml:space="preserve"> </w:t>
      </w:r>
      <w:r w:rsidR="4E535207" w:rsidRPr="00B363AA">
        <w:t>(</w:t>
      </w:r>
      <w:proofErr w:type="spellStart"/>
      <w:r w:rsidR="00D979AF" w:rsidRPr="00B363AA">
        <w:t>Score</w:t>
      </w:r>
      <w:r w:rsidR="00D979AF" w:rsidRPr="00B363AA">
        <w:rPr>
          <w:vertAlign w:val="subscript"/>
        </w:rPr>
        <w:t>indicateur</w:t>
      </w:r>
      <w:proofErr w:type="spellEnd"/>
      <w:r w:rsidR="5A0E3644" w:rsidRPr="00B363AA">
        <w:t>)</w:t>
      </w:r>
      <w:r w:rsidRPr="00B363AA">
        <w:t>,</w:t>
      </w:r>
    </w:p>
    <w:p w14:paraId="29E3DEAD" w14:textId="11CEC352" w:rsidR="00BA06E6" w:rsidRPr="00B363AA" w:rsidRDefault="00BA06E6">
      <w:pPr>
        <w:pStyle w:val="Paragraphedeliste"/>
        <w:numPr>
          <w:ilvl w:val="0"/>
          <w:numId w:val="24"/>
        </w:numPr>
        <w:rPr>
          <w:szCs w:val="22"/>
        </w:rPr>
      </w:pPr>
      <w:r w:rsidRPr="00B363AA">
        <w:t>Agrégation des scores d</w:t>
      </w:r>
      <w:r w:rsidR="2C8B0DF4" w:rsidRPr="00B363AA">
        <w:t>'</w:t>
      </w:r>
      <w:r w:rsidR="4CEB46FC" w:rsidRPr="00B363AA">
        <w:t>indicateurs</w:t>
      </w:r>
      <w:r w:rsidRPr="00B363AA">
        <w:t xml:space="preserve"> en scores de fonction</w:t>
      </w:r>
      <w:r w:rsidR="002B6DAE" w:rsidRPr="00B363AA">
        <w:t xml:space="preserve"> sur une échelle de 0 à 5</w:t>
      </w:r>
      <w:r w:rsidR="00DA5D59" w:rsidRPr="00B363AA">
        <w:t xml:space="preserve"> </w:t>
      </w:r>
      <w:r w:rsidR="3C3E4558" w:rsidRPr="00B363AA">
        <w:t>(</w:t>
      </w:r>
      <w:proofErr w:type="spellStart"/>
      <w:r w:rsidR="00D979AF" w:rsidRPr="00B363AA">
        <w:t>S</w:t>
      </w:r>
      <w:r w:rsidR="00D979AF" w:rsidRPr="00B363AA">
        <w:rPr>
          <w:vertAlign w:val="subscript"/>
        </w:rPr>
        <w:t>fonction</w:t>
      </w:r>
      <w:proofErr w:type="spellEnd"/>
      <w:r w:rsidR="01435660" w:rsidRPr="00B363AA">
        <w:rPr>
          <w:rFonts w:eastAsia="Calibri" w:cs="Calibri"/>
          <w:color w:val="000000" w:themeColor="text1"/>
          <w:szCs w:val="22"/>
        </w:rPr>
        <w:t>)</w:t>
      </w:r>
      <w:r w:rsidRPr="00B363AA">
        <w:t>,</w:t>
      </w:r>
    </w:p>
    <w:p w14:paraId="41435B8E" w14:textId="4AEF595F" w:rsidR="00BA06E6" w:rsidRPr="00B363AA" w:rsidRDefault="00BA06E6">
      <w:pPr>
        <w:pStyle w:val="Paragraphedeliste"/>
        <w:numPr>
          <w:ilvl w:val="0"/>
          <w:numId w:val="24"/>
        </w:numPr>
        <w:rPr>
          <w:szCs w:val="22"/>
        </w:rPr>
      </w:pPr>
      <w:r w:rsidRPr="00B363AA">
        <w:t>Agrégation des scores de fonction en scores de service écosystémique</w:t>
      </w:r>
      <w:r w:rsidR="002B6DAE" w:rsidRPr="00B363AA">
        <w:t xml:space="preserve"> sur une échelle de 0 à 5</w:t>
      </w:r>
      <w:r w:rsidR="00D979AF" w:rsidRPr="00B363AA">
        <w:t xml:space="preserve"> </w:t>
      </w:r>
      <w:r w:rsidR="00005D14" w:rsidRPr="00B363AA">
        <w:t>(</w:t>
      </w:r>
      <w:r w:rsidR="00D979AF" w:rsidRPr="00B363AA">
        <w:t>S</w:t>
      </w:r>
      <w:r w:rsidR="00D979AF" w:rsidRPr="00B363AA">
        <w:rPr>
          <w:vertAlign w:val="subscript"/>
        </w:rPr>
        <w:t>SERVICE</w:t>
      </w:r>
      <w:r w:rsidR="6BE70A3A" w:rsidRPr="00B363AA">
        <w:rPr>
          <w:rFonts w:eastAsia="Calibri" w:cs="Calibri"/>
          <w:color w:val="000000" w:themeColor="text1"/>
          <w:szCs w:val="22"/>
        </w:rPr>
        <w:t>)</w:t>
      </w:r>
      <w:r w:rsidRPr="00B363AA">
        <w:t>,</w:t>
      </w:r>
    </w:p>
    <w:p w14:paraId="20D922F0" w14:textId="447A6520" w:rsidR="00BA06E6" w:rsidRPr="00B363AA" w:rsidRDefault="00BA06E6">
      <w:pPr>
        <w:pStyle w:val="Paragraphedeliste"/>
        <w:numPr>
          <w:ilvl w:val="0"/>
          <w:numId w:val="24"/>
        </w:numPr>
        <w:rPr>
          <w:szCs w:val="22"/>
        </w:rPr>
      </w:pPr>
      <w:r w:rsidRPr="00B363AA">
        <w:t xml:space="preserve">Application des </w:t>
      </w:r>
      <w:r w:rsidR="00DA5D59" w:rsidRPr="00B363AA">
        <w:t>coefficients</w:t>
      </w:r>
      <w:r w:rsidRPr="00B363AA">
        <w:t xml:space="preserve"> de contrainte</w:t>
      </w:r>
      <w:r w:rsidR="002B6DAE" w:rsidRPr="00B363AA">
        <w:t xml:space="preserve"> sur une échelle de 0 à </w:t>
      </w:r>
      <w:r w:rsidR="00BB397C" w:rsidRPr="00B363AA">
        <w:t>1</w:t>
      </w:r>
      <w:r w:rsidR="00DA5D59" w:rsidRPr="00B363AA">
        <w:t xml:space="preserve"> </w:t>
      </w:r>
      <w:r w:rsidR="4369F44E" w:rsidRPr="00B363AA">
        <w:t>(</w:t>
      </w:r>
      <w:proofErr w:type="spellStart"/>
      <w:r w:rsidR="00DA5D59" w:rsidRPr="00B363AA">
        <w:t>C</w:t>
      </w:r>
      <w:r w:rsidR="00DA5D59" w:rsidRPr="00B363AA">
        <w:rPr>
          <w:vertAlign w:val="subscript"/>
        </w:rPr>
        <w:t>contrainte</w:t>
      </w:r>
      <w:proofErr w:type="spellEnd"/>
      <w:r w:rsidR="589D0E87" w:rsidRPr="00B363AA">
        <w:rPr>
          <w:rFonts w:eastAsia="Calibri" w:cs="Calibri"/>
          <w:color w:val="000000" w:themeColor="text1"/>
          <w:szCs w:val="22"/>
        </w:rPr>
        <w:t>)</w:t>
      </w:r>
      <w:r w:rsidR="00DA5D59" w:rsidRPr="00B363AA">
        <w:t xml:space="preserve">, </w:t>
      </w:r>
      <w:r w:rsidRPr="00B363AA">
        <w:t>sur les services</w:t>
      </w:r>
      <w:r w:rsidR="00B22789" w:rsidRPr="00B363AA">
        <w:t xml:space="preserve">. Le coefficient de contrainte </w:t>
      </w:r>
      <w:r w:rsidR="009876FD" w:rsidRPr="00B363AA">
        <w:t>permet de pondérer</w:t>
      </w:r>
      <w:r w:rsidR="041FFBF1" w:rsidRPr="00B363AA">
        <w:t xml:space="preserve"> le niveau d’atteinte du service en fonction d’une contrainte particulière. </w:t>
      </w:r>
      <w:r w:rsidR="00831B7A" w:rsidRPr="00B363AA">
        <w:t>Par exemple,</w:t>
      </w:r>
      <w:r w:rsidR="69FFC4CD" w:rsidRPr="00B363AA">
        <w:t xml:space="preserve"> un</w:t>
      </w:r>
      <w:r w:rsidR="318213F1" w:rsidRPr="00B363AA">
        <w:t xml:space="preserve"> sol peut avoir un nive</w:t>
      </w:r>
      <w:r w:rsidR="1F5F9CA0" w:rsidRPr="00B363AA">
        <w:t>au de fertilité permet</w:t>
      </w:r>
      <w:r w:rsidR="40577926" w:rsidRPr="00B363AA">
        <w:t>t</w:t>
      </w:r>
      <w:r w:rsidR="28315888" w:rsidRPr="00B363AA">
        <w:t>ant</w:t>
      </w:r>
      <w:r w:rsidR="1F5F9CA0" w:rsidRPr="00B363AA">
        <w:t xml:space="preserve"> une bonne production </w:t>
      </w:r>
      <w:r w:rsidR="75874CE2" w:rsidRPr="00B363AA">
        <w:t xml:space="preserve">de biomasse </w:t>
      </w:r>
      <w:r w:rsidR="1F5F9CA0" w:rsidRPr="00B363AA">
        <w:t xml:space="preserve">mais </w:t>
      </w:r>
      <w:r w:rsidR="1D843C8A" w:rsidRPr="00B363AA">
        <w:t>un</w:t>
      </w:r>
      <w:r w:rsidR="1F5F9CA0" w:rsidRPr="00B363AA">
        <w:t xml:space="preserve"> niveau de pollution </w:t>
      </w:r>
      <w:r w:rsidR="74F009F7" w:rsidRPr="00B363AA">
        <w:t>tel</w:t>
      </w:r>
      <w:r w:rsidR="529C2741" w:rsidRPr="00B363AA">
        <w:t xml:space="preserve"> (dépassement des valeurs de risque pour la santé humaine)</w:t>
      </w:r>
      <w:r w:rsidR="74F009F7" w:rsidRPr="00B363AA">
        <w:t xml:space="preserve"> qu’il </w:t>
      </w:r>
      <w:r w:rsidR="1F5F9CA0" w:rsidRPr="00B363AA">
        <w:t xml:space="preserve">empêche </w:t>
      </w:r>
      <w:r w:rsidR="260BACBC" w:rsidRPr="00B363AA">
        <w:t xml:space="preserve">l’utilisation de la biomasse produite à des fins alimentaires. </w:t>
      </w:r>
      <w:r w:rsidR="6D7F5FBB" w:rsidRPr="00B363AA">
        <w:t xml:space="preserve">La prise en compte du niveau de pollution est intégrée dans le coefficient de contrainte, qui permet de traduire l’incompatibilité du </w:t>
      </w:r>
      <w:r w:rsidR="37EB4202" w:rsidRPr="00B363AA">
        <w:t xml:space="preserve">niveau de pollution avec l’atteinte du </w:t>
      </w:r>
      <w:r w:rsidR="00613713" w:rsidRPr="00B363AA">
        <w:t>service écosystémique</w:t>
      </w:r>
      <w:r w:rsidR="37EB4202" w:rsidRPr="00B363AA">
        <w:t xml:space="preserve"> </w:t>
      </w:r>
      <w:r w:rsidR="00963FD1" w:rsidRPr="00B363AA">
        <w:rPr>
          <w:i/>
          <w:iCs/>
        </w:rPr>
        <w:t>P</w:t>
      </w:r>
      <w:r w:rsidR="37EB4202" w:rsidRPr="00B363AA">
        <w:rPr>
          <w:i/>
          <w:iCs/>
        </w:rPr>
        <w:t>roduction de biomasse alimentaire</w:t>
      </w:r>
      <w:r w:rsidR="3BF3BE82" w:rsidRPr="00B363AA">
        <w:t xml:space="preserve">. </w:t>
      </w:r>
      <w:r w:rsidRPr="00B363AA">
        <w:t xml:space="preserve">Pondération de l’importance des services écosystémiques </w:t>
      </w:r>
      <w:r w:rsidR="00336398" w:rsidRPr="00B363AA">
        <w:t>dans un</w:t>
      </w:r>
      <w:r w:rsidRPr="00B363AA">
        <w:t xml:space="preserve"> usage donné et agrégation des scores de services écosystémiques en score IQSW-pro global</w:t>
      </w:r>
      <w:r w:rsidR="005E7CBC" w:rsidRPr="00B363AA">
        <w:t xml:space="preserve"> par usage</w:t>
      </w:r>
      <w:r w:rsidR="624FBC45" w:rsidRPr="00B363AA">
        <w:t xml:space="preserve"> sur une échelle de 0 à </w:t>
      </w:r>
      <w:r w:rsidR="0A276B7B" w:rsidRPr="00B363AA">
        <w:t>5</w:t>
      </w:r>
      <w:r w:rsidR="00336398" w:rsidRPr="00B363AA">
        <w:t xml:space="preserve"> </w:t>
      </w:r>
      <w:r w:rsidR="23DF1C19" w:rsidRPr="00B363AA">
        <w:t>(</w:t>
      </w:r>
      <w:r w:rsidR="00336398" w:rsidRPr="00B363AA">
        <w:t>S</w:t>
      </w:r>
      <w:r w:rsidR="00336398" w:rsidRPr="00B363AA">
        <w:rPr>
          <w:vertAlign w:val="subscript"/>
        </w:rPr>
        <w:t>IQSW</w:t>
      </w:r>
      <w:r w:rsidR="30274D1F" w:rsidRPr="00B363AA">
        <w:rPr>
          <w:rFonts w:eastAsia="Calibri" w:cs="Calibri"/>
          <w:color w:val="000000" w:themeColor="text1"/>
          <w:szCs w:val="22"/>
        </w:rPr>
        <w:t>)</w:t>
      </w:r>
      <w:r w:rsidRPr="00B363AA">
        <w:t>.</w:t>
      </w:r>
    </w:p>
    <w:p w14:paraId="2615F97C" w14:textId="458B140D" w:rsidR="00BA06E6" w:rsidRPr="00B363AA" w:rsidRDefault="00E92F50" w:rsidP="00BA06E6">
      <w:pPr>
        <w:keepNext/>
        <w:jc w:val="center"/>
      </w:pPr>
      <w:r w:rsidRPr="00B363AA">
        <w:rPr>
          <w:noProof/>
        </w:rPr>
        <w:drawing>
          <wp:inline distT="0" distB="0" distL="0" distR="0" wp14:anchorId="038D16B6" wp14:editId="41ADC085">
            <wp:extent cx="5759450" cy="1207770"/>
            <wp:effectExtent l="0" t="0" r="0" b="0"/>
            <wp:docPr id="1586822609"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822609" name="Image 158682260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9450" cy="1207770"/>
                    </a:xfrm>
                    <a:prstGeom prst="rect">
                      <a:avLst/>
                    </a:prstGeom>
                  </pic:spPr>
                </pic:pic>
              </a:graphicData>
            </a:graphic>
          </wp:inline>
        </w:drawing>
      </w:r>
    </w:p>
    <w:p w14:paraId="3CA6A4B7" w14:textId="058243BB" w:rsidR="00B62AB9" w:rsidRPr="00B363AA" w:rsidRDefault="00BA06E6" w:rsidP="00EC5BB9">
      <w:pPr>
        <w:pStyle w:val="Lgende"/>
        <w:jc w:val="center"/>
        <w:rPr>
          <w:i w:val="0"/>
          <w:iCs w:val="0"/>
        </w:rPr>
      </w:pPr>
      <w:bookmarkStart w:id="35" w:name="_Ref233111450"/>
      <w:bookmarkStart w:id="36" w:name="_Toc241229817"/>
      <w:r w:rsidRPr="00B363AA">
        <w:rPr>
          <w:i w:val="0"/>
          <w:iCs w:val="0"/>
        </w:rPr>
        <w:t xml:space="preserve">Figure </w:t>
      </w:r>
      <w:r w:rsidRPr="00B363AA">
        <w:rPr>
          <w:i w:val="0"/>
          <w:iCs w:val="0"/>
        </w:rPr>
        <w:fldChar w:fldCharType="begin"/>
      </w:r>
      <w:r w:rsidRPr="00B363AA">
        <w:rPr>
          <w:i w:val="0"/>
          <w:iCs w:val="0"/>
        </w:rPr>
        <w:instrText xml:space="preserve"> SEQ Figure \* ARABIC </w:instrText>
      </w:r>
      <w:r w:rsidRPr="00B363AA">
        <w:rPr>
          <w:i w:val="0"/>
          <w:iCs w:val="0"/>
        </w:rPr>
        <w:fldChar w:fldCharType="separate"/>
      </w:r>
      <w:r w:rsidR="006F5834" w:rsidRPr="00B363AA">
        <w:rPr>
          <w:i w:val="0"/>
          <w:iCs w:val="0"/>
        </w:rPr>
        <w:t>2</w:t>
      </w:r>
      <w:r w:rsidRPr="00B363AA">
        <w:rPr>
          <w:i w:val="0"/>
          <w:iCs w:val="0"/>
        </w:rPr>
        <w:fldChar w:fldCharType="end"/>
      </w:r>
      <w:bookmarkEnd w:id="35"/>
      <w:r w:rsidRPr="00B363AA">
        <w:rPr>
          <w:i w:val="0"/>
          <w:iCs w:val="0"/>
        </w:rPr>
        <w:t xml:space="preserve"> : Étapes du calcul des indices IQSW-pro</w:t>
      </w:r>
      <w:bookmarkEnd w:id="36"/>
    </w:p>
    <w:p w14:paraId="15ED860B" w14:textId="77211610" w:rsidR="00E15F64" w:rsidRPr="00B363AA" w:rsidRDefault="00CE0779">
      <w:pPr>
        <w:pStyle w:val="Titre2"/>
        <w:numPr>
          <w:ilvl w:val="1"/>
          <w:numId w:val="12"/>
        </w:numPr>
      </w:pPr>
      <w:bookmarkStart w:id="37" w:name="_Toc230267093"/>
      <w:bookmarkStart w:id="38" w:name="_Ref231291808"/>
      <w:bookmarkStart w:id="39" w:name="_Ref231291863"/>
      <w:bookmarkStart w:id="40" w:name="_Ref231291891"/>
      <w:bookmarkStart w:id="41" w:name="_Ref231291901"/>
      <w:bookmarkStart w:id="42" w:name="_Ref232206592"/>
      <w:bookmarkStart w:id="43" w:name="_Ref232206971"/>
      <w:bookmarkStart w:id="44" w:name="_Ref232250869"/>
      <w:bookmarkStart w:id="45" w:name="_Ref233046123"/>
      <w:bookmarkStart w:id="46" w:name="_Ref233111183"/>
      <w:bookmarkStart w:id="47" w:name="_Toc241242947"/>
      <w:r w:rsidRPr="00B363AA">
        <w:t>Qualité et santé</w:t>
      </w:r>
      <w:r w:rsidR="0078583F" w:rsidRPr="00B363AA">
        <w:t xml:space="preserve"> du sol</w:t>
      </w:r>
      <w:r w:rsidRPr="00B363AA">
        <w:t xml:space="preserve">, deux </w:t>
      </w:r>
      <w:r w:rsidR="00883F73" w:rsidRPr="00B363AA">
        <w:t>notions</w:t>
      </w:r>
      <w:r w:rsidRPr="00B363AA">
        <w:t xml:space="preserve"> complémentaires</w:t>
      </w:r>
      <w:bookmarkEnd w:id="37"/>
      <w:bookmarkEnd w:id="38"/>
      <w:bookmarkEnd w:id="39"/>
      <w:bookmarkEnd w:id="40"/>
      <w:bookmarkEnd w:id="41"/>
      <w:bookmarkEnd w:id="42"/>
      <w:bookmarkEnd w:id="43"/>
      <w:bookmarkEnd w:id="44"/>
      <w:bookmarkEnd w:id="45"/>
      <w:bookmarkEnd w:id="46"/>
      <w:bookmarkEnd w:id="47"/>
    </w:p>
    <w:p w14:paraId="21F4E637" w14:textId="1E64DE52" w:rsidR="00ED6EFC" w:rsidRPr="00B363AA" w:rsidRDefault="00ED6EFC">
      <w:pPr>
        <w:pStyle w:val="Titre3"/>
        <w:numPr>
          <w:ilvl w:val="2"/>
          <w:numId w:val="12"/>
        </w:numPr>
      </w:pPr>
      <w:bookmarkStart w:id="48" w:name="_Toc241242948"/>
      <w:r w:rsidRPr="00B363AA">
        <w:t>Historique</w:t>
      </w:r>
      <w:bookmarkEnd w:id="48"/>
    </w:p>
    <w:p w14:paraId="2F5E1D83" w14:textId="73C5F352" w:rsidR="000F38A3" w:rsidRPr="00B363AA" w:rsidRDefault="000F38A3" w:rsidP="000F38A3">
      <w:r w:rsidRPr="00B363AA">
        <w:t xml:space="preserve">Quelle différence y a-t-il entre la qualité et la santé d’un sol, deux termes fréquemment utilisés de manière interchangeable dans les publications scientifiques et les politiques publiques ? Par exemple, </w:t>
      </w:r>
      <w:r w:rsidR="2BD56146" w:rsidRPr="00B363AA">
        <w:t>D</w:t>
      </w:r>
      <w:r w:rsidRPr="00B363AA">
        <w:t xml:space="preserve">ans la récente directive sur la surveillance des sols </w:t>
      </w:r>
      <w:r w:rsidRPr="00B363AA">
        <w:fldChar w:fldCharType="begin"/>
      </w:r>
      <w:r w:rsidRPr="00B363AA">
        <w:instrText xml:space="preserve"> ADDIN ZOTERO_ITEM CSL_CITATION {"citationID":"cOdyZody","properties":{"formattedCitation":"(UE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Pr="00B363AA">
        <w:fldChar w:fldCharType="separate"/>
      </w:r>
      <w:r w:rsidR="00377A1A" w:rsidRPr="00B363AA">
        <w:rPr>
          <w:rFonts w:cs="Calibri"/>
        </w:rPr>
        <w:t>(UE 2025/2360, 2025)</w:t>
      </w:r>
      <w:r w:rsidRPr="00B363AA">
        <w:fldChar w:fldCharType="end"/>
      </w:r>
      <w:r w:rsidRPr="00B363AA">
        <w:t xml:space="preserve">, </w:t>
      </w:r>
      <w:r w:rsidR="6E3C7D3E" w:rsidRPr="00B363AA">
        <w:t xml:space="preserve">par exemple, </w:t>
      </w:r>
      <w:r w:rsidRPr="00B363AA">
        <w:t xml:space="preserve">un sol </w:t>
      </w:r>
      <w:r w:rsidRPr="00B363AA">
        <w:rPr>
          <w:i/>
          <w:iCs/>
        </w:rPr>
        <w:t>sain</w:t>
      </w:r>
      <w:r w:rsidRPr="00B363AA">
        <w:t xml:space="preserve"> est défini comme étant capable de fournir des services écosystémiques, sans évoquer la notion de qualité.</w:t>
      </w:r>
      <w:r w:rsidR="008342D4" w:rsidRPr="00B363AA">
        <w:t xml:space="preserve"> Le concept de </w:t>
      </w:r>
      <w:r w:rsidR="008342D4" w:rsidRPr="00B363AA">
        <w:rPr>
          <w:i/>
          <w:iCs/>
        </w:rPr>
        <w:t>santé</w:t>
      </w:r>
      <w:r w:rsidR="008342D4" w:rsidRPr="00B363AA">
        <w:t xml:space="preserve"> est mis en avant dans le texte européen, </w:t>
      </w:r>
      <w:r w:rsidR="00E875F3" w:rsidRPr="00B363AA">
        <w:t xml:space="preserve">alors qu’en parallèle de nombreux indices de </w:t>
      </w:r>
      <w:r w:rsidR="00E875F3" w:rsidRPr="00B363AA">
        <w:rPr>
          <w:i/>
          <w:iCs/>
        </w:rPr>
        <w:t>qualité</w:t>
      </w:r>
      <w:r w:rsidR="00E875F3" w:rsidRPr="00B363AA">
        <w:t xml:space="preserve"> du sol sont développés.</w:t>
      </w:r>
      <w:r w:rsidRPr="00B363AA">
        <w:t xml:space="preserve"> Depuis l’émergence de ces deux concepts, une confusion subsist</w:t>
      </w:r>
      <w:r w:rsidR="00E875F3" w:rsidRPr="00B363AA">
        <w:t>e</w:t>
      </w:r>
      <w:r w:rsidRPr="00B363AA">
        <w:t xml:space="preserve"> au sein de la communauté scientifique. </w:t>
      </w:r>
    </w:p>
    <w:p w14:paraId="489EF2F8" w14:textId="010A3C26" w:rsidR="000F38A3" w:rsidRPr="00B363AA" w:rsidRDefault="000F38A3" w:rsidP="000F38A3">
      <w:r w:rsidRPr="00B363AA">
        <w:t xml:space="preserve">Karlen et al. </w:t>
      </w:r>
      <w:r w:rsidRPr="00B363AA">
        <w:fldChar w:fldCharType="begin"/>
      </w:r>
      <w:r w:rsidRPr="00B363AA">
        <w:instrText xml:space="preserve"> ADDIN ZOTERO_ITEM CSL_CITATION {"citationID":"QD5etQfT","properties":{"formattedCitation":"(1997)","plainCitation":"(1997)","noteIndex":0},"citationItems":[{"id":550,"uris":["http://zotero.org/groups/5684833/items/FVEVKAU3"],"itemData":{"id":550,"type":"article-journal","abstract":"This essay summarizes deliberation by the Soil Science Society of America (SSSA) Ad Hoc Committee on Soil Quality (S-581) and was written to spur discussion among SSSA members. Varying perceptions of soil quality have emerged since the concept was suggested in the early 1990s, and dialogue among members is important because, unlike air and water quality, legislative standards for soil quality have not been and perhaps should not be defined. In simplest terms, soil quality is “the capacity (of soil) to function”. This definition, based on function, reflects the living and dynamic nature of soil. Soil quality can be conceptualized as a three-legged stool, the function and balance of which requires an integration of three major components — sustained biological productivity, environmental quality, and plant and animal health. The concept attempts to balance multiple soil uses (e.g., for agricultural production, remediation of wastes, urban development, forest, range, or recreation) with goals for environmental quality. Assessing soil quality will require collaboration among all disciplines of science to examine and interpret their results in the context of land management strategies, interactions, and trade-offs. Society is demanding solutions from science. Simply measuring and reporting the response of an individual soil parameter to a given perturbation or management practice is no longer sufficient. The soil resource must be recognized as a dynamic living system that emerges through a unique balance and interaction of its biological, chemical, and physical components. We encourage SSSA members to consider the concept of soil quality (perhaps as a marketing tool) and to debate how it might enable us to more effectively meet the diverse natural resource needs and concerns of our rural, urban, and suburban clientele of today and tomorrow.","container-title":"Soil Science Society of America Journal","DOI":"10.2136/sssaj1997.03615995006100010001x","ISSN":"1435-0661","issue":"1","language":"en","note":"_eprint: https://acsess.onlinelibrary.wiley.com/doi/pdf/10.2136/sssaj1997.03615995006100010001x","page":"4-10","source":"Wiley Online Library","title":"Soil Quality: A Concept, Definition, and Framework for Evaluation (A Guest Editorial)","title-short":"Soil Quality","volume":"61","author":[{"family":"Karlen","given":"D. L."},{"family":"Mausbach","given":"M. J."},{"family":"Doran","given":"J. W."},{"family":"Cline","given":"R. G."},{"family":"Harris","given":"R. F."},{"family":"Schuman","given":"G. E."}],"issued":{"date-parts":[["1997"]]}},"suppress-author":true}],"schema":"https://github.com/citation-style-language/schema/raw/master/csl-citation.json"} </w:instrText>
      </w:r>
      <w:r w:rsidRPr="00B363AA">
        <w:fldChar w:fldCharType="separate"/>
      </w:r>
      <w:r w:rsidRPr="00B363AA">
        <w:rPr>
          <w:rFonts w:cs="Calibri"/>
        </w:rPr>
        <w:t>(1997)</w:t>
      </w:r>
      <w:r w:rsidRPr="00B363AA">
        <w:fldChar w:fldCharType="end"/>
      </w:r>
      <w:r w:rsidRPr="00B363AA">
        <w:t xml:space="preserve"> </w:t>
      </w:r>
      <w:r w:rsidR="0011112F" w:rsidRPr="00B363AA">
        <w:t>a</w:t>
      </w:r>
      <w:r w:rsidRPr="00B363AA">
        <w:t xml:space="preserve"> formulé l’une des premières définitions de la qualité des sols, </w:t>
      </w:r>
      <w:r w:rsidR="0011112F" w:rsidRPr="00B363AA">
        <w:t>comptant</w:t>
      </w:r>
      <w:r w:rsidRPr="00B363AA">
        <w:t xml:space="preserve"> parmi les plus fréquemment employées dans la littérature scientifique : « La qualité d’un sol est sa capacité à fonctionner, au sein des frontières de l’écosystème et de l’usage, pour soutenir la productivité, maintenir la qualité environnementale et promouvoir la santé des plantes et des animaux ». Presque au même moment, le concept de santé du sol a émergé. Depuis les premières publications sur le sujet définissant la santé d’un sol (en tant que système dynamique) comme sa capacité continue à fonctionner comme un système vivant </w:t>
      </w:r>
      <w:r w:rsidRPr="00B363AA">
        <w:fldChar w:fldCharType="begin"/>
      </w:r>
      <w:r w:rsidRPr="00B363AA">
        <w:instrText xml:space="preserve"> ADDIN ZOTERO_ITEM CSL_CITATION {"citationID":"cUQn0iW6","properties":{"formattedCitation":"(Doran &amp; Zeiss, 2000)","plainCitation":"(Doran &amp; Zeiss, 2000)","noteIndex":0},"citationItems":[{"id":407,"uris":["http://zotero.org/groups/5684833/items/VXMVJZVB"],"itemData":{"id":407,"type":"article-journal","abstract":"Soil health is the capacity of soil to function as a vital living system, within ecosystem and land-use boundaries, to sustain plant and animal productivity, maintain or enhance water and air quality, and promote plant and animal health. Anthropogenic reductions in soil health, and of individual components of soil quality, are a pressing ecological concern. A conference entitled ‘Soil Health: Managing the Biological Component of Soil Quality’ was held was held in the USA in November 1998 to help increase awareness of the importance and utility of soil organisms as indicators of soil quality and determinants of soil health. To evaluate sustainability of agricultural practices, assessment of soil health using various indicators of soil quality is needed. Soil organism and biotic parameters (e.g. abundance, diversity, food web structure, or community stability) meet most of the five criteria for useful indicators of soil quality. Soil organisms respond sensitively to land management practices and climate. They are well correlated with beneficial soil and ecosystem functions including water storage, decomposition and nutrient cycling, detoxification of toxicants, and suppression of noxious and pathogenic organisms. Soil organisms also illustrate the chain of cause and effect that links land management decisions to ultimate productivity and health of plants and animals. Indicators must be comprehensible and useful to land managers, who are the ultimate stewards of soil quality and soil health. Visible organisms such as earthworms, insects, and molds have historically met this criterion. Finally, indicators must be easy and inexpensive to measure, but the need for knowledge of taxonomy complicates the measurement of soil organisms. Several farmer-participatory programs for managing soil quality and health have incorporated abiotic and simple biotic indicators. The challenge for the future is to develop sustainable management systems which are the vanguard of soil health; soil quality indicators are merely a means towards this end.","collection-title":"Special issue: Managing the Biotic component of Soil Quality","container-title":"Applied Soil Ecology","DOI":"10.1016/S0929-1393(00)00067-6","ISSN":"0929-1393","issue":"1","journalAbbreviation":"Applied Soil Ecology","page":"3-11","source":"ScienceDirect","title":"Soil health and sustainability: managing the biotic component of soil quality","title-short":"Soil health and sustainability","volume":"15","author":[{"family":"Doran","given":"John W."},{"family":"Zeiss","given":"Michael R."}],"issued":{"date-parts":[["2000",8,1]]}}}],"schema":"https://github.com/citation-style-language/schema/raw/master/csl-citation.json"} </w:instrText>
      </w:r>
      <w:r w:rsidRPr="00B363AA">
        <w:fldChar w:fldCharType="separate"/>
      </w:r>
      <w:r w:rsidRPr="00B363AA">
        <w:rPr>
          <w:rFonts w:cs="Calibri"/>
        </w:rPr>
        <w:t>(Doran &amp; Zeiss, 2000)</w:t>
      </w:r>
      <w:r w:rsidRPr="00B363AA">
        <w:fldChar w:fldCharType="end"/>
      </w:r>
      <w:r w:rsidRPr="00B363AA">
        <w:t xml:space="preserve">, le concept a évolué en intégrant plus </w:t>
      </w:r>
      <w:r w:rsidRPr="00B363AA">
        <w:lastRenderedPageBreak/>
        <w:t xml:space="preserve">spécifiquement la biologie du sol, jusqu’alors peu prise en compte dans les évaluations de sol, et en mettant en lien la capacité du sol à fournir des services écosystémiques avec les objectifs de durabilité </w:t>
      </w:r>
      <w:r w:rsidRPr="00B363AA">
        <w:fldChar w:fldCharType="begin"/>
      </w:r>
      <w:r w:rsidRPr="00B363AA">
        <w:instrText xml:space="preserve"> ADDIN ZOTERO_ITEM CSL_CITATION {"citationID":"AJnCY9n1","properties":{"unsorted":true,"formattedCitation":"(Doran and Zeiss, 2000; Kibblewhite et al., 2008; Faber et al., 2022)","plainCitation":"(Doran and Zeiss, 2000; Kibblewhite et al., 2008; Faber et al., 2022)","dontUpdate":true,"noteIndex":0},"citationItems":[{"id":407,"uris":["http://zotero.org/groups/5684833/items/VXMVJZVB"],"itemData":{"id":407,"type":"article-journal","abstract":"Soil health is the capacity of soil to function as a vital living system, within ecosystem and land-use boundaries, to sustain plant and animal productivity, maintain or enhance water and air quality, and promote plant and animal health. Anthropogenic reductions in soil health, and of individual components of soil quality, are a pressing ecological concern. A conference entitled ‘Soil Health: Managing the Biological Component of Soil Quality’ was held was held in the USA in November 1998 to help increase awareness of the importance and utility of soil organisms as indicators of soil quality and determinants of soil health. To evaluate sustainability of agricultural practices, assessment of soil health using various indicators of soil quality is needed. Soil organism and biotic parameters (e.g. abundance, diversity, food web structure, or community stability) meet most of the five criteria for useful indicators of soil quality. Soil organisms respond sensitively to land management practices and climate. They are well correlated with beneficial soil and ecosystem functions including water storage, decomposition and nutrient cycling, detoxification of toxicants, and suppression of noxious and pathogenic organisms. Soil organisms also illustrate the chain of cause and effect that links land management decisions to ultimate productivity and health of plants and animals. Indicators must be comprehensible and useful to land managers, who are the ultimate stewards of soil quality and soil health. Visible organisms such as earthworms, insects, and molds have historically met this criterion. Finally, indicators must be easy and inexpensive to measure, but the need for knowledge of taxonomy complicates the measurement of soil organisms. Several farmer-participatory programs for managing soil quality and health have incorporated abiotic and simple biotic indicators. The challenge for the future is to develop sustainable management systems which are the vanguard of soil health; soil quality indicators are merely a means towards this end.","collection-title":"Special issue: Managing the Biotic component of Soil Quality","container-title":"Applied Soil Ecology","DOI":"10.1016/S0929-1393(00)00067-6","ISSN":"0929-1393","issue":"1","journalAbbreviation":"Applied Soil Ecology","page":"3-11","source":"ScienceDirect","title":"Soil health and sustainability: managing the biotic component of soil quality","title-short":"Soil health and sustainability","volume":"15","author":[{"family":"Doran","given":"John W."},{"family":"Zeiss","given":"Michael R."}],"issued":{"date-parts":[["2000",8,1]]}}},{"id":452,"uris":["http://zotero.org/groups/5684833/items/6LYHR76I"],"itemData":{"id":452,"type":"article-journal","abstract":"Soil health is presented as an integrative property that reflects the capacity of soil to respond to agricultural intervention, so that it continues to support both the agricultural production and the provision of other ecosystem services. The major challenge within sustainable soil management is to conserve ecosystem service delivery while optimizing agricultural yields. It is proposed that soil health is dependent on the maintenance of four major functions: carbon transformations; nutrient cycles; soil structure maintenance; and the regulation of pests and diseases. Each of these functions is manifested as an aggregate of a variety of biological processes provided by a diversity of interacting soil organisms under the influence of the abiotic soil environment. Analysis of current models of the soil community under the impact of agricultural interventions (particularly those entailing substitution of biological processes with fossil fuel-derived energy or inputs) confirms the highly integrative pattern of interactions within each of these functions and leads to the conclusion that measurement of individual groups of organisms, processes or soil properties does not suffice to indicate the state of the soil health. A further conclusion is that quantifying the flow of energy and carbon between functions is an essential but non-trivial task for the assessment and management of soil health.","container-title":"Philosophical Transactions of the Royal Society of London. Series B, Biological Sciences","DOI":"10.1098/rstb.2007.2178","ISSN":"0962-8436","issue":"1492","journalAbbreviation":"Philos Trans R Soc Lond B Biol Sci","language":"eng","page":"685-701","PMID":"17785275","PMCID":"PMC2610104","source":"PubMed","title":"Soil health in agricultural systems","volume":"363","author":[{"family":"Kibblewhite","given":"M. G."},{"family":"Ritz","given":"K."},{"family":"Swift","given":"M. J."}],"issued":{"date-parts":[["2008",2,27]]}}},{"id":171,"uris":["http://zotero.org/groups/5684833/items/6DBJFX6R"],"itemData":{"id":171,"type":"article-journal","DOI":"10.5281/zenodo.15187757","language":"en","source":"zenodo.org","title":"EJP SOIL Internal Project SIREN Deliverable 2: Stocktaking for Agricultural Soil Quality and Ecosystem Services Indicators and their Reference Values (SIREN)","title-short":"EJP SOIL Internal Project SIREN Deliverable 2","URL":"https://zenodo.org/records/15187757","author":[{"family":"Faber","given":"Jack H."},{"family":"Hanegraaf","given":"Marjoleine"},{"family":"Gillikin","given":"Ava"},{"family":"Hendriks","given":"Chantal"},{"family":"Kuikman","given":"Peter"},{"family":"Cousin","given":"Isabelle"},{"family":"Bispo","given":"Antonio"},{"family":"Obiang-Ndong","given":"Gregory"},{"family":"Montagne","given":"David"},{"family":"Taylor","given":"Astrid"},{"family":"Bengtsson","given":"Jan"},{"family":"Damme","given":"Loraine","non-dropping-particle":"ten"},{"family":"Meurer","given":"Katharina H. E."},{"family":"Viketoft","given":"Maria"}],"accessed":{"date-parts":[["2025",6,16]]},"issued":{"date-parts":[["2022"]]}}}],"schema":"https://github.com/citation-style-language/schema/raw/master/csl-citation.json"} </w:instrText>
      </w:r>
      <w:r w:rsidRPr="00B363AA">
        <w:fldChar w:fldCharType="separate"/>
      </w:r>
      <w:r w:rsidRPr="00B363AA">
        <w:t>(Kibblewhite et al., 2008; Faber et al., 2022)</w:t>
      </w:r>
      <w:r w:rsidRPr="00B363AA">
        <w:fldChar w:fldCharType="end"/>
      </w:r>
      <w:r w:rsidRPr="00B363AA">
        <w:t xml:space="preserve">. </w:t>
      </w:r>
    </w:p>
    <w:p w14:paraId="1002AC07" w14:textId="4F076B7E" w:rsidR="00543CEC" w:rsidRPr="00B363AA" w:rsidRDefault="00543CEC">
      <w:pPr>
        <w:pStyle w:val="Titre3"/>
        <w:numPr>
          <w:ilvl w:val="2"/>
          <w:numId w:val="12"/>
        </w:numPr>
      </w:pPr>
      <w:bookmarkStart w:id="49" w:name="_Toc241242949"/>
      <w:r w:rsidRPr="00B363AA">
        <w:t>Définitions opérationnelles</w:t>
      </w:r>
      <w:bookmarkEnd w:id="49"/>
    </w:p>
    <w:p w14:paraId="4336DB18" w14:textId="41A2B54B" w:rsidR="00543CEC" w:rsidRPr="00B363AA" w:rsidRDefault="000F38A3" w:rsidP="000F38A3">
      <w:r w:rsidRPr="00B363AA">
        <w:t xml:space="preserve">Parmi les diverses définitions fréquemment formulées dans la littérature scientifique, aucune ne fait réellement consensus. En effet, celles-ci sont finalement peu opérationnelles </w:t>
      </w:r>
      <w:r w:rsidRPr="00B363AA">
        <w:fldChar w:fldCharType="begin"/>
      </w:r>
      <w:r w:rsidRPr="00B363AA">
        <w:instrText xml:space="preserve"> ADDIN ZOTERO_ITEM CSL_CITATION {"citationID":"YMI9sGMS","properties":{"unsorted":true,"formattedCitation":"(Lehmann et al., 2020; Weninger et al., 2024)","plainCitation":"(Lehmann et al., 2020; Weninger et al., 2024)","noteIndex":0},"citationItems":[{"id":416,"uris":["http://zotero.org/groups/5684833/items/S5FAIYHE"],"itemData":{"id":416,"type":"article-journal","abstract":"Soil health is the continued capacity of soil to function as a vital living ecosystem that sustains plants, animals and humans, and connects agricultural and soil science to policy, stakeholder needs and sustainable supply-chain management. Historically, soil assessments focused on crop production, but, today, soil health also includes the role of soil in water quality, climate change and human health. However, quantifying soil health is still dominated by chemical indicators, despite growing appreciation of the importance of soil biodiversity, owing to limited functional knowledge and lack of effective methods. In this Perspective, the definition and history of soil health are described and compared with other soil concepts. We outline ecosystem services provided by soils, the indicators used to measure soil functionality and their integration into informative soil-health indices. Scientists should embrace soil health as an overarching principle that contributes to sustainability goals, rather than only a property to measure.","container-title":"Nature Reviews Earth &amp; Environment","DOI":"10.1038/s43017-020-0080-8","ISSN":"2662-138X","issue":"10","journalAbbreviation":"Nat Rev Earth Environ","language":"en","license":"2020 Springer Nature Limited","page":"544-553","publisher":"Nature Publishing Group","source":"www.nature.com","title":"The concept and future prospects of soil health","volume":"1","author":[{"family":"Lehmann","given":"Johannes"},{"family":"Bossio","given":"Deborah A."},{"family":"Kögel-Knabner","given":"Ingrid"},{"family":"Rillig","given":"Matthias C."}],"issued":{"date-parts":[["2020",10]]}}},{"id":430,"uris":["http://zotero.org/groups/5684833/items/ZVIP3Y7R"],"itemData":{"id":430,"type":"article-journal","abstract":"European soils are under increasing pressure, making it difficult to maintain the provision of soil ecosystem services (SESs). A better understanding of soil processes is needed to counteract soil threats (STs) and to promote sustainable soil management. The EJP SOIL programme of the EU provides a framework for the necessary research. However, different definitions of soil-related terms potentially lead to varied understandings of concepts. Furthermore, there are numerous indicators available to quantify STs or SESs. As unclear communication is a key barrier that hinders the implementation of research results into practice, this study aimed to answer the question about whether the terminology of large-scale initiatives is adequately understood within the soil-science community and non-research stakeholders. An online questionnaire was used to provide definitions for 33 soil-related terms in both scientific and plain language, as well as indicators for seven SESs and 11 STs. Participants were asked to rate their agreement with the definitions and indicators on a seven-grade Likert scale. The level of agreement was calculated as the percentage of ratings above 4, the neutral position. The survey was available from June to September 2023 and was distributed by a snowball approach. More than 260 stakeholders assessed the survey; 70% of respondents were researchers, and 15% were practitioners. Mean agreement levels for the definitions and indicators were generally high, at 85% and 78% respectively. However, it was apparent that the lowest agreement was found for terms that are relatively new, such as Ecosystem Services and Bundle, or unfamiliar for certain subgroups, such as ecological terms for stakeholders working at the farm scale. Due to their distinct majority, the results of this study primarily reflect the opinions of scientists. Thus, broad conclusions can only be drawn by comparing scientists with non-scientists. In this regard, the agreement was surprisingly high across all types of questions. The combined outcomes indicate that there is still a need to facilitate communication between stakeholders and to improve knowledge distribution strategies. Nevertheless, this study can support and be used by future projects and programmes, especially regarding the harmonization of terminology and methods.","container-title":"European Journal of Soil Science","DOI":"10.1111/ejss.13476","ISSN":"1365-2389","issue":"2","language":"en","license":"© 2024 The Authors. European Journal of Soil Science published by John Wiley &amp; Sons Ltd on behalf of British Society of Soil Science.","note":"_eprint: https://bsssjournals.onlinelibrary.wiley.com/doi/pdf/10.1111/ejss.13476","page":"e13476","source":"Wiley Online Library","title":"Do we speak one language on the way to sustainable soil management in Europe? A terminology check via an EU-wide survey","title-short":"Do we speak one language on the way to sustainable soil management in Europe?","volume":"75","author":[{"family":"Weninger","given":"Thomas"},{"family":"Ramler","given":"David"},{"family":"Bondi","given":"Giulia"},{"family":"Asins","given":"Sabina"},{"family":"O'Sullivan","given":"Lilian"},{"family":"Assennato","given":"Francesca"},{"family":"Astover","given":"Alar"},{"family":"Bispo","given":"Antonio"},{"family":"Borůvka","given":"Luboš"},{"family":"Buttafuoco","given":"Gabriele"},{"family":"Calzolari","given":"Costanza"},{"family":"Castanheira","given":"Nádia"},{"family":"Cousin","given":"Isabelle"},{"family":"Elsen","given":"Erik","non-dropping-particle":"van den"},{"family":"Foldal","given":"Cecilie"},{"family":"Hessel","given":"Rudi"},{"family":"Kadžiulienė","given":"Žydrė"},{"family":"Kukk","given":"Liia"},{"family":"Molina","given":"Maria J."},{"family":"Montagne","given":"David"},{"family":"Oorts","given":"Katrien"},{"family":"Pindral","given":"Sylwia"},{"family":"Ungaro","given":"Fabrizio"},{"family":"Klimkowicz-Pawlas","given":"Agnieszka"}],"issued":{"date-parts":[["2024"]]}}}],"schema":"https://github.com/citation-style-language/schema/raw/master/csl-citation.json"} </w:instrText>
      </w:r>
      <w:r w:rsidRPr="00B363AA">
        <w:fldChar w:fldCharType="separate"/>
      </w:r>
      <w:r w:rsidRPr="00B363AA">
        <w:rPr>
          <w:rFonts w:cs="Calibri"/>
        </w:rPr>
        <w:t>(Lehmann et al., 2020; Weninger et al., 2024)</w:t>
      </w:r>
      <w:r w:rsidRPr="00B363AA">
        <w:fldChar w:fldCharType="end"/>
      </w:r>
      <w:r w:rsidRPr="00B363AA">
        <w:t xml:space="preserve">, ce qui résulte en un découragement des parties prenantes à intégrer la santé des sols dans les projets d’aménagement. Or, l’objectif d’une définition est finalement qu’une multiplicité d’acteurs puisse y voir un sens commun pour rassembler leurs efforts vers </w:t>
      </w:r>
      <w:r w:rsidR="0011112F" w:rsidRPr="00B363AA">
        <w:t>la mise en place d’actions concrètes</w:t>
      </w:r>
      <w:r w:rsidRPr="00B363AA">
        <w:t xml:space="preserve">. </w:t>
      </w:r>
    </w:p>
    <w:p w14:paraId="5D50EEEA" w14:textId="597E0F40" w:rsidR="00637823" w:rsidRPr="00B363AA" w:rsidRDefault="000F38A3" w:rsidP="00E90D23">
      <w:r w:rsidRPr="00B363AA">
        <w:t xml:space="preserve">Ce constat a guidé les travaux de Cousin et al. </w:t>
      </w:r>
      <w:r w:rsidRPr="00B363AA">
        <w:fldChar w:fldCharType="begin"/>
      </w:r>
      <w:r w:rsidRPr="00B363AA">
        <w:instrText xml:space="preserve"> ADDIN ZOTERO_ITEM CSL_CITATION {"citationID":"Yt9w2guk","properties":{"unsorted":false,"formattedCitation":"(2025)","plainCitation":"(2025)","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uppress-author":true}],"schema":"https://github.com/citation-style-language/schema/raw/master/csl-citation.json"} </w:instrText>
      </w:r>
      <w:r w:rsidRPr="00B363AA">
        <w:fldChar w:fldCharType="separate"/>
      </w:r>
      <w:r w:rsidRPr="00B363AA">
        <w:rPr>
          <w:rFonts w:cs="Calibri"/>
        </w:rPr>
        <w:t>(2025)</w:t>
      </w:r>
      <w:r w:rsidRPr="00B363AA">
        <w:fldChar w:fldCharType="end"/>
      </w:r>
      <w:r w:rsidRPr="00B363AA">
        <w:t xml:space="preserve"> qui, dans le cadre d’un projet bibliographique de grande ampleur (INDIQUASOLS), a défini la qualité du sol pour un indicateur donné comme le potentiel atteignable du sol, et la santé comme étant le rapport entre la valeur mesurée et le potentiel. </w:t>
      </w:r>
      <w:r w:rsidR="0058104B" w:rsidRPr="00B363AA">
        <w:t>L</w:t>
      </w:r>
      <w:r w:rsidR="00497945" w:rsidRPr="00B363AA">
        <w:t>e concept de santé du sol ne</w:t>
      </w:r>
      <w:r w:rsidR="009A35B0" w:rsidRPr="00B363AA">
        <w:t xml:space="preserve"> </w:t>
      </w:r>
      <w:r w:rsidR="006E6C62" w:rsidRPr="00B363AA">
        <w:t xml:space="preserve">permet </w:t>
      </w:r>
      <w:r w:rsidR="313D5677" w:rsidRPr="00B363AA">
        <w:t xml:space="preserve">néanmoins </w:t>
      </w:r>
      <w:r w:rsidR="006E6C62" w:rsidRPr="00B363AA">
        <w:t xml:space="preserve">pas de couvrir </w:t>
      </w:r>
      <w:r w:rsidR="00FE2515" w:rsidRPr="00B363AA">
        <w:t xml:space="preserve">l’ensemble des besoins des </w:t>
      </w:r>
      <w:r w:rsidR="00852F6E" w:rsidRPr="00B363AA">
        <w:t>acteurs</w:t>
      </w:r>
      <w:r w:rsidR="0061BDF3" w:rsidRPr="00B363AA">
        <w:t>.</w:t>
      </w:r>
      <w:r w:rsidR="006E6C62" w:rsidRPr="00B363AA">
        <w:t xml:space="preserve"> </w:t>
      </w:r>
      <w:r w:rsidR="0058104B" w:rsidRPr="00B363AA">
        <w:t xml:space="preserve">Si la notion de santé du sol est particulièrement utile dans un contexte de réhabilitation ou d’amélioration de la gestion d’un sol (le sol est-il loin de son potentiel, et comment faire pour améliorer la situation pour l’usage du sol en l’état ?), </w:t>
      </w:r>
      <w:r w:rsidR="002E4DEE" w:rsidRPr="00B363AA">
        <w:t xml:space="preserve">l’appréciation de la qualité en </w:t>
      </w:r>
      <w:r w:rsidR="009F348F" w:rsidRPr="00B363AA">
        <w:t xml:space="preserve">termes </w:t>
      </w:r>
      <w:r w:rsidR="0058104B" w:rsidRPr="00B363AA">
        <w:t>absolu</w:t>
      </w:r>
      <w:r w:rsidR="009F348F" w:rsidRPr="00B363AA">
        <w:t>s</w:t>
      </w:r>
      <w:r w:rsidR="0058104B" w:rsidRPr="00B363AA">
        <w:t xml:space="preserve"> est particulièrement utile en aménagement du territoire, car un sol sain peut être moins adapté pour remplir une fonction donnée qu’un autre partiellement dégradé. Par exemple, un sol sableux aura généralement une faible réserve en eau utile, même s’il est parfaitement sain. </w:t>
      </w:r>
      <w:r w:rsidR="00905B4D" w:rsidRPr="00B363AA">
        <w:t>À</w:t>
      </w:r>
      <w:r w:rsidR="0058104B" w:rsidRPr="00B363AA">
        <w:t xml:space="preserve"> l’inverse, un sol limoneux</w:t>
      </w:r>
      <w:r w:rsidR="0084572F" w:rsidRPr="00B363AA">
        <w:t>, même s’il est légèrement</w:t>
      </w:r>
      <w:r w:rsidR="0058104B" w:rsidRPr="00B363AA">
        <w:t xml:space="preserve"> dégradé</w:t>
      </w:r>
      <w:r w:rsidR="0084572F" w:rsidRPr="00B363AA">
        <w:t>,</w:t>
      </w:r>
      <w:r w:rsidR="0058104B" w:rsidRPr="00B363AA">
        <w:t xml:space="preserve"> gardera une réserve en eau utile importante pour l’alimentation hydrique des plantes.</w:t>
      </w:r>
      <w:r w:rsidR="0045423E" w:rsidRPr="00B363AA">
        <w:t xml:space="preserve"> Le concept de « qualité absolue » est </w:t>
      </w:r>
      <w:r w:rsidR="005C1F20" w:rsidRPr="00B363AA">
        <w:t>utilisé</w:t>
      </w:r>
      <w:r w:rsidR="0045423E" w:rsidRPr="00B363AA">
        <w:t xml:space="preserve"> par </w:t>
      </w:r>
      <w:r w:rsidR="005C1F20" w:rsidRPr="00B363AA">
        <w:t>la FAO</w:t>
      </w:r>
      <w:r w:rsidR="001620D3" w:rsidRPr="00B363AA">
        <w:t xml:space="preserve"> </w:t>
      </w:r>
      <w:r w:rsidR="00963B6C" w:rsidRPr="00B363AA">
        <w:fldChar w:fldCharType="begin"/>
      </w:r>
      <w:r w:rsidR="00963B6C" w:rsidRPr="00B363AA">
        <w:instrText xml:space="preserve"> ADDIN ZOTERO_ITEM CSL_CITATION {"citationID":"MUASt6Aw","properties":{"unsorted":false,"formattedCitation":"(2026)","plainCitation":"(2026)","noteIndex":0},"citationItems":[{"id":636,"uris":["http://zotero.org/groups/5684833/items/N2YZCR46"],"itemData":{"id":636,"type":"webpage","container-title":"FAO SOILS PORTAL","title":"Global Soil Health","URL":"https://www.fao.org/soils-portal/soil-degradation-restoration/global-soil-health-indicators-and-assessment/global-soil-health/en/","author":[{"family":"FAO (Food and Agriculture Organization of the United Nations)","given":""}],"accessed":{"date-parts":[["2026",9,23]]},"issued":{"date-parts":[["2026"]]}},"suppress-author":true}],"schema":"https://github.com/citation-style-language/schema/raw/master/csl-citation.json"} </w:instrText>
      </w:r>
      <w:r w:rsidR="00963B6C" w:rsidRPr="00B363AA">
        <w:fldChar w:fldCharType="separate"/>
      </w:r>
      <w:r w:rsidR="00963B6C" w:rsidRPr="00B363AA">
        <w:rPr>
          <w:rFonts w:cs="Calibri"/>
        </w:rPr>
        <w:t>(2026)</w:t>
      </w:r>
      <w:r w:rsidR="00963B6C" w:rsidRPr="00B363AA">
        <w:fldChar w:fldCharType="end"/>
      </w:r>
      <w:r w:rsidR="005C1F20" w:rsidRPr="00B363AA">
        <w:t xml:space="preserve"> pour l’appréciation du potentiel agronomique d’un sol</w:t>
      </w:r>
      <w:r w:rsidR="001D0E34" w:rsidRPr="00B363AA">
        <w:t>. Dans l’IQSW</w:t>
      </w:r>
      <w:r w:rsidR="4C048DBA" w:rsidRPr="00B363AA">
        <w:t>-pro</w:t>
      </w:r>
      <w:r w:rsidR="001D0E34" w:rsidRPr="00B363AA">
        <w:t xml:space="preserve">, nous étendons cette notion à l’ensemble des services écosystémiques rendus par le sol. </w:t>
      </w:r>
      <w:r w:rsidR="00E90D23" w:rsidRPr="00B363AA">
        <w:t xml:space="preserve">Sur cette base, </w:t>
      </w:r>
      <w:r w:rsidR="00D958FE" w:rsidRPr="00B363AA">
        <w:t>l’outil</w:t>
      </w:r>
      <w:r w:rsidR="006D6F7F" w:rsidRPr="00B363AA">
        <w:t xml:space="preserve"> IQSW</w:t>
      </w:r>
      <w:r w:rsidR="3F6F4B7D" w:rsidRPr="00B363AA">
        <w:t>-pro</w:t>
      </w:r>
      <w:r w:rsidR="006D6F7F" w:rsidRPr="00B363AA">
        <w:t xml:space="preserve"> inclu</w:t>
      </w:r>
      <w:r w:rsidR="00B0688A" w:rsidRPr="00B363AA">
        <w:t>t</w:t>
      </w:r>
      <w:r w:rsidR="006D6F7F" w:rsidRPr="00B363AA">
        <w:t xml:space="preserve"> un système de </w:t>
      </w:r>
      <w:r w:rsidR="008B1CF4" w:rsidRPr="00B363AA">
        <w:t>notation</w:t>
      </w:r>
      <w:r w:rsidR="006D6F7F" w:rsidRPr="00B363AA">
        <w:t xml:space="preserve"> pour la santé du sol</w:t>
      </w:r>
      <w:r w:rsidR="005C7E23" w:rsidRPr="00B363AA">
        <w:t xml:space="preserve"> (ISSW)</w:t>
      </w:r>
      <w:r w:rsidR="006D6F7F" w:rsidRPr="00B363AA">
        <w:t xml:space="preserve"> mais aussi pour la qualité absolue</w:t>
      </w:r>
      <w:r w:rsidR="005C7E23" w:rsidRPr="00B363AA">
        <w:t xml:space="preserve"> (IQSW</w:t>
      </w:r>
      <w:r w:rsidR="00484E0A" w:rsidRPr="00B363AA">
        <w:t>)</w:t>
      </w:r>
      <w:r w:rsidR="006D6F7F" w:rsidRPr="00B363AA">
        <w:t>, selon</w:t>
      </w:r>
      <w:r w:rsidRPr="00B363AA">
        <w:t xml:space="preserve"> les définitions suivantes :</w:t>
      </w:r>
    </w:p>
    <w:p w14:paraId="08B4FDBE" w14:textId="21AA24CE" w:rsidR="00EB3C25" w:rsidRPr="00B363AA" w:rsidRDefault="001E18F0" w:rsidP="001E18F0">
      <w:pPr>
        <w:pStyle w:val="Paragraphedeliste"/>
        <w:numPr>
          <w:ilvl w:val="0"/>
          <w:numId w:val="37"/>
        </w:numPr>
      </w:pPr>
      <w:r w:rsidRPr="00B363AA">
        <w:t xml:space="preserve">La </w:t>
      </w:r>
      <w:r w:rsidRPr="00B363AA">
        <w:rPr>
          <w:b/>
          <w:bCs/>
        </w:rPr>
        <w:t>qualité d’un sol</w:t>
      </w:r>
      <w:r w:rsidRPr="00B363AA">
        <w:t xml:space="preserve"> est sa capacité actuelle à remplir un service ou une fonction donnée. Elle correspond à l’état absolu d’un indicateur. L’attribution d’un score de qualité, en lien avec une fonction donnée, consiste à interpréter la valeur mesurée d’un indicateur par rapport au niveau optimal absolu de remplissage de la fonction, établi indépendamment du type de sol évalué.</w:t>
      </w:r>
    </w:p>
    <w:p w14:paraId="267E26DA" w14:textId="77777777" w:rsidR="001E18F0" w:rsidRPr="00B363AA" w:rsidRDefault="001E18F0" w:rsidP="00EB3C25">
      <w:pPr>
        <w:pStyle w:val="Paragraphedeliste"/>
      </w:pPr>
    </w:p>
    <w:p w14:paraId="212C8E2A" w14:textId="77777777" w:rsidR="00E3002B" w:rsidRPr="00B363AA" w:rsidRDefault="00E3002B" w:rsidP="00E3002B">
      <w:pPr>
        <w:pStyle w:val="Paragraphedeliste"/>
        <w:numPr>
          <w:ilvl w:val="0"/>
          <w:numId w:val="37"/>
        </w:numPr>
      </w:pPr>
      <w:r w:rsidRPr="00B363AA">
        <w:t xml:space="preserve">La </w:t>
      </w:r>
      <w:r w:rsidRPr="00B363AA">
        <w:rPr>
          <w:b/>
          <w:bCs/>
        </w:rPr>
        <w:t>santé d’un sol</w:t>
      </w:r>
      <w:r w:rsidRPr="00B363AA">
        <w:t xml:space="preserve"> est un niveau relatif de remplissage d’une fonction par rapport au potentiel intrinsèque du sol, dépendant du type de sol. Elle correspond au rapport entre la qualité absolue et la qualité potentielle du sol (soit le potentiel maximum atteignable par un sol donné, moyennant une gestion optimale). L’attribution d’un score de santé, en lien avec une fonction donnée, consiste à interpréter la valeur mesurée d’un indicateur par rapport au niveau potentiel de remplissage de la fonction, établi selon le type de sol évalué car contraint par les propriétés intrinsèques du sol telles que la texture.</w:t>
      </w:r>
    </w:p>
    <w:p w14:paraId="6B84F1A3" w14:textId="09190DA1" w:rsidR="000F38A3" w:rsidRPr="00B363AA" w:rsidRDefault="00C41496" w:rsidP="000F38A3">
      <w:r w:rsidRPr="00B363AA">
        <w:t xml:space="preserve">La </w:t>
      </w:r>
      <w:r w:rsidR="00155855" w:rsidRPr="00B363AA">
        <w:fldChar w:fldCharType="begin"/>
      </w:r>
      <w:r w:rsidR="00155855" w:rsidRPr="00B363AA">
        <w:instrText xml:space="preserve"> REF _Ref233111666 \h  \* MERGEFORMAT </w:instrText>
      </w:r>
      <w:r w:rsidR="00155855" w:rsidRPr="00B363AA">
        <w:fldChar w:fldCharType="separate"/>
      </w:r>
      <w:r w:rsidR="00155855" w:rsidRPr="00B363AA">
        <w:t>Figure 3</w:t>
      </w:r>
      <w:r w:rsidR="00155855" w:rsidRPr="00B363AA">
        <w:fldChar w:fldCharType="end"/>
      </w:r>
      <w:r w:rsidR="00155855" w:rsidRPr="00B363AA">
        <w:t xml:space="preserve"> </w:t>
      </w:r>
      <w:r w:rsidR="000F38A3" w:rsidRPr="00B363AA">
        <w:t xml:space="preserve">illustre </w:t>
      </w:r>
      <w:r w:rsidRPr="00B363AA">
        <w:t xml:space="preserve">schématiquement </w:t>
      </w:r>
      <w:r w:rsidR="000F38A3" w:rsidRPr="00B363AA">
        <w:t>la différence</w:t>
      </w:r>
      <w:r w:rsidR="00064981" w:rsidRPr="00B363AA">
        <w:t xml:space="preserve"> (et la complémentarité)</w:t>
      </w:r>
      <w:r w:rsidR="000F38A3" w:rsidRPr="00B363AA">
        <w:t xml:space="preserve"> entre les deux concepts.</w:t>
      </w:r>
      <w:r w:rsidR="00874910" w:rsidRPr="00B363AA">
        <w:t xml:space="preserve"> </w:t>
      </w:r>
    </w:p>
    <w:p w14:paraId="410C9934" w14:textId="71CA0AA7" w:rsidR="006579AE" w:rsidRPr="00B363AA" w:rsidRDefault="00925421" w:rsidP="006579AE">
      <w:pPr>
        <w:keepNext/>
        <w:jc w:val="center"/>
      </w:pPr>
      <w:r w:rsidRPr="00B363AA">
        <w:rPr>
          <w:noProof/>
        </w:rPr>
        <w:lastRenderedPageBreak/>
        <w:drawing>
          <wp:inline distT="0" distB="0" distL="0" distR="0" wp14:anchorId="6F07A9D7" wp14:editId="12583F72">
            <wp:extent cx="5759450" cy="2698750"/>
            <wp:effectExtent l="0" t="0" r="0" b="6350"/>
            <wp:docPr id="1784129967"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129967" name="Image 178412996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59450" cy="2698750"/>
                    </a:xfrm>
                    <a:prstGeom prst="rect">
                      <a:avLst/>
                    </a:prstGeom>
                  </pic:spPr>
                </pic:pic>
              </a:graphicData>
            </a:graphic>
          </wp:inline>
        </w:drawing>
      </w:r>
    </w:p>
    <w:p w14:paraId="3F3CA221" w14:textId="6EFDADFD" w:rsidR="00015861" w:rsidRPr="00B363AA" w:rsidRDefault="006579AE" w:rsidP="002F13A2">
      <w:pPr>
        <w:pStyle w:val="Lgende"/>
        <w:jc w:val="center"/>
        <w:rPr>
          <w:i w:val="0"/>
          <w:iCs w:val="0"/>
        </w:rPr>
      </w:pPr>
      <w:bookmarkStart w:id="50" w:name="_Ref233111666"/>
      <w:bookmarkStart w:id="51" w:name="_Toc241229818"/>
      <w:r w:rsidRPr="00B363AA">
        <w:rPr>
          <w:i w:val="0"/>
          <w:iCs w:val="0"/>
        </w:rPr>
        <w:t xml:space="preserve">Figure </w:t>
      </w:r>
      <w:r w:rsidRPr="00B363AA">
        <w:rPr>
          <w:i w:val="0"/>
          <w:iCs w:val="0"/>
        </w:rPr>
        <w:fldChar w:fldCharType="begin"/>
      </w:r>
      <w:r w:rsidRPr="00B363AA">
        <w:rPr>
          <w:i w:val="0"/>
          <w:iCs w:val="0"/>
        </w:rPr>
        <w:instrText xml:space="preserve"> SEQ Figure \* ARABIC </w:instrText>
      </w:r>
      <w:r w:rsidRPr="00B363AA">
        <w:rPr>
          <w:i w:val="0"/>
          <w:iCs w:val="0"/>
        </w:rPr>
        <w:fldChar w:fldCharType="separate"/>
      </w:r>
      <w:r w:rsidR="000E1D98" w:rsidRPr="00B363AA">
        <w:rPr>
          <w:i w:val="0"/>
          <w:iCs w:val="0"/>
        </w:rPr>
        <w:t>3</w:t>
      </w:r>
      <w:r w:rsidRPr="00B363AA">
        <w:rPr>
          <w:i w:val="0"/>
          <w:iCs w:val="0"/>
        </w:rPr>
        <w:fldChar w:fldCharType="end"/>
      </w:r>
      <w:bookmarkEnd w:id="50"/>
      <w:r w:rsidRPr="00B363AA">
        <w:rPr>
          <w:i w:val="0"/>
          <w:iCs w:val="0"/>
        </w:rPr>
        <w:t xml:space="preserve"> : Illustration schématique des concepts de qualité et santé du sol</w:t>
      </w:r>
      <w:bookmarkEnd w:id="51"/>
    </w:p>
    <w:p w14:paraId="4A96E169" w14:textId="77777777" w:rsidR="002F13A2" w:rsidRPr="00B363AA" w:rsidRDefault="002F13A2" w:rsidP="002F13A2"/>
    <w:p w14:paraId="49BDBDA8" w14:textId="5ACE4B12" w:rsidR="00314761" w:rsidRPr="00B363AA" w:rsidRDefault="00314761" w:rsidP="00015861">
      <w:r w:rsidRPr="00B363AA">
        <w:t>L’</w:t>
      </w:r>
      <w:r w:rsidR="0031145C" w:rsidRPr="00B363AA">
        <w:t xml:space="preserve">outil de diagnostic consiste donc en </w:t>
      </w:r>
      <w:r w:rsidRPr="00B363AA">
        <w:rPr>
          <w:b/>
          <w:bCs/>
        </w:rPr>
        <w:t>deux indices complémentaires : l’indice de qualité des sols (IQSW) et l’indice de santé des sols (ISSW)</w:t>
      </w:r>
      <w:r w:rsidRPr="00B363AA">
        <w:t xml:space="preserve">. Ces deux indices sont calculés de la même manière (indices « miroir ») en suivant les étapes définies dans la partie </w:t>
      </w:r>
      <w:r w:rsidRPr="00B363AA">
        <w:fldChar w:fldCharType="begin"/>
      </w:r>
      <w:r w:rsidRPr="00B363AA">
        <w:instrText xml:space="preserve"> REF _Ref232208232 \r \h </w:instrText>
      </w:r>
      <w:r w:rsidRPr="00B363AA">
        <w:fldChar w:fldCharType="separate"/>
      </w:r>
      <w:r w:rsidR="00673925" w:rsidRPr="00B363AA">
        <w:t>3.4</w:t>
      </w:r>
      <w:r w:rsidRPr="00B363AA">
        <w:fldChar w:fldCharType="end"/>
      </w:r>
      <w:r w:rsidRPr="00B363AA">
        <w:t xml:space="preserve">, la seule différence résidant dans les référentiels d’interprétation utilisés pour l’interprétation des paramètres </w:t>
      </w:r>
      <w:r w:rsidR="003412C1" w:rsidRPr="00B363AA">
        <w:t>(voir partie</w:t>
      </w:r>
      <w:r w:rsidR="002B03B9" w:rsidRPr="00B363AA">
        <w:t xml:space="preserve"> </w:t>
      </w:r>
      <w:r w:rsidR="00394518" w:rsidRPr="00B363AA">
        <w:fldChar w:fldCharType="begin"/>
      </w:r>
      <w:r w:rsidR="00394518" w:rsidRPr="00B363AA">
        <w:instrText xml:space="preserve"> REF _Ref241225773 \r \h </w:instrText>
      </w:r>
      <w:r w:rsidR="00394518" w:rsidRPr="00B363AA">
        <w:fldChar w:fldCharType="separate"/>
      </w:r>
      <w:r w:rsidR="00673925" w:rsidRPr="00B363AA">
        <w:t>3.6.2</w:t>
      </w:r>
      <w:r w:rsidR="00394518" w:rsidRPr="00B363AA">
        <w:fldChar w:fldCharType="end"/>
      </w:r>
      <w:r w:rsidRPr="00B363AA">
        <w:t>).</w:t>
      </w:r>
      <w:r w:rsidR="0031145C" w:rsidRPr="00B363AA">
        <w:t xml:space="preserve"> Ils ont des portées complémentaires</w:t>
      </w:r>
      <w:r w:rsidR="00F77D0C" w:rsidRPr="00B363AA">
        <w:t> : la notion de santé</w:t>
      </w:r>
      <w:r w:rsidR="00A62F6F" w:rsidRPr="00B363AA">
        <w:t xml:space="preserve"> pour restaurer, réhabiliter ou améliorer </w:t>
      </w:r>
      <w:r w:rsidR="009D4A1B" w:rsidRPr="00B363AA">
        <w:t>un sol pour un usage donné (mon sol performe-t-il proche de son potentiel ou est-il dégradé</w:t>
      </w:r>
      <w:r w:rsidR="000F6258" w:rsidRPr="00B363AA">
        <w:t xml:space="preserve"> ?) et la notion de qualité absolue pour </w:t>
      </w:r>
      <w:r w:rsidR="009D1BFD" w:rsidRPr="00B363AA">
        <w:t xml:space="preserve">attribuer le bon usage </w:t>
      </w:r>
      <w:r w:rsidR="009C084A" w:rsidRPr="00B363AA">
        <w:t>au bon sol en aménagement du territoire</w:t>
      </w:r>
      <w:r w:rsidR="00406577" w:rsidRPr="00B363AA">
        <w:t>, en cas de changement d’usage (adéquation entre les aptitudes du sol et son usage futur).</w:t>
      </w:r>
    </w:p>
    <w:p w14:paraId="27C66AC2" w14:textId="77777777" w:rsidR="00892410" w:rsidRPr="00B363AA" w:rsidRDefault="34A46B76" w:rsidP="009D7E9E">
      <w:r w:rsidRPr="00B363AA">
        <w:t xml:space="preserve">En identifiant l’écart entre la capacité potentielle et réelle du sol à remplir un </w:t>
      </w:r>
      <w:r w:rsidR="7FA4FC3E" w:rsidRPr="00B363AA">
        <w:t>service écosystémique</w:t>
      </w:r>
      <w:r w:rsidRPr="00B363AA">
        <w:t xml:space="preserve"> donné, l’indice de santé du sol (ISSW) permet finalement d’évaluer son niveau de dégradation. </w:t>
      </w:r>
      <w:r w:rsidR="1791F94B" w:rsidRPr="00B363AA">
        <w:t xml:space="preserve">Plusieurs </w:t>
      </w:r>
      <w:r w:rsidR="08D81C3A" w:rsidRPr="00B363AA">
        <w:t xml:space="preserve">menaces de </w:t>
      </w:r>
      <w:r w:rsidR="3A1AD462" w:rsidRPr="00B363AA">
        <w:t>dégradation</w:t>
      </w:r>
      <w:r w:rsidR="1791F94B" w:rsidRPr="00B363AA">
        <w:t xml:space="preserve"> </w:t>
      </w:r>
      <w:r w:rsidR="08D81C3A" w:rsidRPr="00B363AA">
        <w:t>des sols</w:t>
      </w:r>
      <w:r w:rsidR="1791F94B" w:rsidRPr="00B363AA">
        <w:t xml:space="preserve"> sont listées dans la directive sur la surveillance des sols</w:t>
      </w:r>
      <w:r w:rsidRPr="00B363AA">
        <w:t xml:space="preserve"> </w:t>
      </w:r>
      <w:r w:rsidR="00DA2F5C" w:rsidRPr="00B363AA">
        <w:fldChar w:fldCharType="begin"/>
      </w:r>
      <w:r w:rsidR="00DA2F5C" w:rsidRPr="00B363AA">
        <w:instrText xml:space="preserve"> ADDIN ZOTERO_ITEM CSL_CITATION {"citationID":"11x6fQUh","properties":{"unsorted":false,"formattedCitation":"(UE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DA2F5C" w:rsidRPr="00B363AA">
        <w:fldChar w:fldCharType="separate"/>
      </w:r>
      <w:r w:rsidRPr="00B363AA">
        <w:rPr>
          <w:rFonts w:cs="Calibri"/>
        </w:rPr>
        <w:t>(UE 2025/2360, 2025)</w:t>
      </w:r>
      <w:r w:rsidR="00DA2F5C" w:rsidRPr="00B363AA">
        <w:fldChar w:fldCharType="end"/>
      </w:r>
      <w:r w:rsidR="1791F94B" w:rsidRPr="00B363AA">
        <w:t xml:space="preserve">, qui a pour ambition de </w:t>
      </w:r>
      <w:r w:rsidR="6D34BC7D" w:rsidRPr="00B363AA">
        <w:t>surveiller</w:t>
      </w:r>
      <w:r w:rsidR="1791F94B" w:rsidRPr="00B363AA">
        <w:t xml:space="preserve"> leur ampleur et de contribuer à la réduire : « La dégradation des sols peut englober des aspects liés à la dégradation physique, tels que l’imperméabilisation des sols et l’artificialisation des sols en général, l’érosion des sols, la compaction des sols et la réduction de la capacité des sols à retenir l’eau et à favoriser son infiltration, ainsi que des aspects liés à la dégradation chimique ou biologique, tels que l’excès et l’épuisement de nutriments, l’acidification, la salinisation et la contamination des sols, ainsi que la perte de carbone organique du sol, de biodiversité et d’activité biologique des sols » </w:t>
      </w:r>
      <w:r w:rsidR="00DA2F5C" w:rsidRPr="00B363AA">
        <w:fldChar w:fldCharType="begin"/>
      </w:r>
      <w:r w:rsidR="00DA2F5C" w:rsidRPr="00B363AA">
        <w:instrText xml:space="preserve"> ADDIN ZOTERO_ITEM CSL_CITATION {"citationID":"DRx0ZsUt","properties":{"unsorted":false,"formattedCitation":"(UE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DA2F5C" w:rsidRPr="00B363AA">
        <w:fldChar w:fldCharType="separate"/>
      </w:r>
      <w:r w:rsidR="7504740D" w:rsidRPr="00B363AA">
        <w:rPr>
          <w:rFonts w:cs="Calibri"/>
        </w:rPr>
        <w:t>(UE 2025/2360, 2025)</w:t>
      </w:r>
      <w:r w:rsidR="00DA2F5C" w:rsidRPr="00B363AA">
        <w:fldChar w:fldCharType="end"/>
      </w:r>
      <w:r w:rsidR="47F1FF71" w:rsidRPr="00B363AA">
        <w:t>.</w:t>
      </w:r>
      <w:r w:rsidR="303BBA3D" w:rsidRPr="00B363AA">
        <w:t xml:space="preserve"> Concrètement</w:t>
      </w:r>
      <w:r w:rsidR="3B84ECC7" w:rsidRPr="00B363AA">
        <w:t>, si l’état d’un paramètre se situe en-deçà de son niveau potentiel</w:t>
      </w:r>
      <w:r w:rsidR="303BBA3D" w:rsidRPr="00B363AA">
        <w:t xml:space="preserve"> (ISSW faible)</w:t>
      </w:r>
      <w:r w:rsidR="4970C3A0" w:rsidRPr="00B363AA">
        <w:t xml:space="preserve">, </w:t>
      </w:r>
      <w:r w:rsidR="25121680" w:rsidRPr="00B363AA">
        <w:t>cela signifie qu’il est dégradé, ou tout le moins géré de manière non optimale en regard du service donné</w:t>
      </w:r>
      <w:r w:rsidR="2B7B3C7C" w:rsidRPr="00B363AA">
        <w:t>.</w:t>
      </w:r>
    </w:p>
    <w:p w14:paraId="7A0EA8A7" w14:textId="77777777" w:rsidR="00892410" w:rsidRPr="00B363AA" w:rsidRDefault="00892410" w:rsidP="009D7E9E"/>
    <w:p w14:paraId="1F691385" w14:textId="77777777" w:rsidR="00892410" w:rsidRPr="00B363AA" w:rsidRDefault="00892410">
      <w:pPr>
        <w:pStyle w:val="Titre2"/>
        <w:numPr>
          <w:ilvl w:val="1"/>
          <w:numId w:val="12"/>
        </w:numPr>
      </w:pPr>
      <w:bookmarkStart w:id="52" w:name="_Toc241242950"/>
      <w:r w:rsidRPr="00B363AA">
        <w:lastRenderedPageBreak/>
        <w:t>Interprétation des indicateurs</w:t>
      </w:r>
      <w:bookmarkEnd w:id="52"/>
    </w:p>
    <w:p w14:paraId="1D1EA1AC" w14:textId="77777777" w:rsidR="00892410" w:rsidRPr="00B363AA" w:rsidRDefault="00892410">
      <w:pPr>
        <w:pStyle w:val="Titre3"/>
        <w:numPr>
          <w:ilvl w:val="2"/>
          <w:numId w:val="12"/>
        </w:numPr>
      </w:pPr>
      <w:bookmarkStart w:id="53" w:name="_Ref241228404"/>
      <w:bookmarkStart w:id="54" w:name="_Ref241228421"/>
      <w:bookmarkStart w:id="55" w:name="_Toc241242951"/>
      <w:r w:rsidRPr="00B363AA">
        <w:t>Définitions</w:t>
      </w:r>
      <w:bookmarkEnd w:id="53"/>
      <w:bookmarkEnd w:id="54"/>
      <w:bookmarkEnd w:id="55"/>
    </w:p>
    <w:p w14:paraId="3B2CFA7B" w14:textId="77777777" w:rsidR="00892410" w:rsidRPr="00B363AA" w:rsidRDefault="00892410" w:rsidP="00892410">
      <w:r w:rsidRPr="00B363AA">
        <w:t>Le terme</w:t>
      </w:r>
      <w:r w:rsidRPr="00B363AA">
        <w:rPr>
          <w:i/>
          <w:iCs/>
        </w:rPr>
        <w:t xml:space="preserve"> indicateur </w:t>
      </w:r>
      <w:r w:rsidRPr="00B363AA">
        <w:t>se voit attribuer des définitions différentes en fonction des contextes dans lesquels il est employé. Dans le cadre de l’IQSW-pro, les définitions suivantes sont employées.</w:t>
      </w:r>
    </w:p>
    <w:p w14:paraId="479226F6" w14:textId="77777777" w:rsidR="00892410" w:rsidRPr="00B363AA" w:rsidRDefault="00892410" w:rsidP="00892410">
      <w:r w:rsidRPr="00B363AA">
        <w:t xml:space="preserve">Un </w:t>
      </w:r>
      <w:r w:rsidRPr="00B363AA">
        <w:rPr>
          <w:b/>
          <w:bCs/>
        </w:rPr>
        <w:t>indicateur</w:t>
      </w:r>
      <w:r w:rsidRPr="00B363AA">
        <w:t xml:space="preserve"> est défini par l’OCDE comme « tout élément ou attribut d’un phénomène environnemental d’intérêt utilisé pour décrire ou évaluer l’état de l’environnement, l’évolution de cet état ou pour fixer des objectifs environnementaux » </w:t>
      </w:r>
      <w:r w:rsidRPr="00B363AA">
        <w:fldChar w:fldCharType="begin"/>
      </w:r>
      <w:r w:rsidRPr="00B363AA">
        <w:instrText xml:space="preserve"> ADDIN ZOTERO_ITEM CSL_CITATION {"citationID":"QabSfWuu","properties":{"unsorted":false,"formattedCitation":"(Cousin et al., 2025)","plainCitation":"(Cousin et al., 2025)","noteIndex":0},"citationItems":[{"id":179,"uris":["http://zotero.org/groups/5684833/items/LT8UJHBJ"],"itemData":{"id":179,"type":"thesis","DOI":"10.17180/qnpx-x742","genre":"report","language":"fr","note":"page: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rsidRPr="00B363AA">
        <w:fldChar w:fldCharType="separate"/>
      </w:r>
      <w:r w:rsidRPr="00B363AA">
        <w:rPr>
          <w:rFonts w:cs="Calibri"/>
        </w:rPr>
        <w:t>(Cousin et al., 2025)</w:t>
      </w:r>
      <w:r w:rsidRPr="00B363AA">
        <w:fldChar w:fldCharType="end"/>
      </w:r>
      <w:r w:rsidRPr="00B363AA">
        <w:t xml:space="preserve">. En d’autres termes, il s’agit d’un </w:t>
      </w:r>
      <w:r w:rsidRPr="00B363AA">
        <w:rPr>
          <w:b/>
          <w:bCs/>
        </w:rPr>
        <w:t>paramètre (ou d’une combinaison de paramètres) auquel une interprétation est attribuée en lien avec une fonction donnée</w:t>
      </w:r>
      <w:r w:rsidRPr="00B363AA">
        <w:t xml:space="preserve"> (par exemple, le phosphore est un indicateur du statut nutritif du sol). Deux types d’indicateurs se distinguent dans l’IQSW-pro : les indicateurs mesurés et les indicateurs calculés :</w:t>
      </w:r>
    </w:p>
    <w:p w14:paraId="4CED82E2" w14:textId="77777777" w:rsidR="00892410" w:rsidRPr="00B363AA" w:rsidRDefault="00892410">
      <w:pPr>
        <w:pStyle w:val="Paragraphedeliste"/>
        <w:numPr>
          <w:ilvl w:val="0"/>
          <w:numId w:val="13"/>
        </w:numPr>
      </w:pPr>
      <w:r w:rsidRPr="00B363AA">
        <w:t xml:space="preserve">Un </w:t>
      </w:r>
      <w:r w:rsidRPr="00B363AA">
        <w:rPr>
          <w:b/>
          <w:bCs/>
          <w:i/>
          <w:iCs/>
        </w:rPr>
        <w:t>indicateur mesuré</w:t>
      </w:r>
      <w:r w:rsidRPr="00B363AA">
        <w:t xml:space="preserve"> correspond à un paramètre qui est directement interprété </w:t>
      </w:r>
      <w:r w:rsidRPr="00B363AA">
        <w:rPr>
          <w:b/>
          <w:bCs/>
        </w:rPr>
        <w:t>individuellement</w:t>
      </w:r>
      <w:r w:rsidRPr="00B363AA">
        <w:t xml:space="preserve"> (par exemple, un score est associé directement à la valeur de pH mesurée). </w:t>
      </w:r>
    </w:p>
    <w:p w14:paraId="4EC2F7EF" w14:textId="77777777" w:rsidR="00892410" w:rsidRPr="00B363AA" w:rsidRDefault="00892410">
      <w:pPr>
        <w:pStyle w:val="Paragraphedeliste"/>
        <w:numPr>
          <w:ilvl w:val="0"/>
          <w:numId w:val="13"/>
        </w:numPr>
      </w:pPr>
      <w:r w:rsidRPr="00B363AA">
        <w:t xml:space="preserve">Un </w:t>
      </w:r>
      <w:r w:rsidRPr="00B363AA">
        <w:rPr>
          <w:b/>
          <w:bCs/>
          <w:i/>
          <w:iCs/>
        </w:rPr>
        <w:t>indicateur calculé</w:t>
      </w:r>
      <w:r w:rsidRPr="00B363AA">
        <w:t>, quant à lui, implique une étape intermédiaire de combinaison de plusieurs paramètres, à travers un calcul (une équation) avant d’être interprété. Par exemple, la réserve en eau utile est un indicateur calculé en intégrant différents paramètres dont la texture ou la teneur en carbone organique. Dans la fonction considérée, la texture n’est pas scorée individuellement, mais c’est le résultat du calcul de la REU qui est scoré.</w:t>
      </w:r>
    </w:p>
    <w:p w14:paraId="28AE71E1" w14:textId="77777777" w:rsidR="00892410" w:rsidRPr="00B363AA" w:rsidRDefault="00892410" w:rsidP="00892410">
      <w:r w:rsidRPr="00B363AA">
        <w:t>Un paramètre est une propriété qui est directement mesurée (par exemple, le pH). Si la valeur du paramètre est interprétée en lien avec une fonction donnée, le paramètre devient un indicateur pour la fonction.</w:t>
      </w:r>
    </w:p>
    <w:p w14:paraId="47538759" w14:textId="77777777" w:rsidR="00892410" w:rsidRPr="00B363AA" w:rsidRDefault="00892410">
      <w:pPr>
        <w:pStyle w:val="Titre3"/>
        <w:numPr>
          <w:ilvl w:val="2"/>
          <w:numId w:val="12"/>
        </w:numPr>
      </w:pPr>
      <w:bookmarkStart w:id="56" w:name="_Ref241225768"/>
      <w:bookmarkStart w:id="57" w:name="_Ref241225773"/>
      <w:bookmarkStart w:id="58" w:name="_Ref241227230"/>
      <w:bookmarkStart w:id="59" w:name="_Toc241242952"/>
      <w:r w:rsidRPr="00B363AA">
        <w:t>Méthodologie d’évaluation</w:t>
      </w:r>
      <w:bookmarkEnd w:id="56"/>
      <w:bookmarkEnd w:id="57"/>
      <w:bookmarkEnd w:id="58"/>
      <w:bookmarkEnd w:id="59"/>
    </w:p>
    <w:p w14:paraId="6A7C4D87" w14:textId="77777777" w:rsidR="00892410" w:rsidRPr="00B363AA" w:rsidRDefault="00892410">
      <w:pPr>
        <w:pStyle w:val="Titre4"/>
        <w:numPr>
          <w:ilvl w:val="3"/>
          <w:numId w:val="12"/>
        </w:numPr>
      </w:pPr>
      <w:r w:rsidRPr="00B363AA">
        <w:t>Construction de fonctions d’interprétation continues</w:t>
      </w:r>
    </w:p>
    <w:p w14:paraId="3DB718F9" w14:textId="77777777" w:rsidR="00892410" w:rsidRPr="00B363AA" w:rsidRDefault="00892410" w:rsidP="00892410">
      <w:r w:rsidRPr="00B363AA">
        <w:t xml:space="preserve">Des valeurs seuils ou cibles sont souvent utilisées pour évaluer un sol, comme dans les exemples suivants : </w:t>
      </w:r>
    </w:p>
    <w:p w14:paraId="3445D5A2" w14:textId="77777777" w:rsidR="00892410" w:rsidRPr="00B363AA" w:rsidRDefault="00892410">
      <w:pPr>
        <w:pStyle w:val="Paragraphedeliste"/>
        <w:numPr>
          <w:ilvl w:val="0"/>
          <w:numId w:val="7"/>
        </w:numPr>
      </w:pPr>
      <w:r w:rsidRPr="00B363AA">
        <w:t>Définition d’un taux de matière organique minimal pour assurer une stabilité structurale du sol (conditionnant l’accès à des aides financières dans le cadre de la mesure MR14 de la MAEC Sol</w:t>
      </w:r>
      <w:r w:rsidRPr="00B363AA">
        <w:rPr>
          <w:rStyle w:val="Appelnotedebasdep"/>
        </w:rPr>
        <w:footnoteReference w:id="4"/>
      </w:r>
      <w:r w:rsidRPr="00B363AA">
        <w:t>),</w:t>
      </w:r>
    </w:p>
    <w:p w14:paraId="76218522" w14:textId="77777777" w:rsidR="00892410" w:rsidRPr="00B363AA" w:rsidRDefault="00892410">
      <w:pPr>
        <w:pStyle w:val="Paragraphedeliste"/>
        <w:numPr>
          <w:ilvl w:val="0"/>
          <w:numId w:val="7"/>
        </w:numPr>
      </w:pPr>
      <w:r w:rsidRPr="00B363AA">
        <w:t>Établissement de concentrations maximales en polluants au-delà desquelles un sol est considéré comme pollué (donnant lieu à des obligations légales).</w:t>
      </w:r>
    </w:p>
    <w:p w14:paraId="7EFD6F05" w14:textId="00453A01" w:rsidR="00892410" w:rsidRPr="00B363AA" w:rsidRDefault="00892410" w:rsidP="00892410">
      <w:r w:rsidRPr="00B363AA">
        <w:t xml:space="preserve">La directive sur la surveillance des sols </w:t>
      </w:r>
      <w:r w:rsidRPr="00B363AA">
        <w:fldChar w:fldCharType="begin"/>
      </w:r>
      <w:r w:rsidRPr="00B363AA">
        <w:instrText xml:space="preserve"> ADDIN ZOTERO_ITEM CSL_CITATION {"citationID":"9JgBNZL1","properties":{"formattedCitation":"(UE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Pr="00B363AA">
        <w:fldChar w:fldCharType="separate"/>
      </w:r>
      <w:r w:rsidRPr="00B363AA">
        <w:rPr>
          <w:rFonts w:cs="Calibri"/>
        </w:rPr>
        <w:t>(UE 2025/2360, 2025)</w:t>
      </w:r>
      <w:r w:rsidRPr="00B363AA">
        <w:fldChar w:fldCharType="end"/>
      </w:r>
      <w:r w:rsidRPr="00B363AA">
        <w:t xml:space="preserve"> attribue à plusieurs paramètres des critères d’interprétation, soit des seuils sous lesquels le sol est considéré comme dégradé. Bien que ces valeurs seuils présentent l’avantage d’être facilement intégrées dans des politiques publiques, cette rupture « on-off » est peu conforme à la réalité des processus qu’elles cherchent à caractériser, qui </w:t>
      </w:r>
      <w:r w:rsidRPr="00B363AA">
        <w:lastRenderedPageBreak/>
        <w:t xml:space="preserve">sont, en pratique, graduels </w:t>
      </w:r>
      <w:r w:rsidRPr="00B363AA">
        <w:fldChar w:fldCharType="begin"/>
      </w:r>
      <w:r w:rsidRPr="00B363AA">
        <w:instrText xml:space="preserve"> ADDIN ZOTERO_ITEM CSL_CITATION {"citationID":"XTLLQGTI","properties":{"formattedCitation":"(Cousin et al., 2025)","plainCitation":"(Cousin et al., 2025)","noteIndex":0},"citationItems":[{"id":179,"uris":["http://zotero.org/groups/5684833/items/LT8UJHBJ"],"itemData":{"id":179,"type":"thesis","DOI":"10.17180/qnpx-x742","genre":"report","language":"fr","note":"page: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rsidRPr="00B363AA">
        <w:fldChar w:fldCharType="separate"/>
      </w:r>
      <w:r w:rsidRPr="00B363AA">
        <w:rPr>
          <w:rFonts w:cs="Calibri"/>
        </w:rPr>
        <w:t>(Cousin et al., 2025)</w:t>
      </w:r>
      <w:r w:rsidRPr="00B363AA">
        <w:fldChar w:fldCharType="end"/>
      </w:r>
      <w:r w:rsidRPr="00B363AA">
        <w:t>. De nombreux auteurs recourent donc à une interprétation continue des paramètres sol</w:t>
      </w:r>
      <w:r w:rsidR="004F0509" w:rsidRPr="00B363AA">
        <w:t xml:space="preserve">, </w:t>
      </w:r>
      <w:r w:rsidRPr="00B363AA">
        <w:t>sous forme de fonctions d’interprétation</w:t>
      </w:r>
      <w:r w:rsidR="004F0509" w:rsidRPr="00B363AA">
        <w:rPr>
          <w:rStyle w:val="Appelnotedebasdep"/>
        </w:rPr>
        <w:footnoteReference w:id="5"/>
      </w:r>
      <w:r w:rsidRPr="00B363AA">
        <w:t xml:space="preserve">. </w:t>
      </w:r>
    </w:p>
    <w:p w14:paraId="5B9914D1" w14:textId="34CCF953" w:rsidR="00892410" w:rsidRPr="00B363AA" w:rsidRDefault="00892410" w:rsidP="00892410">
      <w:r w:rsidRPr="00B363AA">
        <w:t>Cette méthode d’interprétation consiste à attribuer un score (compris, en l’occurrence, entre 0 et 5 dans le cadre de l’IQSW-pro) à un indicateur, sur base d’une relation continue (linéaire ou non) construite à partir de référentiels d’interprétation (</w:t>
      </w:r>
      <w:r w:rsidR="0047609A" w:rsidRPr="00B363AA">
        <w:fldChar w:fldCharType="begin"/>
      </w:r>
      <w:r w:rsidR="0047609A" w:rsidRPr="00B363AA">
        <w:instrText xml:space="preserve"> REF _Ref241226958 \h  \* MERGEFORMAT </w:instrText>
      </w:r>
      <w:r w:rsidR="0047609A" w:rsidRPr="00B363AA">
        <w:fldChar w:fldCharType="separate"/>
      </w:r>
      <w:r w:rsidR="0047609A" w:rsidRPr="00B363AA">
        <w:t>Figure 4</w:t>
      </w:r>
      <w:r w:rsidR="0047609A" w:rsidRPr="00B363AA">
        <w:fldChar w:fldCharType="end"/>
      </w:r>
      <w:r w:rsidRPr="00B363AA">
        <w:t>). Les points clés de la droite (ou de la courbe) sont fixés par des valeurs de référence (par exemple, des valeurs seuils, cibles ou moyennes du paramètre, voir partie</w:t>
      </w:r>
      <w:r w:rsidR="00673925" w:rsidRPr="00B363AA">
        <w:t xml:space="preserve"> </w:t>
      </w:r>
      <w:r w:rsidR="004F5AA6" w:rsidRPr="00B363AA">
        <w:fldChar w:fldCharType="begin"/>
      </w:r>
      <w:r w:rsidR="004F5AA6" w:rsidRPr="00B363AA">
        <w:instrText xml:space="preserve"> REF _Ref241227913 \r \h </w:instrText>
      </w:r>
      <w:r w:rsidR="004F5AA6" w:rsidRPr="00B363AA">
        <w:fldChar w:fldCharType="separate"/>
      </w:r>
      <w:r w:rsidR="000E3CBD" w:rsidRPr="00B363AA">
        <w:t>3.6.2.2</w:t>
      </w:r>
      <w:r w:rsidR="004F5AA6" w:rsidRPr="00B363AA">
        <w:fldChar w:fldCharType="end"/>
      </w:r>
      <w:r w:rsidRPr="00B363AA">
        <w:t>), auxquelles sont attribués des scores. Une interpolation linéaire segmentée permet de relier les points par une droite dont l’équation sert à déduire un score (y) pour toute valeur mesurée de l’indicateur (x), suivant une échelle continue de 0 à 5. Ce système de notation continue évite « l’effet seuil » que certaines méthodes de cotation provoquent, soit un contraste dans la valeur du score en fonction de si l’on est juste au-dessus ou en-dessous de la valeur seuil.</w:t>
      </w:r>
    </w:p>
    <w:p w14:paraId="1AC07576" w14:textId="77777777" w:rsidR="00892410" w:rsidRPr="00B363AA" w:rsidRDefault="00892410" w:rsidP="00892410">
      <w:pPr>
        <w:keepNext/>
      </w:pPr>
      <w:r w:rsidRPr="00B363AA">
        <w:rPr>
          <w:noProof/>
        </w:rPr>
        <w:drawing>
          <wp:inline distT="0" distB="0" distL="0" distR="0" wp14:anchorId="2B48DE0A" wp14:editId="257AF32F">
            <wp:extent cx="5731510" cy="2461895"/>
            <wp:effectExtent l="0" t="0" r="2540" b="0"/>
            <wp:docPr id="299006548" name="Image 1" descr="Une image contenant texte, capture d’écran, diagramm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703248" name="Image 1" descr="Une image contenant texte, capture d’écran, diagramme, Tracé&#10;&#10;Le contenu généré par l’IA peut être incorrect."/>
                    <pic:cNvPicPr/>
                  </pic:nvPicPr>
                  <pic:blipFill>
                    <a:blip r:embed="rId21"/>
                    <a:stretch>
                      <a:fillRect/>
                    </a:stretch>
                  </pic:blipFill>
                  <pic:spPr>
                    <a:xfrm>
                      <a:off x="0" y="0"/>
                      <a:ext cx="5731510" cy="2461895"/>
                    </a:xfrm>
                    <a:prstGeom prst="rect">
                      <a:avLst/>
                    </a:prstGeom>
                  </pic:spPr>
                </pic:pic>
              </a:graphicData>
            </a:graphic>
          </wp:inline>
        </w:drawing>
      </w:r>
    </w:p>
    <w:p w14:paraId="6466FA0B" w14:textId="0549B721" w:rsidR="00892410" w:rsidRPr="00B363AA" w:rsidRDefault="00892410" w:rsidP="00892410">
      <w:pPr>
        <w:pStyle w:val="Lgende"/>
        <w:jc w:val="center"/>
        <w:rPr>
          <w:i w:val="0"/>
          <w:iCs w:val="0"/>
        </w:rPr>
      </w:pPr>
      <w:bookmarkStart w:id="60" w:name="_Ref241226958"/>
      <w:bookmarkStart w:id="61" w:name="_Toc241229819"/>
      <w:r w:rsidRPr="00B363AA">
        <w:rPr>
          <w:i w:val="0"/>
          <w:iCs w:val="0"/>
        </w:rPr>
        <w:t xml:space="preserve">Figure </w:t>
      </w:r>
      <w:r w:rsidRPr="00B363AA">
        <w:rPr>
          <w:i w:val="0"/>
          <w:iCs w:val="0"/>
        </w:rPr>
        <w:fldChar w:fldCharType="begin"/>
      </w:r>
      <w:r w:rsidRPr="00B363AA">
        <w:rPr>
          <w:i w:val="0"/>
          <w:iCs w:val="0"/>
        </w:rPr>
        <w:instrText xml:space="preserve"> SEQ Figure \* ARABIC </w:instrText>
      </w:r>
      <w:r w:rsidRPr="00B363AA">
        <w:rPr>
          <w:i w:val="0"/>
          <w:iCs w:val="0"/>
        </w:rPr>
        <w:fldChar w:fldCharType="separate"/>
      </w:r>
      <w:r w:rsidR="0047609A" w:rsidRPr="00B363AA">
        <w:rPr>
          <w:i w:val="0"/>
          <w:iCs w:val="0"/>
        </w:rPr>
        <w:t>4</w:t>
      </w:r>
      <w:r w:rsidRPr="00B363AA">
        <w:rPr>
          <w:i w:val="0"/>
          <w:iCs w:val="0"/>
        </w:rPr>
        <w:fldChar w:fldCharType="end"/>
      </w:r>
      <w:bookmarkEnd w:id="60"/>
      <w:r w:rsidRPr="00B363AA">
        <w:rPr>
          <w:i w:val="0"/>
          <w:iCs w:val="0"/>
        </w:rPr>
        <w:t xml:space="preserve"> : Exemple du schéma de construction d'une fonction d’interprétation (cas de l'infiltration). Des classes de valeurs sont interpolées pour calculer un score pour chaque valeur de </w:t>
      </w:r>
      <w:proofErr w:type="spellStart"/>
      <w:r w:rsidRPr="00B363AA">
        <w:rPr>
          <w:i w:val="0"/>
          <w:iCs w:val="0"/>
        </w:rPr>
        <w:t>Ksat</w:t>
      </w:r>
      <w:proofErr w:type="spellEnd"/>
      <w:r w:rsidRPr="00B363AA">
        <w:rPr>
          <w:i w:val="0"/>
          <w:iCs w:val="0"/>
        </w:rPr>
        <w:t>.</w:t>
      </w:r>
      <w:bookmarkEnd w:id="61"/>
      <w:r w:rsidRPr="00B363AA">
        <w:rPr>
          <w:i w:val="0"/>
          <w:iCs w:val="0"/>
        </w:rPr>
        <w:t xml:space="preserve"> </w:t>
      </w:r>
    </w:p>
    <w:p w14:paraId="5D937174" w14:textId="77777777" w:rsidR="00892410" w:rsidRPr="00B363AA" w:rsidRDefault="00892410" w:rsidP="00892410"/>
    <w:p w14:paraId="7C7459D6" w14:textId="2D5F14DD" w:rsidR="00892410" w:rsidRPr="00B363AA" w:rsidRDefault="00892410" w:rsidP="00892410">
      <w:r w:rsidRPr="00B363AA">
        <w:t>Chaque paramètre est scoré individuellement par rapport à la fonction considérée via une fonction d’interprétation propre à la relation indicateur-fonction. Ces fonctions d’interprétation peuvent être construites suivant trois formes différentes, en fonction du type de relation entre la valeur mesurée ou calculée de l’indicateur et le bon accomplissement de la fonction (voir</w:t>
      </w:r>
      <w:r w:rsidR="001C792E" w:rsidRPr="00B363AA">
        <w:t xml:space="preserve"> </w:t>
      </w:r>
      <w:r w:rsidR="001C792E" w:rsidRPr="00B363AA">
        <w:fldChar w:fldCharType="begin"/>
      </w:r>
      <w:r w:rsidR="001C792E" w:rsidRPr="00B363AA">
        <w:instrText xml:space="preserve"> REF _Ref241226980 \h  \* MERGEFORMAT </w:instrText>
      </w:r>
      <w:r w:rsidR="001C792E" w:rsidRPr="00B363AA">
        <w:fldChar w:fldCharType="separate"/>
      </w:r>
      <w:r w:rsidR="001C792E" w:rsidRPr="00B363AA">
        <w:t>Figure 5</w:t>
      </w:r>
      <w:r w:rsidR="001C792E" w:rsidRPr="00B363AA">
        <w:fldChar w:fldCharType="end"/>
      </w:r>
      <w:r w:rsidRPr="00B363AA">
        <w:t>) :</w:t>
      </w:r>
    </w:p>
    <w:p w14:paraId="16A759C3" w14:textId="75770258" w:rsidR="00892410" w:rsidRPr="00B363AA" w:rsidRDefault="00892410">
      <w:pPr>
        <w:pStyle w:val="Paragraphedeliste"/>
        <w:numPr>
          <w:ilvl w:val="0"/>
          <w:numId w:val="7"/>
        </w:numPr>
      </w:pPr>
      <w:r w:rsidRPr="00B363AA">
        <w:rPr>
          <w:i/>
          <w:iCs/>
        </w:rPr>
        <w:t xml:space="preserve">More </w:t>
      </w:r>
      <w:proofErr w:type="spellStart"/>
      <w:r w:rsidRPr="00B363AA">
        <w:rPr>
          <w:i/>
          <w:iCs/>
        </w:rPr>
        <w:t>is</w:t>
      </w:r>
      <w:proofErr w:type="spellEnd"/>
      <w:r w:rsidRPr="00B363AA">
        <w:rPr>
          <w:i/>
          <w:iCs/>
        </w:rPr>
        <w:t xml:space="preserve"> </w:t>
      </w:r>
      <w:proofErr w:type="spellStart"/>
      <w:r w:rsidRPr="00B363AA">
        <w:rPr>
          <w:i/>
          <w:iCs/>
        </w:rPr>
        <w:t>better</w:t>
      </w:r>
      <w:proofErr w:type="spellEnd"/>
      <w:r w:rsidR="00703FCB" w:rsidRPr="00B363AA">
        <w:rPr>
          <w:i/>
          <w:iCs/>
        </w:rPr>
        <w:t xml:space="preserve"> </w:t>
      </w:r>
      <w:r w:rsidRPr="00B363AA">
        <w:t>(</w:t>
      </w:r>
      <w:r w:rsidRPr="00B363AA">
        <w:rPr>
          <w:noProof/>
        </w:rPr>
        <w:drawing>
          <wp:inline distT="0" distB="0" distL="0" distR="0" wp14:anchorId="78D02BD6" wp14:editId="652EA1CF">
            <wp:extent cx="64770" cy="118745"/>
            <wp:effectExtent l="0" t="0" r="0" b="0"/>
            <wp:docPr id="83066179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 r="29167" b="-1"/>
                    <a:stretch>
                      <a:fillRect/>
                    </a:stretch>
                  </pic:blipFill>
                  <pic:spPr bwMode="auto">
                    <a:xfrm>
                      <a:off x="0" y="0"/>
                      <a:ext cx="64770" cy="118745"/>
                    </a:xfrm>
                    <a:prstGeom prst="rect">
                      <a:avLst/>
                    </a:prstGeom>
                    <a:noFill/>
                    <a:ln>
                      <a:noFill/>
                    </a:ln>
                    <a:extLst>
                      <a:ext uri="{53640926-AAD7-44D8-BBD7-CCE9431645EC}">
                        <a14:shadowObscured xmlns:a14="http://schemas.microsoft.com/office/drawing/2010/main"/>
                      </a:ext>
                    </a:extLst>
                  </pic:spPr>
                </pic:pic>
              </a:graphicData>
            </a:graphic>
          </wp:inline>
        </w:drawing>
      </w:r>
      <w:r w:rsidRPr="00B363AA">
        <w:t>) : une valeur élevée de l’indicateur est favorable à la fonction considérée</w:t>
      </w:r>
      <w:r w:rsidR="00703FCB" w:rsidRPr="00B363AA">
        <w:t xml:space="preserve"> (« </w:t>
      </w:r>
      <w:r w:rsidR="00933CD6" w:rsidRPr="00B363AA">
        <w:t>plus</w:t>
      </w:r>
      <w:r w:rsidR="00703FCB" w:rsidRPr="00B363AA">
        <w:t xml:space="preserve"> </w:t>
      </w:r>
      <w:r w:rsidR="00933CD6" w:rsidRPr="00B363AA">
        <w:t>=</w:t>
      </w:r>
      <w:r w:rsidR="00703FCB" w:rsidRPr="00B363AA">
        <w:t xml:space="preserve"> </w:t>
      </w:r>
      <w:r w:rsidR="00933CD6" w:rsidRPr="00B363AA">
        <w:t>mieux »)</w:t>
      </w:r>
      <w:r w:rsidRPr="00B363AA">
        <w:t xml:space="preserve"> ;</w:t>
      </w:r>
    </w:p>
    <w:p w14:paraId="2D2B3A6C" w14:textId="3EF93296" w:rsidR="00892410" w:rsidRPr="00B363AA" w:rsidRDefault="00892410">
      <w:pPr>
        <w:pStyle w:val="Paragraphedeliste"/>
        <w:numPr>
          <w:ilvl w:val="0"/>
          <w:numId w:val="7"/>
        </w:numPr>
      </w:pPr>
      <w:r w:rsidRPr="00B363AA">
        <w:rPr>
          <w:i/>
          <w:iCs/>
        </w:rPr>
        <w:t xml:space="preserve">Less </w:t>
      </w:r>
      <w:proofErr w:type="spellStart"/>
      <w:r w:rsidRPr="00B363AA">
        <w:rPr>
          <w:i/>
          <w:iCs/>
        </w:rPr>
        <w:t>is</w:t>
      </w:r>
      <w:proofErr w:type="spellEnd"/>
      <w:r w:rsidRPr="00B363AA">
        <w:rPr>
          <w:i/>
          <w:iCs/>
        </w:rPr>
        <w:t xml:space="preserve"> </w:t>
      </w:r>
      <w:proofErr w:type="spellStart"/>
      <w:r w:rsidRPr="00B363AA">
        <w:rPr>
          <w:i/>
          <w:iCs/>
        </w:rPr>
        <w:t>better</w:t>
      </w:r>
      <w:proofErr w:type="spellEnd"/>
      <w:r w:rsidRPr="00B363AA">
        <w:t xml:space="preserve"> (</w:t>
      </w:r>
      <w:r w:rsidRPr="00B363AA">
        <w:rPr>
          <w:noProof/>
        </w:rPr>
        <w:drawing>
          <wp:inline distT="0" distB="0" distL="0" distR="0" wp14:anchorId="49025FC9" wp14:editId="7B2176D6">
            <wp:extent cx="64770" cy="91440"/>
            <wp:effectExtent l="0" t="0" r="0" b="3810"/>
            <wp:docPr id="197380029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 t="-1" r="29008" b="22821"/>
                    <a:stretch>
                      <a:fillRect/>
                    </a:stretch>
                  </pic:blipFill>
                  <pic:spPr bwMode="auto">
                    <a:xfrm>
                      <a:off x="0" y="0"/>
                      <a:ext cx="64945" cy="91687"/>
                    </a:xfrm>
                    <a:prstGeom prst="rect">
                      <a:avLst/>
                    </a:prstGeom>
                    <a:noFill/>
                    <a:ln>
                      <a:noFill/>
                    </a:ln>
                    <a:extLst>
                      <a:ext uri="{53640926-AAD7-44D8-BBD7-CCE9431645EC}">
                        <a14:shadowObscured xmlns:a14="http://schemas.microsoft.com/office/drawing/2010/main"/>
                      </a:ext>
                    </a:extLst>
                  </pic:spPr>
                </pic:pic>
              </a:graphicData>
            </a:graphic>
          </wp:inline>
        </w:drawing>
      </w:r>
      <w:r w:rsidRPr="00B363AA">
        <w:t>) : une valeur élevée de l’indicateur est défavorable à la fonction considérée</w:t>
      </w:r>
      <w:r w:rsidR="00933CD6" w:rsidRPr="00B363AA">
        <w:t xml:space="preserve"> (« moins = mieux »)</w:t>
      </w:r>
      <w:r w:rsidRPr="00B363AA">
        <w:t xml:space="preserve"> ;</w:t>
      </w:r>
    </w:p>
    <w:p w14:paraId="6E6D1DFE" w14:textId="047404F5" w:rsidR="00892410" w:rsidRPr="00B363AA" w:rsidRDefault="00892410">
      <w:pPr>
        <w:pStyle w:val="Paragraphedeliste"/>
        <w:numPr>
          <w:ilvl w:val="0"/>
          <w:numId w:val="7"/>
        </w:numPr>
      </w:pPr>
      <w:r w:rsidRPr="00B363AA">
        <w:rPr>
          <w:i/>
          <w:iCs/>
        </w:rPr>
        <w:t>Optimum</w:t>
      </w:r>
      <w:r w:rsidRPr="00B363AA">
        <w:t xml:space="preserve"> (</w:t>
      </w:r>
      <w:r w:rsidRPr="00B363AA">
        <w:rPr>
          <w:noProof/>
        </w:rPr>
        <w:drawing>
          <wp:inline distT="0" distB="0" distL="0" distR="0" wp14:anchorId="4DD8E142" wp14:editId="14468203">
            <wp:extent cx="164432" cy="65784"/>
            <wp:effectExtent l="0" t="0" r="7620" b="0"/>
            <wp:docPr id="54455424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sidRPr="00B363AA">
        <w:t>) : une gamme spécifique de valeurs est favorable à la fonction. Une valeur de l’indicateur éloignée de cette gamme est défavorable à la fonction considérée</w:t>
      </w:r>
      <w:r w:rsidR="00933CD6" w:rsidRPr="00B363AA">
        <w:t xml:space="preserve"> (« </w:t>
      </w:r>
      <w:r w:rsidR="006B45C0" w:rsidRPr="00B363AA">
        <w:t xml:space="preserve">dans la </w:t>
      </w:r>
      <w:r w:rsidR="00933CD6" w:rsidRPr="00B363AA">
        <w:t>gamme</w:t>
      </w:r>
      <w:r w:rsidR="006B45C0" w:rsidRPr="00B363AA">
        <w:t xml:space="preserve"> = mieux »)</w:t>
      </w:r>
      <w:r w:rsidRPr="00B363AA">
        <w:t xml:space="preserve">. </w:t>
      </w:r>
    </w:p>
    <w:p w14:paraId="6B249487" w14:textId="77777777" w:rsidR="00892410" w:rsidRPr="00B363AA" w:rsidRDefault="00892410" w:rsidP="00892410">
      <w:pPr>
        <w:keepNext/>
        <w:spacing w:line="240" w:lineRule="auto"/>
      </w:pPr>
      <w:r w:rsidRPr="00B363AA">
        <w:rPr>
          <w:noProof/>
        </w:rPr>
        <w:lastRenderedPageBreak/>
        <w:drawing>
          <wp:inline distT="0" distB="0" distL="0" distR="0" wp14:anchorId="6FF6692E" wp14:editId="5B2DFD79">
            <wp:extent cx="5759450" cy="1488440"/>
            <wp:effectExtent l="0" t="0" r="0" b="0"/>
            <wp:docPr id="80675994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131647" name="Image 173113164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59450" cy="1488440"/>
                    </a:xfrm>
                    <a:prstGeom prst="rect">
                      <a:avLst/>
                    </a:prstGeom>
                  </pic:spPr>
                </pic:pic>
              </a:graphicData>
            </a:graphic>
          </wp:inline>
        </w:drawing>
      </w:r>
    </w:p>
    <w:p w14:paraId="7562F79A" w14:textId="46E51B0C" w:rsidR="00892410" w:rsidRPr="00B363AA" w:rsidRDefault="00892410" w:rsidP="00892410">
      <w:pPr>
        <w:pStyle w:val="Lgende"/>
        <w:jc w:val="center"/>
        <w:rPr>
          <w:i w:val="0"/>
          <w:iCs w:val="0"/>
        </w:rPr>
      </w:pPr>
      <w:bookmarkStart w:id="62" w:name="_Ref241226980"/>
      <w:bookmarkStart w:id="63" w:name="_Toc241229820"/>
      <w:r w:rsidRPr="00B363AA">
        <w:rPr>
          <w:i w:val="0"/>
          <w:iCs w:val="0"/>
        </w:rPr>
        <w:t xml:space="preserve">Figure </w:t>
      </w:r>
      <w:r w:rsidRPr="00B363AA">
        <w:rPr>
          <w:i w:val="0"/>
          <w:iCs w:val="0"/>
        </w:rPr>
        <w:fldChar w:fldCharType="begin"/>
      </w:r>
      <w:r w:rsidRPr="00B363AA">
        <w:rPr>
          <w:i w:val="0"/>
          <w:iCs w:val="0"/>
        </w:rPr>
        <w:instrText xml:space="preserve"> SEQ Figure \* ARABIC </w:instrText>
      </w:r>
      <w:r w:rsidRPr="00B363AA">
        <w:rPr>
          <w:i w:val="0"/>
          <w:iCs w:val="0"/>
        </w:rPr>
        <w:fldChar w:fldCharType="separate"/>
      </w:r>
      <w:r w:rsidR="0047609A" w:rsidRPr="00B363AA">
        <w:rPr>
          <w:i w:val="0"/>
          <w:iCs w:val="0"/>
        </w:rPr>
        <w:t>5</w:t>
      </w:r>
      <w:r w:rsidRPr="00B363AA">
        <w:rPr>
          <w:i w:val="0"/>
          <w:iCs w:val="0"/>
        </w:rPr>
        <w:fldChar w:fldCharType="end"/>
      </w:r>
      <w:bookmarkEnd w:id="62"/>
      <w:r w:rsidRPr="00B363AA">
        <w:rPr>
          <w:i w:val="0"/>
          <w:iCs w:val="0"/>
        </w:rPr>
        <w:t xml:space="preserve"> : Illustration graphique des trois formes que peut prendre la fonction d'interprétation (more </w:t>
      </w:r>
      <w:proofErr w:type="spellStart"/>
      <w:r w:rsidRPr="00B363AA">
        <w:rPr>
          <w:i w:val="0"/>
          <w:iCs w:val="0"/>
        </w:rPr>
        <w:t>is</w:t>
      </w:r>
      <w:proofErr w:type="spellEnd"/>
      <w:r w:rsidRPr="00B363AA">
        <w:rPr>
          <w:i w:val="0"/>
          <w:iCs w:val="0"/>
        </w:rPr>
        <w:t xml:space="preserve"> </w:t>
      </w:r>
      <w:proofErr w:type="spellStart"/>
      <w:r w:rsidRPr="00B363AA">
        <w:rPr>
          <w:i w:val="0"/>
          <w:iCs w:val="0"/>
        </w:rPr>
        <w:t>better</w:t>
      </w:r>
      <w:proofErr w:type="spellEnd"/>
      <w:r w:rsidRPr="00B363AA">
        <w:rPr>
          <w:i w:val="0"/>
          <w:iCs w:val="0"/>
        </w:rPr>
        <w:t xml:space="preserve">, </w:t>
      </w:r>
      <w:proofErr w:type="spellStart"/>
      <w:r w:rsidRPr="00B363AA">
        <w:rPr>
          <w:i w:val="0"/>
          <w:iCs w:val="0"/>
        </w:rPr>
        <w:t>less</w:t>
      </w:r>
      <w:proofErr w:type="spellEnd"/>
      <w:r w:rsidRPr="00B363AA">
        <w:rPr>
          <w:i w:val="0"/>
          <w:iCs w:val="0"/>
        </w:rPr>
        <w:t xml:space="preserve"> </w:t>
      </w:r>
      <w:proofErr w:type="spellStart"/>
      <w:r w:rsidRPr="00B363AA">
        <w:rPr>
          <w:i w:val="0"/>
          <w:iCs w:val="0"/>
        </w:rPr>
        <w:t>is</w:t>
      </w:r>
      <w:proofErr w:type="spellEnd"/>
      <w:r w:rsidRPr="00B363AA">
        <w:rPr>
          <w:i w:val="0"/>
          <w:iCs w:val="0"/>
        </w:rPr>
        <w:t xml:space="preserve"> </w:t>
      </w:r>
      <w:proofErr w:type="spellStart"/>
      <w:r w:rsidRPr="00B363AA">
        <w:rPr>
          <w:i w:val="0"/>
          <w:iCs w:val="0"/>
        </w:rPr>
        <w:t>better</w:t>
      </w:r>
      <w:proofErr w:type="spellEnd"/>
      <w:r w:rsidRPr="00B363AA">
        <w:rPr>
          <w:i w:val="0"/>
          <w:iCs w:val="0"/>
        </w:rPr>
        <w:t xml:space="preserve"> ou optimum), selon l'influence du paramètre sur la combinaison service-fonction évaluée</w:t>
      </w:r>
      <w:bookmarkEnd w:id="63"/>
    </w:p>
    <w:p w14:paraId="70C1B2D2" w14:textId="77777777" w:rsidR="00892410" w:rsidRPr="00B363AA" w:rsidRDefault="00892410" w:rsidP="00892410">
      <w:pPr>
        <w:spacing w:line="240" w:lineRule="auto"/>
      </w:pPr>
    </w:p>
    <w:p w14:paraId="51F62770" w14:textId="77777777" w:rsidR="00892410" w:rsidRPr="00B363AA" w:rsidRDefault="00892410">
      <w:pPr>
        <w:pStyle w:val="Titre4"/>
        <w:numPr>
          <w:ilvl w:val="3"/>
          <w:numId w:val="12"/>
        </w:numPr>
      </w:pPr>
      <w:bookmarkStart w:id="64" w:name="_Ref241227913"/>
      <w:r w:rsidRPr="00B363AA">
        <w:t>Choix des référentiels d’interprétation</w:t>
      </w:r>
      <w:bookmarkEnd w:id="64"/>
    </w:p>
    <w:p w14:paraId="6B53C4FB" w14:textId="77777777" w:rsidR="00892410" w:rsidRPr="00B363AA" w:rsidRDefault="00892410" w:rsidP="00892410">
      <w:r w:rsidRPr="00B363AA">
        <w:t>Deux types de valeurs d’interprétation des paramètres existent dans la littérature :</w:t>
      </w:r>
    </w:p>
    <w:p w14:paraId="07B8D476" w14:textId="77777777" w:rsidR="00892410" w:rsidRPr="00B363AA" w:rsidRDefault="00892410">
      <w:pPr>
        <w:pStyle w:val="Paragraphedeliste"/>
        <w:numPr>
          <w:ilvl w:val="0"/>
          <w:numId w:val="17"/>
        </w:numPr>
      </w:pPr>
      <w:r w:rsidRPr="00B363AA">
        <w:t xml:space="preserve">Des valeurs </w:t>
      </w:r>
      <w:r w:rsidRPr="00B363AA">
        <w:rPr>
          <w:i/>
          <w:iCs/>
        </w:rPr>
        <w:t>optimales</w:t>
      </w:r>
      <w:r w:rsidRPr="00B363AA">
        <w:t>, c’est-à-dire des valeurs seuils, cibles ou des gammes optimales, identifiées comme devant être atteintes par un indicateur pour assurer le bon accomplissement d’une fonction donnée ;</w:t>
      </w:r>
    </w:p>
    <w:p w14:paraId="58BB6F55" w14:textId="77777777" w:rsidR="00892410" w:rsidRPr="00B363AA" w:rsidRDefault="00892410">
      <w:pPr>
        <w:pStyle w:val="Paragraphedeliste"/>
        <w:numPr>
          <w:ilvl w:val="0"/>
          <w:numId w:val="17"/>
        </w:numPr>
      </w:pPr>
      <w:r w:rsidRPr="00B363AA">
        <w:t xml:space="preserve">Des valeurs </w:t>
      </w:r>
      <w:r w:rsidRPr="00B363AA">
        <w:rPr>
          <w:i/>
          <w:iCs/>
        </w:rPr>
        <w:t>descriptives</w:t>
      </w:r>
      <w:r w:rsidRPr="00B363AA">
        <w:t>, ou gammes d’existence, basées sur les paramètres statistiques (moyenne, minimum, maximum, etc.) d’une distribution de valeurs mesurées dans un contexte pédoclimatique donné.</w:t>
      </w:r>
    </w:p>
    <w:p w14:paraId="29AB0020" w14:textId="3D5C029E" w:rsidR="00892410" w:rsidRPr="00B363AA" w:rsidRDefault="00892410" w:rsidP="00892410">
      <w:r w:rsidRPr="00B363AA">
        <w:t xml:space="preserve">Ces deux types de valeurs sont complémentaires et peuvent être utilisés en vue de diagnostiquer un sol selon les concepts de qualité et de santé du sol tels que définis dans la partie </w:t>
      </w:r>
      <w:r w:rsidRPr="00B363AA">
        <w:fldChar w:fldCharType="begin"/>
      </w:r>
      <w:r w:rsidRPr="00B363AA">
        <w:instrText xml:space="preserve"> REF _Ref232206971 \r \h </w:instrText>
      </w:r>
      <w:r w:rsidRPr="00B363AA">
        <w:fldChar w:fldCharType="separate"/>
      </w:r>
      <w:r w:rsidR="009F7AB1" w:rsidRPr="00B363AA">
        <w:t>3.5</w:t>
      </w:r>
      <w:r w:rsidRPr="00B363AA">
        <w:fldChar w:fldCharType="end"/>
      </w:r>
      <w:r w:rsidRPr="00B363AA">
        <w:t xml:space="preserve"> :</w:t>
      </w:r>
    </w:p>
    <w:p w14:paraId="203082D9" w14:textId="77777777" w:rsidR="00892410" w:rsidRPr="00B363AA" w:rsidRDefault="00892410">
      <w:pPr>
        <w:pStyle w:val="Paragraphedeliste"/>
        <w:numPr>
          <w:ilvl w:val="0"/>
          <w:numId w:val="17"/>
        </w:numPr>
      </w:pPr>
      <w:r w:rsidRPr="00B363AA">
        <w:t xml:space="preserve">Les valeurs optimales permettent une interprétation « absolue » du paramètre dans la fonction, soit le diagnostic de la </w:t>
      </w:r>
      <w:r w:rsidRPr="00B363AA">
        <w:rPr>
          <w:i/>
          <w:iCs/>
        </w:rPr>
        <w:t>qualité</w:t>
      </w:r>
      <w:r w:rsidRPr="00B363AA">
        <w:t xml:space="preserve"> du sol</w:t>
      </w:r>
    </w:p>
    <w:p w14:paraId="001893A8" w14:textId="77777777" w:rsidR="00892410" w:rsidRPr="00B363AA" w:rsidRDefault="00892410">
      <w:pPr>
        <w:pStyle w:val="Paragraphedeliste"/>
        <w:numPr>
          <w:ilvl w:val="0"/>
          <w:numId w:val="17"/>
        </w:numPr>
      </w:pPr>
      <w:r w:rsidRPr="00B363AA">
        <w:t xml:space="preserve">Les valeurs descriptives donnent une interprétation « relative » du paramètre en le situant par rapport à son potentiel, soit le diagnostic de la </w:t>
      </w:r>
      <w:r w:rsidRPr="00B363AA">
        <w:rPr>
          <w:i/>
          <w:iCs/>
        </w:rPr>
        <w:t>santé</w:t>
      </w:r>
      <w:r w:rsidRPr="00B363AA">
        <w:t xml:space="preserve"> du sol.</w:t>
      </w:r>
    </w:p>
    <w:p w14:paraId="49E538D2" w14:textId="77777777" w:rsidR="00892410" w:rsidRPr="00B363AA" w:rsidRDefault="00892410">
      <w:pPr>
        <w:pStyle w:val="Titre4"/>
        <w:numPr>
          <w:ilvl w:val="3"/>
          <w:numId w:val="12"/>
        </w:numPr>
      </w:pPr>
      <w:r w:rsidRPr="00B363AA">
        <w:t>Critères de choix des référentiels</w:t>
      </w:r>
    </w:p>
    <w:p w14:paraId="79C1B13F" w14:textId="77777777" w:rsidR="00892410" w:rsidRPr="00B363AA" w:rsidRDefault="00892410" w:rsidP="00892410">
      <w:r w:rsidRPr="00B363AA">
        <w:t>De nombreux référentiels ont été analysés et mis en parallèle avec les résultats d’une campagne test menée simultanément aux phases de développement de l’indice. Dans ce cadre, 42 « sites pilotes », hétérogènes en termes de type de sol et d’usage, ont été sélectionnés en tant qu’échantillon représentatif de la majorité des contextes pédologiques et d’usages de sol contrastés qui peuvent être rencontrés en Région wallonne</w:t>
      </w:r>
      <w:r w:rsidRPr="00B363AA">
        <w:rPr>
          <w:rStyle w:val="Appelnotedebasdep"/>
        </w:rPr>
        <w:footnoteReference w:id="6"/>
      </w:r>
      <w:r w:rsidRPr="00B363AA">
        <w:t xml:space="preserve">. Les référentiels ont également été confrontés aux bases de données « sol » disponibles en Région wallonne (REQUASUD, IPRFW, </w:t>
      </w:r>
      <w:proofErr w:type="spellStart"/>
      <w:r w:rsidRPr="00B363AA">
        <w:t>Aardewerk</w:t>
      </w:r>
      <w:proofErr w:type="spellEnd"/>
      <w:r w:rsidRPr="00B363AA">
        <w:t>, CARBIOSOL, ICP-</w:t>
      </w:r>
      <w:proofErr w:type="spellStart"/>
      <w:r w:rsidRPr="00B363AA">
        <w:t>forest</w:t>
      </w:r>
      <w:proofErr w:type="spellEnd"/>
      <w:r w:rsidRPr="00B363AA">
        <w:t>, POLLUSOL), moyennant la disponibilité du paramètre considéré.</w:t>
      </w:r>
    </w:p>
    <w:p w14:paraId="16B9A704" w14:textId="77777777" w:rsidR="00892410" w:rsidRPr="00B363AA" w:rsidRDefault="00892410" w:rsidP="00892410">
      <w:r w:rsidRPr="00B363AA">
        <w:t xml:space="preserve">Le critère principal ayant guidé le choix des référentiels de valeurs optimales (qualité du sol) a été la mise en parallèle explicite, le cas échéant, avec le bon accomplissement de la fonction considérée dans la source. Par exemple, la mise en relation des valeurs de conductivité hydraulique avec une interprétation réelle de la capacité des sols à infiltrer les eaux (de très rapide à très lent). Concernant le choix des référentiels de santé du sol, des gammes représentatives des contrastes pouvant exister </w:t>
      </w:r>
      <w:r w:rsidRPr="00B363AA">
        <w:lastRenderedPageBreak/>
        <w:t>entre classes texturales ont été sélectionnées. Dans les deux cas, les gammes permettant de couvrir la distribution des valeurs wallonnes (campagne test et bases de données) ont été privilégiées.</w:t>
      </w:r>
    </w:p>
    <w:p w14:paraId="6B48F1EF" w14:textId="4FC4348C" w:rsidR="00892410" w:rsidRPr="00B363AA" w:rsidRDefault="00317AF5">
      <w:pPr>
        <w:pStyle w:val="Titre3"/>
        <w:numPr>
          <w:ilvl w:val="2"/>
          <w:numId w:val="12"/>
        </w:numPr>
      </w:pPr>
      <w:bookmarkStart w:id="65" w:name="_Toc241242953"/>
      <w:r w:rsidRPr="00B363AA">
        <w:t xml:space="preserve">Synthèse </w:t>
      </w:r>
      <w:r w:rsidR="00892410" w:rsidRPr="00B363AA">
        <w:t>des indicateurs évalués</w:t>
      </w:r>
      <w:bookmarkEnd w:id="65"/>
    </w:p>
    <w:p w14:paraId="6876417A" w14:textId="50CBF8E9" w:rsidR="00892410" w:rsidRPr="00B363AA" w:rsidRDefault="00892410" w:rsidP="00892410">
      <w:r w:rsidRPr="00B363AA">
        <w:t xml:space="preserve">Le </w:t>
      </w:r>
      <w:r w:rsidR="000C0179" w:rsidRPr="00B363AA">
        <w:fldChar w:fldCharType="begin"/>
      </w:r>
      <w:r w:rsidR="000C0179" w:rsidRPr="00B363AA">
        <w:instrText xml:space="preserve"> REF _Ref241228645 \h </w:instrText>
      </w:r>
      <w:r w:rsidR="000C0179" w:rsidRPr="00B363AA">
        <w:fldChar w:fldCharType="separate"/>
      </w:r>
      <w:r w:rsidR="000C0179" w:rsidRPr="00B363AA">
        <w:t>Tableau 1</w:t>
      </w:r>
      <w:r w:rsidR="000C0179" w:rsidRPr="00B363AA">
        <w:fldChar w:fldCharType="end"/>
      </w:r>
      <w:r w:rsidR="000C0179" w:rsidRPr="00B363AA">
        <w:t xml:space="preserve"> </w:t>
      </w:r>
      <w:r w:rsidRPr="00B363AA">
        <w:t>reprend la liste de l’ensemble des indicateurs évalués dans l’IQSW-pro.</w:t>
      </w:r>
      <w:r w:rsidR="00313B05" w:rsidRPr="00B363AA">
        <w:t xml:space="preserve"> L’Annexe 2 – Indicateurs reprend, pour </w:t>
      </w:r>
      <w:r w:rsidR="005D0FAF" w:rsidRPr="00B363AA">
        <w:t>chaque indicateur, la méthodologie d’interprétation</w:t>
      </w:r>
      <w:r w:rsidR="007404D6" w:rsidRPr="00B363AA">
        <w:t xml:space="preserve"> en lien avec les services écosystémiques détaillés dans la partie </w:t>
      </w:r>
      <w:r w:rsidR="007404D6" w:rsidRPr="00B363AA">
        <w:fldChar w:fldCharType="begin"/>
      </w:r>
      <w:r w:rsidR="007404D6" w:rsidRPr="00B363AA">
        <w:instrText xml:space="preserve"> REF _Ref241228765 \r \h </w:instrText>
      </w:r>
      <w:r w:rsidR="007404D6" w:rsidRPr="00B363AA">
        <w:fldChar w:fldCharType="separate"/>
      </w:r>
      <w:r w:rsidR="007404D6" w:rsidRPr="00B363AA">
        <w:t>4</w:t>
      </w:r>
      <w:r w:rsidR="007404D6" w:rsidRPr="00B363AA">
        <w:fldChar w:fldCharType="end"/>
      </w:r>
      <w:r w:rsidR="007404D6" w:rsidRPr="00B363AA">
        <w:t>.</w:t>
      </w:r>
    </w:p>
    <w:p w14:paraId="1B88D350" w14:textId="3C18D644" w:rsidR="005D0FAF" w:rsidRPr="00B363AA" w:rsidRDefault="005D0FAF" w:rsidP="00892410">
      <w:pPr>
        <w:rPr>
          <w:b/>
          <w:bCs/>
        </w:rPr>
      </w:pPr>
      <w:r w:rsidRPr="00B363AA">
        <w:rPr>
          <w:b/>
          <w:bCs/>
        </w:rPr>
        <w:t xml:space="preserve">La méthodologie d’interprétation des indicateurs, basée sur l’approche détaillée dans la partie </w:t>
      </w:r>
      <w:r w:rsidRPr="00B363AA">
        <w:rPr>
          <w:b/>
          <w:bCs/>
        </w:rPr>
        <w:fldChar w:fldCharType="begin"/>
      </w:r>
      <w:r w:rsidRPr="00B363AA">
        <w:rPr>
          <w:b/>
          <w:bCs/>
        </w:rPr>
        <w:instrText xml:space="preserve"> REF _Ref241227230 \r \h </w:instrText>
      </w:r>
      <w:r w:rsidR="007404D6" w:rsidRPr="00B363AA">
        <w:rPr>
          <w:b/>
          <w:bCs/>
        </w:rPr>
        <w:instrText xml:space="preserve"> \* MERGEFORMAT </w:instrText>
      </w:r>
      <w:r w:rsidRPr="00B363AA">
        <w:rPr>
          <w:b/>
          <w:bCs/>
        </w:rPr>
      </w:r>
      <w:r w:rsidRPr="00B363AA">
        <w:rPr>
          <w:b/>
          <w:bCs/>
        </w:rPr>
        <w:fldChar w:fldCharType="separate"/>
      </w:r>
      <w:r w:rsidRPr="00B363AA">
        <w:rPr>
          <w:b/>
          <w:bCs/>
        </w:rPr>
        <w:t>3.6.2</w:t>
      </w:r>
      <w:r w:rsidRPr="00B363AA">
        <w:rPr>
          <w:b/>
          <w:bCs/>
        </w:rPr>
        <w:fldChar w:fldCharType="end"/>
      </w:r>
      <w:r w:rsidRPr="00B363AA">
        <w:rPr>
          <w:b/>
          <w:bCs/>
        </w:rPr>
        <w:t>, est détaillée, pour chaque indicateur, dans l’Annexe 2 – Indicateurs.</w:t>
      </w:r>
    </w:p>
    <w:p w14:paraId="1BBAD5A4" w14:textId="77777777" w:rsidR="00892410" w:rsidRPr="00B363AA" w:rsidRDefault="00892410" w:rsidP="00892410">
      <w:pPr>
        <w:jc w:val="left"/>
      </w:pPr>
      <w:r w:rsidRPr="00B363AA">
        <w:br w:type="page"/>
      </w:r>
    </w:p>
    <w:p w14:paraId="40385846" w14:textId="578947F4" w:rsidR="009746A2" w:rsidRPr="00B363AA" w:rsidRDefault="00BA4457">
      <w:pPr>
        <w:pStyle w:val="Titre1"/>
        <w:numPr>
          <w:ilvl w:val="0"/>
          <w:numId w:val="12"/>
        </w:numPr>
      </w:pPr>
      <w:bookmarkStart w:id="66" w:name="_Ref241228765"/>
      <w:bookmarkStart w:id="67" w:name="_Toc241242954"/>
      <w:r w:rsidRPr="00B363AA">
        <w:lastRenderedPageBreak/>
        <w:t>Diagnostic des services écosystémiques</w:t>
      </w:r>
      <w:r w:rsidR="00B07418" w:rsidRPr="00B363AA">
        <w:t xml:space="preserve"> du sol</w:t>
      </w:r>
      <w:bookmarkEnd w:id="66"/>
      <w:bookmarkEnd w:id="67"/>
    </w:p>
    <w:p w14:paraId="3A1D15A0" w14:textId="213F9E00" w:rsidR="00E13163" w:rsidRPr="00B363AA" w:rsidRDefault="00BB5282">
      <w:pPr>
        <w:pStyle w:val="Titre2"/>
        <w:numPr>
          <w:ilvl w:val="1"/>
          <w:numId w:val="12"/>
        </w:numPr>
      </w:pPr>
      <w:bookmarkStart w:id="68" w:name="_Toc241242955"/>
      <w:r w:rsidRPr="00B363AA">
        <w:t>Méthodologie générale</w:t>
      </w:r>
      <w:bookmarkEnd w:id="68"/>
    </w:p>
    <w:p w14:paraId="2FC01FB9" w14:textId="3C5CD0F2" w:rsidR="00BB5282" w:rsidRPr="00B363AA" w:rsidRDefault="00BB5D52">
      <w:pPr>
        <w:pStyle w:val="Titre3"/>
        <w:numPr>
          <w:ilvl w:val="2"/>
          <w:numId w:val="12"/>
        </w:numPr>
      </w:pPr>
      <w:bookmarkStart w:id="69" w:name="_Ref233110970"/>
      <w:bookmarkStart w:id="70" w:name="_Toc241242956"/>
      <w:r w:rsidRPr="00B363AA">
        <w:t xml:space="preserve">Un diagnostic à différentes échelles : </w:t>
      </w:r>
      <w:r w:rsidR="00415FFF" w:rsidRPr="00B363AA">
        <w:t>s</w:t>
      </w:r>
      <w:r w:rsidR="007C0184" w:rsidRPr="00B363AA">
        <w:t>ervices, fonctions et indicateurs</w:t>
      </w:r>
      <w:bookmarkEnd w:id="69"/>
      <w:bookmarkEnd w:id="70"/>
    </w:p>
    <w:p w14:paraId="3F9190C1" w14:textId="16A92A6F" w:rsidR="0065543A" w:rsidRPr="00B363AA" w:rsidRDefault="0065543A" w:rsidP="0065543A">
      <w:r w:rsidRPr="00B363AA">
        <w:t xml:space="preserve">La </w:t>
      </w:r>
      <w:r w:rsidRPr="00B363AA">
        <w:rPr>
          <w:rFonts w:cs="Calibri"/>
          <w:kern w:val="0"/>
        </w:rPr>
        <w:t>directive sur la surveillance des sols</w:t>
      </w:r>
      <w:r w:rsidRPr="00B363AA">
        <w:t xml:space="preserve"> </w:t>
      </w:r>
      <w:r w:rsidRPr="00B363AA">
        <w:fldChar w:fldCharType="begin"/>
      </w:r>
      <w:r w:rsidR="00377A1A" w:rsidRPr="00B363AA">
        <w:instrText xml:space="preserve"> ADDIN ZOTERO_ITEM CSL_CITATION {"citationID":"xOoqYg2y","properties":{"formattedCitation":"(UE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Pr="00B363AA">
        <w:fldChar w:fldCharType="separate"/>
      </w:r>
      <w:r w:rsidR="00377A1A" w:rsidRPr="00B363AA">
        <w:rPr>
          <w:rFonts w:cs="Calibri"/>
        </w:rPr>
        <w:t>(UE 2025/2360, 2025)</w:t>
      </w:r>
      <w:r w:rsidRPr="00B363AA">
        <w:fldChar w:fldCharType="end"/>
      </w:r>
      <w:r w:rsidRPr="00B363AA">
        <w:t xml:space="preserve"> définit les sols en bonne santé comme étant « des sols présentant un bon état chimique, biologique et physique et qui peuvent dès lors fournir des </w:t>
      </w:r>
      <w:r w:rsidRPr="00B363AA">
        <w:rPr>
          <w:i/>
          <w:iCs/>
        </w:rPr>
        <w:t>services écosystémiques</w:t>
      </w:r>
      <w:r w:rsidRPr="00B363AA">
        <w:t xml:space="preserve"> vitaux pour les humains et l’environnement, qu’il s’agisse de fournir une alimentation sûre, nutritive et en quantité suffisante, de la biomasse et de l’eau propre, de permettre le cycle des nutriments et le stockage du carbone ou d’accueillir la biodiversité. […] Les sols fournissent également d’autres services, notamment en servant de supports physiques pour les infrastructures et les activités humaines, puisqu’ils sont une source de matières premières, ou en tant qu’archives du patrimoine géologique, géomorphologique et archéologique. »</w:t>
      </w:r>
    </w:p>
    <w:p w14:paraId="4E6B1F9E" w14:textId="6B5F8258" w:rsidR="0065543A" w:rsidRPr="00B363AA" w:rsidRDefault="0065543A" w:rsidP="0065543A">
      <w:r w:rsidRPr="00B363AA">
        <w:t xml:space="preserve">La directive définit donc la santé du sol comme un bon accomplissement de services écosystémiques, qui sont définis comme « les contributions directes ou indirectes des écosystèmes aux bénéfices environnementaux, économiques, sociaux, culturels et autres que les personnes tirent des écosystèmes » </w:t>
      </w:r>
      <w:r w:rsidRPr="00B363AA">
        <w:fldChar w:fldCharType="begin"/>
      </w:r>
      <w:r w:rsidR="00377A1A" w:rsidRPr="00B363AA">
        <w:instrText xml:space="preserve"> ADDIN ZOTERO_ITEM CSL_CITATION {"citationID":"07xaMrIU","properties":{"formattedCitation":"(UE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Pr="00B363AA">
        <w:fldChar w:fldCharType="separate"/>
      </w:r>
      <w:r w:rsidR="00377A1A" w:rsidRPr="00B363AA">
        <w:rPr>
          <w:rFonts w:cs="Calibri"/>
        </w:rPr>
        <w:t>(UE 2025/2360, 2025)</w:t>
      </w:r>
      <w:r w:rsidRPr="00B363AA">
        <w:fldChar w:fldCharType="end"/>
      </w:r>
      <w:r w:rsidRPr="00B363AA">
        <w:t xml:space="preserve">. </w:t>
      </w:r>
    </w:p>
    <w:p w14:paraId="7EA8D2A0" w14:textId="099B692A" w:rsidR="0065543A" w:rsidRPr="00B363AA" w:rsidRDefault="40FB9F44" w:rsidP="1C83774F">
      <w:r w:rsidRPr="00B363AA">
        <w:t xml:space="preserve">En pratique, la qualité d’un sol est un concept qui dépend étroitement de son usage (jardin, culture, prairie, forêt, parc, réserve naturelle) et, de fait, du service écosystémique recherché (production potagère, agricole ou forestière, recharge et protection des nappes </w:t>
      </w:r>
      <w:r w:rsidR="6E2790EF" w:rsidRPr="00B363AA">
        <w:t xml:space="preserve">d’eau </w:t>
      </w:r>
      <w:r w:rsidRPr="00B363AA">
        <w:t xml:space="preserve">souterraine, stockage du carbone, protection de la biodiversité…). De nombreux auteurs </w:t>
      </w:r>
      <w:r w:rsidR="48718A82" w:rsidRPr="00B363AA">
        <w:rPr>
          <w:rFonts w:eastAsia="Calibri" w:cs="Calibri"/>
          <w:szCs w:val="22"/>
        </w:rPr>
        <w:t>soulignent qu’une propriété du sol ne peut être jugée adéquate ou non qu’au regard d’une fonction ou d’un service spécifique</w:t>
      </w:r>
      <w:r w:rsidRPr="00B363AA">
        <w:t xml:space="preserve"> </w:t>
      </w:r>
      <w:r w:rsidR="0065543A" w:rsidRPr="00B363AA">
        <w:fldChar w:fldCharType="begin"/>
      </w:r>
      <w:r w:rsidR="0065543A" w:rsidRPr="00B363AA">
        <w:instrText xml:space="preserve"> ADDIN ZOTERO_ITEM CSL_CITATION {"citationID":"Szm91sCh","properties":{"formattedCitation":"(Baveye, 2021)","plainCitation":"(Baveye, 2021)","noteIndex":0},"citationItems":[{"id":415,"uris":["http://zotero.org/groups/5684833/items/MFYFQWCF"],"itemData":{"id":415,"type":"article-journal","container-title":"Soil Use and Management","DOI":"10.1111/sum.12703","ISSN":"1475-2743","issue":"2","language":"en","license":"© 2021 British Society of Soil Science","note":"_eprint: https://bsssjournals.onlinelibrary.wiley.com/doi/pdf/10.1111/sum.12703","page":"215-219","source":"Wiley Online Library","title":"Soil health at a crossroad","volume":"37","author":[{"family":"Baveye","given":"Philippe C."}],"issued":{"date-parts":[["2021"]]}}}],"schema":"https://github.com/citation-style-language/schema/raw/master/csl-citation.json"} </w:instrText>
      </w:r>
      <w:r w:rsidR="0065543A" w:rsidRPr="00B363AA">
        <w:fldChar w:fldCharType="separate"/>
      </w:r>
      <w:r w:rsidRPr="00B363AA">
        <w:rPr>
          <w:rFonts w:cs="Calibri"/>
        </w:rPr>
        <w:t>(Baveye, 2021)</w:t>
      </w:r>
      <w:r w:rsidR="0065543A" w:rsidRPr="00B363AA">
        <w:fldChar w:fldCharType="end"/>
      </w:r>
      <w:r w:rsidRPr="00B363AA">
        <w:t>.</w:t>
      </w:r>
    </w:p>
    <w:p w14:paraId="2DA54959" w14:textId="1943E75A" w:rsidR="0065543A" w:rsidRPr="00B363AA" w:rsidRDefault="0065543A" w:rsidP="0065543A">
      <w:r w:rsidRPr="00B363AA">
        <w:t xml:space="preserve">De fait, les propriétés favorables pour les différentes combinaisons usages/services </w:t>
      </w:r>
      <w:r w:rsidR="005A055D" w:rsidRPr="00B363AA">
        <w:t>peuvent être</w:t>
      </w:r>
      <w:r w:rsidRPr="00B363AA">
        <w:t xml:space="preserve"> divergentes, voire antagonistes, comme l’illustrent les exemples suivants :</w:t>
      </w:r>
    </w:p>
    <w:p w14:paraId="38FBB3AC" w14:textId="77777777" w:rsidR="0065543A" w:rsidRPr="00B363AA" w:rsidRDefault="0065543A">
      <w:pPr>
        <w:pStyle w:val="Paragraphedeliste"/>
        <w:numPr>
          <w:ilvl w:val="0"/>
          <w:numId w:val="16"/>
        </w:numPr>
      </w:pPr>
      <w:r w:rsidRPr="00B363AA">
        <w:t>Un sol sableux sera parfaitement adapté à l’infiltration de l’eau, mais sera nettement moins efficace pour maintenir une réserve utile en cas de sécheresse ou pour filtrer les polluants.</w:t>
      </w:r>
    </w:p>
    <w:p w14:paraId="2B28AD3F" w14:textId="7058D630" w:rsidR="0065543A" w:rsidRPr="00B363AA" w:rsidRDefault="0065543A">
      <w:pPr>
        <w:pStyle w:val="Paragraphedeliste"/>
        <w:numPr>
          <w:ilvl w:val="0"/>
          <w:numId w:val="16"/>
        </w:numPr>
      </w:pPr>
      <w:r w:rsidRPr="00B363AA">
        <w:t xml:space="preserve">Un sol tourbeux </w:t>
      </w:r>
      <w:r w:rsidR="00707B10" w:rsidRPr="00B363AA">
        <w:t>non drainé</w:t>
      </w:r>
      <w:r w:rsidRPr="00B363AA">
        <w:t xml:space="preserve"> est </w:t>
      </w:r>
      <w:r w:rsidR="00707B10" w:rsidRPr="00B363AA">
        <w:t>i</w:t>
      </w:r>
      <w:r w:rsidR="006D77C4" w:rsidRPr="00B363AA">
        <w:t>nadapté pour l</w:t>
      </w:r>
      <w:r w:rsidR="00EF3067" w:rsidRPr="00B363AA">
        <w:t>a</w:t>
      </w:r>
      <w:r w:rsidR="006D77C4" w:rsidRPr="00B363AA">
        <w:t xml:space="preserve"> </w:t>
      </w:r>
      <w:r w:rsidR="00EF3067" w:rsidRPr="00B363AA">
        <w:t>production agricole</w:t>
      </w:r>
      <w:r w:rsidRPr="00B363AA">
        <w:t xml:space="preserve">, mais excellent pour le stockage du carbone et </w:t>
      </w:r>
      <w:r w:rsidR="003A1A36" w:rsidRPr="00B363AA">
        <w:t xml:space="preserve">peut </w:t>
      </w:r>
      <w:r w:rsidRPr="00B363AA">
        <w:t>abrite</w:t>
      </w:r>
      <w:r w:rsidR="003A1A36" w:rsidRPr="00B363AA">
        <w:t>r</w:t>
      </w:r>
      <w:r w:rsidRPr="00B363AA">
        <w:t xml:space="preserve"> des écosystèmes rares et diversifiés.</w:t>
      </w:r>
    </w:p>
    <w:p w14:paraId="528B029B" w14:textId="350D86A4" w:rsidR="0065543A" w:rsidRPr="00B363AA" w:rsidRDefault="0065543A">
      <w:pPr>
        <w:pStyle w:val="Paragraphedeliste"/>
        <w:numPr>
          <w:ilvl w:val="0"/>
          <w:numId w:val="16"/>
        </w:numPr>
      </w:pPr>
      <w:r w:rsidRPr="00B363AA">
        <w:t xml:space="preserve">Un sol calcaire </w:t>
      </w:r>
      <w:r w:rsidR="00A37F8B" w:rsidRPr="00B363AA">
        <w:t>peut accueillir certaines</w:t>
      </w:r>
      <w:r w:rsidRPr="00B363AA">
        <w:t xml:space="preserve"> production</w:t>
      </w:r>
      <w:r w:rsidR="00A37F8B" w:rsidRPr="00B363AA">
        <w:t>s</w:t>
      </w:r>
      <w:r w:rsidRPr="00B363AA">
        <w:t xml:space="preserve"> forestière</w:t>
      </w:r>
      <w:r w:rsidR="00A37F8B" w:rsidRPr="00B363AA">
        <w:t>s</w:t>
      </w:r>
      <w:r w:rsidR="007659A2" w:rsidRPr="00B363AA">
        <w:t xml:space="preserve"> ainsi qu’une </w:t>
      </w:r>
      <w:r w:rsidR="00320610" w:rsidRPr="00B363AA">
        <w:t>faune et une flore diversifiée</w:t>
      </w:r>
      <w:r w:rsidRPr="00B363AA">
        <w:t xml:space="preserve"> et </w:t>
      </w:r>
      <w:r w:rsidR="00320610" w:rsidRPr="00B363AA">
        <w:t>contribuer activement à</w:t>
      </w:r>
      <w:r w:rsidRPr="00B363AA">
        <w:t xml:space="preserve"> la recharge des nappes</w:t>
      </w:r>
      <w:r w:rsidR="00320610" w:rsidRPr="00B363AA">
        <w:t xml:space="preserve"> d’eau souterraine</w:t>
      </w:r>
      <w:r w:rsidR="00AD3E45" w:rsidRPr="00B363AA">
        <w:t>s</w:t>
      </w:r>
      <w:r w:rsidRPr="00B363AA">
        <w:t xml:space="preserve">, mais </w:t>
      </w:r>
      <w:r w:rsidR="00AD3E45" w:rsidRPr="00B363AA">
        <w:t>il sera inadapté pour la plupart des productions agricoles</w:t>
      </w:r>
      <w:r w:rsidRPr="00B363AA">
        <w:t xml:space="preserve"> et la filtration de l’eau.</w:t>
      </w:r>
    </w:p>
    <w:p w14:paraId="39EFE168" w14:textId="241941EA" w:rsidR="0065543A" w:rsidRPr="00B363AA" w:rsidRDefault="0065543A">
      <w:pPr>
        <w:pStyle w:val="Paragraphedeliste"/>
        <w:numPr>
          <w:ilvl w:val="0"/>
          <w:numId w:val="16"/>
        </w:numPr>
      </w:pPr>
      <w:r w:rsidRPr="00B363AA">
        <w:t xml:space="preserve">Un sol pollué au plomb </w:t>
      </w:r>
      <w:r w:rsidR="00B1428E" w:rsidRPr="00B363AA">
        <w:t xml:space="preserve">ou au </w:t>
      </w:r>
      <w:r w:rsidR="006A7DD6" w:rsidRPr="00B363AA">
        <w:t xml:space="preserve">cadmium </w:t>
      </w:r>
      <w:r w:rsidR="00B1428E" w:rsidRPr="00B363AA">
        <w:t xml:space="preserve">peut compromettre la production </w:t>
      </w:r>
      <w:r w:rsidR="006A7DD6" w:rsidRPr="00B363AA">
        <w:t>de denrées alimentaires garantissant l’innocuité pour les consommateurs</w:t>
      </w:r>
      <w:r w:rsidR="005F2237" w:rsidRPr="00B363AA">
        <w:t xml:space="preserve"> mais peut </w:t>
      </w:r>
      <w:r w:rsidRPr="00B363AA">
        <w:t>être intéressant pour la conservation de la biodiversité (exemple de la végétation calaminaire)</w:t>
      </w:r>
      <w:r w:rsidR="007978D0" w:rsidRPr="00B363AA">
        <w:t xml:space="preserve"> et soutenir la production de biomasses non alimentaires</w:t>
      </w:r>
      <w:r w:rsidRPr="00B363AA">
        <w:t xml:space="preserve">. </w:t>
      </w:r>
    </w:p>
    <w:p w14:paraId="42A7183D" w14:textId="7284F8D9" w:rsidR="0065543A" w:rsidRPr="00B363AA" w:rsidRDefault="0065543A" w:rsidP="0065543A">
      <w:r w:rsidRPr="00B363AA">
        <w:t>Ces compromis entre les fonctions (ou services</w:t>
      </w:r>
      <w:r w:rsidR="00D57C65" w:rsidRPr="00B363AA">
        <w:t xml:space="preserve"> écosystémiques</w:t>
      </w:r>
      <w:r w:rsidRPr="00B363AA">
        <w:t xml:space="preserve">) du sol démontrent l’intérêt d’évaluer ces services différents séparément, plutôt qu’à travers un indice de qualité unique, qui entraîne indéniablement une perte d’information </w:t>
      </w:r>
      <w:r w:rsidRPr="00B363AA">
        <w:fldChar w:fldCharType="begin"/>
      </w:r>
      <w:r w:rsidRPr="00B363AA">
        <w:instrText xml:space="preserve"> ADDIN ZOTERO_ITEM CSL_CITATION {"citationID":"h24DgSjM","properties":{"formattedCitation":"(Vogel et al., 2019)","plainCitation":"(Vogel et al., 2019)","noteIndex":0},"citationItems":[{"id":104,"uris":["http://zotero.org/groups/5684833/items/IIQB5NJT"],"itemData":{"id":104,"type":"article-journal","abstract":"Soils play a key role for the functioning of terrestrial ecosystems. Thus, soils are essential for human society not only because they form the basis for the production of food. This has been recognized since long and during the last three decades the need to establish methods to evaluate the ability of soils to provide soil functions has moved towards the top of the agenda in soil science. Quantitative evaluation schemes are indispensable to adequately include soils into strategies to reach sustainable development targets. In this paper we build upon existing approaches and propose a concept to evaluate individual soil functions with respect to the soil’s natural potential in contrast to its actual state. This leads to a separation of indicator variables and allows for conclusions on the structure of appropriate models that are required to predict the dynamics of soil functions in response to external perturbation. This concept is demonstrated for the production function, carbon storage and water storage which are evaluated exemplarily for different plots of a long-term field experiment. It is discussed for nutrient cycling and the habitat function where evaluation schemes are still less obvious.","container-title":"Frontiers in Environmental Science","DOI":"10.3389/fenvs.2019.00164","ISSN":"2296-665X","journalAbbreviation":"Front. Environ. Sci.","language":"English","publisher":"Frontiers","source":"Frontiers","title":"Quantitative Evaluation of Soil Functions: Potential and State","title-short":"Quantitative Evaluation of Soil Functions","URL":"https://www.frontiersin.org/journals/environmental-science/articles/10.3389/fenvs.2019.00164/full","volume":"7","author":[{"family":"Vogel","given":"Hans-Jörg"},{"family":"Eberhardt","given":"Einar"},{"family":"Franko","given":"Uwe"},{"family":"Lang","given":"Birgit"},{"family":"Ließ","given":"Mareike"},{"family":"Weller","given":"Ulrich"},{"family":"Wiesmeier","given":"Martin"},{"family":"Wollschläger","given":"Ute"}],"accessed":{"date-parts":[["2025",10,20]]},"issued":{"date-parts":[["2019",10,22]]}}}],"schema":"https://github.com/citation-style-language/schema/raw/master/csl-citation.json"} </w:instrText>
      </w:r>
      <w:r w:rsidRPr="00B363AA">
        <w:fldChar w:fldCharType="separate"/>
      </w:r>
      <w:r w:rsidRPr="00B363AA">
        <w:rPr>
          <w:rFonts w:cs="Calibri"/>
        </w:rPr>
        <w:t>(Vogel et al., 2019)</w:t>
      </w:r>
      <w:r w:rsidRPr="00B363AA">
        <w:fldChar w:fldCharType="end"/>
      </w:r>
      <w:r w:rsidRPr="00B363AA">
        <w:t xml:space="preserve">. Ainsi, dans la mise en œuvre de pratiques de gestion, il est important de conscientiser le fait que les actions en faveur d’un service écosystémique pourraient avoir des conséquences défavorables pour un autre service </w:t>
      </w:r>
      <w:r w:rsidRPr="00B363AA">
        <w:fldChar w:fldCharType="begin"/>
      </w:r>
      <w:r w:rsidRPr="00B363AA">
        <w:instrText xml:space="preserve"> ADDIN ZOTERO_ITEM CSL_CITATION {"citationID":"W4lBvOCy","properties":{"formattedCitation":"(Lehmann et al., 2020)","plainCitation":"(Lehmann et al., 2020)","noteIndex":0},"citationItems":[{"id":416,"uris":["http://zotero.org/groups/5684833/items/S5FAIYHE"],"itemData":{"id":416,"type":"article-journal","abstract":"Soil health is the continued capacity of soil to function as a vital living ecosystem that sustains plants, animals and humans, and connects agricultural and soil science to policy, stakeholder needs and sustainable supply-chain management. Historically, soil assessments focused on crop production, but, today, soil health also includes the role of soil in water quality, climate change and human health. However, quantifying soil health is still dominated by chemical indicators, despite growing appreciation of the importance of soil biodiversity, owing to limited functional knowledge and lack of effective methods. In this Perspective, the definition and history of soil health are described and compared with other soil concepts. We outline ecosystem services provided by soils, the indicators used to measure soil functionality and their integration into informative soil-health indices. Scientists should embrace soil health as an overarching principle that contributes to sustainability goals, rather than only a property to measure.","container-title":"Nature Reviews Earth &amp; Environment","DOI":"10.1038/s43017-020-0080-8","ISSN":"2662-138X","issue":"10","journalAbbreviation":"Nat Rev Earth Environ","language":"en","license":"2020 Springer Nature Limited","page":"544-553","publisher":"Nature Publishing Group","source":"www.nature.com","title":"The concept and future prospects of soil health","volume":"1","author":[{"family":"Lehmann","given":"Johannes"},{"family":"Bossio","given":"Deborah A."},{"family":"Kögel-Knabner","given":"Ingrid"},{"family":"Rillig","given":"Matthias C."}],"issued":{"date-parts":[["2020",10]]}}}],"schema":"https://github.com/citation-style-language/schema/raw/master/csl-citation.json"} </w:instrText>
      </w:r>
      <w:r w:rsidRPr="00B363AA">
        <w:fldChar w:fldCharType="separate"/>
      </w:r>
      <w:r w:rsidRPr="00B363AA">
        <w:rPr>
          <w:rFonts w:cs="Calibri"/>
        </w:rPr>
        <w:t>(Lehmann et al., 2020)</w:t>
      </w:r>
      <w:r w:rsidRPr="00B363AA">
        <w:fldChar w:fldCharType="end"/>
      </w:r>
      <w:r w:rsidRPr="00B363AA">
        <w:t>.</w:t>
      </w:r>
    </w:p>
    <w:p w14:paraId="5CEF43F3" w14:textId="286C4FF9" w:rsidR="004E1DEF" w:rsidRPr="00B363AA" w:rsidRDefault="0065543A" w:rsidP="004E1DEF">
      <w:pPr>
        <w:rPr>
          <w:b/>
          <w:bCs/>
        </w:rPr>
      </w:pPr>
      <w:r w:rsidRPr="00B363AA">
        <w:rPr>
          <w:b/>
          <w:bCs/>
        </w:rPr>
        <w:lastRenderedPageBreak/>
        <w:t>Pour toutes ces raisons, l’IQSW-pro est construit à l’échelle du service écosystémique, et évalue donc la qualité et la santé d’un sol à travers des scores de services écosystémiques.</w:t>
      </w:r>
      <w:r w:rsidRPr="00B363AA">
        <w:t xml:space="preserve"> Bien qu’un score IQSW global est calculé en pondérant l’importance relative des services pour un usage donné (partie</w:t>
      </w:r>
      <w:r w:rsidR="00614CA4" w:rsidRPr="00B363AA">
        <w:t xml:space="preserve"> </w:t>
      </w:r>
      <w:r w:rsidR="00614CA4" w:rsidRPr="00B363AA">
        <w:fldChar w:fldCharType="begin"/>
      </w:r>
      <w:r w:rsidR="00614CA4" w:rsidRPr="00B363AA">
        <w:instrText xml:space="preserve"> REF _Ref232206789 \r \h </w:instrText>
      </w:r>
      <w:r w:rsidR="00614CA4" w:rsidRPr="00B363AA">
        <w:fldChar w:fldCharType="separate"/>
      </w:r>
      <w:r w:rsidR="00724784" w:rsidRPr="00B363AA">
        <w:t>5.2</w:t>
      </w:r>
      <w:r w:rsidR="00614CA4" w:rsidRPr="00B363AA">
        <w:fldChar w:fldCharType="end"/>
      </w:r>
      <w:r w:rsidRPr="00B363AA">
        <w:t xml:space="preserve">), c’est principalement à l’échelle du service écosystémique </w:t>
      </w:r>
      <w:r w:rsidR="2413DCB5" w:rsidRPr="00B363AA">
        <w:t>et des niveaux inférieurs</w:t>
      </w:r>
      <w:r w:rsidR="54320B0E" w:rsidRPr="00B363AA">
        <w:t xml:space="preserve"> (diagnostic des fonctions et des indicateurs au sein des fonctions) </w:t>
      </w:r>
      <w:r w:rsidR="004F5D3F" w:rsidRPr="00B363AA">
        <w:t xml:space="preserve">qu’il sera le plus pertinent de </w:t>
      </w:r>
      <w:r w:rsidR="005E31B8" w:rsidRPr="00B363AA">
        <w:t xml:space="preserve">tirer des conclusions sur la capacité effective et potentielle </w:t>
      </w:r>
      <w:r w:rsidR="005A055D" w:rsidRPr="00B363AA">
        <w:t xml:space="preserve">du sol </w:t>
      </w:r>
      <w:r w:rsidR="005E31B8" w:rsidRPr="00B363AA">
        <w:t xml:space="preserve">à </w:t>
      </w:r>
      <w:r w:rsidR="4EC82DFE" w:rsidRPr="00B363AA">
        <w:t>remplir ses fonctions et services</w:t>
      </w:r>
      <w:r w:rsidR="005E31B8" w:rsidRPr="00B363AA">
        <w:t>.</w:t>
      </w:r>
    </w:p>
    <w:p w14:paraId="62519B99" w14:textId="050F4ADE" w:rsidR="0065543A" w:rsidRPr="00B363AA" w:rsidRDefault="00673AEA">
      <w:pPr>
        <w:pStyle w:val="Titre3"/>
        <w:numPr>
          <w:ilvl w:val="2"/>
          <w:numId w:val="12"/>
        </w:numPr>
      </w:pPr>
      <w:bookmarkStart w:id="71" w:name="_Ref232250903"/>
      <w:bookmarkStart w:id="72" w:name="_Toc241242957"/>
      <w:r w:rsidRPr="00B363AA">
        <w:t>Diagnostic des fonctions</w:t>
      </w:r>
      <w:bookmarkEnd w:id="71"/>
      <w:bookmarkEnd w:id="72"/>
    </w:p>
    <w:p w14:paraId="6260A2C5" w14:textId="53715D42" w:rsidR="0065543A" w:rsidRPr="00B363AA" w:rsidRDefault="40FB9F44" w:rsidP="0065543A">
      <w:r w:rsidRPr="00B363AA">
        <w:t xml:space="preserve">Dans le cadre de </w:t>
      </w:r>
      <w:r w:rsidR="04DFABEA" w:rsidRPr="00B363AA">
        <w:t xml:space="preserve">nombreux </w:t>
      </w:r>
      <w:r w:rsidRPr="00B363AA">
        <w:t xml:space="preserve">projets d’évaluation de la qualité des sols, les services écosystémiques </w:t>
      </w:r>
      <w:r w:rsidR="489D7025" w:rsidRPr="00B363AA">
        <w:t>s</w:t>
      </w:r>
      <w:r w:rsidRPr="00B363AA">
        <w:t xml:space="preserve">ont généralement découpés en diverses fonctions écologiques ou pédologiques </w:t>
      </w:r>
      <w:r w:rsidR="0065543A" w:rsidRPr="00B363AA">
        <w:fldChar w:fldCharType="begin"/>
      </w:r>
      <w:r w:rsidR="0065543A" w:rsidRPr="00B363AA">
        <w:instrText xml:space="preserve"> ADDIN ZOTERO_ITEM CSL_CITATION {"citationID":"kmJ7B7DT","properties":{"unsorted":true,"formattedCitation":"(Wienhold et al., 2009; Rabot et al., 2022; Cousin et al., 2025)","plainCitation":"(Wienhold et al., 2009; Rabot et al., 2022; Cousin et al., 2025)","noteIndex":0},"citationItems":[{"id":163,"uris":["http://zotero.org/groups/5684833/items/Y5N3XJ6U"],"itemData":{"id":163,"type":"article-journal","abstract":"PDF | Assessment tools are needed to evaluate agronomic management effects on critical soil functions such as carbon sequestration, nutrient cycling and... | Find, read and cite all the research you need on ResearchGate","container-title":"ResearchGate","DOI":"10.1017/S1742170509990093","language":"en","source":"www.researchgate.net","title":"Protocol for indicator scoring in the soil management assessment framework (SMAF)","URL":"https://www.researchgate.net/publication/47527229_Protocol_for_indicator_scoring_in_the_soil_management_assessment_framework_SMAF","author":[{"family":"Wienhold","given":""},{"family":"Karlen","given":""},{"family":"Andrews","given":""},{"family":"Stott","given":""}],"accessed":{"date-parts":[["2025",6,17]]},"issued":{"date-parts":[["2009"]]}}},{"id":84,"uris":["http://zotero.org/groups/5684833/items/35NH9M97"],"itemData":{"id":84,"type":"article-journal","abstract":"Europe is faced to a competing demand for areas suitable for agriculture and areas suitable for urban development. To help building the general guidelines necessary for a sustainable development at the regional scale, we developed a soil potential multifunctionality index for agriculture (Agri-SPMI), which used the concepts of soil-based ecosystem services and soil functions. It considered the provision of a physical and chemical habitat for plant growth functions, the retention and transfer of water and pollutants function, and the carbon storage function. Three agricultural land uses were considered in this index: arable lands, perennial crops, and pastures. The assessment of the Agri-SPMI was done over a large territory, using a small set of inherent soil properties available in the French soil survey database at 1:250,000 scale. The output was in the form of two maps, which can be viewed in a GIS software: a map of areas with high Agri-SPMI and a map of the service of food, biomass, and fiber production. The concept of soil multifunctionality allowed highlighting environmental issues related to agriculture and to encourage land planners to take them into account in addition to the agronomic potential of soils. The framework used is fully transferable to other scales, other soil contexts, or other ecosystem services, with adaptation of the soil properties considered.","container-title":"Soil Security","DOI":"10.1016/j.soisec.2022.100034","ISSN":"2667-0062","journalAbbreviation":"Soil Security","page":"100034","source":"ScienceDirect","title":"Development and spatialization of a soil potential multifunctionality index for agriculture (Agri-SPMI) at the regional scale. Case study in the Occitanie region (France)","volume":"6","author":[{"family":"Rabot","given":"Eva"},{"family":"Guiresse","given":"Maritxu"},{"family":"Pittatore","given":"Yannis"},{"family":"Angelini","given":"Marcos"},{"family":"Keller","given":"Catherine"},{"family":"Lagacherie","given":"Philippe"}],"issued":{"date-parts":[["2022",3,1]]}}},{"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rsidR="0065543A" w:rsidRPr="00B363AA">
        <w:fldChar w:fldCharType="separate"/>
      </w:r>
      <w:r w:rsidRPr="00B363AA">
        <w:rPr>
          <w:rFonts w:cs="Calibri"/>
        </w:rPr>
        <w:t>(Wienhold et al., 2009; Rabot et al., 2022; Cousin et al., 2025)</w:t>
      </w:r>
      <w:r w:rsidR="0065543A" w:rsidRPr="00B363AA">
        <w:fldChar w:fldCharType="end"/>
      </w:r>
      <w:r w:rsidRPr="00B363AA">
        <w:t xml:space="preserve">. </w:t>
      </w:r>
      <w:r w:rsidR="5BB0C802" w:rsidRPr="00B363AA">
        <w:t xml:space="preserve">Les fonctions </w:t>
      </w:r>
      <w:r w:rsidR="19445301" w:rsidRPr="00B363AA">
        <w:t xml:space="preserve">remplies par un sol correspondent à </w:t>
      </w:r>
      <w:r w:rsidR="68C7EF34" w:rsidRPr="00B363AA">
        <w:t>l</w:t>
      </w:r>
      <w:r w:rsidR="5A28C065" w:rsidRPr="00B363AA">
        <w:t>a</w:t>
      </w:r>
      <w:r w:rsidR="082847ED" w:rsidRPr="00B363AA">
        <w:t xml:space="preserve"> capacité du sol </w:t>
      </w:r>
      <w:r w:rsidR="38156973" w:rsidRPr="00B363AA">
        <w:t>à jouer différents rôle</w:t>
      </w:r>
      <w:r w:rsidR="434DBEB2" w:rsidRPr="00B363AA">
        <w:t>s</w:t>
      </w:r>
      <w:r w:rsidR="38156973" w:rsidRPr="00B363AA">
        <w:t xml:space="preserve"> clés dans le fonctionnement d’un écosystème</w:t>
      </w:r>
      <w:r w:rsidR="3804C011" w:rsidRPr="00B363AA">
        <w:t xml:space="preserve">, et sont </w:t>
      </w:r>
      <w:r w:rsidR="104C5CF3" w:rsidRPr="00B363AA">
        <w:t>le résultat de processus naturels internes au sol </w:t>
      </w:r>
      <w:r w:rsidR="00C0080B" w:rsidRPr="00B363AA">
        <w:fldChar w:fldCharType="begin"/>
      </w:r>
      <w:r w:rsidR="00C0080B" w:rsidRPr="00B363AA">
        <w:instrText xml:space="preserve"> ADDIN ZOTERO_ITEM CSL_CITATION {"citationID":"YGPjwh0c","properties":{"unsorted":false,"formattedCitation":"(de\\uc0\\u160{}Groot et al., 2002)","plainCitation":"(de Groot et al., 2002)","noteIndex":0},"citationItems":[{"id":604,"uris":["http://zotero.org/groups/5684833/items/QJRRCWD8"],"itemData":{"id":604,"type":"article-journal","abstract":"An increasing amount of information is being collected on the ecological and socio-economic value of goods and services provided by natural and semi-natural ecosystems. However, much of this information appears scattered throughout a disciplinary academic literature, unpublished government agency reports, and across the World Wide Web. In addition, data on ecosystem goods and services often appears at incompatible scales of analysis and is classified differently by different authors. In order to make comparative ecological economic analysis possible, a standardized framework for the comprehensive assessment of ecosystem functions, goods and services is needed. In response to this challenge, this paper presents a conceptual framework and typology for describing, classifying and valuing ecosystem functions, goods and services in a clear and consistent manner. In the following analysis, a classification is given for the fullest possible range of 23 ecosystem functions that provide a much larger number of goods and services. In the second part of the paper, a checklist and matrix is provided, linking these ecosystem functions to the main ecological, socio–cultural and economic valuation methods.","container-title":"Ecological Economics","DOI":"10.1016/S0921-8009(02)00089-7","ISSN":"0921-8009","issue":"3","journalAbbreviation":"Ecological Economics","page":"393-408","source":"ScienceDirect","title":"A typology for the classification, description and valuation of ecosystem functions, goods and services","volume":"41","author":[{"family":"Groot","given":"Rudolf S","non-dropping-particle":"de"},{"family":"Wilson","given":"Matthew A"},{"family":"Boumans","given":"Roelof M. J"}],"issued":{"date-parts":[["2002",6,1]]}}}],"schema":"https://github.com/citation-style-language/schema/raw/master/csl-citation.json"} </w:instrText>
      </w:r>
      <w:r w:rsidR="00C0080B" w:rsidRPr="00B363AA">
        <w:fldChar w:fldCharType="separate"/>
      </w:r>
      <w:r w:rsidR="104C5CF3" w:rsidRPr="00B363AA">
        <w:rPr>
          <w:rFonts w:cs="Calibri"/>
          <w:kern w:val="0"/>
        </w:rPr>
        <w:t>(</w:t>
      </w:r>
      <w:r w:rsidR="104C5CF3" w:rsidRPr="00B363AA">
        <w:rPr>
          <w:rFonts w:cs="Calibri"/>
        </w:rPr>
        <w:t>de Groot et al., 2002)</w:t>
      </w:r>
      <w:r w:rsidR="00C0080B" w:rsidRPr="00B363AA">
        <w:fldChar w:fldCharType="end"/>
      </w:r>
      <w:r w:rsidR="104C5CF3" w:rsidRPr="00B363AA">
        <w:t>.</w:t>
      </w:r>
      <w:r w:rsidR="4D4EBEAB" w:rsidRPr="00B363AA">
        <w:t xml:space="preserve"> </w:t>
      </w:r>
      <w:r w:rsidR="3554FAA7" w:rsidRPr="00B363AA">
        <w:t>A contrario</w:t>
      </w:r>
      <w:r w:rsidR="377E5F1D" w:rsidRPr="00B363AA">
        <w:t>, le concept de</w:t>
      </w:r>
      <w:r w:rsidRPr="00B363AA">
        <w:t xml:space="preserve"> service écosystémique </w:t>
      </w:r>
      <w:r w:rsidR="377E5F1D" w:rsidRPr="00B363AA">
        <w:t>est anthropocentré</w:t>
      </w:r>
      <w:r w:rsidR="4E0CD014" w:rsidRPr="00B363AA">
        <w:t xml:space="preserve"> et </w:t>
      </w:r>
      <w:r w:rsidR="5EC4DEF2" w:rsidRPr="00B363AA">
        <w:t>s’intéresse</w:t>
      </w:r>
      <w:r w:rsidR="4E0CD014" w:rsidRPr="00B363AA">
        <w:t xml:space="preserve"> </w:t>
      </w:r>
      <w:r w:rsidR="420689F9" w:rsidRPr="00B363AA">
        <w:t>aux</w:t>
      </w:r>
      <w:r w:rsidR="4E0CD014" w:rsidRPr="00B363AA">
        <w:t xml:space="preserve"> services rendus aux sociétés humaines par le sol.</w:t>
      </w:r>
      <w:r w:rsidR="5CF81C93" w:rsidRPr="00B363AA">
        <w:t xml:space="preserve"> Les services sont donc intimement liés à</w:t>
      </w:r>
      <w:r w:rsidRPr="00B363AA">
        <w:t xml:space="preserve"> l’usage </w:t>
      </w:r>
      <w:r w:rsidR="4C8B261C" w:rsidRPr="00B363AA">
        <w:t>actuel ou futur</w:t>
      </w:r>
      <w:r w:rsidRPr="00B363AA">
        <w:t xml:space="preserve"> du sol (ex : la production végétale</w:t>
      </w:r>
      <w:r w:rsidR="672694A0" w:rsidRPr="00B363AA">
        <w:t xml:space="preserve">). L’accomplissement d’un service écosystémique par le sol peut dépendre d’une ou de plusieurs fonctions </w:t>
      </w:r>
      <w:r w:rsidRPr="00B363AA">
        <w:t>(ex</w:t>
      </w:r>
      <w:r w:rsidR="220FEF1C" w:rsidRPr="00B363AA">
        <w:t>.</w:t>
      </w:r>
      <w:r w:rsidRPr="00B363AA">
        <w:t xml:space="preserve"> </w:t>
      </w:r>
      <w:r w:rsidR="6E703185" w:rsidRPr="00B363AA">
        <w:t xml:space="preserve">le service de production végétale dépend </w:t>
      </w:r>
      <w:r w:rsidR="5B360DFD" w:rsidRPr="00B363AA">
        <w:t xml:space="preserve">à la fois </w:t>
      </w:r>
      <w:r w:rsidR="0B249F6D" w:rsidRPr="00B363AA">
        <w:t xml:space="preserve">des fonctions de </w:t>
      </w:r>
      <w:r w:rsidRPr="00B363AA">
        <w:t xml:space="preserve">fourniture d’eau, </w:t>
      </w:r>
      <w:r w:rsidR="0B249F6D" w:rsidRPr="00B363AA">
        <w:t xml:space="preserve">de </w:t>
      </w:r>
      <w:r w:rsidRPr="00B363AA">
        <w:t xml:space="preserve">fourniture de nutriments </w:t>
      </w:r>
      <w:r w:rsidR="5B360DFD" w:rsidRPr="00B363AA">
        <w:t xml:space="preserve">et </w:t>
      </w:r>
      <w:r w:rsidR="0B249F6D" w:rsidRPr="00B363AA">
        <w:t xml:space="preserve">de </w:t>
      </w:r>
      <w:r w:rsidRPr="00B363AA">
        <w:t xml:space="preserve">maintien d’une structure permettant la pénétration </w:t>
      </w:r>
      <w:r w:rsidR="3CCD5698" w:rsidRPr="00B363AA">
        <w:t>racinaire</w:t>
      </w:r>
      <w:r w:rsidR="70ABE21E" w:rsidRPr="00B363AA">
        <w:t xml:space="preserve"> </w:t>
      </w:r>
      <w:r w:rsidRPr="00B363AA">
        <w:t xml:space="preserve">et </w:t>
      </w:r>
      <w:r w:rsidR="3CCD5698" w:rsidRPr="00B363AA">
        <w:t>la circulation de l’air et de l’eau</w:t>
      </w:r>
      <w:r w:rsidR="70ABE21E" w:rsidRPr="00B363AA">
        <w:t xml:space="preserve">). </w:t>
      </w:r>
      <w:r w:rsidR="08E3CAC2" w:rsidRPr="00B363AA">
        <w:t>Contrairement aux services, l</w:t>
      </w:r>
      <w:r w:rsidR="70ABE21E" w:rsidRPr="00B363AA">
        <w:t>es fonctions</w:t>
      </w:r>
      <w:r w:rsidR="08E3CAC2" w:rsidRPr="00B363AA">
        <w:t xml:space="preserve"> telles que définies ici </w:t>
      </w:r>
      <w:r w:rsidR="6CF8D54C" w:rsidRPr="00B363AA">
        <w:t>sont indépendantes les unes des autres et de surcroit</w:t>
      </w:r>
      <w:r w:rsidR="70ABE21E" w:rsidRPr="00B363AA">
        <w:t xml:space="preserve"> peuvent être directement </w:t>
      </w:r>
      <w:r w:rsidR="3F82EECD" w:rsidRPr="00B363AA">
        <w:t xml:space="preserve">évaluées </w:t>
      </w:r>
      <w:r w:rsidR="70ABE21E" w:rsidRPr="00B363AA">
        <w:t xml:space="preserve">à </w:t>
      </w:r>
      <w:r w:rsidR="3F82EECD" w:rsidRPr="00B363AA">
        <w:t>partir d’indicateurs</w:t>
      </w:r>
      <w:r w:rsidR="009E217B" w:rsidRPr="00B363AA">
        <w:t>.</w:t>
      </w:r>
      <w:r w:rsidR="008A7616" w:rsidRPr="00B363AA">
        <w:t xml:space="preserve"> </w:t>
      </w:r>
      <w:r w:rsidR="04DFABEA" w:rsidRPr="00B363AA">
        <w:t xml:space="preserve">Cette subdivision permet notamment d’éviter des problèmes de </w:t>
      </w:r>
      <w:r w:rsidR="0A0571E8" w:rsidRPr="00B363AA">
        <w:t>colinéarité</w:t>
      </w:r>
      <w:r w:rsidR="04DFABEA" w:rsidRPr="00B363AA">
        <w:t xml:space="preserve"> que pourrait engendrer une </w:t>
      </w:r>
      <w:r w:rsidR="0A0571E8" w:rsidRPr="00B363AA">
        <w:t>agrégation</w:t>
      </w:r>
      <w:r w:rsidR="04DFABEA" w:rsidRPr="00B363AA">
        <w:t xml:space="preserve"> </w:t>
      </w:r>
      <w:r w:rsidR="7E7A86E2" w:rsidRPr="00B363AA">
        <w:t>d’indicateurs fortement</w:t>
      </w:r>
      <w:r w:rsidR="0A0571E8" w:rsidRPr="00B363AA">
        <w:t xml:space="preserve"> corrélés.</w:t>
      </w:r>
    </w:p>
    <w:p w14:paraId="2F629185" w14:textId="13EF03CC" w:rsidR="005C3F9B" w:rsidRPr="00B363AA" w:rsidRDefault="00DE0995" w:rsidP="0065543A">
      <w:r w:rsidRPr="00B363AA">
        <w:t xml:space="preserve">Chaque indicateur se voit ainsi individuellement attribuer un score </w:t>
      </w:r>
      <w:r w:rsidR="00023DA9" w:rsidRPr="00B363AA">
        <w:t xml:space="preserve">sur une échelle </w:t>
      </w:r>
      <w:r w:rsidR="00CF63AA" w:rsidRPr="00B363AA">
        <w:t>entre 0 et 5</w:t>
      </w:r>
      <w:r w:rsidRPr="00B363AA">
        <w:t xml:space="preserve"> pour la fonction pour laquelle il est considéré.</w:t>
      </w:r>
      <w:r w:rsidR="0091293D" w:rsidRPr="00B363AA">
        <w:t xml:space="preserve"> La méthodologie d’interprétation des paramètres est détaillée </w:t>
      </w:r>
      <w:r w:rsidR="004858D7" w:rsidRPr="00B363AA">
        <w:t xml:space="preserve">au point </w:t>
      </w:r>
      <w:r w:rsidR="009233B3" w:rsidRPr="00B363AA">
        <w:fldChar w:fldCharType="begin"/>
      </w:r>
      <w:r w:rsidR="009233B3" w:rsidRPr="00B363AA">
        <w:instrText xml:space="preserve"> REF _Ref232206834 \r \h </w:instrText>
      </w:r>
      <w:r w:rsidR="003740F9" w:rsidRPr="00B363AA">
        <w:instrText xml:space="preserve"> \* MERGEFORMAT </w:instrText>
      </w:r>
      <w:r w:rsidR="009233B3" w:rsidRPr="00B363AA">
        <w:fldChar w:fldCharType="separate"/>
      </w:r>
      <w:r w:rsidR="00E86BBF" w:rsidRPr="00B363AA">
        <w:t>5.2</w:t>
      </w:r>
      <w:r w:rsidR="009233B3" w:rsidRPr="00B363AA">
        <w:fldChar w:fldCharType="end"/>
      </w:r>
      <w:r w:rsidR="004858D7" w:rsidRPr="00B363AA">
        <w:t>.</w:t>
      </w:r>
      <w:r w:rsidRPr="00B363AA">
        <w:t xml:space="preserve"> Ensuite, une première étape d’agrégation intervient : il s’agit d’agréger ces scores individuels en scores de fonctions. Les scores des indicateurs sont donc pondérés dans le score de fonction selon leur importance relative dans l’accomplissement du processus. </w:t>
      </w:r>
      <w:r w:rsidR="00DA15A6" w:rsidRPr="00B363AA">
        <w:t>Les fonctions</w:t>
      </w:r>
      <w:r w:rsidRPr="00B363AA">
        <w:t xml:space="preserve"> constituent le niveau intermédiaire d’agrégation, avant l’agrégation par </w:t>
      </w:r>
      <w:r w:rsidR="00613713" w:rsidRPr="00B363AA">
        <w:t>service écosystémique</w:t>
      </w:r>
      <w:r w:rsidRPr="00B363AA">
        <w:t>.</w:t>
      </w:r>
      <w:r w:rsidR="008A7616" w:rsidRPr="00B363AA">
        <w:t xml:space="preserve"> </w:t>
      </w:r>
      <w:r w:rsidR="005C3F9B" w:rsidRPr="00B363AA">
        <w:t>Les scores de fonction sont ensuite agrégés dans un score de service écosystémique, selon l’importance de la fonction dans le service.</w:t>
      </w:r>
    </w:p>
    <w:p w14:paraId="000780D4" w14:textId="13E6DF0A" w:rsidR="00F44BD4" w:rsidRPr="00B363AA" w:rsidRDefault="00F44BD4" w:rsidP="00F44BD4">
      <w:r w:rsidRPr="00B363AA">
        <w:t>La</w:t>
      </w:r>
      <w:r w:rsidR="00E86BBF" w:rsidRPr="00B363AA">
        <w:t xml:space="preserve"> </w:t>
      </w:r>
      <w:r w:rsidR="00E86BBF" w:rsidRPr="00B363AA">
        <w:fldChar w:fldCharType="begin"/>
      </w:r>
      <w:r w:rsidR="00E86BBF" w:rsidRPr="00B363AA">
        <w:instrText xml:space="preserve"> REF _Ref233111779 \h  \* MERGEFORMAT </w:instrText>
      </w:r>
      <w:r w:rsidR="00E86BBF" w:rsidRPr="00B363AA">
        <w:fldChar w:fldCharType="separate"/>
      </w:r>
      <w:r w:rsidR="001C792E" w:rsidRPr="00B363AA">
        <w:t>Figure 6</w:t>
      </w:r>
      <w:r w:rsidR="00E86BBF" w:rsidRPr="00B363AA">
        <w:fldChar w:fldCharType="end"/>
      </w:r>
      <w:r w:rsidRPr="00B363AA">
        <w:t xml:space="preserve"> illustre les étapes d’agrégation depuis le niveau « indicateur » jusqu’au niveau « service écosystémique », en passant par les fonctions.</w:t>
      </w:r>
    </w:p>
    <w:p w14:paraId="50B64C75" w14:textId="77777777" w:rsidR="00F44BD4" w:rsidRPr="00B363AA" w:rsidRDefault="75DDC355" w:rsidP="00F44BD4">
      <w:pPr>
        <w:keepNext/>
      </w:pPr>
      <w:r w:rsidRPr="00B363AA">
        <w:rPr>
          <w:noProof/>
        </w:rPr>
        <w:drawing>
          <wp:inline distT="0" distB="0" distL="0" distR="0" wp14:anchorId="1F8E976C" wp14:editId="67DC4FAB">
            <wp:extent cx="5759450" cy="1356360"/>
            <wp:effectExtent l="0" t="0" r="0" b="0"/>
            <wp:docPr id="429521256"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521256" name="Image 42952125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59450" cy="1356360"/>
                    </a:xfrm>
                    <a:prstGeom prst="rect">
                      <a:avLst/>
                    </a:prstGeom>
                  </pic:spPr>
                </pic:pic>
              </a:graphicData>
            </a:graphic>
          </wp:inline>
        </w:drawing>
      </w:r>
    </w:p>
    <w:p w14:paraId="530849E4" w14:textId="4A05AF17" w:rsidR="00F44BD4" w:rsidRPr="00B363AA" w:rsidRDefault="00F44BD4" w:rsidP="00F44BD4">
      <w:pPr>
        <w:pStyle w:val="Lgende"/>
        <w:jc w:val="center"/>
        <w:rPr>
          <w:i w:val="0"/>
          <w:iCs w:val="0"/>
        </w:rPr>
      </w:pPr>
      <w:bookmarkStart w:id="73" w:name="_Ref233111779"/>
      <w:bookmarkStart w:id="74" w:name="_Toc241229821"/>
      <w:r w:rsidRPr="00B363AA">
        <w:rPr>
          <w:i w:val="0"/>
          <w:iCs w:val="0"/>
        </w:rPr>
        <w:t xml:space="preserve">Figure </w:t>
      </w:r>
      <w:r w:rsidRPr="00B363AA">
        <w:rPr>
          <w:i w:val="0"/>
          <w:iCs w:val="0"/>
        </w:rPr>
        <w:fldChar w:fldCharType="begin"/>
      </w:r>
      <w:r w:rsidRPr="00B363AA">
        <w:rPr>
          <w:i w:val="0"/>
          <w:iCs w:val="0"/>
        </w:rPr>
        <w:instrText xml:space="preserve"> SEQ Figure \* ARABIC </w:instrText>
      </w:r>
      <w:r w:rsidRPr="00B363AA">
        <w:rPr>
          <w:i w:val="0"/>
          <w:iCs w:val="0"/>
        </w:rPr>
        <w:fldChar w:fldCharType="separate"/>
      </w:r>
      <w:r w:rsidR="001C792E" w:rsidRPr="00B363AA">
        <w:rPr>
          <w:i w:val="0"/>
          <w:iCs w:val="0"/>
        </w:rPr>
        <w:t>6</w:t>
      </w:r>
      <w:r w:rsidRPr="00B363AA">
        <w:rPr>
          <w:i w:val="0"/>
          <w:iCs w:val="0"/>
        </w:rPr>
        <w:fldChar w:fldCharType="end"/>
      </w:r>
      <w:bookmarkEnd w:id="73"/>
      <w:r w:rsidRPr="00B363AA">
        <w:rPr>
          <w:i w:val="0"/>
          <w:iCs w:val="0"/>
        </w:rPr>
        <w:t xml:space="preserve"> : Étapes d'agrégation, des paramètres aux services écosystémiques décomposés en fonctions</w:t>
      </w:r>
      <w:r w:rsidR="00BC2E16" w:rsidRPr="00B363AA">
        <w:rPr>
          <w:i w:val="0"/>
          <w:iCs w:val="0"/>
        </w:rPr>
        <w:t>. Les paramètres, indicateurs, fonctions et services repris ici sont uniquement à titre d’exemple, et ne sont pas exhaustifs.</w:t>
      </w:r>
      <w:bookmarkEnd w:id="74"/>
    </w:p>
    <w:p w14:paraId="374D99DE" w14:textId="513CD580" w:rsidR="0065543A" w:rsidRPr="00B363AA" w:rsidRDefault="00415FFF">
      <w:pPr>
        <w:pStyle w:val="Titre3"/>
        <w:numPr>
          <w:ilvl w:val="2"/>
          <w:numId w:val="12"/>
        </w:numPr>
      </w:pPr>
      <w:bookmarkStart w:id="75" w:name="_Ref232207791"/>
      <w:bookmarkStart w:id="76" w:name="_Toc241242958"/>
      <w:r w:rsidRPr="00B363AA">
        <w:lastRenderedPageBreak/>
        <w:t xml:space="preserve">Prise en compte </w:t>
      </w:r>
      <w:r w:rsidR="0065543A" w:rsidRPr="00B363AA">
        <w:t>de contraintes</w:t>
      </w:r>
      <w:bookmarkEnd w:id="75"/>
      <w:r w:rsidRPr="00B363AA">
        <w:t xml:space="preserve"> à la fourniture d’un service</w:t>
      </w:r>
      <w:bookmarkEnd w:id="76"/>
    </w:p>
    <w:p w14:paraId="3714AD58" w14:textId="7F51EFA4" w:rsidR="0065543A" w:rsidRPr="00B363AA" w:rsidRDefault="0065543A" w:rsidP="0065543A">
      <w:r w:rsidRPr="00B363AA">
        <w:t xml:space="preserve">Les contraintes désignent des critères déclassants pour un </w:t>
      </w:r>
      <w:r w:rsidR="00613713" w:rsidRPr="00B363AA">
        <w:t>service écosystémique</w:t>
      </w:r>
      <w:r w:rsidRPr="00B363AA">
        <w:t xml:space="preserve"> donné, par exemple la présence d’une pollution qui peut être un facteur d’exclusion pour la production à destination alimentaire, ou la présence d’un massif d’espèces exotiques envahissantes qui entrave tout type de production</w:t>
      </w:r>
      <w:r w:rsidR="00524378" w:rsidRPr="00B363AA">
        <w:t xml:space="preserve"> dans la zone concernée</w:t>
      </w:r>
      <w:r w:rsidRPr="00B363AA">
        <w:t>. Cependant, ces contraintes à la production n’ont</w:t>
      </w:r>
      <w:r w:rsidR="0029BD5B" w:rsidRPr="00B363AA">
        <w:t>,</w:t>
      </w:r>
      <w:r w:rsidRPr="00B363AA">
        <w:t xml:space="preserve"> par exemple</w:t>
      </w:r>
      <w:r w:rsidR="5938B22A" w:rsidRPr="00B363AA">
        <w:t>,</w:t>
      </w:r>
      <w:r w:rsidRPr="00B363AA">
        <w:t xml:space="preserve"> aucun impact présumé sur le </w:t>
      </w:r>
      <w:r w:rsidR="00613713" w:rsidRPr="00B363AA">
        <w:t>service écosystémique</w:t>
      </w:r>
      <w:r w:rsidRPr="00B363AA">
        <w:t xml:space="preserve"> d’infiltration</w:t>
      </w:r>
      <w:r w:rsidR="000A7E27" w:rsidRPr="00B363AA">
        <w:t xml:space="preserve"> ou de stockage de carbone</w:t>
      </w:r>
      <w:r w:rsidRPr="00B363AA">
        <w:t xml:space="preserve">, d’où l’intérêt d’appliquer les contraintes à l’échelle du </w:t>
      </w:r>
      <w:r w:rsidR="00613713" w:rsidRPr="00B363AA">
        <w:t>service écosystémique</w:t>
      </w:r>
      <w:r w:rsidRPr="00B363AA">
        <w:t xml:space="preserve">. </w:t>
      </w:r>
    </w:p>
    <w:p w14:paraId="38FE2EF8" w14:textId="088C97D2" w:rsidR="009D7E9E" w:rsidRPr="00B363AA" w:rsidRDefault="40FB9F44" w:rsidP="006F4355">
      <w:r w:rsidRPr="00B363AA">
        <w:t>Ces critères déclassants sont finalement le reflet d’une ou plusieurs dégradations du sol, qui peuvent affecter négativement</w:t>
      </w:r>
      <w:r w:rsidR="4208989B" w:rsidRPr="00B363AA">
        <w:t>,</w:t>
      </w:r>
      <w:r w:rsidRPr="00B363AA">
        <w:t xml:space="preserve"> voire empêcher</w:t>
      </w:r>
      <w:r w:rsidR="72F6B6C3" w:rsidRPr="00B363AA">
        <w:t>,</w:t>
      </w:r>
      <w:r w:rsidRPr="00B363AA">
        <w:t xml:space="preserve"> la réalisation d’un service écosystémique.</w:t>
      </w:r>
      <w:r w:rsidR="77C60C1A" w:rsidRPr="00B363AA">
        <w:t xml:space="preserve"> </w:t>
      </w:r>
      <w:r w:rsidR="05932605" w:rsidRPr="00B363AA">
        <w:t xml:space="preserve">Il s’agit alors d’attribuer un </w:t>
      </w:r>
      <w:r w:rsidR="21C143A0" w:rsidRPr="00B363AA">
        <w:t>coefficient</w:t>
      </w:r>
      <w:r w:rsidR="05932605" w:rsidRPr="00B363AA">
        <w:t xml:space="preserve"> [0 ;</w:t>
      </w:r>
      <w:r w:rsidR="3CE46FE5" w:rsidRPr="00B363AA">
        <w:t xml:space="preserve"> </w:t>
      </w:r>
      <w:r w:rsidR="05932605" w:rsidRPr="00B363AA">
        <w:t>1]</w:t>
      </w:r>
      <w:r w:rsidR="00A257EA" w:rsidRPr="00B363AA">
        <w:t xml:space="preserve">. Une contrainte </w:t>
      </w:r>
      <w:r w:rsidR="00386559" w:rsidRPr="00B363AA">
        <w:t>forte</w:t>
      </w:r>
      <w:r w:rsidR="00A257EA" w:rsidRPr="00B363AA">
        <w:t xml:space="preserve"> engendre un</w:t>
      </w:r>
      <w:r w:rsidR="00386559" w:rsidRPr="00B363AA">
        <w:t xml:space="preserve"> coefficient maximal, soit égal à 1.</w:t>
      </w:r>
      <w:r w:rsidR="00A257EA" w:rsidRPr="00B363AA">
        <w:t xml:space="preserve"> En l’absence de contrainte, le coefficient vaut 0.</w:t>
      </w:r>
      <w:r w:rsidR="05932605" w:rsidRPr="00B363AA">
        <w:t xml:space="preserve"> </w:t>
      </w:r>
    </w:p>
    <w:p w14:paraId="3EEA785C" w14:textId="7DE0A07D" w:rsidR="009D7E9E" w:rsidRPr="00B363AA" w:rsidRDefault="009D7E9E" w:rsidP="0065543A">
      <w:r w:rsidRPr="00B363AA">
        <w:t xml:space="preserve">Pour les </w:t>
      </w:r>
      <w:r w:rsidR="00613713" w:rsidRPr="00B363AA">
        <w:t>services écosystémiques</w:t>
      </w:r>
      <w:r w:rsidRPr="00B363AA">
        <w:t xml:space="preserve"> concernés, </w:t>
      </w:r>
      <w:r w:rsidR="005C05BF" w:rsidRPr="00B363AA">
        <w:t xml:space="preserve">le </w:t>
      </w:r>
      <w:r w:rsidRPr="00B363AA">
        <w:t xml:space="preserve">score de </w:t>
      </w:r>
      <w:r w:rsidR="00613713" w:rsidRPr="00B363AA">
        <w:t>service</w:t>
      </w:r>
      <w:r w:rsidR="005C05BF" w:rsidRPr="00B363AA">
        <w:t xml:space="preserve"> est multiplié par ce coefficient </w:t>
      </w:r>
      <w:r w:rsidR="0095566C" w:rsidRPr="00B363AA">
        <w:t>selon l’équation suivante</w:t>
      </w:r>
      <w:r w:rsidRPr="00B363AA">
        <w:t xml:space="preserve">. Ainsi, en cas de contrainte forte, le score du </w:t>
      </w:r>
      <w:r w:rsidR="00613713" w:rsidRPr="00B363AA">
        <w:t xml:space="preserve">service </w:t>
      </w:r>
      <w:r w:rsidRPr="00B363AA">
        <w:t>sera donc nul.</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325116" w:rsidRPr="00B363AA" w14:paraId="03AAAA41" w14:textId="77777777" w:rsidTr="00325116">
        <w:trPr>
          <w:trHeight w:val="647"/>
        </w:trPr>
        <w:tc>
          <w:tcPr>
            <w:tcW w:w="8609" w:type="dxa"/>
            <w:vAlign w:val="center"/>
          </w:tcPr>
          <w:p w14:paraId="12DA5D39" w14:textId="6F4D0847" w:rsidR="00325116" w:rsidRPr="00B363AA" w:rsidRDefault="00000000" w:rsidP="00F90FA1">
            <w:pPr>
              <w:jc w:val="center"/>
            </w:pPr>
            <m:oMathPara>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SE</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S</m:t>
                    </m:r>
                  </m:e>
                  <m:sub>
                    <m:r>
                      <m:rPr>
                        <m:sty m:val="p"/>
                      </m:rPr>
                      <w:rPr>
                        <w:rFonts w:ascii="Cambria Math" w:hAnsi="Cambria Math"/>
                      </w:rPr>
                      <m:t>SE</m:t>
                    </m:r>
                  </m:sub>
                </m:sSub>
                <m:r>
                  <m:rPr>
                    <m:sty m:val="p"/>
                  </m:rPr>
                  <w:rPr>
                    <w:rFonts w:ascii="Cambria Math" w:hAnsi="Cambria Math"/>
                  </w:rPr>
                  <m:t xml:space="preserve">⋅(1- </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contrainte</m:t>
                    </m:r>
                  </m:sub>
                </m:sSub>
                <m:r>
                  <m:rPr>
                    <m:sty m:val="p"/>
                  </m:rPr>
                  <w:rPr>
                    <w:rFonts w:ascii="Cambria Math" w:hAnsi="Cambria Math"/>
                  </w:rPr>
                  <m:t>)</m:t>
                </m:r>
              </m:oMath>
            </m:oMathPara>
          </w:p>
        </w:tc>
        <w:tc>
          <w:tcPr>
            <w:tcW w:w="461" w:type="dxa"/>
            <w:vAlign w:val="center"/>
          </w:tcPr>
          <w:p w14:paraId="5E371EEF" w14:textId="77777777" w:rsidR="00325116" w:rsidRPr="00B363AA" w:rsidRDefault="00325116" w:rsidP="00F90FA1">
            <w:pPr>
              <w:jc w:val="center"/>
            </w:pPr>
            <w:r w:rsidRPr="00B363AA">
              <w:t>(1)</w:t>
            </w:r>
          </w:p>
        </w:tc>
      </w:tr>
    </w:tbl>
    <w:p w14:paraId="57CE736C" w14:textId="77777777" w:rsidR="0095566C" w:rsidRPr="00B363AA" w:rsidRDefault="0095566C" w:rsidP="0095566C">
      <w:pPr>
        <w:rPr>
          <w:rFonts w:cs="Calibri"/>
          <w:sz w:val="20"/>
          <w:szCs w:val="20"/>
        </w:rPr>
      </w:pPr>
      <w:r w:rsidRPr="00B363A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1156"/>
        <w:gridCol w:w="7914"/>
      </w:tblGrid>
      <w:tr w:rsidR="0095566C" w:rsidRPr="00B363AA" w14:paraId="618956D4" w14:textId="77777777" w:rsidTr="1C83774F">
        <w:trPr>
          <w:trHeight w:val="227"/>
        </w:trPr>
        <w:tc>
          <w:tcPr>
            <w:tcW w:w="1156" w:type="dxa"/>
            <w:vAlign w:val="center"/>
          </w:tcPr>
          <w:p w14:paraId="262EDB04" w14:textId="0941FE77" w:rsidR="0095566C" w:rsidRPr="00B363AA" w:rsidRDefault="00000000" w:rsidP="004306AE">
            <w:pPr>
              <w:jc w:val="left"/>
              <w:rPr>
                <w:rFonts w:cs="Calibri"/>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S</m:t>
                    </m:r>
                  </m:e>
                  <m:sub>
                    <m:r>
                      <m:rPr>
                        <m:sty m:val="p"/>
                      </m:rPr>
                      <w:rPr>
                        <w:rFonts w:ascii="Cambria Math" w:hAnsi="Cambria Math" w:cs="Calibri"/>
                        <w:sz w:val="20"/>
                        <w:szCs w:val="20"/>
                      </w:rPr>
                      <m:t>SE</m:t>
                    </m:r>
                  </m:sub>
                </m:sSub>
              </m:oMath>
            </m:oMathPara>
          </w:p>
        </w:tc>
        <w:tc>
          <w:tcPr>
            <w:tcW w:w="7914" w:type="dxa"/>
            <w:vAlign w:val="center"/>
          </w:tcPr>
          <w:p w14:paraId="6E94E7B1" w14:textId="09DC04FB" w:rsidR="0095566C" w:rsidRPr="00B363AA" w:rsidRDefault="62EBA868" w:rsidP="004306AE">
            <w:pPr>
              <w:jc w:val="left"/>
              <w:rPr>
                <w:rFonts w:cs="Calibri"/>
                <w:sz w:val="20"/>
                <w:szCs w:val="20"/>
              </w:rPr>
            </w:pPr>
            <w:r w:rsidRPr="00B363AA">
              <w:rPr>
                <w:rFonts w:eastAsiaTheme="minorEastAsia" w:cs="Calibri"/>
                <w:sz w:val="20"/>
                <w:szCs w:val="20"/>
              </w:rPr>
              <w:t xml:space="preserve">Score de </w:t>
            </w:r>
            <w:r w:rsidR="1A8347BA" w:rsidRPr="00B363AA">
              <w:rPr>
                <w:rFonts w:eastAsiaTheme="minorEastAsia" w:cs="Calibri"/>
                <w:sz w:val="20"/>
                <w:szCs w:val="20"/>
              </w:rPr>
              <w:t>service écosystémique</w:t>
            </w:r>
            <w:r w:rsidR="5F1B95D9" w:rsidRPr="00B363AA">
              <w:rPr>
                <w:rFonts w:eastAsiaTheme="minorEastAsia" w:cs="Calibri"/>
                <w:sz w:val="20"/>
                <w:szCs w:val="20"/>
              </w:rPr>
              <w:t xml:space="preserve"> [0 ;</w:t>
            </w:r>
            <w:r w:rsidR="4AD0E62B" w:rsidRPr="00B363AA">
              <w:rPr>
                <w:rFonts w:eastAsiaTheme="minorEastAsia" w:cs="Calibri"/>
                <w:sz w:val="20"/>
                <w:szCs w:val="20"/>
              </w:rPr>
              <w:t xml:space="preserve"> </w:t>
            </w:r>
            <w:r w:rsidR="5F1B95D9" w:rsidRPr="00B363AA">
              <w:rPr>
                <w:rFonts w:eastAsiaTheme="minorEastAsia" w:cs="Calibri"/>
                <w:sz w:val="20"/>
                <w:szCs w:val="20"/>
              </w:rPr>
              <w:t>5]</w:t>
            </w:r>
            <w:r w:rsidRPr="00B363AA">
              <w:rPr>
                <w:rFonts w:eastAsiaTheme="minorEastAsia" w:cs="Calibri"/>
                <w:sz w:val="20"/>
                <w:szCs w:val="20"/>
              </w:rPr>
              <w:t> ;</w:t>
            </w:r>
          </w:p>
        </w:tc>
      </w:tr>
      <w:tr w:rsidR="0095566C" w:rsidRPr="00B363AA" w14:paraId="10031CFB" w14:textId="77777777" w:rsidTr="1C83774F">
        <w:trPr>
          <w:trHeight w:val="227"/>
        </w:trPr>
        <w:tc>
          <w:tcPr>
            <w:tcW w:w="1156" w:type="dxa"/>
            <w:vAlign w:val="center"/>
          </w:tcPr>
          <w:p w14:paraId="6CD4E1A6" w14:textId="3DA9748C" w:rsidR="0095566C" w:rsidRPr="00B363AA" w:rsidRDefault="00000000" w:rsidP="004306AE">
            <w:pPr>
              <w:jc w:val="left"/>
              <w:rPr>
                <w:rFonts w:eastAsiaTheme="minorEastAsia" w:cs="Calibri"/>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C</m:t>
                    </m:r>
                  </m:e>
                  <m:sub>
                    <m:r>
                      <m:rPr>
                        <m:sty m:val="p"/>
                      </m:rPr>
                      <w:rPr>
                        <w:rFonts w:ascii="Cambria Math" w:hAnsi="Cambria Math" w:cs="Calibri"/>
                        <w:sz w:val="20"/>
                        <w:szCs w:val="20"/>
                      </w:rPr>
                      <m:t>contrainte</m:t>
                    </m:r>
                  </m:sub>
                </m:sSub>
              </m:oMath>
            </m:oMathPara>
          </w:p>
        </w:tc>
        <w:tc>
          <w:tcPr>
            <w:tcW w:w="7914" w:type="dxa"/>
            <w:vAlign w:val="center"/>
          </w:tcPr>
          <w:p w14:paraId="3DE186F4" w14:textId="4617FBB5" w:rsidR="0095566C" w:rsidRPr="00B363AA" w:rsidRDefault="62EBA868" w:rsidP="1C83774F">
            <w:pPr>
              <w:jc w:val="left"/>
              <w:rPr>
                <w:rFonts w:eastAsiaTheme="minorEastAsia" w:cs="Calibri"/>
                <w:sz w:val="20"/>
                <w:szCs w:val="20"/>
              </w:rPr>
            </w:pPr>
            <w:r w:rsidRPr="00B363AA">
              <w:rPr>
                <w:rFonts w:eastAsiaTheme="minorEastAsia" w:cs="Calibri"/>
                <w:sz w:val="20"/>
                <w:szCs w:val="20"/>
              </w:rPr>
              <w:t>Coefficient de contrainte [0 ;</w:t>
            </w:r>
            <w:r w:rsidR="7E632617" w:rsidRPr="00B363AA">
              <w:rPr>
                <w:rFonts w:eastAsiaTheme="minorEastAsia" w:cs="Calibri"/>
                <w:sz w:val="20"/>
                <w:szCs w:val="20"/>
              </w:rPr>
              <w:t xml:space="preserve"> </w:t>
            </w:r>
            <w:r w:rsidRPr="00B363AA">
              <w:rPr>
                <w:rFonts w:eastAsiaTheme="minorEastAsia" w:cs="Calibri"/>
                <w:sz w:val="20"/>
                <w:szCs w:val="20"/>
              </w:rPr>
              <w:t>1].</w:t>
            </w:r>
          </w:p>
        </w:tc>
      </w:tr>
    </w:tbl>
    <w:p w14:paraId="02931D17" w14:textId="77777777" w:rsidR="0095566C" w:rsidRPr="00B363AA" w:rsidRDefault="0095566C" w:rsidP="0065543A"/>
    <w:p w14:paraId="664DD7FB" w14:textId="5F9DC2C4" w:rsidR="0065543A" w:rsidRPr="00B363AA" w:rsidRDefault="00CF3B99">
      <w:pPr>
        <w:pStyle w:val="Titre3"/>
        <w:numPr>
          <w:ilvl w:val="2"/>
          <w:numId w:val="12"/>
        </w:numPr>
      </w:pPr>
      <w:bookmarkStart w:id="77" w:name="_Toc241242959"/>
      <w:r w:rsidRPr="00B363AA">
        <w:t>C</w:t>
      </w:r>
      <w:r w:rsidR="005325CF" w:rsidRPr="00B363AA">
        <w:t xml:space="preserve">ompléments </w:t>
      </w:r>
      <w:r w:rsidRPr="00B363AA">
        <w:t>indicatifs</w:t>
      </w:r>
      <w:bookmarkEnd w:id="77"/>
    </w:p>
    <w:p w14:paraId="680C99EF" w14:textId="3505BBC3" w:rsidR="00861DAE" w:rsidRPr="00B363AA" w:rsidRDefault="005C0874" w:rsidP="00394C59">
      <w:r w:rsidRPr="00B363AA">
        <w:t xml:space="preserve">Les </w:t>
      </w:r>
      <w:r w:rsidR="089C5960" w:rsidRPr="00B363AA">
        <w:t>compléments indicatifs</w:t>
      </w:r>
      <w:r w:rsidRPr="00B363AA">
        <w:rPr>
          <w:b/>
          <w:bCs/>
        </w:rPr>
        <w:t xml:space="preserve"> </w:t>
      </w:r>
      <w:r w:rsidRPr="00B363AA">
        <w:t>désignent</w:t>
      </w:r>
      <w:r w:rsidR="00783372" w:rsidRPr="00B363AA">
        <w:t xml:space="preserve"> des </w:t>
      </w:r>
      <w:r w:rsidR="0085344D" w:rsidRPr="00B363AA">
        <w:t>éléments</w:t>
      </w:r>
      <w:r w:rsidR="00783372" w:rsidRPr="00B363AA">
        <w:t xml:space="preserve"> qui, bien </w:t>
      </w:r>
      <w:r w:rsidR="0085344D" w:rsidRPr="00B363AA">
        <w:t>qu’exerçant</w:t>
      </w:r>
      <w:r w:rsidR="00783372" w:rsidRPr="00B363AA">
        <w:t xml:space="preserve"> une influence sur </w:t>
      </w:r>
      <w:r w:rsidR="00C54F08" w:rsidRPr="00B363AA">
        <w:t xml:space="preserve">le </w:t>
      </w:r>
      <w:r w:rsidR="00613713" w:rsidRPr="00B363AA">
        <w:t>service écosystémique</w:t>
      </w:r>
      <w:r w:rsidR="00C54F08" w:rsidRPr="00B363AA">
        <w:t xml:space="preserve">, ne se voient pas attribuer un score. </w:t>
      </w:r>
      <w:r w:rsidR="0085344D" w:rsidRPr="00B363AA">
        <w:t>Il s’agi</w:t>
      </w:r>
      <w:r w:rsidR="00471009" w:rsidRPr="00B363AA">
        <w:t>t principalement d</w:t>
      </w:r>
      <w:r w:rsidR="0085344D" w:rsidRPr="00B363AA">
        <w:t>e paramètre</w:t>
      </w:r>
      <w:r w:rsidR="00086651" w:rsidRPr="00B363AA">
        <w:t xml:space="preserve">s supplémentaires qui peuvent </w:t>
      </w:r>
      <w:r w:rsidR="00C84AEB" w:rsidRPr="00B363AA">
        <w:t xml:space="preserve">indéniablement </w:t>
      </w:r>
      <w:r w:rsidR="00086651" w:rsidRPr="00B363AA">
        <w:t xml:space="preserve">impacter le </w:t>
      </w:r>
      <w:r w:rsidR="00613713" w:rsidRPr="00B363AA">
        <w:t>service</w:t>
      </w:r>
      <w:r w:rsidR="00086651" w:rsidRPr="00B363AA">
        <w:t xml:space="preserve">, mais dont l’effet </w:t>
      </w:r>
      <w:r w:rsidR="00861DAE" w:rsidRPr="00B363AA">
        <w:t xml:space="preserve">sur le </w:t>
      </w:r>
      <w:r w:rsidR="00613713" w:rsidRPr="00B363AA">
        <w:t xml:space="preserve">service </w:t>
      </w:r>
      <w:r w:rsidR="00086651" w:rsidRPr="00B363AA">
        <w:t>n’est pas précisément identifiable</w:t>
      </w:r>
      <w:r w:rsidR="00861DAE" w:rsidRPr="00B363AA">
        <w:t xml:space="preserve"> </w:t>
      </w:r>
      <w:r w:rsidR="009960D6" w:rsidRPr="00B363AA">
        <w:t>ou qua</w:t>
      </w:r>
      <w:r w:rsidR="00B6443E" w:rsidRPr="00B363AA">
        <w:t>n</w:t>
      </w:r>
      <w:r w:rsidR="009960D6" w:rsidRPr="00B363AA">
        <w:t>tifiable</w:t>
      </w:r>
      <w:r w:rsidR="00861DAE" w:rsidRPr="00B363AA">
        <w:t xml:space="preserve"> (par ex., la prise en compte des valeurs de risque VS</w:t>
      </w:r>
      <w:r w:rsidR="00861DAE" w:rsidRPr="00B363AA">
        <w:rPr>
          <w:vertAlign w:val="subscript"/>
        </w:rPr>
        <w:t>E</w:t>
      </w:r>
      <w:r w:rsidR="00861DAE" w:rsidRPr="00B363AA">
        <w:t xml:space="preserve"> dans le </w:t>
      </w:r>
      <w:r w:rsidR="00613713" w:rsidRPr="00B363AA">
        <w:t>service</w:t>
      </w:r>
      <w:r w:rsidR="00861DAE" w:rsidRPr="00B363AA">
        <w:t xml:space="preserve"> </w:t>
      </w:r>
      <w:r w:rsidR="00861DAE" w:rsidRPr="00B363AA">
        <w:rPr>
          <w:i/>
          <w:iCs/>
        </w:rPr>
        <w:t>Habitat pour la biodiversité du sol</w:t>
      </w:r>
      <w:r w:rsidR="00F60634" w:rsidRPr="00B363AA">
        <w:t xml:space="preserve">, voir partie </w:t>
      </w:r>
      <w:r w:rsidR="00F60634" w:rsidRPr="00B363AA">
        <w:fldChar w:fldCharType="begin"/>
      </w:r>
      <w:r w:rsidR="00F60634" w:rsidRPr="00B363AA">
        <w:instrText xml:space="preserve"> REF _Ref232253681 \r \h </w:instrText>
      </w:r>
      <w:r w:rsidR="005019E0" w:rsidRPr="00B363AA">
        <w:instrText xml:space="preserve"> \* MERGEFORMAT </w:instrText>
      </w:r>
      <w:r w:rsidR="00F60634" w:rsidRPr="00B363AA">
        <w:fldChar w:fldCharType="separate"/>
      </w:r>
      <w:r w:rsidR="00724784" w:rsidRPr="00B363AA">
        <w:t>4.8</w:t>
      </w:r>
      <w:r w:rsidR="00F60634" w:rsidRPr="00B363AA">
        <w:fldChar w:fldCharType="end"/>
      </w:r>
      <w:r w:rsidR="00471009" w:rsidRPr="00B363AA">
        <w:t xml:space="preserve">, ou </w:t>
      </w:r>
      <w:r w:rsidR="005779C8" w:rsidRPr="00B363AA">
        <w:t>une estimation de l’érodibilité du sol</w:t>
      </w:r>
      <w:r w:rsidR="00394C59" w:rsidRPr="00B363AA">
        <w:t xml:space="preserve">, </w:t>
      </w:r>
      <w:r w:rsidR="00904E09" w:rsidRPr="00B363AA">
        <w:t>voir partie</w:t>
      </w:r>
      <w:r w:rsidR="001B6CE3" w:rsidRPr="00B363AA">
        <w:t xml:space="preserve"> </w:t>
      </w:r>
      <w:r w:rsidR="001B6CE3" w:rsidRPr="00B363AA">
        <w:fldChar w:fldCharType="begin"/>
      </w:r>
      <w:r w:rsidR="001B6CE3" w:rsidRPr="00B363AA">
        <w:instrText xml:space="preserve"> REF _Ref233112327 \r \h </w:instrText>
      </w:r>
      <w:r w:rsidR="001B6CE3" w:rsidRPr="00B363AA">
        <w:fldChar w:fldCharType="separate"/>
      </w:r>
      <w:r w:rsidR="00724784" w:rsidRPr="00B363AA">
        <w:t>4.3</w:t>
      </w:r>
      <w:r w:rsidR="001B6CE3" w:rsidRPr="00B363AA">
        <w:fldChar w:fldCharType="end"/>
      </w:r>
      <w:r w:rsidR="00904E09" w:rsidRPr="00B363AA">
        <w:t>)</w:t>
      </w:r>
      <w:r w:rsidR="005232AF" w:rsidRPr="00B363AA">
        <w:t>.</w:t>
      </w:r>
    </w:p>
    <w:p w14:paraId="1BF1904D" w14:textId="4F0C11B0" w:rsidR="004E1DEF" w:rsidRPr="00B363AA" w:rsidRDefault="00C54F08" w:rsidP="004E1DEF">
      <w:r w:rsidRPr="00B363AA">
        <w:t xml:space="preserve">Ces </w:t>
      </w:r>
      <w:r w:rsidR="049F2B14" w:rsidRPr="00B363AA">
        <w:t xml:space="preserve">compléments d’information </w:t>
      </w:r>
      <w:r w:rsidRPr="00B363AA">
        <w:t>sont donc mentionnés dans le diagnostic à titre indicatif</w:t>
      </w:r>
      <w:r w:rsidR="00345C53" w:rsidRPr="00B363AA">
        <w:t>, en parallèle du score de SE</w:t>
      </w:r>
      <w:r w:rsidRPr="00B363AA">
        <w:t>.</w:t>
      </w:r>
      <w:r w:rsidR="00CB3A9A" w:rsidRPr="00B363AA">
        <w:t xml:space="preserve"> </w:t>
      </w:r>
      <w:r w:rsidR="72ADFEB9" w:rsidRPr="00B363AA">
        <w:t>C</w:t>
      </w:r>
      <w:r w:rsidR="46B3D22C" w:rsidRPr="00B363AA">
        <w:t>es</w:t>
      </w:r>
      <w:r w:rsidR="00CB3A9A" w:rsidRPr="00B363AA">
        <w:t xml:space="preserve"> </w:t>
      </w:r>
      <w:r w:rsidR="53683CF7" w:rsidRPr="00B363AA">
        <w:t xml:space="preserve">indications </w:t>
      </w:r>
      <w:r w:rsidR="00693E9D" w:rsidRPr="00B363AA">
        <w:t xml:space="preserve">sont </w:t>
      </w:r>
      <w:r w:rsidR="4C3A03F2" w:rsidRPr="00B363AA">
        <w:t>déduit</w:t>
      </w:r>
      <w:r w:rsidR="416E431E" w:rsidRPr="00B363AA">
        <w:t>e</w:t>
      </w:r>
      <w:r w:rsidR="4C3A03F2" w:rsidRPr="00B363AA">
        <w:t>s de</w:t>
      </w:r>
      <w:r w:rsidR="72ADFEB9" w:rsidRPr="00B363AA">
        <w:t>s</w:t>
      </w:r>
      <w:r w:rsidR="00693E9D" w:rsidRPr="00B363AA">
        <w:t xml:space="preserve"> paramètres mesurés par défaut (package IQSW-pro).</w:t>
      </w:r>
    </w:p>
    <w:p w14:paraId="02140F71" w14:textId="540364FA" w:rsidR="00E13163" w:rsidRPr="00B363AA" w:rsidRDefault="0026760A">
      <w:pPr>
        <w:pStyle w:val="Titre2"/>
        <w:numPr>
          <w:ilvl w:val="1"/>
          <w:numId w:val="12"/>
        </w:numPr>
      </w:pPr>
      <w:bookmarkStart w:id="78" w:name="_Ref241229554"/>
      <w:bookmarkStart w:id="79" w:name="_Toc241242960"/>
      <w:r w:rsidRPr="00B363AA">
        <w:t>Liste</w:t>
      </w:r>
      <w:r w:rsidR="00147AC4" w:rsidRPr="00B363AA">
        <w:t xml:space="preserve"> des s</w:t>
      </w:r>
      <w:r w:rsidR="00E13163" w:rsidRPr="00B363AA">
        <w:t>ervices écosystémiques évalués</w:t>
      </w:r>
      <w:bookmarkEnd w:id="78"/>
      <w:bookmarkEnd w:id="79"/>
    </w:p>
    <w:p w14:paraId="3423DF4C" w14:textId="71AFEF52" w:rsidR="005232AF" w:rsidRPr="00B363AA" w:rsidRDefault="000159A6" w:rsidP="00E4673F">
      <w:r w:rsidRPr="00B363AA">
        <w:t xml:space="preserve">Le </w:t>
      </w:r>
      <w:r w:rsidRPr="00B363AA">
        <w:fldChar w:fldCharType="begin"/>
      </w:r>
      <w:r w:rsidRPr="00B363AA">
        <w:instrText xml:space="preserve"> REF _Ref233122827 \h </w:instrText>
      </w:r>
      <w:r w:rsidRPr="00B363AA">
        <w:fldChar w:fldCharType="separate"/>
      </w:r>
      <w:r w:rsidR="009A6CD4" w:rsidRPr="00B363AA">
        <w:t>Tableau 2</w:t>
      </w:r>
      <w:r w:rsidRPr="00B363AA">
        <w:fldChar w:fldCharType="end"/>
      </w:r>
      <w:r w:rsidR="00E4673F" w:rsidRPr="00B363AA">
        <w:t xml:space="preserve"> </w:t>
      </w:r>
      <w:r w:rsidR="00602ECE" w:rsidRPr="00B363AA">
        <w:t>détaille les divers services écosystémiques évalués par l’IQSW-pro</w:t>
      </w:r>
      <w:r w:rsidR="00160505" w:rsidRPr="00B363AA">
        <w:t>. Cette liste reprend les services développés dans la</w:t>
      </w:r>
      <w:r w:rsidR="009D5C22" w:rsidRPr="00B363AA">
        <w:t xml:space="preserve"> stratégie européenne pour la </w:t>
      </w:r>
      <w:r w:rsidR="00BC2902" w:rsidRPr="00B363AA">
        <w:t>protection</w:t>
      </w:r>
      <w:r w:rsidR="009D5C22" w:rsidRPr="00B363AA">
        <w:t xml:space="preserve"> des sols</w:t>
      </w:r>
      <w:r w:rsidR="00160505" w:rsidRPr="00B363AA">
        <w:t xml:space="preserve"> </w:t>
      </w:r>
      <w:r w:rsidR="00251821" w:rsidRPr="00B363AA">
        <w:fldChar w:fldCharType="begin"/>
      </w:r>
      <w:r w:rsidR="007F616D" w:rsidRPr="00B363AA">
        <w:instrText xml:space="preserve"> ADDIN ZOTERO_ITEM CSL_CITATION {"citationID":"QUi8BHsZ","properties":{"formattedCitation":"(UE COM/2021/699, 2021)","plainCitation":"(UE COM/2021/699, 2021)","noteIndex":0},"citationItems":[{"id":548,"uris":["http://zotero.org/groups/5684833/items/TYNIXDBV"],"itemData":{"id":548,"type":"document","citation-key":"COMMUNICATION DE LA COMMISSION AU PARLEMENT EUROPÉEN, AU CONSEIL, AU COMITÉ ÉCONOMIQUE ET SOCIAL EUROPÉEN ET AU COMITÉ DES RÉGIONS","language":"fr","note":"Récolter les fruits de sols en bonne santé pour les êtres humains, l’alimentation, la nature et le climat","title":"Stratégie de l’UE pour la protection des sols à l’horizon 2030","URL":"https://eur-lex.europa.eu/legal-content/FR/TXT/?uri=CELEX%3A52021DC0699&amp;lang1=FR&amp;from=EN&amp;lang3=choose&amp;lang2=choose&amp;_csrf=a78b6a5f-f9e9-44c3-85cc-836ba47b3c12","author":[{"family":"UE COM/2021/699","given":""}],"accessed":{"date-parts":[["2026",5,21]]},"issued":{"date-parts":[["2021"]]}}}],"schema":"https://github.com/citation-style-language/schema/raw/master/csl-citation.json"} </w:instrText>
      </w:r>
      <w:r w:rsidR="00251821" w:rsidRPr="00B363AA">
        <w:fldChar w:fldCharType="separate"/>
      </w:r>
      <w:r w:rsidR="007F616D" w:rsidRPr="00B363AA">
        <w:rPr>
          <w:rFonts w:cs="Calibri"/>
        </w:rPr>
        <w:t>(UE COM/2021/699, 2021)</w:t>
      </w:r>
      <w:r w:rsidR="00251821" w:rsidRPr="00B363AA">
        <w:fldChar w:fldCharType="end"/>
      </w:r>
      <w:r w:rsidR="00BE76DA" w:rsidRPr="00B363AA">
        <w:t xml:space="preserve"> et repris dans la</w:t>
      </w:r>
      <w:r w:rsidR="00647087" w:rsidRPr="00B363AA">
        <w:t xml:space="preserve"> directive sur la surveillance des sols</w:t>
      </w:r>
      <w:r w:rsidR="00BE76DA" w:rsidRPr="00B363AA">
        <w:t xml:space="preserve"> </w:t>
      </w:r>
      <w:r w:rsidR="00BE76DA" w:rsidRPr="00B363AA">
        <w:fldChar w:fldCharType="begin"/>
      </w:r>
      <w:r w:rsidR="00377A1A" w:rsidRPr="00B363AA">
        <w:instrText xml:space="preserve"> ADDIN ZOTERO_ITEM CSL_CITATION {"citationID":"jgUg7eDA","properties":{"formattedCitation":"(UE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00BE76DA" w:rsidRPr="00B363AA">
        <w:fldChar w:fldCharType="separate"/>
      </w:r>
      <w:r w:rsidR="00377A1A" w:rsidRPr="00B363AA">
        <w:rPr>
          <w:rFonts w:cs="Calibri"/>
        </w:rPr>
        <w:t>(UE 2025/2360, 2025)</w:t>
      </w:r>
      <w:r w:rsidR="00BE76DA" w:rsidRPr="00B363AA">
        <w:fldChar w:fldCharType="end"/>
      </w:r>
      <w:r w:rsidRPr="00B363AA">
        <w:t>.</w:t>
      </w:r>
    </w:p>
    <w:p w14:paraId="6136645B" w14:textId="77777777" w:rsidR="000159A6" w:rsidRPr="00B363AA" w:rsidRDefault="000159A6" w:rsidP="00E4673F"/>
    <w:p w14:paraId="03875313" w14:textId="77777777" w:rsidR="006E7167" w:rsidRPr="00B363AA" w:rsidRDefault="006E7167" w:rsidP="00E4673F"/>
    <w:p w14:paraId="4201D0D9" w14:textId="73D787FF" w:rsidR="00147E39" w:rsidRPr="00B363AA" w:rsidRDefault="00147E39" w:rsidP="00147E39">
      <w:pPr>
        <w:pStyle w:val="Lgende"/>
        <w:keepNext/>
        <w:jc w:val="center"/>
        <w:rPr>
          <w:i w:val="0"/>
          <w:iCs w:val="0"/>
        </w:rPr>
      </w:pPr>
      <w:bookmarkStart w:id="80" w:name="_Ref233122827"/>
      <w:bookmarkStart w:id="81" w:name="_Toc233122653"/>
      <w:r w:rsidRPr="00B363AA">
        <w:rPr>
          <w:i w:val="0"/>
          <w:iCs w:val="0"/>
        </w:rPr>
        <w:lastRenderedPageBreak/>
        <w:t xml:space="preserve">Tableau </w:t>
      </w:r>
      <w:r w:rsidRPr="00B363AA">
        <w:rPr>
          <w:i w:val="0"/>
          <w:iCs w:val="0"/>
        </w:rPr>
        <w:fldChar w:fldCharType="begin"/>
      </w:r>
      <w:r w:rsidRPr="00B363AA">
        <w:rPr>
          <w:i w:val="0"/>
          <w:iCs w:val="0"/>
        </w:rPr>
        <w:instrText xml:space="preserve"> SEQ Tableau \* ARABIC </w:instrText>
      </w:r>
      <w:r w:rsidRPr="00B363AA">
        <w:rPr>
          <w:i w:val="0"/>
          <w:iCs w:val="0"/>
        </w:rPr>
        <w:fldChar w:fldCharType="separate"/>
      </w:r>
      <w:r w:rsidR="00AB2F27" w:rsidRPr="00B363AA">
        <w:rPr>
          <w:i w:val="0"/>
          <w:iCs w:val="0"/>
        </w:rPr>
        <w:t>2</w:t>
      </w:r>
      <w:r w:rsidRPr="00B363AA">
        <w:rPr>
          <w:i w:val="0"/>
          <w:iCs w:val="0"/>
        </w:rPr>
        <w:fldChar w:fldCharType="end"/>
      </w:r>
      <w:bookmarkEnd w:id="80"/>
      <w:r w:rsidRPr="00B363AA">
        <w:rPr>
          <w:i w:val="0"/>
          <w:iCs w:val="0"/>
        </w:rPr>
        <w:t xml:space="preserve"> : Liste des services écosystémiques évalués dans l'IQSW-pro et correspondance avec les </w:t>
      </w:r>
      <w:r w:rsidR="00F02C7A" w:rsidRPr="00B363AA">
        <w:rPr>
          <w:i w:val="0"/>
          <w:iCs w:val="0"/>
        </w:rPr>
        <w:t>services écosystémiques</w:t>
      </w:r>
      <w:r w:rsidRPr="00B363AA">
        <w:rPr>
          <w:i w:val="0"/>
          <w:iCs w:val="0"/>
        </w:rPr>
        <w:t xml:space="preserve"> listés dans la directive UE </w:t>
      </w:r>
      <w:r w:rsidR="00A51885" w:rsidRPr="00B363AA">
        <w:rPr>
          <w:i w:val="0"/>
          <w:iCs w:val="0"/>
        </w:rPr>
        <w:fldChar w:fldCharType="begin"/>
      </w:r>
      <w:r w:rsidR="00377A1A" w:rsidRPr="00B363AA">
        <w:rPr>
          <w:i w:val="0"/>
          <w:iCs w:val="0"/>
        </w:rPr>
        <w:instrText xml:space="preserve"> ADDIN ZOTERO_ITEM CSL_CITATION {"citationID":"siUWrd6r","properties":{"unsorted":false,"formattedCitation":"(2025)","plainCitation":"(2025)","noteIndex":0},"citationItems":[{"id":540,"uris":["http://zotero.org/groups/5684833/items/YXXNAEQQ"],"itemData":{"id":540,"type":"document","note":"OJ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2025/2360","given":""}],"accessed":{"date-parts":[["2026",5,14]]},"issued":{"date-parts":[["2025"]]}},"suppress-author":true}],"schema":"https://github.com/citation-style-language/schema/raw/master/csl-citation.json"} </w:instrText>
      </w:r>
      <w:r w:rsidR="00A51885" w:rsidRPr="00B363AA">
        <w:rPr>
          <w:i w:val="0"/>
          <w:iCs w:val="0"/>
        </w:rPr>
        <w:fldChar w:fldCharType="separate"/>
      </w:r>
      <w:r w:rsidR="00A51885" w:rsidRPr="00B363AA">
        <w:rPr>
          <w:rFonts w:cs="Calibri"/>
          <w:i w:val="0"/>
          <w:iCs w:val="0"/>
        </w:rPr>
        <w:t>(2025)</w:t>
      </w:r>
      <w:bookmarkEnd w:id="81"/>
      <w:r w:rsidR="00A51885" w:rsidRPr="00B363AA">
        <w:rPr>
          <w:i w:val="0"/>
          <w:iCs w:val="0"/>
        </w:rPr>
        <w:fldChar w:fldCharType="end"/>
      </w:r>
    </w:p>
    <w:tbl>
      <w:tblPr>
        <w:tblStyle w:val="Grilledutableau"/>
        <w:tblW w:w="9493" w:type="dxa"/>
        <w:tblLook w:val="04A0" w:firstRow="1" w:lastRow="0" w:firstColumn="1" w:lastColumn="0" w:noHBand="0" w:noVBand="1"/>
      </w:tblPr>
      <w:tblGrid>
        <w:gridCol w:w="4248"/>
        <w:gridCol w:w="5245"/>
      </w:tblGrid>
      <w:tr w:rsidR="009227B9" w:rsidRPr="00B363AA" w14:paraId="5845B783" w14:textId="77777777" w:rsidTr="008770D5">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68EB9CAD" w14:textId="454E40AA" w:rsidR="009227B9" w:rsidRPr="00B363AA" w:rsidRDefault="00F02C7A" w:rsidP="009408E7">
            <w:pPr>
              <w:jc w:val="center"/>
              <w:rPr>
                <w:b/>
                <w:bCs/>
                <w:sz w:val="20"/>
                <w:szCs w:val="20"/>
              </w:rPr>
            </w:pPr>
            <w:r w:rsidRPr="00B363AA">
              <w:rPr>
                <w:b/>
                <w:bCs/>
                <w:sz w:val="20"/>
                <w:szCs w:val="20"/>
              </w:rPr>
              <w:t>Services écosystémiques</w:t>
            </w:r>
            <w:r w:rsidR="00586C10" w:rsidRPr="00B363AA">
              <w:rPr>
                <w:b/>
                <w:bCs/>
                <w:sz w:val="20"/>
                <w:szCs w:val="20"/>
              </w:rPr>
              <w:t xml:space="preserve"> listés dans la stratégie </w:t>
            </w:r>
            <w:r w:rsidR="009227B9" w:rsidRPr="00B363AA">
              <w:rPr>
                <w:b/>
                <w:bCs/>
                <w:sz w:val="20"/>
                <w:szCs w:val="20"/>
              </w:rPr>
              <w:t>UE</w:t>
            </w:r>
            <w:r w:rsidR="00586C10" w:rsidRPr="00B363AA">
              <w:rPr>
                <w:b/>
                <w:bCs/>
                <w:sz w:val="20"/>
                <w:szCs w:val="20"/>
              </w:rPr>
              <w:t xml:space="preserve"> (2021)</w:t>
            </w:r>
          </w:p>
        </w:tc>
        <w:tc>
          <w:tcPr>
            <w:tcW w:w="52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tcPr>
          <w:p w14:paraId="7CB9B6EA" w14:textId="2E2C1094" w:rsidR="009227B9" w:rsidRPr="00B363AA" w:rsidRDefault="00F02C7A" w:rsidP="009408E7">
            <w:pPr>
              <w:jc w:val="center"/>
              <w:rPr>
                <w:b/>
                <w:bCs/>
                <w:sz w:val="20"/>
                <w:szCs w:val="20"/>
              </w:rPr>
            </w:pPr>
            <w:r w:rsidRPr="00B363AA">
              <w:rPr>
                <w:b/>
                <w:bCs/>
                <w:sz w:val="20"/>
                <w:szCs w:val="20"/>
              </w:rPr>
              <w:t xml:space="preserve">Services écosystémiques </w:t>
            </w:r>
            <w:r w:rsidR="008770D5" w:rsidRPr="00B363AA">
              <w:rPr>
                <w:b/>
                <w:bCs/>
                <w:sz w:val="20"/>
                <w:szCs w:val="20"/>
              </w:rPr>
              <w:t xml:space="preserve">ou fonctions </w:t>
            </w:r>
            <w:r w:rsidR="00586C10" w:rsidRPr="00B363AA">
              <w:rPr>
                <w:b/>
                <w:bCs/>
                <w:sz w:val="20"/>
                <w:szCs w:val="20"/>
              </w:rPr>
              <w:t>correspondants évalués dans l’</w:t>
            </w:r>
            <w:r w:rsidR="009227B9" w:rsidRPr="00B363AA">
              <w:rPr>
                <w:b/>
                <w:bCs/>
                <w:sz w:val="20"/>
                <w:szCs w:val="20"/>
              </w:rPr>
              <w:t>IQSW-pro</w:t>
            </w:r>
          </w:p>
        </w:tc>
      </w:tr>
      <w:tr w:rsidR="009227B9" w:rsidRPr="00B363AA" w14:paraId="6E317CB0" w14:textId="77777777" w:rsidTr="008770D5">
        <w:tc>
          <w:tcPr>
            <w:tcW w:w="4248" w:type="dxa"/>
            <w:tcBorders>
              <w:top w:val="single" w:sz="4" w:space="0" w:color="FFFFFF" w:themeColor="background1"/>
            </w:tcBorders>
          </w:tcPr>
          <w:p w14:paraId="60431E77" w14:textId="7553456F" w:rsidR="009227B9" w:rsidRPr="00B363AA" w:rsidRDefault="009227B9" w:rsidP="00F60528">
            <w:pPr>
              <w:rPr>
                <w:sz w:val="20"/>
                <w:szCs w:val="20"/>
              </w:rPr>
            </w:pPr>
            <w:r w:rsidRPr="00B363AA">
              <w:rPr>
                <w:sz w:val="20"/>
                <w:szCs w:val="20"/>
              </w:rPr>
              <w:t>Assurer la production d’aliments et de biomasse, y compris dans les secteurs de l’agriculture et de la foresterie</w:t>
            </w:r>
          </w:p>
        </w:tc>
        <w:tc>
          <w:tcPr>
            <w:tcW w:w="5245" w:type="dxa"/>
            <w:tcBorders>
              <w:top w:val="single" w:sz="4" w:space="0" w:color="FFFFFF" w:themeColor="background1"/>
            </w:tcBorders>
          </w:tcPr>
          <w:p w14:paraId="50E73287" w14:textId="55ABB496" w:rsidR="009227B9" w:rsidRPr="00B363AA" w:rsidRDefault="00886F6E" w:rsidP="00E4673F">
            <w:pPr>
              <w:rPr>
                <w:sz w:val="20"/>
                <w:szCs w:val="20"/>
              </w:rPr>
            </w:pPr>
            <w:r w:rsidRPr="00B363AA">
              <w:rPr>
                <w:sz w:val="20"/>
                <w:szCs w:val="20"/>
              </w:rPr>
              <w:t xml:space="preserve">Production </w:t>
            </w:r>
            <w:r w:rsidR="00DF42B9" w:rsidRPr="00B363AA">
              <w:rPr>
                <w:sz w:val="20"/>
                <w:szCs w:val="20"/>
              </w:rPr>
              <w:t>de biomasse</w:t>
            </w:r>
            <w:r w:rsidR="00586C10" w:rsidRPr="00B363AA">
              <w:rPr>
                <w:sz w:val="20"/>
                <w:szCs w:val="20"/>
              </w:rPr>
              <w:t xml:space="preserve"> </w:t>
            </w:r>
            <w:r w:rsidR="1F74615F" w:rsidRPr="00B363AA">
              <w:rPr>
                <w:sz w:val="20"/>
                <w:szCs w:val="20"/>
              </w:rPr>
              <w:t>(alimentaire ou non)</w:t>
            </w:r>
            <w:r w:rsidR="2A6D7B07" w:rsidRPr="00B363AA">
              <w:rPr>
                <w:sz w:val="20"/>
                <w:szCs w:val="20"/>
              </w:rPr>
              <w:t xml:space="preserve"> </w:t>
            </w:r>
            <w:r w:rsidR="092936B7" w:rsidRPr="00B363AA">
              <w:rPr>
                <w:sz w:val="20"/>
                <w:szCs w:val="20"/>
              </w:rPr>
              <w:t>:</w:t>
            </w:r>
          </w:p>
          <w:p w14:paraId="4BAFF262" w14:textId="57BE2BB7" w:rsidR="00886F6E" w:rsidRPr="00B363AA" w:rsidRDefault="00886F6E">
            <w:pPr>
              <w:pStyle w:val="Paragraphedeliste"/>
              <w:numPr>
                <w:ilvl w:val="0"/>
                <w:numId w:val="14"/>
              </w:numPr>
              <w:rPr>
                <w:sz w:val="20"/>
                <w:szCs w:val="20"/>
              </w:rPr>
            </w:pPr>
            <w:r w:rsidRPr="00B363AA">
              <w:rPr>
                <w:sz w:val="20"/>
                <w:szCs w:val="20"/>
              </w:rPr>
              <w:t>Culture</w:t>
            </w:r>
            <w:r w:rsidR="004F2815" w:rsidRPr="00B363AA">
              <w:rPr>
                <w:sz w:val="20"/>
                <w:szCs w:val="20"/>
              </w:rPr>
              <w:t>s</w:t>
            </w:r>
            <w:r w:rsidR="00671608" w:rsidRPr="00B363AA">
              <w:rPr>
                <w:rStyle w:val="Appelnotedebasdep"/>
                <w:sz w:val="20"/>
                <w:szCs w:val="20"/>
              </w:rPr>
              <w:footnoteReference w:id="7"/>
            </w:r>
          </w:p>
          <w:p w14:paraId="02FC4CAD" w14:textId="4BE27D42" w:rsidR="00886F6E" w:rsidRPr="00B363AA" w:rsidRDefault="00886F6E">
            <w:pPr>
              <w:pStyle w:val="Paragraphedeliste"/>
              <w:numPr>
                <w:ilvl w:val="0"/>
                <w:numId w:val="14"/>
              </w:numPr>
              <w:rPr>
                <w:sz w:val="20"/>
                <w:szCs w:val="20"/>
              </w:rPr>
            </w:pPr>
            <w:r w:rsidRPr="00B363AA">
              <w:rPr>
                <w:sz w:val="20"/>
                <w:szCs w:val="20"/>
              </w:rPr>
              <w:t>Prairie</w:t>
            </w:r>
            <w:r w:rsidR="004F2815" w:rsidRPr="00B363AA">
              <w:rPr>
                <w:sz w:val="20"/>
                <w:szCs w:val="20"/>
              </w:rPr>
              <w:t>s</w:t>
            </w:r>
          </w:p>
          <w:p w14:paraId="09F4AD46" w14:textId="4AEC3128" w:rsidR="00886F6E" w:rsidRPr="00B363AA" w:rsidRDefault="00B25943">
            <w:pPr>
              <w:pStyle w:val="Paragraphedeliste"/>
              <w:numPr>
                <w:ilvl w:val="0"/>
                <w:numId w:val="14"/>
              </w:numPr>
              <w:rPr>
                <w:sz w:val="20"/>
                <w:szCs w:val="20"/>
              </w:rPr>
            </w:pPr>
            <w:r w:rsidRPr="00B363AA">
              <w:rPr>
                <w:sz w:val="20"/>
                <w:szCs w:val="20"/>
              </w:rPr>
              <w:t>Forêt</w:t>
            </w:r>
            <w:r w:rsidR="004F2815" w:rsidRPr="00B363AA">
              <w:rPr>
                <w:sz w:val="20"/>
                <w:szCs w:val="20"/>
              </w:rPr>
              <w:t>s</w:t>
            </w:r>
          </w:p>
        </w:tc>
      </w:tr>
      <w:tr w:rsidR="009227B9" w:rsidRPr="00B363AA" w14:paraId="61A5F2A7" w14:textId="77777777" w:rsidTr="008770D5">
        <w:tc>
          <w:tcPr>
            <w:tcW w:w="4248" w:type="dxa"/>
          </w:tcPr>
          <w:p w14:paraId="7B896671" w14:textId="1C6239C5" w:rsidR="009227B9" w:rsidRPr="00B363AA" w:rsidRDefault="009227B9" w:rsidP="00E4673F">
            <w:pPr>
              <w:rPr>
                <w:sz w:val="20"/>
                <w:szCs w:val="20"/>
              </w:rPr>
            </w:pPr>
            <w:r w:rsidRPr="00B363AA">
              <w:rPr>
                <w:sz w:val="20"/>
                <w:szCs w:val="20"/>
              </w:rPr>
              <w:t>Protéger les nappes aquifères en absorbant, en stockant et en filtrant l’eau, et en transformant les éléments nutritifs et autres substances</w:t>
            </w:r>
          </w:p>
        </w:tc>
        <w:tc>
          <w:tcPr>
            <w:tcW w:w="5245" w:type="dxa"/>
          </w:tcPr>
          <w:p w14:paraId="0B857B68" w14:textId="77777777" w:rsidR="009227B9" w:rsidRPr="00B363AA" w:rsidRDefault="00634261">
            <w:pPr>
              <w:pStyle w:val="Paragraphedeliste"/>
              <w:numPr>
                <w:ilvl w:val="0"/>
                <w:numId w:val="10"/>
              </w:numPr>
              <w:rPr>
                <w:sz w:val="20"/>
                <w:szCs w:val="20"/>
              </w:rPr>
            </w:pPr>
            <w:r w:rsidRPr="00B363AA">
              <w:rPr>
                <w:sz w:val="20"/>
                <w:szCs w:val="20"/>
              </w:rPr>
              <w:t>Infiltration</w:t>
            </w:r>
          </w:p>
          <w:p w14:paraId="61D491F7" w14:textId="2BB6CDFE" w:rsidR="00634261" w:rsidRPr="00B363AA" w:rsidRDefault="7CABB625">
            <w:pPr>
              <w:pStyle w:val="Paragraphedeliste"/>
              <w:numPr>
                <w:ilvl w:val="0"/>
                <w:numId w:val="10"/>
              </w:numPr>
              <w:rPr>
                <w:sz w:val="20"/>
                <w:szCs w:val="20"/>
              </w:rPr>
            </w:pPr>
            <w:r w:rsidRPr="00B363AA">
              <w:rPr>
                <w:sz w:val="20"/>
                <w:szCs w:val="20"/>
              </w:rPr>
              <w:t>F</w:t>
            </w:r>
            <w:r w:rsidR="0F8495DB" w:rsidRPr="00B363AA">
              <w:rPr>
                <w:sz w:val="20"/>
                <w:szCs w:val="20"/>
              </w:rPr>
              <w:t>ourniture</w:t>
            </w:r>
            <w:r w:rsidR="00634261" w:rsidRPr="00B363AA">
              <w:rPr>
                <w:sz w:val="20"/>
                <w:szCs w:val="20"/>
              </w:rPr>
              <w:t xml:space="preserve"> d’eau</w:t>
            </w:r>
            <w:r w:rsidRPr="00B363AA">
              <w:rPr>
                <w:sz w:val="20"/>
                <w:szCs w:val="20"/>
              </w:rPr>
              <w:t xml:space="preserve"> (fonction</w:t>
            </w:r>
            <w:r w:rsidR="00634261" w:rsidRPr="00B363AA">
              <w:rPr>
                <w:sz w:val="20"/>
                <w:szCs w:val="20"/>
              </w:rPr>
              <w:t>)</w:t>
            </w:r>
          </w:p>
          <w:p w14:paraId="612BFCA7" w14:textId="00664306" w:rsidR="00634261" w:rsidRPr="00B363AA" w:rsidRDefault="00886F6E">
            <w:pPr>
              <w:pStyle w:val="Paragraphedeliste"/>
              <w:numPr>
                <w:ilvl w:val="0"/>
                <w:numId w:val="10"/>
              </w:numPr>
              <w:rPr>
                <w:sz w:val="20"/>
                <w:szCs w:val="20"/>
              </w:rPr>
            </w:pPr>
            <w:r w:rsidRPr="00B363AA">
              <w:rPr>
                <w:sz w:val="20"/>
                <w:szCs w:val="20"/>
              </w:rPr>
              <w:t>Protection des nappes</w:t>
            </w:r>
          </w:p>
        </w:tc>
      </w:tr>
      <w:tr w:rsidR="009227B9" w:rsidRPr="00B363AA" w14:paraId="3C0175AC" w14:textId="77777777" w:rsidTr="008770D5">
        <w:tc>
          <w:tcPr>
            <w:tcW w:w="4248" w:type="dxa"/>
          </w:tcPr>
          <w:p w14:paraId="365ADE4A" w14:textId="01E19660" w:rsidR="009227B9" w:rsidRPr="00B363AA" w:rsidRDefault="009227B9" w:rsidP="00E4673F">
            <w:pPr>
              <w:rPr>
                <w:sz w:val="20"/>
                <w:szCs w:val="20"/>
              </w:rPr>
            </w:pPr>
            <w:r w:rsidRPr="00B363AA">
              <w:rPr>
                <w:sz w:val="20"/>
                <w:szCs w:val="20"/>
              </w:rPr>
              <w:t>Fournir les éléments essentiels à la vie et à la biodiversité, y compris les habitats, les espèces et les gènes</w:t>
            </w:r>
          </w:p>
        </w:tc>
        <w:tc>
          <w:tcPr>
            <w:tcW w:w="5245" w:type="dxa"/>
          </w:tcPr>
          <w:p w14:paraId="333C9210" w14:textId="1F09564D" w:rsidR="008F3B86" w:rsidRPr="00B363AA" w:rsidRDefault="008F3B86">
            <w:pPr>
              <w:pStyle w:val="Paragraphedeliste"/>
              <w:numPr>
                <w:ilvl w:val="0"/>
                <w:numId w:val="9"/>
              </w:numPr>
              <w:rPr>
                <w:sz w:val="20"/>
                <w:szCs w:val="20"/>
              </w:rPr>
            </w:pPr>
            <w:r w:rsidRPr="00B363AA">
              <w:rPr>
                <w:sz w:val="20"/>
                <w:szCs w:val="20"/>
              </w:rPr>
              <w:t xml:space="preserve">Potentiel d'accueil </w:t>
            </w:r>
            <w:r w:rsidR="00B101F2" w:rsidRPr="00B363AA">
              <w:rPr>
                <w:sz w:val="20"/>
                <w:szCs w:val="20"/>
              </w:rPr>
              <w:t xml:space="preserve">d’une </w:t>
            </w:r>
            <w:r w:rsidRPr="00B363AA">
              <w:rPr>
                <w:sz w:val="20"/>
                <w:szCs w:val="20"/>
              </w:rPr>
              <w:t>végétation diversifiée</w:t>
            </w:r>
          </w:p>
          <w:p w14:paraId="673C9DF1" w14:textId="1FDCCC0E" w:rsidR="00606579" w:rsidRPr="00B363AA" w:rsidRDefault="00606579">
            <w:pPr>
              <w:pStyle w:val="Paragraphedeliste"/>
              <w:numPr>
                <w:ilvl w:val="0"/>
                <w:numId w:val="9"/>
              </w:numPr>
              <w:rPr>
                <w:sz w:val="20"/>
                <w:szCs w:val="20"/>
              </w:rPr>
            </w:pPr>
            <w:r w:rsidRPr="00B363AA">
              <w:rPr>
                <w:sz w:val="20"/>
                <w:szCs w:val="20"/>
              </w:rPr>
              <w:t xml:space="preserve">Potentiel d'accueil </w:t>
            </w:r>
            <w:r w:rsidR="34FF10BE" w:rsidRPr="00B363AA">
              <w:rPr>
                <w:sz w:val="20"/>
                <w:szCs w:val="20"/>
              </w:rPr>
              <w:t>d’</w:t>
            </w:r>
            <w:r w:rsidR="0A598131" w:rsidRPr="00B363AA">
              <w:rPr>
                <w:sz w:val="20"/>
                <w:szCs w:val="20"/>
              </w:rPr>
              <w:t>écosystème</w:t>
            </w:r>
            <w:r w:rsidR="34FF10BE" w:rsidRPr="00B363AA">
              <w:rPr>
                <w:sz w:val="20"/>
                <w:szCs w:val="20"/>
              </w:rPr>
              <w:t>s</w:t>
            </w:r>
            <w:r w:rsidR="0A598131" w:rsidRPr="00B363AA">
              <w:rPr>
                <w:sz w:val="20"/>
                <w:szCs w:val="20"/>
              </w:rPr>
              <w:t xml:space="preserve"> rare</w:t>
            </w:r>
            <w:r w:rsidR="34FF10BE" w:rsidRPr="00B363AA">
              <w:rPr>
                <w:sz w:val="20"/>
                <w:szCs w:val="20"/>
              </w:rPr>
              <w:t>s</w:t>
            </w:r>
            <w:r w:rsidR="00083D93" w:rsidRPr="00B363AA">
              <w:rPr>
                <w:rStyle w:val="Appelnotedebasdep"/>
                <w:sz w:val="20"/>
                <w:szCs w:val="20"/>
              </w:rPr>
              <w:footnoteReference w:id="8"/>
            </w:r>
          </w:p>
          <w:p w14:paraId="570E8CC1" w14:textId="10F30098" w:rsidR="009227B9" w:rsidRPr="00B363AA" w:rsidRDefault="00E6232A">
            <w:pPr>
              <w:pStyle w:val="Paragraphedeliste"/>
              <w:numPr>
                <w:ilvl w:val="0"/>
                <w:numId w:val="9"/>
              </w:numPr>
              <w:rPr>
                <w:sz w:val="20"/>
                <w:szCs w:val="20"/>
              </w:rPr>
            </w:pPr>
            <w:r w:rsidRPr="00B363AA">
              <w:rPr>
                <w:sz w:val="20"/>
                <w:szCs w:val="20"/>
              </w:rPr>
              <w:t>Habitat pour la b</w:t>
            </w:r>
            <w:r w:rsidR="00606579" w:rsidRPr="00B363AA">
              <w:rPr>
                <w:sz w:val="20"/>
                <w:szCs w:val="20"/>
              </w:rPr>
              <w:t>iodiversité du sol</w:t>
            </w:r>
          </w:p>
        </w:tc>
      </w:tr>
      <w:tr w:rsidR="009227B9" w:rsidRPr="00B363AA" w14:paraId="4F0B3BC5" w14:textId="77777777" w:rsidTr="008770D5">
        <w:tc>
          <w:tcPr>
            <w:tcW w:w="4248" w:type="dxa"/>
          </w:tcPr>
          <w:p w14:paraId="1F0C0A3F" w14:textId="5F37B77C" w:rsidR="009227B9" w:rsidRPr="00B363AA" w:rsidRDefault="009227B9" w:rsidP="00E4673F">
            <w:pPr>
              <w:rPr>
                <w:sz w:val="20"/>
                <w:szCs w:val="20"/>
              </w:rPr>
            </w:pPr>
            <w:r w:rsidRPr="00B363AA">
              <w:rPr>
                <w:sz w:val="20"/>
                <w:szCs w:val="20"/>
              </w:rPr>
              <w:t>Jouer le rôle de réservoir de carbone</w:t>
            </w:r>
          </w:p>
        </w:tc>
        <w:tc>
          <w:tcPr>
            <w:tcW w:w="5245" w:type="dxa"/>
          </w:tcPr>
          <w:p w14:paraId="2BF1E6A8" w14:textId="0E6F2DDE" w:rsidR="009227B9" w:rsidRPr="00B363AA" w:rsidRDefault="00E44B96" w:rsidP="00E4673F">
            <w:pPr>
              <w:rPr>
                <w:sz w:val="20"/>
                <w:szCs w:val="20"/>
              </w:rPr>
            </w:pPr>
            <w:r w:rsidRPr="00B363AA">
              <w:rPr>
                <w:sz w:val="20"/>
                <w:szCs w:val="20"/>
              </w:rPr>
              <w:t>Stockage de carbone</w:t>
            </w:r>
          </w:p>
        </w:tc>
      </w:tr>
      <w:tr w:rsidR="009227B9" w:rsidRPr="00B363AA" w14:paraId="49E139A4" w14:textId="77777777" w:rsidTr="008770D5">
        <w:tc>
          <w:tcPr>
            <w:tcW w:w="4248" w:type="dxa"/>
          </w:tcPr>
          <w:p w14:paraId="7D00CACE" w14:textId="13AA4EF7" w:rsidR="009227B9" w:rsidRPr="00B363AA" w:rsidRDefault="009227B9" w:rsidP="00455702">
            <w:pPr>
              <w:rPr>
                <w:sz w:val="20"/>
                <w:szCs w:val="20"/>
              </w:rPr>
            </w:pPr>
            <w:r w:rsidRPr="00B363AA">
              <w:rPr>
                <w:sz w:val="20"/>
                <w:szCs w:val="20"/>
              </w:rPr>
              <w:t>Servir de plateforme pour les activités humaines et constituer un élément du patrimoine culturel</w:t>
            </w:r>
          </w:p>
        </w:tc>
        <w:tc>
          <w:tcPr>
            <w:tcW w:w="5245" w:type="dxa"/>
          </w:tcPr>
          <w:p w14:paraId="1ABC9D4A" w14:textId="44409752" w:rsidR="00B25943" w:rsidRPr="00B363AA" w:rsidRDefault="00E44B96" w:rsidP="00E4673F">
            <w:pPr>
              <w:rPr>
                <w:sz w:val="20"/>
                <w:szCs w:val="20"/>
              </w:rPr>
            </w:pPr>
            <w:r w:rsidRPr="00B363AA">
              <w:rPr>
                <w:sz w:val="20"/>
                <w:szCs w:val="20"/>
              </w:rPr>
              <w:t xml:space="preserve">Production </w:t>
            </w:r>
            <w:r w:rsidR="005111E0" w:rsidRPr="00B363AA">
              <w:rPr>
                <w:sz w:val="20"/>
                <w:szCs w:val="20"/>
              </w:rPr>
              <w:t>de biomasse</w:t>
            </w:r>
            <w:r w:rsidR="00B25943" w:rsidRPr="00B363AA">
              <w:rPr>
                <w:sz w:val="20"/>
                <w:szCs w:val="20"/>
              </w:rPr>
              <w:t> :</w:t>
            </w:r>
          </w:p>
          <w:p w14:paraId="227143AA" w14:textId="6393146E" w:rsidR="009227B9" w:rsidRPr="00B363AA" w:rsidRDefault="00B25943">
            <w:pPr>
              <w:pStyle w:val="Paragraphedeliste"/>
              <w:numPr>
                <w:ilvl w:val="0"/>
                <w:numId w:val="15"/>
              </w:numPr>
              <w:rPr>
                <w:sz w:val="20"/>
                <w:szCs w:val="20"/>
              </w:rPr>
            </w:pPr>
            <w:r w:rsidRPr="00B363AA">
              <w:rPr>
                <w:sz w:val="20"/>
                <w:szCs w:val="20"/>
              </w:rPr>
              <w:t>E</w:t>
            </w:r>
            <w:r w:rsidR="00E44B96" w:rsidRPr="00B363AA">
              <w:rPr>
                <w:sz w:val="20"/>
                <w:szCs w:val="20"/>
              </w:rPr>
              <w:t>spaces verts</w:t>
            </w:r>
          </w:p>
        </w:tc>
      </w:tr>
      <w:tr w:rsidR="009227B9" w:rsidRPr="00B363AA" w14:paraId="43D7D2AB" w14:textId="77777777" w:rsidTr="008770D5">
        <w:tc>
          <w:tcPr>
            <w:tcW w:w="4248" w:type="dxa"/>
          </w:tcPr>
          <w:p w14:paraId="34F9F0F4" w14:textId="3A39EE73" w:rsidR="009227B9" w:rsidRPr="00B363AA" w:rsidRDefault="001E3C85" w:rsidP="00455702">
            <w:pPr>
              <w:rPr>
                <w:sz w:val="20"/>
                <w:szCs w:val="20"/>
              </w:rPr>
            </w:pPr>
            <w:r w:rsidRPr="00B363AA">
              <w:rPr>
                <w:sz w:val="20"/>
                <w:szCs w:val="20"/>
              </w:rPr>
              <w:t>Être</w:t>
            </w:r>
            <w:r w:rsidR="009227B9" w:rsidRPr="00B363AA">
              <w:rPr>
                <w:sz w:val="20"/>
                <w:szCs w:val="20"/>
              </w:rPr>
              <w:t xml:space="preserve"> une source de matières premières</w:t>
            </w:r>
          </w:p>
        </w:tc>
        <w:tc>
          <w:tcPr>
            <w:tcW w:w="5245" w:type="dxa"/>
          </w:tcPr>
          <w:p w14:paraId="739D9A54" w14:textId="6280348A" w:rsidR="009227B9" w:rsidRPr="00B363AA" w:rsidRDefault="00E44B96" w:rsidP="00E4673F">
            <w:pPr>
              <w:rPr>
                <w:sz w:val="20"/>
                <w:szCs w:val="20"/>
              </w:rPr>
            </w:pPr>
            <w:r w:rsidRPr="00B363AA">
              <w:rPr>
                <w:sz w:val="20"/>
                <w:szCs w:val="20"/>
              </w:rPr>
              <w:t>/</w:t>
            </w:r>
          </w:p>
        </w:tc>
      </w:tr>
      <w:tr w:rsidR="009227B9" w:rsidRPr="00B363AA" w14:paraId="0847F8F6" w14:textId="77777777" w:rsidTr="008770D5">
        <w:tc>
          <w:tcPr>
            <w:tcW w:w="4248" w:type="dxa"/>
          </w:tcPr>
          <w:p w14:paraId="49B9B799" w14:textId="353E0792" w:rsidR="009227B9" w:rsidRPr="00B363AA" w:rsidRDefault="009227B9" w:rsidP="00455702">
            <w:pPr>
              <w:rPr>
                <w:sz w:val="20"/>
                <w:szCs w:val="20"/>
              </w:rPr>
            </w:pPr>
            <w:r w:rsidRPr="00B363AA">
              <w:rPr>
                <w:sz w:val="20"/>
                <w:szCs w:val="20"/>
              </w:rPr>
              <w:t>Constituer une archive du patrimoine géologique, géomorphologique et archéologique</w:t>
            </w:r>
          </w:p>
        </w:tc>
        <w:tc>
          <w:tcPr>
            <w:tcW w:w="5245" w:type="dxa"/>
          </w:tcPr>
          <w:p w14:paraId="74C549C3" w14:textId="44C8274F" w:rsidR="009227B9" w:rsidRPr="00B363AA" w:rsidRDefault="009227B9" w:rsidP="00E4673F">
            <w:pPr>
              <w:rPr>
                <w:sz w:val="20"/>
                <w:szCs w:val="20"/>
              </w:rPr>
            </w:pPr>
            <w:r w:rsidRPr="00B363AA">
              <w:rPr>
                <w:sz w:val="20"/>
                <w:szCs w:val="20"/>
              </w:rPr>
              <w:t>Archivage du patrimoine</w:t>
            </w:r>
          </w:p>
        </w:tc>
      </w:tr>
    </w:tbl>
    <w:p w14:paraId="173EF27A" w14:textId="77777777" w:rsidR="003D0F40" w:rsidRPr="00B363AA" w:rsidRDefault="003D0F40" w:rsidP="00E4673F"/>
    <w:p w14:paraId="7DCC89FF" w14:textId="3D3587A8" w:rsidR="0073314E" w:rsidRPr="00B363AA" w:rsidRDefault="00AB1380" w:rsidP="00E4673F">
      <w:r w:rsidRPr="00B363AA">
        <w:t xml:space="preserve">La liste des </w:t>
      </w:r>
      <w:r w:rsidR="002B7C20" w:rsidRPr="00B363AA">
        <w:t>services écosystémiques</w:t>
      </w:r>
      <w:r w:rsidRPr="00B363AA">
        <w:t xml:space="preserve"> évalués dans l’IQSW-pro a été croisée </w:t>
      </w:r>
      <w:r w:rsidR="00C95BB1" w:rsidRPr="00B363AA">
        <w:t xml:space="preserve">pour validation </w:t>
      </w:r>
      <w:r w:rsidRPr="00B363AA">
        <w:t xml:space="preserve">avec les </w:t>
      </w:r>
      <w:r w:rsidR="002B7C20" w:rsidRPr="00B363AA">
        <w:t>services</w:t>
      </w:r>
      <w:r w:rsidRPr="00B363AA">
        <w:t xml:space="preserve"> définis dans le cadre de projets de recherche</w:t>
      </w:r>
      <w:r w:rsidR="00C95BB1" w:rsidRPr="00B363AA">
        <w:t xml:space="preserve"> et opérationnels</w:t>
      </w:r>
      <w:r w:rsidR="008C643D" w:rsidRPr="00B363AA">
        <w:t xml:space="preserve">, </w:t>
      </w:r>
      <w:r w:rsidR="00220840" w:rsidRPr="00B363AA">
        <w:t>notamment</w:t>
      </w:r>
      <w:r w:rsidR="008C643D" w:rsidRPr="00B363AA">
        <w:t xml:space="preserve"> l’étude INDIQUASOLS </w:t>
      </w:r>
      <w:r w:rsidR="00220840" w:rsidRPr="00B363AA">
        <w:fldChar w:fldCharType="begin"/>
      </w:r>
      <w:r w:rsidR="0037195A" w:rsidRPr="00B363AA">
        <w:instrText xml:space="preserve"> ADDIN ZOTERO_ITEM CSL_CITATION {"citationID":"Wx2YUMNu","properties":{"unsorted":false,"formattedCitation":"(Cousin et al., 2025)","plainCitation":"(Cousin et al., 2025)","noteIndex":0},"citationItems":[{"id":179,"uris":["http://zotero.org/groups/5684833/items/LT8UJHBJ"],"itemData":{"id":179,"type":"thesis","DOI":"10.17180/qnpx-x742","genre":"report","language":"fr","note":"page: 780 p.","publisher":"INRAE","source":"hal.inrae.fr","title":"Préserver la qualité des sols : vers un référentiel d’indicateurs. Rapport d’étude","title-short":"Préserver la qualité des sols","URL":"https://hal.inrae.fr/hal-04934694","author":[{"family":"Cousin","given":"Isabelle"},{"family":"Desrousseaux","given":"Maylis"},{"family":"Angers","given":"Denis"},{"family":"Augusto","given":"Laurent"},{"family":"Ay","given":"Jean-Sauveur"},{"family":"Baysse-Lainé","given":"Adrien"},{"family":"Branchu","given":"Philippe"},{"family":"Brauman","given":"Alain A."},{"family":"Prévost-Bouré","given":"Nicolas Chemidlin"},{"family":"Compagnone","given":"Claude"},{"family":"Gros","given":"Raphaël"},{"family":"Hermon","given":"Carole"},{"family":"Keller","given":"Catherine"},{"family":"Laroche","given":"Bertrand"},{"family":"Meulemans","given":"Germain"},{"family":"Montagne","given":"David"},{"family":"Pérès","given":"Guénola"},{"family":"Saby","given":"Nicolas P. A."},{"family":"Vaudour","given":"Emmanuelle"},{"family":"Villerd","given":"Jean"},{"family":"Violle","given":"Cyrille"},{"family":"Lelievre","given":"Virginie"},{"family":"Mareschal","given":"Sybille","dropping-particle":"de"},{"family":"Brichler","given":"Marie-Caroline"},{"family":"Froger","given":"Claire"},{"family":"Itey","given":"Julie"},{"family":"Leenhardt","given":"Sophie"}],"accessed":{"date-parts":[["2025",5,15]]},"issued":{"date-parts":[["2025"]]}}}],"schema":"https://github.com/citation-style-language/schema/raw/master/csl-citation.json"} </w:instrText>
      </w:r>
      <w:r w:rsidR="00220840" w:rsidRPr="00B363AA">
        <w:fldChar w:fldCharType="separate"/>
      </w:r>
      <w:r w:rsidR="0037195A" w:rsidRPr="00B363AA">
        <w:rPr>
          <w:rFonts w:cs="Calibri"/>
        </w:rPr>
        <w:t>(Cousin et al., 2025)</w:t>
      </w:r>
      <w:r w:rsidR="00220840" w:rsidRPr="00B363AA">
        <w:fldChar w:fldCharType="end"/>
      </w:r>
      <w:r w:rsidR="00C95BB1" w:rsidRPr="00B363AA">
        <w:t>.</w:t>
      </w:r>
    </w:p>
    <w:p w14:paraId="11C23D70" w14:textId="5E23729F" w:rsidR="00B4235A" w:rsidRPr="00B363AA" w:rsidRDefault="004B7436" w:rsidP="00E4673F">
      <w:pPr>
        <w:rPr>
          <w:b/>
        </w:rPr>
      </w:pPr>
      <w:r w:rsidRPr="00B363AA">
        <w:rPr>
          <w:highlight w:val="yellow"/>
        </w:rPr>
        <w:fldChar w:fldCharType="begin"/>
      </w:r>
      <w:r w:rsidRPr="00B363AA">
        <w:rPr>
          <w:highlight w:val="yellow"/>
        </w:rPr>
        <w:instrText xml:space="preserve"> REF _Ref232206867 \r \h </w:instrText>
      </w:r>
      <w:r w:rsidRPr="00B363AA">
        <w:rPr>
          <w:highlight w:val="yellow"/>
        </w:rPr>
      </w:r>
      <w:r w:rsidRPr="00B363AA">
        <w:rPr>
          <w:highlight w:val="yellow"/>
        </w:rPr>
        <w:fldChar w:fldCharType="separate"/>
      </w:r>
      <w:r w:rsidRPr="00B363AA">
        <w:rPr>
          <w:highlight w:val="yellow"/>
        </w:rPr>
        <w:fldChar w:fldCharType="end"/>
      </w:r>
      <w:r w:rsidR="00B4235A" w:rsidRPr="00B363AA">
        <w:rPr>
          <w:b/>
          <w:bCs/>
        </w:rPr>
        <w:t>Chaque SE est décomposé en</w:t>
      </w:r>
      <w:r w:rsidR="00E9448C" w:rsidRPr="00B363AA">
        <w:rPr>
          <w:b/>
          <w:bCs/>
        </w:rPr>
        <w:t xml:space="preserve"> une ou plusieurs</w:t>
      </w:r>
      <w:r w:rsidR="00B4235A" w:rsidRPr="00B363AA">
        <w:rPr>
          <w:b/>
          <w:bCs/>
        </w:rPr>
        <w:t xml:space="preserve"> fonction</w:t>
      </w:r>
      <w:r w:rsidR="00E9448C" w:rsidRPr="00B363AA">
        <w:rPr>
          <w:b/>
          <w:bCs/>
        </w:rPr>
        <w:t>(</w:t>
      </w:r>
      <w:r w:rsidR="00B4235A" w:rsidRPr="00B363AA">
        <w:rPr>
          <w:b/>
          <w:bCs/>
        </w:rPr>
        <w:t>s</w:t>
      </w:r>
      <w:r w:rsidR="00E9448C" w:rsidRPr="00B363AA">
        <w:rPr>
          <w:b/>
          <w:bCs/>
        </w:rPr>
        <w:t>) et</w:t>
      </w:r>
      <w:r w:rsidR="00B4235A" w:rsidRPr="00B363AA">
        <w:rPr>
          <w:b/>
          <w:bCs/>
        </w:rPr>
        <w:t xml:space="preserve"> </w:t>
      </w:r>
      <w:r w:rsidR="00E9448C" w:rsidRPr="00B363AA">
        <w:rPr>
          <w:b/>
          <w:bCs/>
        </w:rPr>
        <w:t xml:space="preserve">affecté le cas échéant, de </w:t>
      </w:r>
      <w:r w:rsidR="00B4235A" w:rsidRPr="00B363AA">
        <w:rPr>
          <w:b/>
          <w:bCs/>
        </w:rPr>
        <w:t>contraintes et</w:t>
      </w:r>
      <w:r w:rsidR="38FC3C72" w:rsidRPr="00B363AA">
        <w:rPr>
          <w:b/>
          <w:bCs/>
        </w:rPr>
        <w:t>/ou</w:t>
      </w:r>
      <w:r w:rsidR="00B4235A" w:rsidRPr="00B363AA">
        <w:rPr>
          <w:b/>
          <w:bCs/>
        </w:rPr>
        <w:t xml:space="preserve"> </w:t>
      </w:r>
      <w:r w:rsidR="00E9448C" w:rsidRPr="00B363AA">
        <w:rPr>
          <w:b/>
          <w:bCs/>
        </w:rPr>
        <w:t>de</w:t>
      </w:r>
      <w:r w:rsidR="00307BC9" w:rsidRPr="00B363AA">
        <w:rPr>
          <w:b/>
          <w:bCs/>
        </w:rPr>
        <w:t xml:space="preserve"> </w:t>
      </w:r>
      <w:r w:rsidR="64FFA9E4" w:rsidRPr="00B363AA">
        <w:rPr>
          <w:b/>
          <w:bCs/>
        </w:rPr>
        <w:t>compléments indicatifs</w:t>
      </w:r>
      <w:r w:rsidR="1561F368" w:rsidRPr="00B363AA">
        <w:rPr>
          <w:b/>
          <w:bCs/>
        </w:rPr>
        <w:t xml:space="preserve"> non scorés</w:t>
      </w:r>
      <w:r w:rsidR="583AD6D6" w:rsidRPr="00B363AA">
        <w:rPr>
          <w:b/>
          <w:bCs/>
        </w:rPr>
        <w:t>.</w:t>
      </w:r>
      <w:r w:rsidR="00F035E6" w:rsidRPr="00B363AA">
        <w:rPr>
          <w:b/>
          <w:bCs/>
        </w:rPr>
        <w:t xml:space="preserve"> Les équations de pondération (1) des indicateurs dans les fonctions et (2) des fonctions dans les services écosystémiques sont détaillées au point</w:t>
      </w:r>
      <w:r w:rsidR="00A62DA9" w:rsidRPr="00B363AA">
        <w:rPr>
          <w:b/>
          <w:bCs/>
        </w:rPr>
        <w:t xml:space="preserve"> </w:t>
      </w:r>
      <w:r w:rsidR="00A62DA9" w:rsidRPr="00B363AA">
        <w:rPr>
          <w:b/>
          <w:bCs/>
        </w:rPr>
        <w:fldChar w:fldCharType="begin"/>
      </w:r>
      <w:r w:rsidR="00A62DA9" w:rsidRPr="00B363AA">
        <w:rPr>
          <w:b/>
          <w:bCs/>
        </w:rPr>
        <w:instrText xml:space="preserve"> REF _Ref241228068 \r \h </w:instrText>
      </w:r>
      <w:r w:rsidR="00A62DA9" w:rsidRPr="00B363AA">
        <w:rPr>
          <w:b/>
          <w:bCs/>
        </w:rPr>
      </w:r>
      <w:r w:rsidR="00A62DA9" w:rsidRPr="00B363AA">
        <w:rPr>
          <w:b/>
          <w:bCs/>
        </w:rPr>
        <w:fldChar w:fldCharType="separate"/>
      </w:r>
      <w:r w:rsidR="00A62DA9" w:rsidRPr="00B363AA">
        <w:rPr>
          <w:b/>
          <w:bCs/>
        </w:rPr>
        <w:t>5.1.2</w:t>
      </w:r>
      <w:r w:rsidR="00A62DA9" w:rsidRPr="00B363AA">
        <w:rPr>
          <w:b/>
          <w:bCs/>
        </w:rPr>
        <w:fldChar w:fldCharType="end"/>
      </w:r>
      <w:r w:rsidR="00F035E6" w:rsidRPr="00B363AA">
        <w:t>.</w:t>
      </w:r>
      <w:r w:rsidR="0E505DC5" w:rsidRPr="00B363AA">
        <w:t xml:space="preserve"> </w:t>
      </w:r>
      <w:r w:rsidR="0E505DC5" w:rsidRPr="00B363AA">
        <w:rPr>
          <w:b/>
          <w:bCs/>
        </w:rPr>
        <w:t xml:space="preserve">La méthodologie d’attribution des scores de paramètres, sont détaillés dans </w:t>
      </w:r>
      <w:r w:rsidR="00A62DA9" w:rsidRPr="00B363AA">
        <w:rPr>
          <w:b/>
          <w:bCs/>
        </w:rPr>
        <w:t>l’Annexe 2 – Indicateurs</w:t>
      </w:r>
      <w:r w:rsidR="0E505DC5" w:rsidRPr="00B363AA">
        <w:rPr>
          <w:b/>
          <w:bCs/>
        </w:rPr>
        <w:t>.</w:t>
      </w:r>
    </w:p>
    <w:p w14:paraId="18A7E51C" w14:textId="57DF4B91" w:rsidR="009746A2" w:rsidRPr="00B363AA" w:rsidRDefault="003A48A6">
      <w:pPr>
        <w:pStyle w:val="Titre2"/>
        <w:numPr>
          <w:ilvl w:val="1"/>
          <w:numId w:val="12"/>
        </w:numPr>
      </w:pPr>
      <w:bookmarkStart w:id="82" w:name="_Toc230267095"/>
      <w:bookmarkStart w:id="83" w:name="_Ref233112306"/>
      <w:bookmarkStart w:id="84" w:name="_Ref233112327"/>
      <w:bookmarkStart w:id="85" w:name="_Toc241242961"/>
      <w:r w:rsidRPr="00B363AA">
        <w:t>P</w:t>
      </w:r>
      <w:r w:rsidR="00455866" w:rsidRPr="00B363AA">
        <w:t xml:space="preserve">roduction </w:t>
      </w:r>
      <w:r w:rsidR="00C51DBB" w:rsidRPr="00B363AA">
        <w:t>de biomasse</w:t>
      </w:r>
      <w:bookmarkEnd w:id="82"/>
      <w:bookmarkEnd w:id="83"/>
      <w:bookmarkEnd w:id="84"/>
      <w:bookmarkEnd w:id="85"/>
    </w:p>
    <w:p w14:paraId="685FA4DE" w14:textId="20885841" w:rsidR="005D2967" w:rsidRPr="00B363AA" w:rsidRDefault="009A6570" w:rsidP="00553C5D">
      <w:r w:rsidRPr="00B363AA">
        <w:t xml:space="preserve">Ce </w:t>
      </w:r>
      <w:r w:rsidR="002B7C20" w:rsidRPr="00B363AA">
        <w:t>service écosystémique</w:t>
      </w:r>
      <w:r w:rsidRPr="00B363AA">
        <w:t xml:space="preserve"> correspond à la capacité du sol à </w:t>
      </w:r>
      <w:r w:rsidR="00BD26C2" w:rsidRPr="00B363AA">
        <w:t>assurer</w:t>
      </w:r>
      <w:r w:rsidRPr="00B363AA">
        <w:t xml:space="preserve"> une production de </w:t>
      </w:r>
      <w:r w:rsidR="004B3DC8" w:rsidRPr="00B363AA">
        <w:t xml:space="preserve">divers types de </w:t>
      </w:r>
      <w:r w:rsidRPr="00B363AA">
        <w:t>végétation</w:t>
      </w:r>
      <w:r w:rsidR="004B3DC8" w:rsidRPr="00B363AA">
        <w:t>, correspondant à divers</w:t>
      </w:r>
      <w:r w:rsidR="009F1CAB" w:rsidRPr="00B363AA">
        <w:t>es</w:t>
      </w:r>
      <w:r w:rsidR="004B3DC8" w:rsidRPr="00B363AA">
        <w:t xml:space="preserve"> </w:t>
      </w:r>
      <w:r w:rsidR="00C74250" w:rsidRPr="00B363AA">
        <w:t>catégories</w:t>
      </w:r>
      <w:r w:rsidR="004B3DC8" w:rsidRPr="00B363AA">
        <w:t xml:space="preserve"> d’usage</w:t>
      </w:r>
      <w:r w:rsidR="000F3625" w:rsidRPr="00B363AA">
        <w:t xml:space="preserve"> : </w:t>
      </w:r>
      <w:r w:rsidRPr="00B363AA">
        <w:t>cultures, prairies, espaces verts</w:t>
      </w:r>
      <w:r w:rsidR="00137898" w:rsidRPr="00B363AA">
        <w:t xml:space="preserve"> et</w:t>
      </w:r>
      <w:r w:rsidRPr="00B363AA">
        <w:t xml:space="preserve"> forêts</w:t>
      </w:r>
      <w:r w:rsidR="004B3DC8" w:rsidRPr="00B363AA">
        <w:t xml:space="preserve">. </w:t>
      </w:r>
      <w:r w:rsidR="210A85CE" w:rsidRPr="00B363AA">
        <w:t>La végétation produite</w:t>
      </w:r>
      <w:r w:rsidR="54867243" w:rsidRPr="00B363AA">
        <w:t xml:space="preserve"> peut </w:t>
      </w:r>
      <w:proofErr w:type="gramStart"/>
      <w:r w:rsidR="54867243" w:rsidRPr="00B363AA">
        <w:t>avoir</w:t>
      </w:r>
      <w:proofErr w:type="gramEnd"/>
      <w:r w:rsidR="54867243" w:rsidRPr="00B363AA">
        <w:t xml:space="preserve"> un rôle récréatif</w:t>
      </w:r>
      <w:r w:rsidR="20761FB1" w:rsidRPr="00B363AA">
        <w:t xml:space="preserve">, </w:t>
      </w:r>
      <w:r w:rsidR="54867243" w:rsidRPr="00B363AA">
        <w:t>paysager</w:t>
      </w:r>
      <w:r w:rsidR="20761FB1" w:rsidRPr="00B363AA">
        <w:t xml:space="preserve"> ou aider à la régulation thermique et des flux d’eau en contexte urbain</w:t>
      </w:r>
      <w:r w:rsidR="54867243" w:rsidRPr="00B363AA">
        <w:t xml:space="preserve"> (</w:t>
      </w:r>
      <w:r w:rsidR="20761FB1" w:rsidRPr="00B363AA">
        <w:t>es</w:t>
      </w:r>
      <w:r w:rsidR="272ACF39" w:rsidRPr="00B363AA">
        <w:t>paces vert) ou être</w:t>
      </w:r>
      <w:r w:rsidR="210A85CE" w:rsidRPr="00B363AA">
        <w:t xml:space="preserve"> </w:t>
      </w:r>
      <w:r w:rsidR="5287780C" w:rsidRPr="00B363AA">
        <w:t xml:space="preserve">utilisée, en fonction du contexte d’usage, </w:t>
      </w:r>
      <w:r w:rsidR="6043BE71" w:rsidRPr="00B363AA">
        <w:t xml:space="preserve">à des fins alimentaires </w:t>
      </w:r>
      <w:r w:rsidR="33119447" w:rsidRPr="00B363AA">
        <w:t xml:space="preserve">(de manière directe ou indirecte via l’alimentation animale) </w:t>
      </w:r>
      <w:r w:rsidR="6043BE71" w:rsidRPr="00B363AA">
        <w:t>ou</w:t>
      </w:r>
      <w:r w:rsidR="3B6D679E" w:rsidRPr="00B363AA">
        <w:t xml:space="preserve"> non alimentaires (bois d’œuvre, matériaux, filière énergie…)</w:t>
      </w:r>
      <w:r w:rsidR="6043BE71" w:rsidRPr="00B363AA">
        <w:t>.</w:t>
      </w:r>
    </w:p>
    <w:p w14:paraId="1D2D987D" w14:textId="77FF3F40" w:rsidR="005133CA" w:rsidRPr="00B363AA" w:rsidRDefault="0007306A">
      <w:pPr>
        <w:pStyle w:val="Titre3"/>
        <w:numPr>
          <w:ilvl w:val="2"/>
          <w:numId w:val="12"/>
        </w:numPr>
      </w:pPr>
      <w:bookmarkStart w:id="86" w:name="_Toc241242962"/>
      <w:r w:rsidRPr="00B363AA">
        <w:t>Fonctions</w:t>
      </w:r>
      <w:bookmarkEnd w:id="86"/>
    </w:p>
    <w:p w14:paraId="5450AA7C" w14:textId="63397BF8" w:rsidR="003F6FAE" w:rsidRPr="00B363AA" w:rsidRDefault="00AA4152" w:rsidP="003F6FAE">
      <w:r w:rsidRPr="00B363AA">
        <w:t xml:space="preserve">Le service de </w:t>
      </w:r>
      <w:r w:rsidR="00CA4F32" w:rsidRPr="00B363AA">
        <w:t>support à</w:t>
      </w:r>
      <w:r w:rsidR="009234C0" w:rsidRPr="00B363AA">
        <w:t xml:space="preserve"> la croissance des plantes nécessite l’accomplissement de plusieurs fonctions</w:t>
      </w:r>
      <w:r w:rsidR="00E34CC0" w:rsidRPr="00B363AA">
        <w:t xml:space="preserve"> pour être rempli</w:t>
      </w:r>
      <w:r w:rsidR="00253016" w:rsidRPr="00B363AA">
        <w:t>. En effet,</w:t>
      </w:r>
      <w:r w:rsidR="006F2F53" w:rsidRPr="00B363AA">
        <w:t xml:space="preserve"> </w:t>
      </w:r>
      <w:r w:rsidR="00253016" w:rsidRPr="00B363AA">
        <w:t>trois piliers de la fertilité</w:t>
      </w:r>
      <w:r w:rsidR="006F2F53" w:rsidRPr="00B363AA">
        <w:t xml:space="preserve"> sont essentiels et indissociables pour garantir la croissance des plantes</w:t>
      </w:r>
      <w:r w:rsidR="00AC56F7" w:rsidRPr="00B363AA">
        <w:t> : la fourniture de nutriments (souvent définie en tant que fertilité chimiq</w:t>
      </w:r>
      <w:r w:rsidR="004359D7" w:rsidRPr="00B363AA">
        <w:t xml:space="preserve">ue), la fourniture d’eau et </w:t>
      </w:r>
      <w:r w:rsidR="00CA4F32" w:rsidRPr="00B363AA">
        <w:t xml:space="preserve">le maintien </w:t>
      </w:r>
      <w:r w:rsidR="00786451" w:rsidRPr="00B363AA">
        <w:t xml:space="preserve">de </w:t>
      </w:r>
      <w:r w:rsidR="004359D7" w:rsidRPr="00B363AA">
        <w:t>la structure</w:t>
      </w:r>
      <w:r w:rsidR="00786451" w:rsidRPr="00B363AA">
        <w:t xml:space="preserve"> du sol, qui permettra la pénétration racinaire et la </w:t>
      </w:r>
      <w:r w:rsidR="00786451" w:rsidRPr="00B363AA">
        <w:lastRenderedPageBreak/>
        <w:t>circulation d’air et d’eau</w:t>
      </w:r>
      <w:r w:rsidR="00A5274B" w:rsidRPr="00B363AA">
        <w:t xml:space="preserve">. Le </w:t>
      </w:r>
      <w:r w:rsidR="002B7C20" w:rsidRPr="00B363AA">
        <w:t>service écosystémique</w:t>
      </w:r>
      <w:r w:rsidR="00A5274B" w:rsidRPr="00B363AA">
        <w:t xml:space="preserve"> est donc subdivisé en trois fonctions</w:t>
      </w:r>
      <w:r w:rsidR="00A948FE" w:rsidRPr="00B363AA">
        <w:t xml:space="preserve"> </w:t>
      </w:r>
      <w:r w:rsidR="00BE3516" w:rsidRPr="00B363AA">
        <w:t>décrites ci-après.</w:t>
      </w:r>
    </w:p>
    <w:p w14:paraId="03EB3613" w14:textId="378274D5" w:rsidR="00BE3516" w:rsidRPr="00B363AA" w:rsidRDefault="00667E6A">
      <w:pPr>
        <w:pStyle w:val="Titre4"/>
        <w:numPr>
          <w:ilvl w:val="3"/>
          <w:numId w:val="12"/>
        </w:numPr>
        <w:rPr>
          <w:bCs/>
        </w:rPr>
      </w:pPr>
      <w:r w:rsidRPr="00B363AA">
        <w:rPr>
          <w:bCs/>
        </w:rPr>
        <w:t>Fourniture en nutriments</w:t>
      </w:r>
    </w:p>
    <w:p w14:paraId="2545DCF8" w14:textId="651A6510" w:rsidR="00BE3516" w:rsidRPr="00B363AA" w:rsidRDefault="00C4477D" w:rsidP="00BE3516">
      <w:r w:rsidRPr="00B363AA">
        <w:t>Cette fonction concerne</w:t>
      </w:r>
      <w:r w:rsidR="00673AE3" w:rsidRPr="00B363AA">
        <w:t xml:space="preserve">, comme </w:t>
      </w:r>
      <w:r w:rsidRPr="00B363AA">
        <w:t>son</w:t>
      </w:r>
      <w:r w:rsidR="00673AE3" w:rsidRPr="00B363AA">
        <w:t xml:space="preserve"> nom</w:t>
      </w:r>
      <w:r w:rsidRPr="00B363AA">
        <w:t xml:space="preserve"> </w:t>
      </w:r>
      <w:r w:rsidR="00673AE3" w:rsidRPr="00B363AA">
        <w:t xml:space="preserve">l’indique, la capacité du sol à fournir des nutriments pour subvenir aux besoins </w:t>
      </w:r>
      <w:r w:rsidR="00677179" w:rsidRPr="00B363AA">
        <w:t xml:space="preserve">de la végétation. </w:t>
      </w:r>
      <w:r w:rsidR="3E72DA8F" w:rsidRPr="00B363AA">
        <w:t xml:space="preserve">Tous les </w:t>
      </w:r>
      <w:r w:rsidR="45410A99" w:rsidRPr="00B363AA">
        <w:t>indicateurs</w:t>
      </w:r>
      <w:r w:rsidR="00693339" w:rsidRPr="00B363AA">
        <w:t xml:space="preserve"> relatifs à cette fonction sont mesurés dans la </w:t>
      </w:r>
      <w:r w:rsidR="00C36BC7" w:rsidRPr="00B363AA">
        <w:t>couche</w:t>
      </w:r>
      <w:r w:rsidR="00693339" w:rsidRPr="00B363AA">
        <w:t xml:space="preserve"> de surface (0-30 cm</w:t>
      </w:r>
      <w:r w:rsidR="11222B35" w:rsidRPr="00B363AA">
        <w:t>)</w:t>
      </w:r>
      <w:r w:rsidR="6B625FF0" w:rsidRPr="00B363AA">
        <w:t>.</w:t>
      </w:r>
      <w:r w:rsidR="00693339" w:rsidRPr="00B363AA">
        <w:t xml:space="preserve"> </w:t>
      </w:r>
      <w:r w:rsidR="00EF1E21" w:rsidRPr="00B363AA">
        <w:t xml:space="preserve">Les </w:t>
      </w:r>
      <w:r w:rsidRPr="00B363AA">
        <w:t>dimensions évaluées sont :</w:t>
      </w:r>
    </w:p>
    <w:p w14:paraId="71E1BA75" w14:textId="399FA917" w:rsidR="00807132" w:rsidRPr="00B363AA" w:rsidRDefault="00807132">
      <w:pPr>
        <w:pStyle w:val="Paragraphedeliste"/>
        <w:numPr>
          <w:ilvl w:val="0"/>
          <w:numId w:val="2"/>
        </w:numPr>
      </w:pPr>
      <w:r w:rsidRPr="00B363AA">
        <w:t>L</w:t>
      </w:r>
      <w:r w:rsidR="005B2EF8" w:rsidRPr="00B363AA">
        <w:t xml:space="preserve">a présence </w:t>
      </w:r>
      <w:r w:rsidR="00611C37" w:rsidRPr="00B363AA">
        <w:t xml:space="preserve">de nutriments </w:t>
      </w:r>
      <w:r w:rsidRPr="00B363AA">
        <w:t xml:space="preserve">disponibles </w:t>
      </w:r>
      <w:r w:rsidR="00611C37" w:rsidRPr="00B363AA">
        <w:t xml:space="preserve">(P, K, Mg, </w:t>
      </w:r>
      <w:proofErr w:type="gramStart"/>
      <w:r w:rsidR="00611C37" w:rsidRPr="00B363AA">
        <w:t>Ca)</w:t>
      </w:r>
      <w:r w:rsidR="003E121F" w:rsidRPr="00B363AA">
        <w:t>*</w:t>
      </w:r>
      <w:proofErr w:type="gramEnd"/>
      <w:r w:rsidRPr="00B363AA">
        <w:t> ;</w:t>
      </w:r>
    </w:p>
    <w:p w14:paraId="4AFBCAB3" w14:textId="6956A32F" w:rsidR="00701CC2" w:rsidRPr="00B363AA" w:rsidRDefault="69C20584">
      <w:pPr>
        <w:pStyle w:val="Paragraphedeliste"/>
        <w:numPr>
          <w:ilvl w:val="0"/>
          <w:numId w:val="2"/>
        </w:numPr>
      </w:pPr>
      <w:r w:rsidRPr="00B363AA">
        <w:t>L</w:t>
      </w:r>
      <w:r w:rsidR="1A504705" w:rsidRPr="00B363AA">
        <w:t>a</w:t>
      </w:r>
      <w:r w:rsidR="0F298137" w:rsidRPr="00B363AA">
        <w:t xml:space="preserve"> teneur en matière organique, qui</w:t>
      </w:r>
      <w:r w:rsidR="508E657D" w:rsidRPr="00B363AA">
        <w:t xml:space="preserve"> contribue à recharger le stock par minéralisation et </w:t>
      </w:r>
      <w:r w:rsidR="35DDBD34" w:rsidRPr="00B363AA">
        <w:t>contribue à la capacité d’échange cationique du sol</w:t>
      </w:r>
      <w:r w:rsidR="540E032E" w:rsidRPr="00B363AA">
        <w:t xml:space="preserve">. La teneur en carbone organique </w:t>
      </w:r>
      <w:r w:rsidR="00C6A7E1" w:rsidRPr="00B363AA">
        <w:t>(</w:t>
      </w:r>
      <w:proofErr w:type="spellStart"/>
      <w:r w:rsidR="00C6A7E1" w:rsidRPr="00B363AA">
        <w:t>C</w:t>
      </w:r>
      <w:r w:rsidR="00C6A7E1" w:rsidRPr="00B363AA">
        <w:rPr>
          <w:vertAlign w:val="subscript"/>
        </w:rPr>
        <w:t>org</w:t>
      </w:r>
      <w:proofErr w:type="spellEnd"/>
      <w:r w:rsidR="00C6A7E1" w:rsidRPr="00B363AA">
        <w:t xml:space="preserve">) </w:t>
      </w:r>
      <w:r w:rsidR="540E032E" w:rsidRPr="00B363AA">
        <w:t>est utilisée comme proxy pou</w:t>
      </w:r>
      <w:r w:rsidR="00C6A7E1" w:rsidRPr="00B363AA">
        <w:t>r la matière organique</w:t>
      </w:r>
      <w:r w:rsidR="7839C109" w:rsidRPr="00B363AA">
        <w:t>*</w:t>
      </w:r>
      <w:r w:rsidR="07402309" w:rsidRPr="00B363AA">
        <w:t xml:space="preserve"> ;</w:t>
      </w:r>
    </w:p>
    <w:p w14:paraId="406B7184" w14:textId="32504716" w:rsidR="000624AD" w:rsidRPr="00B363AA" w:rsidRDefault="00C6A7E1">
      <w:pPr>
        <w:pStyle w:val="Paragraphedeliste"/>
        <w:numPr>
          <w:ilvl w:val="0"/>
          <w:numId w:val="2"/>
        </w:numPr>
      </w:pPr>
      <w:r w:rsidRPr="00B363AA">
        <w:t>La capacité d’échange cationique (</w:t>
      </w:r>
      <w:r w:rsidR="1A504705" w:rsidRPr="00B363AA">
        <w:t>CEC</w:t>
      </w:r>
      <w:r w:rsidR="3DD008CC" w:rsidRPr="00B363AA">
        <w:t>)</w:t>
      </w:r>
      <w:r w:rsidR="7839C109" w:rsidRPr="00B363AA">
        <w:t>*</w:t>
      </w:r>
      <w:r w:rsidR="3DD008CC" w:rsidRPr="00B363AA">
        <w:t>, qui représente la capacité du sol à retenir les nutriments cationiques</w:t>
      </w:r>
      <w:r w:rsidR="5D2367BA" w:rsidRPr="00B363AA">
        <w:t> ;</w:t>
      </w:r>
    </w:p>
    <w:p w14:paraId="7A188E82" w14:textId="77777777" w:rsidR="000624AD" w:rsidRPr="00B363AA" w:rsidRDefault="000624AD">
      <w:pPr>
        <w:pStyle w:val="Paragraphedeliste"/>
        <w:numPr>
          <w:ilvl w:val="0"/>
          <w:numId w:val="2"/>
        </w:numPr>
      </w:pPr>
      <w:r w:rsidRPr="00B363AA">
        <w:t>L</w:t>
      </w:r>
      <w:r w:rsidR="00D62D05" w:rsidRPr="00B363AA">
        <w:t>’équilibre nutritif (rapport K/Mg)</w:t>
      </w:r>
      <w:r w:rsidRPr="00B363AA">
        <w:t> ;</w:t>
      </w:r>
    </w:p>
    <w:p w14:paraId="1AC66883" w14:textId="0F3A427F" w:rsidR="00253016" w:rsidRPr="00B363AA" w:rsidRDefault="000624AD">
      <w:pPr>
        <w:pStyle w:val="Paragraphedeliste"/>
        <w:numPr>
          <w:ilvl w:val="0"/>
          <w:numId w:val="2"/>
        </w:numPr>
      </w:pPr>
      <w:r w:rsidRPr="00B363AA">
        <w:t xml:space="preserve">Le statut acido-basique </w:t>
      </w:r>
      <w:r w:rsidR="00D62D05" w:rsidRPr="00B363AA">
        <w:t>(pH KCl)</w:t>
      </w:r>
      <w:r w:rsidRPr="00B363AA">
        <w:t>.</w:t>
      </w:r>
    </w:p>
    <w:p w14:paraId="75A5653A" w14:textId="7910D5FF" w:rsidR="003E121F" w:rsidRPr="00B363AA" w:rsidRDefault="7839C109" w:rsidP="007B13C9">
      <w:r w:rsidRPr="00B363AA">
        <w:t>*</w:t>
      </w:r>
      <w:r w:rsidR="10788ECA" w:rsidRPr="00B363AA">
        <w:rPr>
          <w:i/>
          <w:iCs/>
          <w:u w:val="single"/>
        </w:rPr>
        <w:t>Prise en compte du</w:t>
      </w:r>
      <w:r w:rsidR="5970BF97" w:rsidRPr="00B363AA">
        <w:rPr>
          <w:i/>
          <w:iCs/>
          <w:u w:val="single"/>
        </w:rPr>
        <w:t xml:space="preserve"> sol utile</w:t>
      </w:r>
      <w:r w:rsidR="72FF4E8E" w:rsidRPr="00B363AA">
        <w:rPr>
          <w:i/>
          <w:iCs/>
          <w:u w:val="single"/>
        </w:rPr>
        <w:t>.</w:t>
      </w:r>
      <w:r w:rsidR="5970BF97" w:rsidRPr="00B363AA">
        <w:t xml:space="preserve"> </w:t>
      </w:r>
      <w:r w:rsidR="69984B25" w:rsidRPr="00B363AA">
        <w:t>Préalablement à l’attribution d’un score d</w:t>
      </w:r>
      <w:r w:rsidR="5441E2DA" w:rsidRPr="00B363AA">
        <w:t>'indicateur</w:t>
      </w:r>
      <w:r w:rsidR="69984B25" w:rsidRPr="00B363AA">
        <w:t xml:space="preserve"> via la fonction d’interprétation, l</w:t>
      </w:r>
      <w:r w:rsidR="306FFA1C" w:rsidRPr="00B363AA">
        <w:t xml:space="preserve">a teneur en </w:t>
      </w:r>
      <w:r w:rsidR="5E00F6C1" w:rsidRPr="00B363AA">
        <w:t xml:space="preserve">nutriments disponibles et en </w:t>
      </w:r>
      <w:r w:rsidR="1FBC30BA" w:rsidRPr="00B363AA">
        <w:t>carbone organique ainsi</w:t>
      </w:r>
      <w:r w:rsidR="69984B25" w:rsidRPr="00B363AA">
        <w:t xml:space="preserve"> que la CEC,</w:t>
      </w:r>
      <w:r w:rsidRPr="00B363AA">
        <w:t xml:space="preserve"> </w:t>
      </w:r>
      <w:r w:rsidR="063308C6" w:rsidRPr="00B363AA">
        <w:t>sont</w:t>
      </w:r>
      <w:r w:rsidR="306FFA1C" w:rsidRPr="00B363AA">
        <w:t xml:space="preserve"> multipliée</w:t>
      </w:r>
      <w:r w:rsidR="063308C6" w:rsidRPr="00B363AA">
        <w:t>s</w:t>
      </w:r>
      <w:r w:rsidR="306FFA1C" w:rsidRPr="00B363AA">
        <w:t xml:space="preserve"> par un coefficient de sol util</w:t>
      </w:r>
      <w:r w:rsidR="69984B25" w:rsidRPr="00B363AA">
        <w:t xml:space="preserve">e. </w:t>
      </w:r>
      <w:r w:rsidR="4FBA83F1" w:rsidRPr="00B363AA">
        <w:t>Ce coefficient a pour fonction de pondérer l</w:t>
      </w:r>
      <w:r w:rsidR="4043BD33" w:rsidRPr="00B363AA">
        <w:t xml:space="preserve">es valeurs obtenues sur la fraction fine du sol (&lt; 2 mm) au prorata </w:t>
      </w:r>
      <w:r w:rsidR="3A8B50B1" w:rsidRPr="00B363AA">
        <w:t>du volume de sol utile</w:t>
      </w:r>
      <w:r w:rsidR="6659671F" w:rsidRPr="00B363AA">
        <w:t xml:space="preserve"> à l’exploration racinaire</w:t>
      </w:r>
      <w:r w:rsidR="3A8B50B1" w:rsidRPr="00B363AA">
        <w:t xml:space="preserve"> dans la couche 0-30 cm, c’est-à</w:t>
      </w:r>
      <w:r w:rsidR="20FA5B0D" w:rsidRPr="00B363AA">
        <w:t xml:space="preserve">-dire </w:t>
      </w:r>
      <w:r w:rsidR="6659671F" w:rsidRPr="00B363AA">
        <w:t>en soustrayant</w:t>
      </w:r>
      <w:r w:rsidR="20FA5B0D" w:rsidRPr="00B363AA">
        <w:t xml:space="preserve"> le volume occupé par des cailloux.</w:t>
      </w:r>
    </w:p>
    <w:p w14:paraId="1E0B3395" w14:textId="6FA270AF" w:rsidR="00C4477D" w:rsidRPr="00B363AA" w:rsidRDefault="00C4477D">
      <w:pPr>
        <w:pStyle w:val="Titre4"/>
        <w:numPr>
          <w:ilvl w:val="3"/>
          <w:numId w:val="12"/>
        </w:numPr>
        <w:rPr>
          <w:bCs/>
        </w:rPr>
      </w:pPr>
      <w:r w:rsidRPr="00B363AA">
        <w:rPr>
          <w:bCs/>
        </w:rPr>
        <w:t>Fourniture en eau</w:t>
      </w:r>
    </w:p>
    <w:p w14:paraId="05E4772A" w14:textId="297CC8E7" w:rsidR="0027544F" w:rsidRPr="00B363AA" w:rsidRDefault="05DFC168" w:rsidP="008F5E9B">
      <w:r w:rsidRPr="00B363AA">
        <w:t xml:space="preserve">La capacité du sol à constituer une réserve d’eau </w:t>
      </w:r>
      <w:r w:rsidR="247C0910" w:rsidRPr="00B363AA">
        <w:t>disponible</w:t>
      </w:r>
      <w:r w:rsidRPr="00B363AA">
        <w:t xml:space="preserve"> pour la croissance des plantes </w:t>
      </w:r>
      <w:r w:rsidR="5E30244F" w:rsidRPr="00B363AA">
        <w:t xml:space="preserve">se calcule via une estimation de </w:t>
      </w:r>
      <w:r w:rsidR="5C67EF12" w:rsidRPr="00B363AA">
        <w:t xml:space="preserve">la réserve en eau utile (REU) calculée sur le </w:t>
      </w:r>
      <w:r w:rsidR="55E2BC10" w:rsidRPr="00B363AA">
        <w:t>profil (0-100 cm)</w:t>
      </w:r>
      <w:r w:rsidR="14AAFDAD" w:rsidRPr="00B363AA">
        <w:t>, en distinguant la couche de surface des couches profondes</w:t>
      </w:r>
      <w:r w:rsidR="0252EAFA" w:rsidRPr="00B363AA">
        <w:t xml:space="preserve"> (voir partie</w:t>
      </w:r>
      <w:r w:rsidR="00724784" w:rsidRPr="00B363AA">
        <w:t xml:space="preserve"> </w:t>
      </w:r>
      <w:r w:rsidR="00724784" w:rsidRPr="00B363AA">
        <w:fldChar w:fldCharType="begin"/>
      </w:r>
      <w:r w:rsidR="00724784" w:rsidRPr="00B363AA">
        <w:instrText xml:space="preserve"> REF _Ref241228839 \r \h </w:instrText>
      </w:r>
      <w:r w:rsidR="00724784" w:rsidRPr="00B363AA">
        <w:fldChar w:fldCharType="separate"/>
      </w:r>
      <w:r w:rsidR="00A27F70" w:rsidRPr="00B363AA">
        <w:t>5.1.2</w:t>
      </w:r>
      <w:r w:rsidR="00724784" w:rsidRPr="00B363AA">
        <w:fldChar w:fldCharType="end"/>
      </w:r>
      <w:r w:rsidR="0252EAFA" w:rsidRPr="00B363AA">
        <w:t>).</w:t>
      </w:r>
      <w:r w:rsidR="03C3E45A" w:rsidRPr="00B363AA">
        <w:t xml:space="preserve"> Cette fonction est donc appréhendée </w:t>
      </w:r>
      <w:r w:rsidR="00B31AFB" w:rsidRPr="00B363AA">
        <w:t xml:space="preserve">en combinant </w:t>
      </w:r>
      <w:r w:rsidR="00465A43" w:rsidRPr="00B363AA">
        <w:t>la REU calculée sur la couche 0-30 cm et celle calculée sur la couche 30-100 cm</w:t>
      </w:r>
      <w:r w:rsidR="00294686" w:rsidRPr="00B363AA">
        <w:t>.</w:t>
      </w:r>
      <w:r w:rsidR="00FC04B1" w:rsidRPr="00B363AA">
        <w:t xml:space="preserve"> </w:t>
      </w:r>
      <w:r w:rsidR="00294686" w:rsidRPr="00B363AA">
        <w:t xml:space="preserve">La notion de sol utile intervient ici également, en étant intégrée directement dans l’équation de détermination de la REU (voir </w:t>
      </w:r>
      <w:r w:rsidR="00724784" w:rsidRPr="00B363AA">
        <w:t>Annexe 2 – Indicateurs</w:t>
      </w:r>
      <w:r w:rsidR="00294686" w:rsidRPr="00B363AA">
        <w:t xml:space="preserve">). </w:t>
      </w:r>
    </w:p>
    <w:p w14:paraId="0EB8083D" w14:textId="666D323E" w:rsidR="008F5E9B" w:rsidRPr="00B363AA" w:rsidRDefault="008F5E9B">
      <w:pPr>
        <w:pStyle w:val="Titre4"/>
        <w:numPr>
          <w:ilvl w:val="3"/>
          <w:numId w:val="12"/>
        </w:numPr>
      </w:pPr>
      <w:r w:rsidRPr="00B363AA">
        <w:t>Structure</w:t>
      </w:r>
    </w:p>
    <w:p w14:paraId="2F211D34" w14:textId="0F5CF36A" w:rsidR="007F43FE" w:rsidRPr="00B363AA" w:rsidRDefault="000C579D" w:rsidP="008F5E9B">
      <w:r w:rsidRPr="00B363AA">
        <w:t xml:space="preserve">On appelle </w:t>
      </w:r>
      <w:r w:rsidRPr="00B363AA">
        <w:rPr>
          <w:i/>
        </w:rPr>
        <w:t>structures</w:t>
      </w:r>
      <w:r w:rsidRPr="00B363AA">
        <w:t xml:space="preserve"> du sol « les arrangements, à toutes échelles d’espace et à tous les niveaux d’investigation, des constituants solides des couvertures pédologiques entre lesquels subsistent des vides. » </w:t>
      </w:r>
      <w:r w:rsidR="0001197B" w:rsidRPr="00B363AA">
        <w:fldChar w:fldCharType="begin"/>
      </w:r>
      <w:r w:rsidR="0001197B" w:rsidRPr="00B363AA">
        <w:instrText xml:space="preserve"> ADDIN ZOTERO_ITEM CSL_CITATION {"citationID":"eyEjwo7M","properties":{"unsorted":false,"formattedCitation":"(Baize et al., 2013)","plainCitation":"(Baize et al., 2013)","noteIndex":0},"citationItems":[{"id":602,"uris":["http://zotero.org/groups/5684833/items/6N3TB2CM"],"itemData":{"id":602,"type":"book","abstract":"Synthèse pédagogique sur les structures des sols et leur rôle majeur dans les fonctionnements hydrique, physique et biologique des sols. L’ouvrage revient d’abord sur la définition du concept de structure et sur les difficultés de sa quantification. Il fait ensuite la synthèse entre des méthodes de laboratoire permettant d’accéder aux organisations microscopiques et des méthodes de terrain caractérisant la dynamique d’évolution des structures, notamment en fonction des systèmes agricoles.","collection-title":"Synthèses (Quae)","number-of-pages":"263 p.","publisher":"Editions Quae","source":"HAL","title":"Les sols et leurs structures","URL":"https://hal.inrae.fr/hal-02805939","author":[{"family":"Baize","given":"Denis"},{"family":"Duval","given":"Odile"},{"family":"Richard","given":"Guy"}],"accessed":{"date-parts":[["2026",6,15]]},"issued":{"date-parts":[["2013"]]}}}],"schema":"https://github.com/citation-style-language/schema/raw/master/csl-citation.json"} </w:instrText>
      </w:r>
      <w:r w:rsidR="0001197B" w:rsidRPr="00B363AA">
        <w:fldChar w:fldCharType="separate"/>
      </w:r>
      <w:r w:rsidR="0001197B" w:rsidRPr="00B363AA">
        <w:rPr>
          <w:rFonts w:cs="Calibri"/>
        </w:rPr>
        <w:t>(Baize et al., 2013)</w:t>
      </w:r>
      <w:r w:rsidR="0001197B" w:rsidRPr="00B363AA">
        <w:fldChar w:fldCharType="end"/>
      </w:r>
      <w:r w:rsidR="007116FF" w:rsidRPr="00B363AA">
        <w:t xml:space="preserve">. </w:t>
      </w:r>
      <w:r w:rsidR="00707EFE" w:rsidRPr="00B363AA">
        <w:t xml:space="preserve">Un sol bien structuré constitue un substrat idéal pour le développement racinaire. Selon </w:t>
      </w:r>
      <w:r w:rsidR="00E367B6" w:rsidRPr="00B363AA">
        <w:t xml:space="preserve">Kay </w:t>
      </w:r>
      <w:r w:rsidR="00E367B6" w:rsidRPr="00B363AA">
        <w:fldChar w:fldCharType="begin"/>
      </w:r>
      <w:r w:rsidR="00E367B6" w:rsidRPr="00B363AA">
        <w:instrText xml:space="preserve"> ADDIN ZOTERO_ITEM CSL_CITATION {"citationID":"54cqqn3W","properties":{"unsorted":false,"formattedCitation":"(1990)","plainCitation":"(1990)","noteIndex":0},"citationItems":[{"id":601,"uris":["http://zotero.org/groups/5684833/items/F9M2P2MM"],"itemData":{"id":601,"type":"chapter","abstract":"The structure of soil can determine both the effectiveness and the impact of farming practices. Soil structure influences the extent to which crop breeding and the management of weeds, insects, disease, soil fertility, and water are manifested in increased crop yields. Soil structure also influences the loss of agricultural chemicals through erosion and leaching and can, therefore, have a significant bearing on the environmental impact of some agricultural practices.","container-title":"Advances in Soil Science 12: Volume 12","DOI":"10.1007/978-1-4612-3316-9_1","ISBN":"978-1-4612-3316-9","language":"en","page":"1-52","publisher":"Springer","publisher-place":"New York, NY","source":"Springer Link","title":"Rates of Change of Soil Structure Under Different Cropping Systems","URL":"https://doi.org/10.1007/978-1-4612-3316-9_1","author":[{"family":"Kay","given":"B. D."}],"editor":[{"family":"Stewart","given":"B. A."}],"accessed":{"date-parts":[["2026",6,15]]},"issued":{"date-parts":[["1990"]]}},"suppress-author":true}],"schema":"https://github.com/citation-style-language/schema/raw/master/csl-citation.json"} </w:instrText>
      </w:r>
      <w:r w:rsidR="00E367B6" w:rsidRPr="00B363AA">
        <w:fldChar w:fldCharType="separate"/>
      </w:r>
      <w:r w:rsidR="00E367B6" w:rsidRPr="00B363AA">
        <w:rPr>
          <w:rFonts w:cs="Calibri"/>
        </w:rPr>
        <w:t>(1990)</w:t>
      </w:r>
      <w:r w:rsidR="00E367B6" w:rsidRPr="00B363AA">
        <w:fldChar w:fldCharType="end"/>
      </w:r>
      <w:r w:rsidR="00E367B6" w:rsidRPr="00B363AA">
        <w:t xml:space="preserve">, </w:t>
      </w:r>
      <w:r w:rsidR="00707EFE" w:rsidRPr="00B363AA">
        <w:t>la structure du sol peut être caractérisée par trois composantes : la forme</w:t>
      </w:r>
      <w:r w:rsidR="00E80572" w:rsidRPr="00B363AA">
        <w:t xml:space="preserve"> de la structure</w:t>
      </w:r>
      <w:r w:rsidR="00707EFE" w:rsidRPr="00B363AA">
        <w:t xml:space="preserve">, </w:t>
      </w:r>
      <w:r w:rsidR="00E80572" w:rsidRPr="00B363AA">
        <w:t>s</w:t>
      </w:r>
      <w:r w:rsidR="00707EFE" w:rsidRPr="00B363AA">
        <w:t xml:space="preserve">a stabilité et </w:t>
      </w:r>
      <w:r w:rsidR="00E80572" w:rsidRPr="00B363AA">
        <w:t>sa</w:t>
      </w:r>
      <w:r w:rsidR="00707EFE" w:rsidRPr="00B363AA">
        <w:t xml:space="preserve"> résilience.</w:t>
      </w:r>
      <w:r w:rsidR="004B05A3" w:rsidRPr="00B363AA">
        <w:t xml:space="preserve"> </w:t>
      </w:r>
      <w:r w:rsidR="00992574" w:rsidRPr="00B363AA">
        <w:t xml:space="preserve">Les </w:t>
      </w:r>
      <w:r w:rsidR="00D57A5E" w:rsidRPr="00B363AA">
        <w:t>dimensions de la structure suivantes sont évaluées dans cette fonction :</w:t>
      </w:r>
    </w:p>
    <w:p w14:paraId="04242D68" w14:textId="5AF09E6D" w:rsidR="008C2404" w:rsidRPr="00B363AA" w:rsidRDefault="00B621DD" w:rsidP="00E56224">
      <w:pPr>
        <w:pStyle w:val="Paragraphedeliste"/>
        <w:numPr>
          <w:ilvl w:val="0"/>
          <w:numId w:val="2"/>
        </w:numPr>
      </w:pPr>
      <w:r w:rsidRPr="00B363AA">
        <w:t>Dans la couche de surface (0-30 cm)</w:t>
      </w:r>
      <w:r w:rsidR="00F47E96" w:rsidRPr="00B363AA">
        <w:t xml:space="preserve"> </w:t>
      </w:r>
      <w:r w:rsidR="008C2404" w:rsidRPr="00B363AA">
        <w:t>:</w:t>
      </w:r>
    </w:p>
    <w:p w14:paraId="5A7AF4B6" w14:textId="08F5FD90" w:rsidR="008C2404" w:rsidRPr="00B363AA" w:rsidRDefault="008C2404" w:rsidP="008C2404">
      <w:pPr>
        <w:pStyle w:val="Paragraphedeliste"/>
        <w:numPr>
          <w:ilvl w:val="1"/>
          <w:numId w:val="2"/>
        </w:numPr>
      </w:pPr>
      <w:r w:rsidRPr="00B363AA">
        <w:t>L</w:t>
      </w:r>
      <w:r w:rsidR="00E62880" w:rsidRPr="00B363AA">
        <w:t>a qualité structurale</w:t>
      </w:r>
      <w:r w:rsidR="007703FA" w:rsidRPr="00B363AA">
        <w:t xml:space="preserve"> (test VESS</w:t>
      </w:r>
      <w:r w:rsidR="00FA72A9" w:rsidRPr="00B363AA">
        <w:t xml:space="preserve"> – Visual Evaluation of Soil Structure</w:t>
      </w:r>
      <w:r w:rsidR="00F17C95" w:rsidRPr="00B363AA">
        <w:t xml:space="preserve">, voir </w:t>
      </w:r>
      <w:r w:rsidR="006A0E40" w:rsidRPr="00B363AA">
        <w:t>Annexe 2 – Indicateurs</w:t>
      </w:r>
      <w:r w:rsidR="007703FA" w:rsidRPr="00B363AA">
        <w:t>)</w:t>
      </w:r>
      <w:r w:rsidR="00E62880" w:rsidRPr="00B363AA">
        <w:t>,</w:t>
      </w:r>
      <w:r w:rsidR="00E56224" w:rsidRPr="00B363AA">
        <w:t xml:space="preserve"> </w:t>
      </w:r>
      <w:r w:rsidR="00A84957" w:rsidRPr="00B363AA">
        <w:t>qui traduit la forme de la structure à un moment donné ;</w:t>
      </w:r>
    </w:p>
    <w:p w14:paraId="5D839A12" w14:textId="177B33E8" w:rsidR="008C2404" w:rsidRPr="00B363AA" w:rsidRDefault="008C2404" w:rsidP="008C2404">
      <w:pPr>
        <w:pStyle w:val="Paragraphedeliste"/>
        <w:numPr>
          <w:ilvl w:val="1"/>
          <w:numId w:val="2"/>
        </w:numPr>
      </w:pPr>
      <w:r w:rsidRPr="00B363AA">
        <w:t>L</w:t>
      </w:r>
      <w:r w:rsidR="00E62880" w:rsidRPr="00B363AA">
        <w:t>a compacité</w:t>
      </w:r>
      <w:r w:rsidR="007703FA" w:rsidRPr="00B363AA">
        <w:t xml:space="preserve"> (masse volumique apparente</w:t>
      </w:r>
      <w:r w:rsidR="00F17C95" w:rsidRPr="00B363AA">
        <w:t xml:space="preserve">, voir </w:t>
      </w:r>
      <w:r w:rsidR="006A0E40" w:rsidRPr="00B363AA">
        <w:t>Annexe 2 – Indicateurs</w:t>
      </w:r>
      <w:r w:rsidR="007703FA" w:rsidRPr="00B363AA">
        <w:t>)</w:t>
      </w:r>
      <w:r w:rsidRPr="00B363AA">
        <w:t> ;</w:t>
      </w:r>
    </w:p>
    <w:p w14:paraId="4DADD8A3" w14:textId="5DC752F9" w:rsidR="00841292" w:rsidRPr="00B363AA" w:rsidRDefault="008C2404" w:rsidP="008C2404">
      <w:pPr>
        <w:pStyle w:val="Paragraphedeliste"/>
        <w:numPr>
          <w:ilvl w:val="1"/>
          <w:numId w:val="2"/>
        </w:numPr>
      </w:pPr>
      <w:r w:rsidRPr="00B363AA">
        <w:t>L</w:t>
      </w:r>
      <w:r w:rsidR="00E62880" w:rsidRPr="00B363AA">
        <w:t>a résilience structurale (rapport carbone organique/argile</w:t>
      </w:r>
      <w:r w:rsidR="00F17C95" w:rsidRPr="00B363AA">
        <w:t xml:space="preserve">, voir </w:t>
      </w:r>
      <w:r w:rsidR="006A0E40" w:rsidRPr="00B363AA">
        <w:t>Annexe 2 – Indicateurs)</w:t>
      </w:r>
      <w:r w:rsidR="00367451" w:rsidRPr="00B363AA">
        <w:t xml:space="preserve">, </w:t>
      </w:r>
      <w:r w:rsidR="00E66B80" w:rsidRPr="00B363AA">
        <w:t xml:space="preserve">soit la capacité du sol à retrouver sa structure initiale </w:t>
      </w:r>
      <w:r w:rsidR="007F75BF" w:rsidRPr="00B363AA">
        <w:t>après une contrainte physique ;</w:t>
      </w:r>
    </w:p>
    <w:p w14:paraId="38857BB2" w14:textId="3077617E" w:rsidR="00840133" w:rsidRPr="00B363AA" w:rsidRDefault="00B621DD" w:rsidP="00840133">
      <w:pPr>
        <w:pStyle w:val="Paragraphedeliste"/>
        <w:numPr>
          <w:ilvl w:val="0"/>
          <w:numId w:val="2"/>
        </w:numPr>
      </w:pPr>
      <w:r w:rsidRPr="00B363AA">
        <w:lastRenderedPageBreak/>
        <w:t xml:space="preserve">Dans </w:t>
      </w:r>
      <w:r w:rsidR="00FA2AF3" w:rsidRPr="00B363AA">
        <w:t xml:space="preserve">l’entièreté du profil (0-100 cm), </w:t>
      </w:r>
      <w:r w:rsidR="00C00DAA" w:rsidRPr="00B363AA">
        <w:t xml:space="preserve">la classe de </w:t>
      </w:r>
      <w:r w:rsidR="00013ECE" w:rsidRPr="00B363AA">
        <w:t>drainage définie selon la légende de la carte des sols de Belgique est également pris</w:t>
      </w:r>
      <w:r w:rsidR="00F06B28" w:rsidRPr="00B363AA">
        <w:t>e</w:t>
      </w:r>
      <w:r w:rsidR="00013ECE" w:rsidRPr="00B363AA">
        <w:t xml:space="preserve"> en compte</w:t>
      </w:r>
      <w:r w:rsidR="00F06B28" w:rsidRPr="00B363AA">
        <w:t xml:space="preserve">. </w:t>
      </w:r>
      <w:r w:rsidR="00C63657" w:rsidRPr="00B363AA">
        <w:t>Elle est évaluée par</w:t>
      </w:r>
      <w:r w:rsidR="00DB5FB8" w:rsidRPr="00B363AA">
        <w:t xml:space="preserve"> la présence éventuelle et, le cas échéant, la profondeur d’apparition,</w:t>
      </w:r>
      <w:r w:rsidR="00521CFC" w:rsidRPr="00B363AA">
        <w:t xml:space="preserve"> de taches d’hydromorphie</w:t>
      </w:r>
      <w:r w:rsidR="00DB5FB8" w:rsidRPr="00B363AA">
        <w:t xml:space="preserve"> </w:t>
      </w:r>
      <w:r w:rsidR="00C63657" w:rsidRPr="00B363AA">
        <w:t>ou d’un horizon complètement réduit</w:t>
      </w:r>
      <w:r w:rsidR="00F47E96" w:rsidRPr="00B363AA">
        <w:t>,</w:t>
      </w:r>
      <w:r w:rsidR="00C63657" w:rsidRPr="00B363AA">
        <w:t xml:space="preserve"> </w:t>
      </w:r>
      <w:r w:rsidR="00DB5FB8" w:rsidRPr="00B363AA">
        <w:t>qui sont le signe d’un drainage</w:t>
      </w:r>
      <w:r w:rsidR="005E4711" w:rsidRPr="00B363AA">
        <w:t xml:space="preserve"> limité</w:t>
      </w:r>
      <w:r w:rsidR="00DB5FB8" w:rsidRPr="00B363AA">
        <w:t>.</w:t>
      </w:r>
    </w:p>
    <w:p w14:paraId="22005729" w14:textId="19BC8C1A" w:rsidR="00B571C3" w:rsidRPr="00B363AA" w:rsidRDefault="00C56B2C">
      <w:pPr>
        <w:pStyle w:val="Titre3"/>
        <w:numPr>
          <w:ilvl w:val="2"/>
          <w:numId w:val="12"/>
        </w:numPr>
      </w:pPr>
      <w:bookmarkStart w:id="87" w:name="_Toc241242963"/>
      <w:r w:rsidRPr="00B363AA">
        <w:t>Contraintes</w:t>
      </w:r>
      <w:bookmarkEnd w:id="87"/>
    </w:p>
    <w:p w14:paraId="2A7D0A29" w14:textId="484E7584" w:rsidR="0064048D" w:rsidRPr="00B363AA" w:rsidRDefault="0064048D">
      <w:pPr>
        <w:pStyle w:val="Titre4"/>
        <w:numPr>
          <w:ilvl w:val="3"/>
          <w:numId w:val="12"/>
        </w:numPr>
      </w:pPr>
      <w:bookmarkStart w:id="88" w:name="_Ref232256841"/>
      <w:r w:rsidRPr="00B363AA">
        <w:t>Pollution</w:t>
      </w:r>
      <w:bookmarkEnd w:id="88"/>
    </w:p>
    <w:p w14:paraId="73F419A7" w14:textId="08C0B7C6" w:rsidR="00353AC1" w:rsidRPr="00B363AA" w:rsidRDefault="44731B40" w:rsidP="0050182F">
      <w:r w:rsidRPr="00B363AA">
        <w:t xml:space="preserve">La pollution représente une contrainte non </w:t>
      </w:r>
      <w:r w:rsidR="5749BEB6" w:rsidRPr="00B363AA">
        <w:t xml:space="preserve">négligeable sur la capacité d’un sol à accueillir une production végétale. </w:t>
      </w:r>
      <w:r w:rsidR="0BFE0236" w:rsidRPr="00B363AA">
        <w:t>L’usage</w:t>
      </w:r>
      <w:r w:rsidR="04B75F01" w:rsidRPr="00B363AA">
        <w:t xml:space="preserve"> du sol </w:t>
      </w:r>
      <w:r w:rsidR="756CF48A" w:rsidRPr="00B363AA">
        <w:t>aura des implications sur la prise en compte de la contrainte pollution.</w:t>
      </w:r>
      <w:r w:rsidR="4E869820" w:rsidRPr="00B363AA">
        <w:t xml:space="preserve"> </w:t>
      </w:r>
      <w:r w:rsidR="7AC2604A" w:rsidRPr="00B363AA">
        <w:t xml:space="preserve">En effet, lorsque la production a une finalité alimentaire, </w:t>
      </w:r>
      <w:r w:rsidR="4464BB90" w:rsidRPr="00B363AA">
        <w:t>les valeurs de risque fixeront l’adéquation ou non d’un sol avec</w:t>
      </w:r>
      <w:r w:rsidR="69694E69" w:rsidRPr="00B363AA">
        <w:t xml:space="preserve"> </w:t>
      </w:r>
      <w:r w:rsidR="00BC4433" w:rsidRPr="00B363AA">
        <w:t xml:space="preserve">la finalité d’utilisation des produits issus de sa mise en culture : </w:t>
      </w:r>
      <w:r w:rsidR="0D900D50" w:rsidRPr="00B363AA">
        <w:t>commercialisation (cas des usages</w:t>
      </w:r>
      <w:r w:rsidR="00980370" w:rsidRPr="00B363AA">
        <w:t xml:space="preserve"> de</w:t>
      </w:r>
      <w:r w:rsidR="0D900D50" w:rsidRPr="00B363AA">
        <w:t xml:space="preserve"> type II</w:t>
      </w:r>
      <w:r w:rsidR="005C7F85" w:rsidRPr="00B363AA">
        <w:t xml:space="preserve"> </w:t>
      </w:r>
      <w:r w:rsidR="00BC4433" w:rsidRPr="00B363AA">
        <w:t>Agricole au sens du Décret sols</w:t>
      </w:r>
      <w:r w:rsidR="0D900D50" w:rsidRPr="00B363AA">
        <w:t xml:space="preserve">) ou </w:t>
      </w:r>
      <w:r w:rsidR="29C8E148" w:rsidRPr="00B363AA">
        <w:t>consommation</w:t>
      </w:r>
      <w:r w:rsidR="0D900D50" w:rsidRPr="00B363AA">
        <w:t xml:space="preserve"> (</w:t>
      </w:r>
      <w:r w:rsidR="006D76EE" w:rsidRPr="00B363AA">
        <w:t xml:space="preserve">cas des potagers, </w:t>
      </w:r>
      <w:r w:rsidR="0D900D50" w:rsidRPr="00B363AA">
        <w:t xml:space="preserve">usages </w:t>
      </w:r>
      <w:r w:rsidR="00980370" w:rsidRPr="00B363AA">
        <w:t xml:space="preserve">de </w:t>
      </w:r>
      <w:r w:rsidR="0D900D50" w:rsidRPr="00B363AA">
        <w:t>type III</w:t>
      </w:r>
      <w:r w:rsidR="00BC4433" w:rsidRPr="00B363AA">
        <w:t xml:space="preserve"> Résidentiel au sens du Décret sols</w:t>
      </w:r>
      <w:r w:rsidR="0D900D50" w:rsidRPr="00B363AA">
        <w:t>)</w:t>
      </w:r>
      <w:r w:rsidR="4464BB90" w:rsidRPr="00B363AA">
        <w:t>.</w:t>
      </w:r>
      <w:r w:rsidR="69694E69" w:rsidRPr="00B363AA">
        <w:t xml:space="preserve"> Pour les productions non-alimentaires, ce sont les valeurs de risque liées à l’exploita</w:t>
      </w:r>
      <w:r w:rsidR="2FFD9AEA" w:rsidRPr="00B363AA">
        <w:t>tion du sol (sélection des voies d’exposition</w:t>
      </w:r>
      <w:r w:rsidR="1FCFA236" w:rsidRPr="00B363AA">
        <w:t>, comme</w:t>
      </w:r>
      <w:r w:rsidR="2FFD9AEA" w:rsidRPr="00B363AA">
        <w:t xml:space="preserve"> </w:t>
      </w:r>
      <w:r w:rsidR="1C830AE7" w:rsidRPr="00B363AA">
        <w:t>l’</w:t>
      </w:r>
      <w:r w:rsidR="2FFD9AEA" w:rsidRPr="00B363AA">
        <w:t xml:space="preserve">ingestion de poussières) </w:t>
      </w:r>
      <w:r w:rsidR="418ED062" w:rsidRPr="00B363AA">
        <w:t>qui sont prises en compte</w:t>
      </w:r>
      <w:r w:rsidR="5749BEB6" w:rsidRPr="00B363AA">
        <w:t xml:space="preserve"> (voir </w:t>
      </w:r>
      <w:r w:rsidR="00493508" w:rsidRPr="00B363AA">
        <w:t>Annexe 2 – Indicateurs</w:t>
      </w:r>
      <w:r w:rsidR="5749BEB6" w:rsidRPr="00B363AA">
        <w:t>)</w:t>
      </w:r>
      <w:r w:rsidR="418ED062" w:rsidRPr="00B363AA">
        <w:t>.</w:t>
      </w:r>
      <w:bookmarkStart w:id="89" w:name="_Toc230267096"/>
      <w:bookmarkStart w:id="90" w:name="_Toc230268352"/>
      <w:bookmarkStart w:id="91" w:name="_Toc230268432"/>
      <w:bookmarkEnd w:id="89"/>
      <w:bookmarkEnd w:id="90"/>
      <w:bookmarkEnd w:id="91"/>
    </w:p>
    <w:p w14:paraId="138E9211" w14:textId="79BABE58" w:rsidR="004456AF" w:rsidRPr="00B363AA" w:rsidRDefault="006F040B">
      <w:pPr>
        <w:pStyle w:val="Titre4"/>
        <w:numPr>
          <w:ilvl w:val="3"/>
          <w:numId w:val="12"/>
        </w:numPr>
      </w:pPr>
      <w:r w:rsidRPr="00B363AA">
        <w:t>P</w:t>
      </w:r>
      <w:r w:rsidR="00D00534" w:rsidRPr="00B363AA">
        <w:t>résence d’espèces exotiques envahissantes</w:t>
      </w:r>
    </w:p>
    <w:p w14:paraId="31F04B34" w14:textId="3482C04A" w:rsidR="0064048D" w:rsidRPr="00B363AA" w:rsidRDefault="00067261" w:rsidP="0064048D">
      <w:r w:rsidRPr="00B363AA">
        <w:t xml:space="preserve">La présence d’un massif </w:t>
      </w:r>
      <w:r w:rsidR="37103F2D" w:rsidRPr="00B363AA">
        <w:t xml:space="preserve">de plantes </w:t>
      </w:r>
      <w:r w:rsidRPr="00B363AA">
        <w:t xml:space="preserve">exotiques envahissantes </w:t>
      </w:r>
      <w:r w:rsidR="004E2488" w:rsidRPr="00B363AA">
        <w:t xml:space="preserve">sera </w:t>
      </w:r>
      <w:r w:rsidR="001D46FB" w:rsidRPr="00B363AA">
        <w:t>déclassant</w:t>
      </w:r>
      <w:r w:rsidR="004E2488" w:rsidRPr="00B363AA">
        <w:t xml:space="preserve"> pour le </w:t>
      </w:r>
      <w:r w:rsidR="002B7C20" w:rsidRPr="00B363AA">
        <w:t>service écosystémique</w:t>
      </w:r>
      <w:r w:rsidR="004E2488" w:rsidRPr="00B363AA">
        <w:t xml:space="preserve"> </w:t>
      </w:r>
      <w:r w:rsidR="000436F2" w:rsidRPr="00B363AA">
        <w:rPr>
          <w:i/>
          <w:iCs/>
        </w:rPr>
        <w:t>P</w:t>
      </w:r>
      <w:r w:rsidR="004E2488" w:rsidRPr="00B363AA">
        <w:rPr>
          <w:i/>
          <w:iCs/>
        </w:rPr>
        <w:t>roduction</w:t>
      </w:r>
      <w:r w:rsidR="004E2488" w:rsidRPr="00B363AA">
        <w:t xml:space="preserve">. En effet, </w:t>
      </w:r>
      <w:r w:rsidR="00874847" w:rsidRPr="00B363AA">
        <w:t xml:space="preserve">la compétition qu’entraîne ces espèces et </w:t>
      </w:r>
      <w:r w:rsidR="004E2488" w:rsidRPr="00B363AA">
        <w:t>la difficulté liée à l</w:t>
      </w:r>
      <w:r w:rsidR="00874847" w:rsidRPr="00B363AA">
        <w:t xml:space="preserve">eur </w:t>
      </w:r>
      <w:r w:rsidR="004E2488" w:rsidRPr="00B363AA">
        <w:t xml:space="preserve">élimination </w:t>
      </w:r>
      <w:r w:rsidR="00874847" w:rsidRPr="00B363AA">
        <w:t>inhibe la capacité du sol à soutenir une production</w:t>
      </w:r>
      <w:r w:rsidR="009838F5" w:rsidRPr="00B363AA">
        <w:t>.</w:t>
      </w:r>
      <w:r w:rsidR="00470F36" w:rsidRPr="00B363AA">
        <w:t xml:space="preserve"> La méthode de calcul du coefficient de contrainte est présentée dans </w:t>
      </w:r>
      <w:r w:rsidR="00493508" w:rsidRPr="00B363AA">
        <w:t>l’Annexe 2 – Indicateurs</w:t>
      </w:r>
      <w:r w:rsidR="0D429C5E" w:rsidRPr="00B363AA">
        <w:t>.</w:t>
      </w:r>
    </w:p>
    <w:p w14:paraId="64D70D83" w14:textId="2D5E7C31" w:rsidR="005D6D0A" w:rsidRPr="00B363AA" w:rsidRDefault="00EC376A">
      <w:pPr>
        <w:pStyle w:val="Titre3"/>
        <w:numPr>
          <w:ilvl w:val="2"/>
          <w:numId w:val="12"/>
        </w:numPr>
      </w:pPr>
      <w:bookmarkStart w:id="92" w:name="_Toc241242964"/>
      <w:r w:rsidRPr="00B363AA">
        <w:t>Compléments indicatifs</w:t>
      </w:r>
      <w:bookmarkEnd w:id="92"/>
    </w:p>
    <w:p w14:paraId="595BF2D5" w14:textId="02CD1191" w:rsidR="00E97F50" w:rsidRPr="00B363AA" w:rsidRDefault="00C53FA1">
      <w:pPr>
        <w:pStyle w:val="Titre4"/>
        <w:numPr>
          <w:ilvl w:val="3"/>
          <w:numId w:val="12"/>
        </w:numPr>
      </w:pPr>
      <w:r w:rsidRPr="00B363AA">
        <w:t>Érodibilité du sol</w:t>
      </w:r>
      <w:r w:rsidR="000436F2" w:rsidRPr="00B363AA">
        <w:t xml:space="preserve"> (cultures)</w:t>
      </w:r>
    </w:p>
    <w:p w14:paraId="778D37AC" w14:textId="7EFB27E1" w:rsidR="00A91D1E" w:rsidRPr="00B363AA" w:rsidRDefault="03260910" w:rsidP="009C2BC8">
      <w:r w:rsidRPr="00B363AA">
        <w:t xml:space="preserve">L’utilisation d’un sol à visée de production agricole (cultures) actuelle ou projetée peut entraîner, </w:t>
      </w:r>
      <w:r w:rsidR="771F2FA3" w:rsidRPr="00B363AA">
        <w:t xml:space="preserve">à travers les pratiques de gestion classique d’une parcelle, une sensibilité à l’érosion accrue. En effet, </w:t>
      </w:r>
      <w:r w:rsidR="21280972" w:rsidRPr="00B363AA">
        <w:t>en plus d</w:t>
      </w:r>
      <w:r w:rsidR="4C7739CE" w:rsidRPr="00B363AA">
        <w:t xml:space="preserve">e la pratique potentielle du labour, </w:t>
      </w:r>
      <w:r w:rsidR="2DF33BF2" w:rsidRPr="00B363AA">
        <w:t xml:space="preserve">il est courant que des sols agricoles </w:t>
      </w:r>
      <w:r w:rsidR="6ED00CFD" w:rsidRPr="00B363AA">
        <w:t>soient temporairement nus (phases d’intercultures), ce qui les rend particulièrement vulnérables à l’érosion.</w:t>
      </w:r>
      <w:r w:rsidR="568B2AEC" w:rsidRPr="00B363AA">
        <w:t xml:space="preserve"> L’érodibilité du sol peut s’estimer </w:t>
      </w:r>
      <w:r w:rsidR="49758E14" w:rsidRPr="00B363AA">
        <w:t xml:space="preserve">sur base de la texture, de la </w:t>
      </w:r>
      <w:r w:rsidR="19581901" w:rsidRPr="00B363AA">
        <w:t>teneur en matière organique,</w:t>
      </w:r>
      <w:r w:rsidR="49758E14" w:rsidRPr="00B363AA">
        <w:t xml:space="preserve"> de la qualité</w:t>
      </w:r>
      <w:r w:rsidR="19581901" w:rsidRPr="00B363AA">
        <w:t xml:space="preserve"> structur</w:t>
      </w:r>
      <w:r w:rsidR="49758E14" w:rsidRPr="00B363AA">
        <w:t>ale</w:t>
      </w:r>
      <w:r w:rsidR="04785495" w:rsidRPr="00B363AA">
        <w:t xml:space="preserve"> et de la </w:t>
      </w:r>
      <w:r w:rsidR="19581901" w:rsidRPr="00B363AA">
        <w:t>perméabilité</w:t>
      </w:r>
      <w:r w:rsidR="04785495" w:rsidRPr="00B363AA">
        <w:t xml:space="preserve"> (voir </w:t>
      </w:r>
      <w:r w:rsidR="00493508" w:rsidRPr="00B363AA">
        <w:t>Annexe 2 – Indicateurs</w:t>
      </w:r>
      <w:r w:rsidR="04785495" w:rsidRPr="00B363AA">
        <w:t>).</w:t>
      </w:r>
      <w:r w:rsidR="536FC708" w:rsidRPr="00B363AA">
        <w:t xml:space="preserve"> </w:t>
      </w:r>
      <w:r w:rsidR="25051F02" w:rsidRPr="00B363AA">
        <w:t xml:space="preserve">En cas de sensibilité à l’érosion élevée, </w:t>
      </w:r>
      <w:r w:rsidR="6B2C2674" w:rsidRPr="00B363AA">
        <w:t xml:space="preserve">il est conseillé de mettre en place des mesures de gestion adaptées (couvert </w:t>
      </w:r>
      <w:r w:rsidR="07DBE49C" w:rsidRPr="00B363AA">
        <w:t>d’interculture, réduction de l’intensité ou de la profondeur du travail du sol</w:t>
      </w:r>
      <w:r w:rsidR="16FD4199" w:rsidRPr="00B363AA">
        <w:t>,</w:t>
      </w:r>
      <w:r w:rsidR="07DBE49C" w:rsidRPr="00B363AA">
        <w:t xml:space="preserve"> etc.)</w:t>
      </w:r>
    </w:p>
    <w:p w14:paraId="38963856" w14:textId="508BC727" w:rsidR="009C2BC8" w:rsidRPr="00B363AA" w:rsidRDefault="00F234FE">
      <w:pPr>
        <w:pStyle w:val="Titre4"/>
        <w:numPr>
          <w:ilvl w:val="3"/>
          <w:numId w:val="12"/>
        </w:numPr>
      </w:pPr>
      <w:r w:rsidRPr="00B363AA">
        <w:t>Sol superficiel</w:t>
      </w:r>
      <w:r w:rsidR="0095330B" w:rsidRPr="00B363AA">
        <w:t xml:space="preserve"> et pente</w:t>
      </w:r>
      <w:r w:rsidR="00EE29C9" w:rsidRPr="00B363AA">
        <w:t xml:space="preserve"> </w:t>
      </w:r>
      <w:r w:rsidR="001F3BCE" w:rsidRPr="00B363AA">
        <w:t>forte</w:t>
      </w:r>
      <w:r w:rsidR="000436F2" w:rsidRPr="00B363AA">
        <w:t xml:space="preserve"> (cultures)</w:t>
      </w:r>
    </w:p>
    <w:p w14:paraId="5B71CEFC" w14:textId="3CFE48CF" w:rsidR="00D40AF6" w:rsidRPr="00B363AA" w:rsidRDefault="00D40AF6" w:rsidP="00D40AF6">
      <w:r w:rsidRPr="00B363AA">
        <w:t xml:space="preserve">Dans le cas d’un usage actuel ou projeté en tant que terre de culture, </w:t>
      </w:r>
      <w:r w:rsidR="005A129E" w:rsidRPr="00B363AA">
        <w:t>les facteurs suivants doivent être pris en compte</w:t>
      </w:r>
      <w:r w:rsidR="00F502B7" w:rsidRPr="00B363AA">
        <w:t xml:space="preserve"> </w:t>
      </w:r>
      <w:r w:rsidR="005A129E" w:rsidRPr="00B363AA">
        <w:t xml:space="preserve">: la pente et </w:t>
      </w:r>
      <w:r w:rsidR="0095330B" w:rsidRPr="00B363AA">
        <w:t xml:space="preserve">la charge en </w:t>
      </w:r>
      <w:r w:rsidR="005A129E" w:rsidRPr="00B363AA">
        <w:t xml:space="preserve">éléments grossiers. En effet, </w:t>
      </w:r>
      <w:r w:rsidR="00BA1523" w:rsidRPr="00B363AA">
        <w:t xml:space="preserve">une forte pente ou une charge en éléments grossiers élevée </w:t>
      </w:r>
      <w:r w:rsidR="00EE29C9" w:rsidRPr="00B363AA">
        <w:t xml:space="preserve">dans le sol de surface </w:t>
      </w:r>
      <w:r w:rsidR="00461B54" w:rsidRPr="00B363AA">
        <w:t xml:space="preserve">peuvent représenter des contraintes </w:t>
      </w:r>
      <w:r w:rsidR="00FD391F" w:rsidRPr="00B363AA">
        <w:t xml:space="preserve">aux pratiques de gestion classiquement employées sur des sols agricoles (mécanisation). </w:t>
      </w:r>
      <w:r w:rsidR="00F502B7" w:rsidRPr="00B363AA">
        <w:t>En cas de changement d’usage envisagé, il est important de mettre en évidence la présence éventuelle de telles contraintes à l’exploitabilité.</w:t>
      </w:r>
    </w:p>
    <w:p w14:paraId="7B0855E7" w14:textId="77777777" w:rsidR="00DB48C0" w:rsidRPr="00B363AA" w:rsidRDefault="00DB48C0">
      <w:pPr>
        <w:pStyle w:val="Titre4"/>
        <w:numPr>
          <w:ilvl w:val="3"/>
          <w:numId w:val="12"/>
        </w:numPr>
      </w:pPr>
      <w:r w:rsidRPr="00B363AA">
        <w:t>Stabilité structurale (cultures)</w:t>
      </w:r>
    </w:p>
    <w:p w14:paraId="09D47981" w14:textId="77777777" w:rsidR="00DB48C0" w:rsidRPr="00B363AA" w:rsidRDefault="00DB48C0" w:rsidP="00DB48C0">
      <w:r w:rsidRPr="00B363AA">
        <w:t>La mesure de la stabilité structurale (Quanti-</w:t>
      </w:r>
      <w:proofErr w:type="spellStart"/>
      <w:r w:rsidRPr="00B363AA">
        <w:t>Slake</w:t>
      </w:r>
      <w:proofErr w:type="spellEnd"/>
      <w:r w:rsidRPr="00B363AA">
        <w:t xml:space="preserve"> test) peut se justifier dans un contexte agricole (terre arable). Le résultat de ce test peut être intégré au diagnostic mais sans se voir attribuer un score.</w:t>
      </w:r>
    </w:p>
    <w:p w14:paraId="3C93DC96" w14:textId="77777777" w:rsidR="00DB48C0" w:rsidRPr="00B363AA" w:rsidRDefault="00DB48C0" w:rsidP="00D40AF6"/>
    <w:p w14:paraId="61D0F9C1" w14:textId="037E221A" w:rsidR="00C82D0E" w:rsidRPr="00B363AA" w:rsidRDefault="00C82D0E">
      <w:pPr>
        <w:pStyle w:val="Titre3"/>
        <w:numPr>
          <w:ilvl w:val="2"/>
          <w:numId w:val="12"/>
        </w:numPr>
      </w:pPr>
      <w:bookmarkStart w:id="93" w:name="_Toc241242965"/>
      <w:r w:rsidRPr="00B363AA">
        <w:lastRenderedPageBreak/>
        <w:t xml:space="preserve">Schéma général d’évaluation du </w:t>
      </w:r>
      <w:r w:rsidR="002B7C20" w:rsidRPr="00B363AA">
        <w:t>service</w:t>
      </w:r>
      <w:bookmarkEnd w:id="93"/>
    </w:p>
    <w:p w14:paraId="670BC946" w14:textId="306E2BDD" w:rsidR="00C12279" w:rsidRPr="00B363AA" w:rsidRDefault="00C12279" w:rsidP="00C12279">
      <w:r w:rsidRPr="00B363AA">
        <w:t xml:space="preserve">Le schéma </w:t>
      </w:r>
      <w:r w:rsidR="00FE3E28" w:rsidRPr="00B363AA">
        <w:t xml:space="preserve">présenté en </w:t>
      </w:r>
      <w:r w:rsidR="00FE3E28" w:rsidRPr="00B363AA">
        <w:fldChar w:fldCharType="begin"/>
      </w:r>
      <w:r w:rsidR="00FE3E28" w:rsidRPr="00B363AA">
        <w:instrText xml:space="preserve"> REF _Ref233114568 \h  \* MERGEFORMAT </w:instrText>
      </w:r>
      <w:r w:rsidR="00FE3E28" w:rsidRPr="00B363AA">
        <w:fldChar w:fldCharType="separate"/>
      </w:r>
      <w:r w:rsidR="001C792E" w:rsidRPr="00B363AA">
        <w:t>Figure 7</w:t>
      </w:r>
      <w:r w:rsidR="00FE3E28" w:rsidRPr="00B363AA">
        <w:fldChar w:fldCharType="end"/>
      </w:r>
      <w:r w:rsidR="00FE3E28" w:rsidRPr="00B363AA">
        <w:t xml:space="preserve"> </w:t>
      </w:r>
      <w:r w:rsidRPr="00B363AA">
        <w:t xml:space="preserve">détaille les paramètres et indicateurs pris en compte dans </w:t>
      </w:r>
      <w:r w:rsidR="00C73B42" w:rsidRPr="00B363AA">
        <w:t xml:space="preserve">l’évaluation du </w:t>
      </w:r>
      <w:r w:rsidR="002B7C20" w:rsidRPr="00B363AA">
        <w:t>service écosystémique</w:t>
      </w:r>
      <w:r w:rsidR="00C73B42" w:rsidRPr="00B363AA">
        <w:t xml:space="preserve"> </w:t>
      </w:r>
      <w:r w:rsidR="00D41D36" w:rsidRPr="00B363AA">
        <w:rPr>
          <w:i/>
          <w:iCs/>
        </w:rPr>
        <w:t>P</w:t>
      </w:r>
      <w:r w:rsidR="00C73B42" w:rsidRPr="00B363AA">
        <w:rPr>
          <w:i/>
          <w:iCs/>
        </w:rPr>
        <w:t>roduction de biomasse</w:t>
      </w:r>
      <w:r w:rsidR="00C73B42" w:rsidRPr="00B363AA">
        <w:t>.</w:t>
      </w:r>
    </w:p>
    <w:p w14:paraId="33A2F147" w14:textId="25639774" w:rsidR="0032669B" w:rsidRPr="00B363AA" w:rsidRDefault="00F3273C" w:rsidP="00F3273C">
      <w:r w:rsidRPr="00B363AA">
        <w:rPr>
          <w:noProof/>
        </w:rPr>
        <w:drawing>
          <wp:inline distT="0" distB="0" distL="0" distR="0" wp14:anchorId="63E401D3" wp14:editId="7EC9B093">
            <wp:extent cx="5801014" cy="2208479"/>
            <wp:effectExtent l="0" t="0" r="0" b="1905"/>
            <wp:docPr id="14725293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29367" name=""/>
                    <pic:cNvPicPr/>
                  </pic:nvPicPr>
                  <pic:blipFill>
                    <a:blip r:embed="rId27"/>
                    <a:stretch>
                      <a:fillRect/>
                    </a:stretch>
                  </pic:blipFill>
                  <pic:spPr>
                    <a:xfrm>
                      <a:off x="0" y="0"/>
                      <a:ext cx="5811466" cy="2212458"/>
                    </a:xfrm>
                    <a:prstGeom prst="rect">
                      <a:avLst/>
                    </a:prstGeom>
                  </pic:spPr>
                </pic:pic>
              </a:graphicData>
            </a:graphic>
          </wp:inline>
        </w:drawing>
      </w:r>
    </w:p>
    <w:p w14:paraId="1175277B" w14:textId="3E69680D" w:rsidR="00C82D0E" w:rsidRPr="00B363AA" w:rsidRDefault="0032669B" w:rsidP="0032669B">
      <w:pPr>
        <w:pStyle w:val="Lgende"/>
        <w:jc w:val="center"/>
      </w:pPr>
      <w:bookmarkStart w:id="94" w:name="_Ref233114568"/>
      <w:bookmarkStart w:id="95" w:name="_Toc241229822"/>
      <w:r w:rsidRPr="00B363AA">
        <w:rPr>
          <w:i w:val="0"/>
          <w:iCs w:val="0"/>
        </w:rPr>
        <w:t xml:space="preserve">Figure </w:t>
      </w:r>
      <w:r w:rsidRPr="00B363AA">
        <w:rPr>
          <w:i w:val="0"/>
          <w:iCs w:val="0"/>
        </w:rPr>
        <w:fldChar w:fldCharType="begin"/>
      </w:r>
      <w:r w:rsidRPr="00B363AA">
        <w:rPr>
          <w:i w:val="0"/>
          <w:iCs w:val="0"/>
        </w:rPr>
        <w:instrText xml:space="preserve"> SEQ Figure \* ARABIC </w:instrText>
      </w:r>
      <w:r w:rsidRPr="00B363AA">
        <w:rPr>
          <w:i w:val="0"/>
          <w:iCs w:val="0"/>
        </w:rPr>
        <w:fldChar w:fldCharType="separate"/>
      </w:r>
      <w:r w:rsidR="00F3273C" w:rsidRPr="00B363AA">
        <w:rPr>
          <w:i w:val="0"/>
          <w:iCs w:val="0"/>
        </w:rPr>
        <w:t>7</w:t>
      </w:r>
      <w:r w:rsidRPr="00B363AA">
        <w:rPr>
          <w:i w:val="0"/>
          <w:iCs w:val="0"/>
        </w:rPr>
        <w:fldChar w:fldCharType="end"/>
      </w:r>
      <w:bookmarkEnd w:id="94"/>
      <w:r w:rsidRPr="00B363AA">
        <w:rPr>
          <w:i w:val="0"/>
          <w:iCs w:val="0"/>
        </w:rPr>
        <w:t xml:space="preserve"> : Schéma général d'évaluation du </w:t>
      </w:r>
      <w:r w:rsidR="002B7C20" w:rsidRPr="00B363AA">
        <w:rPr>
          <w:i w:val="0"/>
          <w:iCs w:val="0"/>
        </w:rPr>
        <w:t>service écosystémique</w:t>
      </w:r>
      <w:r w:rsidRPr="00B363AA">
        <w:t xml:space="preserve"> Production</w:t>
      </w:r>
      <w:r w:rsidR="00DD77DB" w:rsidRPr="00B363AA">
        <w:t xml:space="preserve"> de biomasse</w:t>
      </w:r>
      <w:bookmarkEnd w:id="95"/>
    </w:p>
    <w:p w14:paraId="47FA2101" w14:textId="77777777" w:rsidR="00C82D0E" w:rsidRPr="00B363AA" w:rsidRDefault="00C82D0E" w:rsidP="0064048D"/>
    <w:p w14:paraId="6D24E6C3" w14:textId="083B44AB" w:rsidR="00C66A0D" w:rsidRPr="00B363AA" w:rsidRDefault="00C66A0D">
      <w:pPr>
        <w:pStyle w:val="Titre3"/>
        <w:numPr>
          <w:ilvl w:val="2"/>
          <w:numId w:val="12"/>
        </w:numPr>
      </w:pPr>
      <w:bookmarkStart w:id="96" w:name="_Ref232206638"/>
      <w:bookmarkStart w:id="97" w:name="_Toc241242966"/>
      <w:r w:rsidRPr="00B363AA">
        <w:t>Distinctions en fonction de l’usage</w:t>
      </w:r>
      <w:bookmarkEnd w:id="96"/>
      <w:bookmarkEnd w:id="97"/>
    </w:p>
    <w:p w14:paraId="145FEF81" w14:textId="34580984" w:rsidR="004024B7" w:rsidRPr="00B363AA" w:rsidRDefault="00390055" w:rsidP="004024B7">
      <w:bookmarkStart w:id="98" w:name="_Toc230267097"/>
      <w:r w:rsidRPr="00B363AA">
        <w:t xml:space="preserve">Comme explicité au point </w:t>
      </w:r>
      <w:r w:rsidR="004B7436" w:rsidRPr="00B363AA">
        <w:fldChar w:fldCharType="begin"/>
      </w:r>
      <w:r w:rsidR="004B7436" w:rsidRPr="00B363AA">
        <w:instrText xml:space="preserve"> REF _Ref232206889 \r \h </w:instrText>
      </w:r>
      <w:r w:rsidR="007050FD" w:rsidRPr="00B363AA">
        <w:instrText xml:space="preserve"> \* MERGEFORMAT </w:instrText>
      </w:r>
      <w:r w:rsidR="004B7436" w:rsidRPr="00B363AA">
        <w:fldChar w:fldCharType="separate"/>
      </w:r>
      <w:r w:rsidR="007050FD" w:rsidRPr="00B363AA">
        <w:t>3.3</w:t>
      </w:r>
      <w:r w:rsidR="004B7436" w:rsidRPr="00B363AA">
        <w:fldChar w:fldCharType="end"/>
      </w:r>
      <w:r w:rsidRPr="00B363AA">
        <w:t xml:space="preserve">, le même set de paramètres </w:t>
      </w:r>
      <w:r w:rsidR="64D9B97D" w:rsidRPr="00B363AA">
        <w:t>est</w:t>
      </w:r>
      <w:r w:rsidRPr="00B363AA">
        <w:t xml:space="preserve"> mesuré</w:t>
      </w:r>
      <w:r w:rsidR="64D9B97D" w:rsidRPr="00B363AA">
        <w:t xml:space="preserve"> indépendamment de l’usage du sol et du type de production</w:t>
      </w:r>
      <w:r w:rsidR="182AAB69" w:rsidRPr="00B363AA">
        <w:t>.</w:t>
      </w:r>
      <w:r w:rsidRPr="00B363AA">
        <w:t xml:space="preserve"> Toutefois, </w:t>
      </w:r>
      <w:r w:rsidR="005B7295" w:rsidRPr="00B363AA">
        <w:t xml:space="preserve">au niveau de l’interprétation des résultats, </w:t>
      </w:r>
      <w:r w:rsidRPr="00B363AA">
        <w:t xml:space="preserve">une distinction </w:t>
      </w:r>
      <w:r w:rsidR="64D9B97D" w:rsidRPr="00B363AA">
        <w:t>est</w:t>
      </w:r>
      <w:r w:rsidR="182AAB69" w:rsidRPr="00B363AA">
        <w:t xml:space="preserve"> faite en fonction des types de </w:t>
      </w:r>
      <w:r w:rsidR="1F8D3B20" w:rsidRPr="00B363AA">
        <w:t>production (culture, prairie, forêt et espaces verts)</w:t>
      </w:r>
      <w:r w:rsidR="3A1E4F66" w:rsidRPr="00B363AA">
        <w:t xml:space="preserve"> et de la finalité de la production (alimentaire </w:t>
      </w:r>
      <w:r w:rsidR="3A1E4F66" w:rsidRPr="00B363AA">
        <w:rPr>
          <w:i/>
          <w:iCs/>
        </w:rPr>
        <w:t>vs</w:t>
      </w:r>
      <w:r w:rsidR="3A1E4F66" w:rsidRPr="00B363AA">
        <w:t xml:space="preserve"> non-alimentaire)</w:t>
      </w:r>
      <w:r w:rsidR="76D37DB9" w:rsidRPr="00B363AA">
        <w:t>.</w:t>
      </w:r>
    </w:p>
    <w:p w14:paraId="399C3427" w14:textId="1AA19EB2" w:rsidR="00053AB4" w:rsidRPr="00B363AA" w:rsidRDefault="15367703" w:rsidP="005643F0">
      <w:r w:rsidRPr="00B363AA">
        <w:t>C</w:t>
      </w:r>
      <w:r w:rsidR="182AAB69" w:rsidRPr="00B363AA">
        <w:t>hacun</w:t>
      </w:r>
      <w:r w:rsidR="00390055" w:rsidRPr="00B363AA">
        <w:t xml:space="preserve"> de ces </w:t>
      </w:r>
      <w:r w:rsidR="2CF4067D" w:rsidRPr="00B363AA">
        <w:t>typ</w:t>
      </w:r>
      <w:r w:rsidR="182AAB69" w:rsidRPr="00B363AA">
        <w:t>es</w:t>
      </w:r>
      <w:r w:rsidRPr="00B363AA">
        <w:t xml:space="preserve"> de production</w:t>
      </w:r>
      <w:r w:rsidR="182AAB69" w:rsidRPr="00B363AA">
        <w:t xml:space="preserve"> </w:t>
      </w:r>
      <w:r w:rsidRPr="00B363AA">
        <w:t>s’est vu attribuer</w:t>
      </w:r>
      <w:r w:rsidR="00390055" w:rsidRPr="00B363AA">
        <w:t xml:space="preserve"> des seuils d’interprétation des paramètres </w:t>
      </w:r>
      <w:r w:rsidR="005643F0" w:rsidRPr="00B363AA">
        <w:t xml:space="preserve">et des référentiels </w:t>
      </w:r>
      <w:r w:rsidR="00390055" w:rsidRPr="00B363AA">
        <w:t>qui lui sont propres</w:t>
      </w:r>
      <w:r w:rsidR="005643F0" w:rsidRPr="00B363AA">
        <w:t>. P</w:t>
      </w:r>
      <w:r w:rsidR="00390055" w:rsidRPr="00B363AA">
        <w:t xml:space="preserve">ar exemple, le niveau d’exigence concernant le stock </w:t>
      </w:r>
      <w:r w:rsidR="769FC54C" w:rsidRPr="00B363AA">
        <w:t xml:space="preserve">en éléments </w:t>
      </w:r>
      <w:r w:rsidR="182AAB69" w:rsidRPr="00B363AA">
        <w:t>nutritif</w:t>
      </w:r>
      <w:r w:rsidR="769FC54C" w:rsidRPr="00B363AA">
        <w:t>s</w:t>
      </w:r>
      <w:r w:rsidR="00390055" w:rsidRPr="00B363AA">
        <w:t xml:space="preserve"> sera différent en forêt (seuils permissifs car </w:t>
      </w:r>
      <w:r w:rsidR="00722729" w:rsidRPr="00B363AA">
        <w:t xml:space="preserve">dimension peu contraignante </w:t>
      </w:r>
      <w:r w:rsidR="009E5978" w:rsidRPr="00B363AA">
        <w:t>pour l’établissement d’un peuplement</w:t>
      </w:r>
      <w:r w:rsidR="7D3BD201" w:rsidRPr="00B363AA">
        <w:t>, qu’on choisira en adéquation avec le terroir</w:t>
      </w:r>
      <w:r w:rsidR="009E5978" w:rsidRPr="00B363AA">
        <w:t xml:space="preserve">) </w:t>
      </w:r>
      <w:r w:rsidR="380AFB16" w:rsidRPr="00B363AA">
        <w:t xml:space="preserve">et en </w:t>
      </w:r>
      <w:r w:rsidR="009204FC" w:rsidRPr="00B363AA">
        <w:t>culture</w:t>
      </w:r>
      <w:r w:rsidR="3EE8636A" w:rsidRPr="00B363AA">
        <w:t xml:space="preserve"> </w:t>
      </w:r>
      <w:r w:rsidR="00390055" w:rsidRPr="00B363AA">
        <w:t xml:space="preserve">(seuils basés sur des référentiels spécifiques </w:t>
      </w:r>
      <w:r w:rsidR="794DD5A2" w:rsidRPr="00B363AA">
        <w:t xml:space="preserve">et </w:t>
      </w:r>
      <w:r w:rsidR="00635881" w:rsidRPr="00B363AA">
        <w:t>exigeants</w:t>
      </w:r>
      <w:r w:rsidR="00390055" w:rsidRPr="00B363AA">
        <w:t xml:space="preserve">). </w:t>
      </w:r>
    </w:p>
    <w:p w14:paraId="15DE2B05" w14:textId="77777777" w:rsidR="000B29F6" w:rsidRPr="00B363AA" w:rsidRDefault="2033F67C" w:rsidP="005E5327">
      <w:r w:rsidRPr="00B363AA">
        <w:t>Chaque</w:t>
      </w:r>
      <w:r w:rsidR="55994575" w:rsidRPr="00B363AA">
        <w:t xml:space="preserve"> finalité de la production</w:t>
      </w:r>
      <w:r w:rsidR="78355DEF" w:rsidRPr="00B363AA">
        <w:t xml:space="preserve"> </w:t>
      </w:r>
      <w:r w:rsidR="005E2A10" w:rsidRPr="00B363AA">
        <w:t xml:space="preserve">(alimentaire ou </w:t>
      </w:r>
      <w:r w:rsidR="7E0BC475" w:rsidRPr="00B363AA">
        <w:t>non alimentaire</w:t>
      </w:r>
      <w:r w:rsidR="35806984" w:rsidRPr="00B363AA">
        <w:t>)</w:t>
      </w:r>
      <w:r w:rsidR="67B42001" w:rsidRPr="00B363AA">
        <w:t xml:space="preserve"> s’est </w:t>
      </w:r>
      <w:r w:rsidR="00230C55" w:rsidRPr="00B363AA">
        <w:t>vu</w:t>
      </w:r>
      <w:r w:rsidR="67B42001" w:rsidRPr="00B363AA">
        <w:t xml:space="preserve"> attribuer des seuils de contrainte qui lui </w:t>
      </w:r>
      <w:r w:rsidR="00230C55" w:rsidRPr="00B363AA">
        <w:t>sont</w:t>
      </w:r>
      <w:r w:rsidR="67B42001" w:rsidRPr="00B363AA">
        <w:t xml:space="preserve"> propre</w:t>
      </w:r>
      <w:r w:rsidR="00230C55" w:rsidRPr="00B363AA">
        <w:t>s</w:t>
      </w:r>
      <w:r w:rsidR="67B42001" w:rsidRPr="00B363AA">
        <w:t xml:space="preserve"> et qui dépendent </w:t>
      </w:r>
      <w:r w:rsidR="35806984" w:rsidRPr="00B363AA">
        <w:t>de</w:t>
      </w:r>
      <w:r w:rsidR="60A4F641" w:rsidRPr="00B363AA">
        <w:t>s</w:t>
      </w:r>
      <w:r w:rsidR="35806984" w:rsidRPr="00B363AA">
        <w:t xml:space="preserve"> </w:t>
      </w:r>
      <w:r w:rsidR="5B077BC0" w:rsidRPr="00B363AA">
        <w:t xml:space="preserve">voies d‘exposition </w:t>
      </w:r>
      <w:r w:rsidR="00092263" w:rsidRPr="00B363AA">
        <w:t xml:space="preserve">humaine </w:t>
      </w:r>
      <w:r w:rsidR="001D1AD9" w:rsidRPr="00B363AA">
        <w:t>à travers l’exploitation du sol et/ou la consommation des produits</w:t>
      </w:r>
      <w:r w:rsidR="0DA8409F" w:rsidRPr="00B363AA">
        <w:t>.</w:t>
      </w:r>
      <w:r w:rsidR="00570AF7" w:rsidRPr="00B363AA">
        <w:t xml:space="preserve"> Ainsi, o</w:t>
      </w:r>
      <w:r w:rsidR="00053AB4" w:rsidRPr="00B363AA">
        <w:t>n considère que</w:t>
      </w:r>
      <w:r w:rsidR="00570AF7" w:rsidRPr="00B363AA">
        <w:t>, par exemple,</w:t>
      </w:r>
      <w:r w:rsidR="00053AB4" w:rsidRPr="00B363AA">
        <w:t xml:space="preserve"> le même niveau de nutriments est requis pour supporter une production type « cultures », que celle-ci soit destinée à l’alimentation ou à la production de biomasse</w:t>
      </w:r>
      <w:r w:rsidR="1D38DBFF" w:rsidRPr="00B363AA">
        <w:t xml:space="preserve"> non alimentaire</w:t>
      </w:r>
      <w:r w:rsidR="5E8F59F0" w:rsidRPr="00B363AA">
        <w:t>.</w:t>
      </w:r>
      <w:r w:rsidR="0005416C" w:rsidRPr="00B363AA">
        <w:t xml:space="preserve"> </w:t>
      </w:r>
      <w:r w:rsidR="009E5978" w:rsidRPr="00B363AA">
        <w:t>Cependant</w:t>
      </w:r>
      <w:r w:rsidR="0005416C" w:rsidRPr="00B363AA">
        <w:t xml:space="preserve">, </w:t>
      </w:r>
      <w:r w:rsidR="1FA34E3E" w:rsidRPr="00B363AA">
        <w:t>la notion de risque sanitaire s’appliquera de manière différente à travers</w:t>
      </w:r>
      <w:r w:rsidR="5E8F59F0" w:rsidRPr="00B363AA">
        <w:t xml:space="preserve"> l’application de la contrainte</w:t>
      </w:r>
      <w:r w:rsidR="001D1AD9" w:rsidRPr="00B363AA">
        <w:t xml:space="preserve"> </w:t>
      </w:r>
      <w:r w:rsidR="001D1AD9" w:rsidRPr="00B363AA">
        <w:rPr>
          <w:i/>
          <w:iCs/>
        </w:rPr>
        <w:t>P</w:t>
      </w:r>
      <w:r w:rsidR="1FA34E3E" w:rsidRPr="00B363AA">
        <w:rPr>
          <w:i/>
          <w:iCs/>
        </w:rPr>
        <w:t>ollution</w:t>
      </w:r>
      <w:r w:rsidR="5E8F59F0" w:rsidRPr="00B363AA">
        <w:t>.</w:t>
      </w:r>
      <w:r w:rsidR="000B29F6" w:rsidRPr="00B363AA">
        <w:t xml:space="preserve"> </w:t>
      </w:r>
    </w:p>
    <w:p w14:paraId="5C2CD265" w14:textId="6E92EEC0" w:rsidR="00CD6216" w:rsidRPr="00B363AA" w:rsidRDefault="000B29F6" w:rsidP="005E5327">
      <w:r w:rsidRPr="00B363AA">
        <w:rPr>
          <w:noProof/>
        </w:rPr>
        <w:lastRenderedPageBreak/>
        <mc:AlternateContent>
          <mc:Choice Requires="wps">
            <w:drawing>
              <wp:inline distT="0" distB="0" distL="0" distR="0" wp14:anchorId="6FD48EC1" wp14:editId="49DC9C58">
                <wp:extent cx="5734685" cy="2294627"/>
                <wp:effectExtent l="0" t="0" r="18415" b="10795"/>
                <wp:docPr id="207967691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2294627"/>
                        </a:xfrm>
                        <a:prstGeom prst="rect">
                          <a:avLst/>
                        </a:prstGeom>
                        <a:solidFill>
                          <a:srgbClr val="FFFFFF"/>
                        </a:solidFill>
                        <a:ln w="9525">
                          <a:solidFill>
                            <a:srgbClr val="000000"/>
                          </a:solidFill>
                          <a:miter lim="800000"/>
                          <a:headEnd/>
                          <a:tailEnd/>
                        </a:ln>
                      </wps:spPr>
                      <wps:txbx>
                        <w:txbxContent>
                          <w:p w14:paraId="6AD67F8D" w14:textId="77777777" w:rsidR="000B29F6" w:rsidRPr="00B363AA" w:rsidRDefault="000B29F6" w:rsidP="000B29F6">
                            <w:pPr>
                              <w:rPr>
                                <w:b/>
                                <w:bCs/>
                                <w:i/>
                                <w:iCs/>
                                <w:u w:val="single"/>
                              </w:rPr>
                            </w:pPr>
                            <w:r w:rsidRPr="00B363AA">
                              <w:rPr>
                                <w:b/>
                                <w:bCs/>
                                <w:i/>
                                <w:iCs/>
                                <w:u w:val="single"/>
                              </w:rPr>
                              <w:t>L’IQSW-pro, un outil complémentaire au conseil de fumure, au fichier écologique des essence et au décret sol</w:t>
                            </w:r>
                          </w:p>
                          <w:p w14:paraId="41E839A3" w14:textId="77777777" w:rsidR="000B29F6" w:rsidRPr="00B363AA" w:rsidRDefault="000B29F6" w:rsidP="000B29F6">
                            <w:pPr>
                              <w:rPr>
                                <w:i/>
                                <w:iCs/>
                              </w:rPr>
                            </w:pPr>
                            <w:r w:rsidRPr="00B363AA">
                              <w:rPr>
                                <w:i/>
                                <w:iCs/>
                              </w:rPr>
                              <w:t>Pour rappel, l’IQSW ne vise pas à remplacer des outils existants, et son périmètre est de définir si le sol est capable d’accueillir une production végétale donnée. Pour les spécificités liées à une culture en particulier, ou à un choix d’essence dans le cas des forêts, voir respectivement le conseil de fumure ou le fichier écologique des essences.</w:t>
                            </w:r>
                          </w:p>
                          <w:p w14:paraId="04F7EDF9" w14:textId="64756726" w:rsidR="000B29F6" w:rsidRPr="00B363AA" w:rsidRDefault="000B29F6" w:rsidP="000B29F6">
                            <w:pPr>
                              <w:rPr>
                                <w:i/>
                                <w:iCs/>
                              </w:rPr>
                            </w:pPr>
                            <w:r w:rsidRPr="00B363AA">
                              <w:rPr>
                                <w:i/>
                                <w:iCs/>
                              </w:rPr>
                              <w:t xml:space="preserve">De plus, des systèmes culturaux spécifiques tels que la vigne ne sont pas traités dans la version actuelle de l’indice. En effet, les référentiels sont encore insuffisants à ce stade que pour pouvoir correctement interpréter la qualité ou la santé d’un sol quant à ce </w:t>
                            </w:r>
                            <w:r w:rsidR="002B7C20" w:rsidRPr="00B363AA">
                              <w:rPr>
                                <w:i/>
                                <w:iCs/>
                              </w:rPr>
                              <w:t>service</w:t>
                            </w:r>
                            <w:r w:rsidRPr="00B363AA">
                              <w:rPr>
                                <w:i/>
                                <w:iCs/>
                              </w:rPr>
                              <w:t>. Dans un tel cas de figure, le recours à des outils existants spécifiques est donc conseillé.</w:t>
                            </w:r>
                          </w:p>
                          <w:p w14:paraId="36710F12" w14:textId="77777777" w:rsidR="000B29F6" w:rsidRPr="00B363AA" w:rsidRDefault="000B29F6" w:rsidP="000B29F6">
                            <w:pPr>
                              <w:rPr>
                                <w:i/>
                                <w:iCs/>
                              </w:rPr>
                            </w:pPr>
                          </w:p>
                          <w:p w14:paraId="2A5C066C" w14:textId="77777777" w:rsidR="000B29F6" w:rsidRPr="00B363AA" w:rsidRDefault="000B29F6" w:rsidP="000B29F6">
                            <w:pPr>
                              <w:rPr>
                                <w:i/>
                                <w:iCs/>
                              </w:rPr>
                            </w:pPr>
                          </w:p>
                        </w:txbxContent>
                      </wps:txbx>
                      <wps:bodyPr rot="0" vert="horz" wrap="square" lIns="91440" tIns="45720" rIns="91440" bIns="45720" anchor="t" anchorCtr="0">
                        <a:noAutofit/>
                      </wps:bodyPr>
                    </wps:wsp>
                  </a:graphicData>
                </a:graphic>
              </wp:inline>
            </w:drawing>
          </mc:Choice>
          <mc:Fallback>
            <w:pict>
              <v:shapetype w14:anchorId="6FD48EC1" id="_x0000_t202" coordsize="21600,21600" o:spt="202" path="m,l,21600r21600,l21600,xe">
                <v:stroke joinstyle="miter"/>
                <v:path gradientshapeok="t" o:connecttype="rect"/>
              </v:shapetype>
              <v:shape id="Zone de texte 2" o:spid="_x0000_s1026" type="#_x0000_t202" style="width:451.55pt;height:18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">
                <v:textbox>
                  <w:txbxContent>
                    <w:p w14:paraId="6AD67F8D" w14:textId="77777777" w:rsidR="000B29F6" w:rsidRPr="00B363AA" w:rsidRDefault="000B29F6" w:rsidP="000B29F6">
                      <w:pPr>
                        <w:rPr>
                          <w:b/>
                          <w:bCs/>
                          <w:i/>
                          <w:iCs/>
                          <w:u w:val="single"/>
                        </w:rPr>
                      </w:pPr>
                      <w:r w:rsidRPr="00B363AA">
                        <w:rPr>
                          <w:b/>
                          <w:bCs/>
                          <w:i/>
                          <w:iCs/>
                          <w:u w:val="single"/>
                        </w:rPr>
                        <w:t>L’IQSW-pro, un outil complémentaire au conseil de fumure, au fichier écologique des essence et au décret sol</w:t>
                      </w:r>
                    </w:p>
                    <w:p w14:paraId="41E839A3" w14:textId="77777777" w:rsidR="000B29F6" w:rsidRPr="00B363AA" w:rsidRDefault="000B29F6" w:rsidP="000B29F6">
                      <w:pPr>
                        <w:rPr>
                          <w:i/>
                          <w:iCs/>
                        </w:rPr>
                      </w:pPr>
                      <w:r w:rsidRPr="00B363AA">
                        <w:rPr>
                          <w:i/>
                          <w:iCs/>
                        </w:rPr>
                        <w:t>Pour rappel, l’IQSW ne vise pas à remplacer des outils existants, et son périmètre est de définir si le sol est capable d’accueillir une production végétale donnée. Pour les spécificités liées à une culture en particulier, ou à un choix d’essence dans le cas des forêts, voir respectivement le conseil de fumure ou le fichier écologique des essences.</w:t>
                      </w:r>
                    </w:p>
                    <w:p w14:paraId="04F7EDF9" w14:textId="64756726" w:rsidR="000B29F6" w:rsidRPr="00B363AA" w:rsidRDefault="000B29F6" w:rsidP="000B29F6">
                      <w:pPr>
                        <w:rPr>
                          <w:i/>
                          <w:iCs/>
                        </w:rPr>
                      </w:pPr>
                      <w:r w:rsidRPr="00B363AA">
                        <w:rPr>
                          <w:i/>
                          <w:iCs/>
                        </w:rPr>
                        <w:t xml:space="preserve">De plus, des systèmes culturaux spécifiques tels que la vigne ne sont pas traités dans la version actuelle de l’indice. En effet, les référentiels sont encore insuffisants à ce stade que pour pouvoir correctement interpréter la qualité ou la santé d’un sol quant à ce </w:t>
                      </w:r>
                      <w:r w:rsidR="002B7C20" w:rsidRPr="00B363AA">
                        <w:rPr>
                          <w:i/>
                          <w:iCs/>
                        </w:rPr>
                        <w:t>service</w:t>
                      </w:r>
                      <w:r w:rsidRPr="00B363AA">
                        <w:rPr>
                          <w:i/>
                          <w:iCs/>
                        </w:rPr>
                        <w:t>. Dans un tel cas de figure, le recours à des outils existants spécifiques est donc conseillé.</w:t>
                      </w:r>
                    </w:p>
                    <w:p w14:paraId="36710F12" w14:textId="77777777" w:rsidR="000B29F6" w:rsidRPr="00B363AA" w:rsidRDefault="000B29F6" w:rsidP="000B29F6">
                      <w:pPr>
                        <w:rPr>
                          <w:i/>
                          <w:iCs/>
                        </w:rPr>
                      </w:pPr>
                    </w:p>
                    <w:p w14:paraId="2A5C066C" w14:textId="77777777" w:rsidR="000B29F6" w:rsidRPr="00B363AA" w:rsidRDefault="000B29F6" w:rsidP="000B29F6">
                      <w:pPr>
                        <w:rPr>
                          <w:i/>
                          <w:iCs/>
                        </w:rPr>
                      </w:pPr>
                    </w:p>
                  </w:txbxContent>
                </v:textbox>
                <w10:anchorlock/>
              </v:shape>
            </w:pict>
          </mc:Fallback>
        </mc:AlternateContent>
      </w:r>
    </w:p>
    <w:p w14:paraId="4BC9D06C" w14:textId="2FBDAB63" w:rsidR="00130055" w:rsidRPr="00B363AA" w:rsidRDefault="00130055">
      <w:pPr>
        <w:pStyle w:val="Titre4"/>
        <w:numPr>
          <w:ilvl w:val="3"/>
          <w:numId w:val="12"/>
        </w:numPr>
      </w:pPr>
      <w:bookmarkStart w:id="99" w:name="_Ref241073950"/>
      <w:r w:rsidRPr="00B363AA">
        <w:t>Cultures</w:t>
      </w:r>
      <w:bookmarkEnd w:id="98"/>
      <w:bookmarkEnd w:id="99"/>
    </w:p>
    <w:p w14:paraId="0613EE1F" w14:textId="5343D33B" w:rsidR="0064391E" w:rsidRPr="00B363AA" w:rsidRDefault="009436DB" w:rsidP="0064391E">
      <w:r w:rsidRPr="00B363AA">
        <w:t>Le sous-</w:t>
      </w:r>
      <w:r w:rsidR="002B7C20" w:rsidRPr="00B363AA">
        <w:t>service</w:t>
      </w:r>
      <w:r w:rsidRPr="00B363AA">
        <w:t xml:space="preserve"> </w:t>
      </w:r>
      <w:r w:rsidR="00DB5FB8" w:rsidRPr="00B363AA">
        <w:rPr>
          <w:i/>
          <w:iCs/>
        </w:rPr>
        <w:t>P</w:t>
      </w:r>
      <w:r w:rsidRPr="00B363AA">
        <w:rPr>
          <w:i/>
          <w:iCs/>
        </w:rPr>
        <w:t>roduction – cultures</w:t>
      </w:r>
      <w:r w:rsidRPr="00B363AA">
        <w:t xml:space="preserve"> correspond </w:t>
      </w:r>
      <w:r w:rsidR="0020533E" w:rsidRPr="00B363AA">
        <w:t>aux</w:t>
      </w:r>
      <w:r w:rsidR="0005522D" w:rsidRPr="00B363AA">
        <w:t xml:space="preserve"> critères d’une terre </w:t>
      </w:r>
      <w:r w:rsidR="00F1708B" w:rsidRPr="00B363AA">
        <w:t>dite « </w:t>
      </w:r>
      <w:r w:rsidR="0005522D" w:rsidRPr="00B363AA">
        <w:t>arable</w:t>
      </w:r>
      <w:r w:rsidR="00F1708B" w:rsidRPr="00B363AA">
        <w:t> »</w:t>
      </w:r>
      <w:r w:rsidR="0005522D" w:rsidRPr="00B363AA">
        <w:t xml:space="preserve">. </w:t>
      </w:r>
      <w:r w:rsidR="0064391E" w:rsidRPr="00B363AA">
        <w:t>Cette catégorie regroupe :</w:t>
      </w:r>
    </w:p>
    <w:p w14:paraId="44C231B7" w14:textId="4731A148" w:rsidR="00373590" w:rsidRPr="00B363AA" w:rsidRDefault="000C3AC6">
      <w:pPr>
        <w:pStyle w:val="Paragraphedeliste"/>
        <w:numPr>
          <w:ilvl w:val="0"/>
          <w:numId w:val="4"/>
        </w:numPr>
      </w:pPr>
      <w:r w:rsidRPr="00B363AA">
        <w:t>Les cultures alimentaires</w:t>
      </w:r>
      <w:r w:rsidR="0032237A" w:rsidRPr="00B363AA">
        <w:t xml:space="preserve"> </w:t>
      </w:r>
      <w:r w:rsidR="004F3486" w:rsidRPr="00B363AA">
        <w:t>:</w:t>
      </w:r>
    </w:p>
    <w:p w14:paraId="56DB946D" w14:textId="144D0E2F" w:rsidR="000C3AC6" w:rsidRPr="00B363AA" w:rsidRDefault="000C3AC6">
      <w:pPr>
        <w:pStyle w:val="Paragraphedeliste"/>
        <w:numPr>
          <w:ilvl w:val="1"/>
          <w:numId w:val="4"/>
        </w:numPr>
      </w:pPr>
      <w:r w:rsidRPr="00B363AA">
        <w:t>Grandes cultures</w:t>
      </w:r>
      <w:r w:rsidR="0064741C" w:rsidRPr="00B363AA">
        <w:t xml:space="preserve"> (y compris cultures fourragères)</w:t>
      </w:r>
      <w:r w:rsidRPr="00B363AA">
        <w:t>,</w:t>
      </w:r>
    </w:p>
    <w:p w14:paraId="5E1F9B9C" w14:textId="39074BC4" w:rsidR="000C3AC6" w:rsidRPr="00B363AA" w:rsidRDefault="000C3AC6">
      <w:pPr>
        <w:pStyle w:val="Paragraphedeliste"/>
        <w:numPr>
          <w:ilvl w:val="1"/>
          <w:numId w:val="4"/>
        </w:numPr>
      </w:pPr>
      <w:r w:rsidRPr="00B363AA">
        <w:t>Maraîchages,</w:t>
      </w:r>
    </w:p>
    <w:p w14:paraId="67AB9AB6" w14:textId="04571A2E" w:rsidR="000C3AC6" w:rsidRPr="00B363AA" w:rsidRDefault="000C3AC6">
      <w:pPr>
        <w:pStyle w:val="Paragraphedeliste"/>
        <w:numPr>
          <w:ilvl w:val="1"/>
          <w:numId w:val="4"/>
        </w:numPr>
      </w:pPr>
      <w:r w:rsidRPr="00B363AA">
        <w:t>Potagers,</w:t>
      </w:r>
    </w:p>
    <w:p w14:paraId="3AB9826D" w14:textId="7EC58C17" w:rsidR="001969D5" w:rsidRPr="00B363AA" w:rsidRDefault="000C3AC6" w:rsidP="001969D5">
      <w:pPr>
        <w:pStyle w:val="Paragraphedeliste"/>
        <w:numPr>
          <w:ilvl w:val="1"/>
          <w:numId w:val="4"/>
        </w:numPr>
      </w:pPr>
      <w:r w:rsidRPr="00B363AA">
        <w:t>Vergers</w:t>
      </w:r>
      <w:r w:rsidR="001969D5" w:rsidRPr="00B363AA">
        <w:t>.</w:t>
      </w:r>
    </w:p>
    <w:p w14:paraId="773A2373" w14:textId="71942E0B" w:rsidR="004F3486" w:rsidRPr="00B363AA" w:rsidRDefault="004F3486">
      <w:pPr>
        <w:pStyle w:val="Paragraphedeliste"/>
        <w:numPr>
          <w:ilvl w:val="0"/>
          <w:numId w:val="4"/>
        </w:numPr>
      </w:pPr>
      <w:r w:rsidRPr="00B363AA">
        <w:t>Les cultures non-alimentaires</w:t>
      </w:r>
      <w:r w:rsidR="00D03C89" w:rsidRPr="00B363AA">
        <w:t>, hors prairie permanente et production de biomasse ligneuse</w:t>
      </w:r>
      <w:r w:rsidR="000A58D6" w:rsidRPr="00B363AA">
        <w:t>.</w:t>
      </w:r>
    </w:p>
    <w:p w14:paraId="323E5C3B" w14:textId="66B09BB5" w:rsidR="00AD0768" w:rsidRPr="00B363AA" w:rsidRDefault="00266D4D" w:rsidP="00353AC1">
      <w:r w:rsidRPr="00B363AA">
        <w:t>La distinction entre les deux types de finalités des cultures (alimentaires</w:t>
      </w:r>
      <w:r w:rsidR="003C0AE6" w:rsidRPr="00B363AA">
        <w:t xml:space="preserve"> ou non-alimentaires) </w:t>
      </w:r>
      <w:r w:rsidR="00EE7047" w:rsidRPr="00B363AA">
        <w:t>est utilisée uniquement en tant que critère</w:t>
      </w:r>
      <w:r w:rsidR="003C0AE6" w:rsidRPr="00B363AA">
        <w:t xml:space="preserve"> </w:t>
      </w:r>
      <w:r w:rsidR="00EE7047" w:rsidRPr="00B363AA">
        <w:t>pour</w:t>
      </w:r>
      <w:r w:rsidR="003C0AE6" w:rsidRPr="00B363AA">
        <w:t xml:space="preserve"> l</w:t>
      </w:r>
      <w:r w:rsidR="00EE7047" w:rsidRPr="00B363AA">
        <w:t>a détermination d</w:t>
      </w:r>
      <w:r w:rsidR="003C0AE6" w:rsidRPr="00B363AA">
        <w:t xml:space="preserve">es </w:t>
      </w:r>
      <w:r w:rsidR="00636515" w:rsidRPr="00B363AA">
        <w:t xml:space="preserve">valeurs de risque utilisées pour l’application de la contrainte </w:t>
      </w:r>
      <w:r w:rsidR="791A2EDD" w:rsidRPr="00B363AA">
        <w:t>« </w:t>
      </w:r>
      <w:r w:rsidR="00636515" w:rsidRPr="00B363AA">
        <w:t>pollution</w:t>
      </w:r>
      <w:r w:rsidR="791A2EDD" w:rsidRPr="00B363AA">
        <w:t> »</w:t>
      </w:r>
      <w:r w:rsidR="23589FE8" w:rsidRPr="00B363AA">
        <w:t>.</w:t>
      </w:r>
      <w:r w:rsidR="005E27EF" w:rsidRPr="00B363AA">
        <w:t xml:space="preserve"> </w:t>
      </w:r>
      <w:r w:rsidR="799436C3" w:rsidRPr="00B363AA">
        <w:t>L</w:t>
      </w:r>
      <w:r w:rsidR="737EF2F1" w:rsidRPr="00B363AA">
        <w:t>es</w:t>
      </w:r>
      <w:r w:rsidR="005E27EF" w:rsidRPr="00B363AA">
        <w:t xml:space="preserve"> potagers se distinguent du maraîchage également en termes de valeurs de risque uniquement, </w:t>
      </w:r>
      <w:r w:rsidR="00D604A6" w:rsidRPr="00B363AA">
        <w:t>le maraîchage étant affecté au type d’usage II (agricole) en raison de la commercialisation potentielle des productions, tandis que le</w:t>
      </w:r>
      <w:r w:rsidR="002F1C3A" w:rsidRPr="00B363AA">
        <w:t>s produits du</w:t>
      </w:r>
      <w:r w:rsidR="00D604A6" w:rsidRPr="00B363AA">
        <w:t xml:space="preserve"> potager </w:t>
      </w:r>
      <w:r w:rsidR="002F1C3A" w:rsidRPr="00B363AA">
        <w:t>sont</w:t>
      </w:r>
      <w:r w:rsidR="00D604A6" w:rsidRPr="00B363AA">
        <w:t xml:space="preserve"> destiné</w:t>
      </w:r>
      <w:r w:rsidR="002F1C3A" w:rsidRPr="00B363AA">
        <w:t>s</w:t>
      </w:r>
      <w:r w:rsidR="00D604A6" w:rsidRPr="00B363AA">
        <w:t xml:space="preserve"> à un</w:t>
      </w:r>
      <w:r w:rsidR="002F1C3A" w:rsidRPr="00B363AA">
        <w:t>e consommation privée (type d’usage III – résidentiel).</w:t>
      </w:r>
      <w:r w:rsidR="6EBA1FD4" w:rsidRPr="00B363AA">
        <w:t xml:space="preserve"> Le découpage usage agricole </w:t>
      </w:r>
      <w:r w:rsidR="6EBA1FD4" w:rsidRPr="00B363AA">
        <w:rPr>
          <w:i/>
          <w:iCs/>
        </w:rPr>
        <w:t xml:space="preserve">vs </w:t>
      </w:r>
      <w:r w:rsidR="6EBA1FD4" w:rsidRPr="00B363AA">
        <w:t>usage résidentiel se base s</w:t>
      </w:r>
      <w:r w:rsidR="09019E73" w:rsidRPr="00B363AA">
        <w:t>ur le découpage du Décret sols</w:t>
      </w:r>
      <w:r w:rsidR="0032237A" w:rsidRPr="00B363AA">
        <w:t xml:space="preserve"> </w:t>
      </w:r>
      <w:r w:rsidR="0032237A" w:rsidRPr="00B363AA">
        <w:fldChar w:fldCharType="begin"/>
      </w:r>
      <w:r w:rsidR="0032237A" w:rsidRPr="00B363AA">
        <w:instrText xml:space="preserve"> ADDIN ZOTERO_ITEM CSL_CITATION {"citationID":"tfvHtKYv","properties":{"unsorted":false,"formattedCitation":"(Gouvernement wallon, 2018)","plainCitation":"(Gouvernement wallon, 2018)","noteIndex":0},"citationItems":[{"id":542,"uris":["http://zotero.org/groups/5684833/items/XS5CPQ3E"],"itemData":{"id":542,"type":"document","language":"fr","title":"Décret relatif à la gestion et à l'assainissement des sols du 1er mars 2018","URL":"https://wallex.wallonie.be/eli/loi-decret/2018/03/01/2018070014/2018/04/01","author":[{"family":"Gouvernement wallon","given":""}],"accessed":{"date-parts":[["2026",5,15]]},"issued":{"date-parts":[["2018"]]}}}],"schema":"https://github.com/citation-style-language/schema/raw/master/csl-citation.json"} </w:instrText>
      </w:r>
      <w:r w:rsidR="0032237A" w:rsidRPr="00B363AA">
        <w:fldChar w:fldCharType="separate"/>
      </w:r>
      <w:r w:rsidR="0032237A" w:rsidRPr="00B363AA">
        <w:rPr>
          <w:rFonts w:cs="Calibri"/>
        </w:rPr>
        <w:t>(Gouvernement wallon, 2018)</w:t>
      </w:r>
      <w:r w:rsidR="0032237A" w:rsidRPr="00B363AA">
        <w:fldChar w:fldCharType="end"/>
      </w:r>
      <w:r w:rsidR="09019E73" w:rsidRPr="00B363AA">
        <w:t xml:space="preserve">. </w:t>
      </w:r>
    </w:p>
    <w:p w14:paraId="61017A45" w14:textId="7CD4F997" w:rsidR="00130055" w:rsidRPr="00B363AA" w:rsidRDefault="00130055">
      <w:pPr>
        <w:pStyle w:val="Titre4"/>
        <w:numPr>
          <w:ilvl w:val="3"/>
          <w:numId w:val="12"/>
        </w:numPr>
      </w:pPr>
      <w:bookmarkStart w:id="100" w:name="_Toc230267098"/>
      <w:r w:rsidRPr="00B363AA">
        <w:t>Prairies</w:t>
      </w:r>
      <w:bookmarkEnd w:id="100"/>
    </w:p>
    <w:p w14:paraId="127D51CA" w14:textId="691397C7" w:rsidR="004B2895" w:rsidRPr="00B363AA" w:rsidRDefault="00D0649D" w:rsidP="004B2895">
      <w:r w:rsidRPr="00B363AA">
        <w:t>Le sous-</w:t>
      </w:r>
      <w:r w:rsidR="002B7C20" w:rsidRPr="00B363AA">
        <w:t>service écosystémique</w:t>
      </w:r>
      <w:r w:rsidRPr="00B363AA">
        <w:t xml:space="preserve"> </w:t>
      </w:r>
      <w:r w:rsidR="00DB5FB8" w:rsidRPr="00B363AA">
        <w:rPr>
          <w:i/>
          <w:iCs/>
        </w:rPr>
        <w:t>P</w:t>
      </w:r>
      <w:r w:rsidR="00211330" w:rsidRPr="00B363AA">
        <w:rPr>
          <w:i/>
          <w:iCs/>
        </w:rPr>
        <w:t>roduction – prairies</w:t>
      </w:r>
      <w:r w:rsidR="00211330" w:rsidRPr="00B363AA">
        <w:t xml:space="preserve"> réfère à la capacité du sol à accueillir une prairie</w:t>
      </w:r>
      <w:r w:rsidR="003B5A59" w:rsidRPr="00B363AA">
        <w:t xml:space="preserve"> permanente</w:t>
      </w:r>
      <w:r w:rsidR="00211330" w:rsidRPr="00B363AA">
        <w:t xml:space="preserve">, soit une végétation </w:t>
      </w:r>
      <w:r w:rsidR="003B5A59" w:rsidRPr="00B363AA">
        <w:t xml:space="preserve">herbagère </w:t>
      </w:r>
      <w:r w:rsidR="00C20A4B" w:rsidRPr="00B363AA">
        <w:t>à destination essentiellement fourragère</w:t>
      </w:r>
      <w:r w:rsidR="009436DB" w:rsidRPr="00B363AA">
        <w:t>.</w:t>
      </w:r>
      <w:r w:rsidR="00211330" w:rsidRPr="00B363AA">
        <w:t xml:space="preserve"> </w:t>
      </w:r>
      <w:r w:rsidR="00652E0E" w:rsidRPr="00B363AA">
        <w:t>Cette catégorie concerne les p</w:t>
      </w:r>
      <w:r w:rsidR="000A58D6" w:rsidRPr="00B363AA">
        <w:t>rairies pâturées ou de fauche</w:t>
      </w:r>
      <w:r w:rsidR="00652E0E" w:rsidRPr="00B363AA">
        <w:t xml:space="preserve">. </w:t>
      </w:r>
      <w:r w:rsidR="00E70DEB" w:rsidRPr="00B363AA">
        <w:t>L’usage « prairie naturelle »</w:t>
      </w:r>
      <w:r w:rsidR="00E125D5" w:rsidRPr="00B363AA">
        <w:t xml:space="preserve">, à des fins de biodiversité, est traité au niveau du </w:t>
      </w:r>
      <w:r w:rsidR="002B7C20" w:rsidRPr="00B363AA">
        <w:t>service écosystémique</w:t>
      </w:r>
      <w:r w:rsidR="00E125D5" w:rsidRPr="00B363AA">
        <w:t xml:space="preserve"> </w:t>
      </w:r>
      <w:r w:rsidR="002B7C20" w:rsidRPr="00B363AA">
        <w:rPr>
          <w:i/>
          <w:iCs/>
        </w:rPr>
        <w:t>P</w:t>
      </w:r>
      <w:r w:rsidR="00E125D5" w:rsidRPr="00B363AA">
        <w:rPr>
          <w:i/>
          <w:iCs/>
        </w:rPr>
        <w:t>otentiel d’accueil pour une végétation diversifiée</w:t>
      </w:r>
      <w:r w:rsidR="00E125D5" w:rsidRPr="00B363AA">
        <w:t>.</w:t>
      </w:r>
    </w:p>
    <w:p w14:paraId="1BBA4DD0" w14:textId="3296C69B" w:rsidR="00130055" w:rsidRPr="00B363AA" w:rsidRDefault="00130055">
      <w:pPr>
        <w:pStyle w:val="Titre4"/>
        <w:numPr>
          <w:ilvl w:val="3"/>
          <w:numId w:val="12"/>
        </w:numPr>
      </w:pPr>
      <w:bookmarkStart w:id="101" w:name="_Toc230267099"/>
      <w:r w:rsidRPr="00B363AA">
        <w:t>Espaces verts</w:t>
      </w:r>
      <w:bookmarkEnd w:id="101"/>
    </w:p>
    <w:p w14:paraId="5D41A5CE" w14:textId="0711F303" w:rsidR="0005522D" w:rsidRPr="00B363AA" w:rsidRDefault="0005522D" w:rsidP="000A58D6">
      <w:r w:rsidRPr="00B363AA">
        <w:t>Le sous-</w:t>
      </w:r>
      <w:r w:rsidR="002B7C20" w:rsidRPr="00B363AA">
        <w:t>service</w:t>
      </w:r>
      <w:r w:rsidRPr="00B363AA">
        <w:t xml:space="preserve"> </w:t>
      </w:r>
      <w:r w:rsidR="00DB5FB8" w:rsidRPr="00B363AA">
        <w:rPr>
          <w:i/>
          <w:iCs/>
        </w:rPr>
        <w:t>P</w:t>
      </w:r>
      <w:r w:rsidRPr="00B363AA">
        <w:rPr>
          <w:i/>
          <w:iCs/>
        </w:rPr>
        <w:t>roduction – espaces verts</w:t>
      </w:r>
      <w:r w:rsidRPr="00B363AA">
        <w:t xml:space="preserve"> fait référence à la capacité du sol à accueillir une végétation</w:t>
      </w:r>
      <w:r w:rsidR="00BF3F22" w:rsidRPr="00B363AA">
        <w:t xml:space="preserve"> type parc</w:t>
      </w:r>
      <w:r w:rsidR="00811EF6" w:rsidRPr="00B363AA">
        <w:t xml:space="preserve"> </w:t>
      </w:r>
      <w:r w:rsidR="00BF3F22" w:rsidRPr="00B363AA">
        <w:t>/</w:t>
      </w:r>
      <w:r w:rsidR="00811EF6" w:rsidRPr="00B363AA">
        <w:t xml:space="preserve"> </w:t>
      </w:r>
      <w:r w:rsidR="3808A96B" w:rsidRPr="00B363AA">
        <w:t>espaces verts urbains</w:t>
      </w:r>
      <w:r w:rsidR="2344DFB5" w:rsidRPr="00B363AA">
        <w:t xml:space="preserve"> etc.</w:t>
      </w:r>
      <w:r w:rsidR="00526357" w:rsidRPr="00B363AA">
        <w:t xml:space="preserve"> Il s’agit donc de production de biomasse</w:t>
      </w:r>
      <w:r w:rsidRPr="00B363AA">
        <w:t xml:space="preserve"> </w:t>
      </w:r>
      <w:r w:rsidR="00526357" w:rsidRPr="00B363AA">
        <w:t>« </w:t>
      </w:r>
      <w:r w:rsidRPr="00B363AA">
        <w:t>ornementale</w:t>
      </w:r>
      <w:r w:rsidR="00526357" w:rsidRPr="00B363AA">
        <w:t> »</w:t>
      </w:r>
      <w:r w:rsidR="007738FA" w:rsidRPr="00B363AA">
        <w:t xml:space="preserve"> ou « récréative »</w:t>
      </w:r>
      <w:r w:rsidRPr="00B363AA">
        <w:t xml:space="preserve"> (pelouse, arbustes, arbres)</w:t>
      </w:r>
      <w:r w:rsidR="000619EF" w:rsidRPr="00B363AA">
        <w:t xml:space="preserve">. </w:t>
      </w:r>
      <w:r w:rsidR="002D78F7" w:rsidRPr="00B363AA">
        <w:t xml:space="preserve">De ce </w:t>
      </w:r>
      <w:r w:rsidR="002B7C20" w:rsidRPr="00B363AA">
        <w:t>service</w:t>
      </w:r>
      <w:r w:rsidR="002D78F7" w:rsidRPr="00B363AA">
        <w:t xml:space="preserve"> découle un bénéfice social et </w:t>
      </w:r>
      <w:r w:rsidR="004C6D4A" w:rsidRPr="00B363AA">
        <w:t>une contribution aux îlots de fraicheur en ville</w:t>
      </w:r>
      <w:r w:rsidR="00AB300F" w:rsidRPr="00B363AA">
        <w:t xml:space="preserve"> (voir partie </w:t>
      </w:r>
      <w:r w:rsidR="00AB300F" w:rsidRPr="00B363AA">
        <w:fldChar w:fldCharType="begin"/>
      </w:r>
      <w:r w:rsidR="00AB300F" w:rsidRPr="00B363AA">
        <w:instrText xml:space="preserve"> REF _Ref232256479 \r \h </w:instrText>
      </w:r>
      <w:r w:rsidR="00AB300F" w:rsidRPr="00B363AA">
        <w:fldChar w:fldCharType="separate"/>
      </w:r>
      <w:r w:rsidR="00493508" w:rsidRPr="00B363AA">
        <w:t>4.10</w:t>
      </w:r>
      <w:r w:rsidR="00AB300F" w:rsidRPr="00B363AA">
        <w:fldChar w:fldCharType="end"/>
      </w:r>
      <w:r w:rsidR="00AB300F" w:rsidRPr="00B363AA">
        <w:t>)</w:t>
      </w:r>
      <w:r w:rsidR="004C6D4A" w:rsidRPr="00B363AA">
        <w:t>.</w:t>
      </w:r>
    </w:p>
    <w:p w14:paraId="1FFDE603" w14:textId="580E7555" w:rsidR="000A58D6" w:rsidRPr="00B363AA" w:rsidRDefault="006022FD" w:rsidP="000A58D6">
      <w:r w:rsidRPr="00B363AA">
        <w:t>Cette catégorie regroupe</w:t>
      </w:r>
      <w:r w:rsidR="007E567B" w:rsidRPr="00B363AA">
        <w:t xml:space="preserve"> deux principaux types d’usages, scindés en fonction des enjeux sanitaires qui en découlent pour les utilisateurs</w:t>
      </w:r>
      <w:r w:rsidRPr="00B363AA">
        <w:t> :</w:t>
      </w:r>
    </w:p>
    <w:p w14:paraId="2EFEC87D" w14:textId="613EEA04" w:rsidR="00D6642A" w:rsidRPr="00B363AA" w:rsidRDefault="006022FD">
      <w:pPr>
        <w:pStyle w:val="Paragraphedeliste"/>
        <w:numPr>
          <w:ilvl w:val="0"/>
          <w:numId w:val="5"/>
        </w:numPr>
      </w:pPr>
      <w:r w:rsidRPr="00B363AA">
        <w:lastRenderedPageBreak/>
        <w:t xml:space="preserve">Les espaces verts </w:t>
      </w:r>
      <w:r w:rsidR="003A2C6E" w:rsidRPr="00B363AA">
        <w:rPr>
          <w:i/>
          <w:iCs/>
        </w:rPr>
        <w:t>ornementaux</w:t>
      </w:r>
      <w:r w:rsidR="00C1231B" w:rsidRPr="00B363AA">
        <w:t xml:space="preserve"> ou paysagers</w:t>
      </w:r>
      <w:r w:rsidR="003A2C6E" w:rsidRPr="00B363AA">
        <w:t>, dont l’utilisation</w:t>
      </w:r>
      <w:r w:rsidR="00C1231B" w:rsidRPr="00B363AA">
        <w:t xml:space="preserve"> </w:t>
      </w:r>
      <w:r w:rsidR="00116DB6" w:rsidRPr="00B363AA">
        <w:t>typique</w:t>
      </w:r>
      <w:r w:rsidR="003A2C6E" w:rsidRPr="00B363AA">
        <w:t xml:space="preserve"> n’implique a priori pas de </w:t>
      </w:r>
      <w:r w:rsidR="00C1231B" w:rsidRPr="00B363AA">
        <w:t xml:space="preserve">mise en </w:t>
      </w:r>
      <w:r w:rsidR="00967A31" w:rsidRPr="00B363AA">
        <w:t xml:space="preserve">contact </w:t>
      </w:r>
      <w:r w:rsidR="007E567B" w:rsidRPr="00B363AA">
        <w:t>direct</w:t>
      </w:r>
      <w:r w:rsidR="002B1423" w:rsidRPr="00B363AA">
        <w:t>e</w:t>
      </w:r>
      <w:r w:rsidR="00C1231B" w:rsidRPr="00B363AA">
        <w:t xml:space="preserve"> des usagers</w:t>
      </w:r>
      <w:r w:rsidR="007E567B" w:rsidRPr="00B363AA">
        <w:t xml:space="preserve"> </w:t>
      </w:r>
      <w:r w:rsidR="00967A31" w:rsidRPr="00B363AA">
        <w:t>avec le sol</w:t>
      </w:r>
      <w:r w:rsidR="00D6642A" w:rsidRPr="00B363AA">
        <w:t>. Cette catégorie regroupe </w:t>
      </w:r>
      <w:r w:rsidR="007E567B" w:rsidRPr="00B363AA">
        <w:t>notamment</w:t>
      </w:r>
      <w:r w:rsidR="000D65EE" w:rsidRPr="00B363AA">
        <w:t xml:space="preserve"> les </w:t>
      </w:r>
      <w:r w:rsidR="00F86F8B" w:rsidRPr="00B363AA">
        <w:t>espaces verts urbains tels que des parcs, parterres</w:t>
      </w:r>
      <w:r w:rsidR="4EAADA41" w:rsidRPr="00B363AA">
        <w:t>,</w:t>
      </w:r>
      <w:r w:rsidR="00F86F8B" w:rsidRPr="00B363AA">
        <w:t xml:space="preserve"> etc.</w:t>
      </w:r>
    </w:p>
    <w:p w14:paraId="1B1DF038" w14:textId="2F456BED" w:rsidR="004B2895" w:rsidRPr="00B363AA" w:rsidRDefault="00F86F8B" w:rsidP="002B1423">
      <w:pPr>
        <w:pStyle w:val="Paragraphedeliste"/>
        <w:numPr>
          <w:ilvl w:val="0"/>
          <w:numId w:val="5"/>
        </w:numPr>
      </w:pPr>
      <w:r w:rsidRPr="00B363AA">
        <w:t xml:space="preserve">Les espaces verts </w:t>
      </w:r>
      <w:r w:rsidR="00116DB6" w:rsidRPr="00B363AA">
        <w:rPr>
          <w:i/>
          <w:iCs/>
        </w:rPr>
        <w:t>récréatifs</w:t>
      </w:r>
      <w:r w:rsidR="00116DB6" w:rsidRPr="00B363AA">
        <w:t xml:space="preserve">, dont l’utilisation </w:t>
      </w:r>
      <w:r w:rsidR="002B1423" w:rsidRPr="00B363AA">
        <w:t>typique est susceptible d’entraîner une mise en contact directe des usagers</w:t>
      </w:r>
      <w:r w:rsidR="00220D02" w:rsidRPr="00B363AA">
        <w:t>, notamment des enfants,</w:t>
      </w:r>
      <w:r w:rsidR="002B1423" w:rsidRPr="00B363AA">
        <w:t xml:space="preserve"> avec le sol (ex. risque d’ingestion de terre</w:t>
      </w:r>
      <w:r w:rsidR="00220D02" w:rsidRPr="00B363AA">
        <w:t>)</w:t>
      </w:r>
      <w:r w:rsidR="001A0E2F" w:rsidRPr="00B363AA">
        <w:t>. C’est le cas de zones telles que </w:t>
      </w:r>
      <w:r w:rsidR="002B1423" w:rsidRPr="00B363AA">
        <w:t>les j</w:t>
      </w:r>
      <w:r w:rsidR="001A0E2F" w:rsidRPr="00B363AA">
        <w:t xml:space="preserve">ardins résidentiels sans potager (les potagers se retrouvent dans </w:t>
      </w:r>
      <w:r w:rsidR="009D0E9F" w:rsidRPr="00B363AA">
        <w:t>la catégorie « cultures »</w:t>
      </w:r>
      <w:r w:rsidRPr="00B363AA">
        <w:rPr>
          <w:rStyle w:val="Appelnotedebasdep"/>
        </w:rPr>
        <w:footnoteReference w:id="9"/>
      </w:r>
      <w:r w:rsidR="009D0E9F" w:rsidRPr="00B363AA">
        <w:t>),</w:t>
      </w:r>
      <w:r w:rsidR="002B1423" w:rsidRPr="00B363AA">
        <w:t xml:space="preserve"> les t</w:t>
      </w:r>
      <w:r w:rsidR="009D0E9F" w:rsidRPr="00B363AA">
        <w:t>errains de sport,</w:t>
      </w:r>
      <w:r w:rsidR="002B1423" w:rsidRPr="00B363AA">
        <w:t xml:space="preserve"> les p</w:t>
      </w:r>
      <w:r w:rsidR="009D0E9F" w:rsidRPr="00B363AA">
        <w:t>laines de jeux.</w:t>
      </w:r>
    </w:p>
    <w:p w14:paraId="0980A2FD" w14:textId="5A2D90FA" w:rsidR="004B2895" w:rsidRPr="00B363AA" w:rsidRDefault="002B1423" w:rsidP="00861598">
      <w:r w:rsidRPr="00B363AA">
        <w:t>Cette</w:t>
      </w:r>
      <w:r w:rsidR="00861598" w:rsidRPr="00B363AA">
        <w:t xml:space="preserve"> distinction </w:t>
      </w:r>
      <w:r w:rsidR="00EE7047" w:rsidRPr="00B363AA">
        <w:t xml:space="preserve">est uniquement </w:t>
      </w:r>
      <w:r w:rsidRPr="00B363AA">
        <w:t xml:space="preserve">utilisée </w:t>
      </w:r>
      <w:r w:rsidR="00EE7047" w:rsidRPr="00B363AA">
        <w:t>en tant que critère pour la détermination des valeurs de risque utilisées pour l’application de la contrainte pollution.</w:t>
      </w:r>
    </w:p>
    <w:p w14:paraId="40374E47" w14:textId="36E0146A" w:rsidR="00130055" w:rsidRPr="00B363AA" w:rsidRDefault="00130055">
      <w:pPr>
        <w:pStyle w:val="Titre4"/>
        <w:numPr>
          <w:ilvl w:val="3"/>
          <w:numId w:val="12"/>
        </w:numPr>
      </w:pPr>
      <w:bookmarkStart w:id="102" w:name="_Toc230267100"/>
      <w:r w:rsidRPr="00B363AA">
        <w:t>Forêts</w:t>
      </w:r>
      <w:bookmarkEnd w:id="102"/>
    </w:p>
    <w:p w14:paraId="30DC8841" w14:textId="791F1CD9" w:rsidR="00F41FD0" w:rsidRPr="00B363AA" w:rsidRDefault="004C6D4A" w:rsidP="00F41FD0">
      <w:r w:rsidRPr="00B363AA">
        <w:t>Le sous-</w:t>
      </w:r>
      <w:r w:rsidR="002B7C20" w:rsidRPr="00B363AA">
        <w:t>service</w:t>
      </w:r>
      <w:r w:rsidRPr="00B363AA">
        <w:t xml:space="preserve"> </w:t>
      </w:r>
      <w:r w:rsidR="00DB5FB8" w:rsidRPr="00B363AA">
        <w:rPr>
          <w:i/>
          <w:iCs/>
        </w:rPr>
        <w:t>P</w:t>
      </w:r>
      <w:r w:rsidRPr="00B363AA">
        <w:rPr>
          <w:i/>
          <w:iCs/>
        </w:rPr>
        <w:t>roduction – forêts</w:t>
      </w:r>
      <w:r w:rsidRPr="00B363AA">
        <w:t xml:space="preserve"> </w:t>
      </w:r>
      <w:r w:rsidR="000A4433" w:rsidRPr="00B363AA">
        <w:t xml:space="preserve">concerne les forêts exploitées </w:t>
      </w:r>
      <w:r w:rsidR="008816BA" w:rsidRPr="00B363AA">
        <w:t xml:space="preserve">pour la production </w:t>
      </w:r>
      <w:r w:rsidR="005E0589" w:rsidRPr="00B363AA">
        <w:t>d’</w:t>
      </w:r>
      <w:r w:rsidR="000D0F9C" w:rsidRPr="00B363AA">
        <w:t>espèces ligneuses, avec une diversité de finalité</w:t>
      </w:r>
      <w:r w:rsidR="00BF7FF2" w:rsidRPr="00B363AA">
        <w:t xml:space="preserve">s non alimentaires pour les productions (bois d’œuvre, </w:t>
      </w:r>
      <w:r w:rsidR="00516097" w:rsidRPr="00B363AA">
        <w:t>production énergétique, pâte à papier</w:t>
      </w:r>
      <w:r w:rsidR="31523885" w:rsidRPr="00B363AA">
        <w:t>,</w:t>
      </w:r>
      <w:r w:rsidR="00C30712" w:rsidRPr="00B363AA">
        <w:t xml:space="preserve"> </w:t>
      </w:r>
      <w:r w:rsidR="00516097" w:rsidRPr="00B363AA">
        <w:t>etc</w:t>
      </w:r>
      <w:r w:rsidR="00C30712" w:rsidRPr="00B363AA">
        <w:t>.</w:t>
      </w:r>
      <w:r w:rsidR="00516097" w:rsidRPr="00B363AA">
        <w:t>)</w:t>
      </w:r>
      <w:r w:rsidR="000A4433" w:rsidRPr="00B363AA">
        <w:t xml:space="preserve">. </w:t>
      </w:r>
      <w:r w:rsidR="00F07255" w:rsidRPr="00B363AA">
        <w:t>L</w:t>
      </w:r>
      <w:r w:rsidR="000A4433" w:rsidRPr="00B363AA">
        <w:t>e cas des forêts naturelles</w:t>
      </w:r>
      <w:r w:rsidR="00F07255" w:rsidRPr="00B363AA">
        <w:t xml:space="preserve"> sans finalité de production à des fins commerciales</w:t>
      </w:r>
      <w:r w:rsidR="008278B0" w:rsidRPr="00B363AA">
        <w:t xml:space="preserve"> est traité dans le service</w:t>
      </w:r>
      <w:r w:rsidR="000A4433" w:rsidRPr="00B363AA">
        <w:t xml:space="preserve"> </w:t>
      </w:r>
      <w:r w:rsidR="00030771" w:rsidRPr="00B363AA">
        <w:rPr>
          <w:i/>
          <w:iCs/>
        </w:rPr>
        <w:t>P</w:t>
      </w:r>
      <w:r w:rsidR="000A4433" w:rsidRPr="00B363AA">
        <w:rPr>
          <w:i/>
          <w:iCs/>
        </w:rPr>
        <w:t>otentiel d’accueil pour une végétation diversifiée</w:t>
      </w:r>
      <w:r w:rsidR="000A4433" w:rsidRPr="00B363AA">
        <w:t>.</w:t>
      </w:r>
    </w:p>
    <w:p w14:paraId="25DD4CC0" w14:textId="77777777" w:rsidR="004B2895" w:rsidRPr="00B363AA" w:rsidRDefault="009E7486">
      <w:pPr>
        <w:pStyle w:val="Titre2"/>
        <w:numPr>
          <w:ilvl w:val="1"/>
          <w:numId w:val="12"/>
        </w:numPr>
      </w:pPr>
      <w:bookmarkStart w:id="103" w:name="_Toc230267101"/>
      <w:bookmarkStart w:id="104" w:name="_Toc241242967"/>
      <w:r w:rsidRPr="00B363AA">
        <w:t>Infiltration</w:t>
      </w:r>
      <w:bookmarkEnd w:id="103"/>
      <w:bookmarkEnd w:id="104"/>
    </w:p>
    <w:p w14:paraId="4D86057E" w14:textId="72C41F37" w:rsidR="00955AE5" w:rsidRPr="00B363AA" w:rsidRDefault="00955AE5" w:rsidP="00955AE5">
      <w:r w:rsidRPr="00B363AA">
        <w:t>L’infiltration des eaux de pluie est un service écosystémique crucial que les sols fournissent, d’autant plus dans un contexte de lutte contre les inondations (notamment sur des sols urbains) et de réduction de l’érosion. L’infiltration des eaux concerne à la fois l’écoulement des eaux dans les couches superficielles du sol et le drainage vers les horizons profonds (et éventuellement les nappes sous-jacentes).</w:t>
      </w:r>
      <w:r w:rsidR="009D2BCC" w:rsidRPr="00B363AA">
        <w:t xml:space="preserve"> </w:t>
      </w:r>
    </w:p>
    <w:p w14:paraId="078A8211" w14:textId="14704D47" w:rsidR="00955AE5" w:rsidRPr="00B363AA" w:rsidRDefault="00955AE5">
      <w:pPr>
        <w:pStyle w:val="Titre3"/>
        <w:numPr>
          <w:ilvl w:val="2"/>
          <w:numId w:val="12"/>
        </w:numPr>
      </w:pPr>
      <w:bookmarkStart w:id="105" w:name="_Toc241242968"/>
      <w:r w:rsidRPr="00B363AA">
        <w:t>Fonctions</w:t>
      </w:r>
      <w:bookmarkEnd w:id="105"/>
    </w:p>
    <w:p w14:paraId="7BB67992" w14:textId="28D80958" w:rsidR="003C6A9C" w:rsidRPr="00B363AA" w:rsidRDefault="00F5126A">
      <w:pPr>
        <w:pStyle w:val="Titre4"/>
        <w:numPr>
          <w:ilvl w:val="3"/>
          <w:numId w:val="12"/>
        </w:numPr>
      </w:pPr>
      <w:r w:rsidRPr="00B363AA">
        <w:t>Infiltration</w:t>
      </w:r>
    </w:p>
    <w:p w14:paraId="4ADC4F69" w14:textId="7A576483" w:rsidR="00F5126A" w:rsidRPr="00B363AA" w:rsidRDefault="00F5126A" w:rsidP="00F5126A">
      <w:r w:rsidRPr="00B363AA">
        <w:t xml:space="preserve">La capacité d’infiltration du sol se mesure directement à travers la conductivité hydraulique à saturation </w:t>
      </w:r>
      <w:r w:rsidR="00DF4FC1" w:rsidRPr="00B363AA">
        <w:t>(</w:t>
      </w:r>
      <w:proofErr w:type="spellStart"/>
      <w:r w:rsidRPr="00B363AA">
        <w:t>Ksat</w:t>
      </w:r>
      <w:proofErr w:type="spellEnd"/>
      <w:r w:rsidR="007050FD" w:rsidRPr="00B363AA">
        <w:t xml:space="preserve">, voir </w:t>
      </w:r>
      <w:r w:rsidR="00493508" w:rsidRPr="00B363AA">
        <w:t>Annexe 2 – Indicateurs</w:t>
      </w:r>
      <w:r w:rsidR="00DF4FC1" w:rsidRPr="00B363AA">
        <w:t>)</w:t>
      </w:r>
      <w:r w:rsidRPr="00B363AA">
        <w:t>. Il s’agit de la mesure de la vitesse avec l’eau s’infiltre dans un sol saturé</w:t>
      </w:r>
      <w:r w:rsidR="007543DD" w:rsidRPr="00B363AA">
        <w:t xml:space="preserve"> en eau</w:t>
      </w:r>
      <w:r w:rsidRPr="00B363AA">
        <w:t>.</w:t>
      </w:r>
    </w:p>
    <w:p w14:paraId="1801AF76" w14:textId="3A1F92EF" w:rsidR="00F5126A" w:rsidRPr="00B363AA" w:rsidRDefault="00F5126A">
      <w:pPr>
        <w:pStyle w:val="Titre4"/>
        <w:numPr>
          <w:ilvl w:val="3"/>
          <w:numId w:val="12"/>
        </w:numPr>
      </w:pPr>
      <w:r w:rsidRPr="00B363AA">
        <w:t>Drainage</w:t>
      </w:r>
    </w:p>
    <w:p w14:paraId="0F1E0CF2" w14:textId="00871F72" w:rsidR="00F5126A" w:rsidRPr="00B363AA" w:rsidRDefault="00F5126A" w:rsidP="00F5126A">
      <w:r w:rsidRPr="00B363AA">
        <w:t>L’état du drainage naturel du sol (régime hydrique) s’évalue à travers la profondeur d’apparition éventuelle de taches d’hydromorphie et selon le caractère temporaire ou permanent de l’engorgement</w:t>
      </w:r>
      <w:r w:rsidR="003B37BF" w:rsidRPr="00B363AA">
        <w:t>.</w:t>
      </w:r>
      <w:r w:rsidRPr="00B363AA">
        <w:t xml:space="preserve"> </w:t>
      </w:r>
      <w:r w:rsidR="00BF263F" w:rsidRPr="00B363AA">
        <w:t>La profondeur d’apparition de taches d’hydromorphie permet de caractériser un</w:t>
      </w:r>
      <w:r w:rsidRPr="00B363AA">
        <w:t xml:space="preserve"> engorgement </w:t>
      </w:r>
      <w:r w:rsidR="00BF263F" w:rsidRPr="00B363AA">
        <w:t>d’eau</w:t>
      </w:r>
      <w:r w:rsidRPr="00B363AA">
        <w:t xml:space="preserve"> temporaire, </w:t>
      </w:r>
      <w:r w:rsidR="00BF263F" w:rsidRPr="00B363AA">
        <w:t>tandis que</w:t>
      </w:r>
      <w:r w:rsidRPr="00B363AA">
        <w:t xml:space="preserve"> la </w:t>
      </w:r>
      <w:r w:rsidR="00742434" w:rsidRPr="00B363AA">
        <w:t>profondeur d’apparition d’un horizon complètement réduit (</w:t>
      </w:r>
      <w:r w:rsidRPr="00B363AA">
        <w:t>couleur gris-bleu</w:t>
      </w:r>
      <w:r w:rsidR="00742434" w:rsidRPr="00B363AA">
        <w:t>)</w:t>
      </w:r>
      <w:r w:rsidRPr="00B363AA">
        <w:t xml:space="preserve"> </w:t>
      </w:r>
      <w:r w:rsidR="00BF263F" w:rsidRPr="00B363AA">
        <w:t xml:space="preserve">permet de caractériser </w:t>
      </w:r>
      <w:r w:rsidR="00651939" w:rsidRPr="00B363AA">
        <w:t>la présence d’une nappe</w:t>
      </w:r>
      <w:r w:rsidRPr="00B363AA">
        <w:t xml:space="preserve"> permanent</w:t>
      </w:r>
      <w:r w:rsidR="00651939" w:rsidRPr="00B363AA">
        <w:t>e</w:t>
      </w:r>
      <w:r w:rsidR="00825B08" w:rsidRPr="00B363AA">
        <w:t xml:space="preserve"> (voir </w:t>
      </w:r>
      <w:r w:rsidR="00493508" w:rsidRPr="00B363AA">
        <w:t>Annexe 2 – Indicateurs</w:t>
      </w:r>
      <w:r w:rsidR="00825B08" w:rsidRPr="00B363AA">
        <w:t>)</w:t>
      </w:r>
      <w:r w:rsidRPr="00B363AA">
        <w:t>.</w:t>
      </w:r>
    </w:p>
    <w:p w14:paraId="197DEDF2" w14:textId="5E547A97" w:rsidR="00F5126A" w:rsidRPr="00B363AA" w:rsidRDefault="008E5830">
      <w:pPr>
        <w:pStyle w:val="Titre3"/>
        <w:numPr>
          <w:ilvl w:val="2"/>
          <w:numId w:val="12"/>
        </w:numPr>
      </w:pPr>
      <w:bookmarkStart w:id="106" w:name="_Toc241242969"/>
      <w:r w:rsidRPr="00B363AA">
        <w:t>Contraintes</w:t>
      </w:r>
      <w:bookmarkEnd w:id="106"/>
    </w:p>
    <w:p w14:paraId="306430A3" w14:textId="4A7E3752" w:rsidR="008E5830" w:rsidRPr="00B363AA" w:rsidRDefault="008E5830" w:rsidP="008E5830">
      <w:r w:rsidRPr="00B363AA">
        <w:t xml:space="preserve">Aucune contrainte ne s’applique </w:t>
      </w:r>
      <w:r w:rsidR="00150E6A" w:rsidRPr="00B363AA">
        <w:t xml:space="preserve">au </w:t>
      </w:r>
      <w:r w:rsidR="002B7C20" w:rsidRPr="00B363AA">
        <w:t>service écosystémique</w:t>
      </w:r>
      <w:r w:rsidR="00150E6A" w:rsidRPr="00B363AA">
        <w:t xml:space="preserve"> </w:t>
      </w:r>
      <w:r w:rsidR="00150E6A" w:rsidRPr="00B363AA">
        <w:rPr>
          <w:i/>
          <w:iCs/>
        </w:rPr>
        <w:t>Infiltration</w:t>
      </w:r>
      <w:r w:rsidR="00150E6A" w:rsidRPr="00B363AA">
        <w:t>.</w:t>
      </w:r>
    </w:p>
    <w:p w14:paraId="262B0368" w14:textId="05BC44A6" w:rsidR="00150E6A" w:rsidRPr="00B363AA" w:rsidRDefault="00045BE3">
      <w:pPr>
        <w:pStyle w:val="Titre3"/>
        <w:numPr>
          <w:ilvl w:val="2"/>
          <w:numId w:val="12"/>
        </w:numPr>
      </w:pPr>
      <w:bookmarkStart w:id="107" w:name="_Toc241242970"/>
      <w:r w:rsidRPr="00B363AA">
        <w:lastRenderedPageBreak/>
        <w:t>Compléments indicatifs</w:t>
      </w:r>
      <w:bookmarkEnd w:id="107"/>
    </w:p>
    <w:p w14:paraId="3C2DED1B" w14:textId="0CA51557" w:rsidR="004B2445" w:rsidRPr="00B363AA" w:rsidRDefault="004A71ED" w:rsidP="009A4F67">
      <w:r w:rsidRPr="00B363AA">
        <w:t xml:space="preserve">L’infiltration dépend également de la perméabilité du sol, c’est-à-dire des transferts d’eau depuis la surface. La perméabilité d’un sol dépend de la végétation qui se trouve en surface et de la structure de l’horizon superficiel. Par exemple, la présence d’une croute de battance peut affecter négativement la perméabilité du sol, qui tend à se développer à la surface d’un sol nu. Dans ces conditions, l’indice de battance est </w:t>
      </w:r>
      <w:r w:rsidR="00693F91" w:rsidRPr="00B363AA">
        <w:t xml:space="preserve">calculé </w:t>
      </w:r>
      <w:r w:rsidRPr="00B363AA">
        <w:t>pour approximer la sensibilité du sol à la battance.</w:t>
      </w:r>
    </w:p>
    <w:p w14:paraId="5B13280A" w14:textId="77777777" w:rsidR="004B2895" w:rsidRPr="00B363AA" w:rsidRDefault="009E7486">
      <w:pPr>
        <w:pStyle w:val="Titre2"/>
        <w:numPr>
          <w:ilvl w:val="1"/>
          <w:numId w:val="12"/>
        </w:numPr>
      </w:pPr>
      <w:bookmarkStart w:id="108" w:name="_Toc230267102"/>
      <w:bookmarkStart w:id="109" w:name="_Toc241242971"/>
      <w:r w:rsidRPr="00B363AA">
        <w:t>Protection des nappes</w:t>
      </w:r>
      <w:bookmarkEnd w:id="108"/>
      <w:bookmarkEnd w:id="109"/>
    </w:p>
    <w:p w14:paraId="0BB0620E" w14:textId="13D7A669" w:rsidR="001464A1" w:rsidRPr="00B363AA" w:rsidRDefault="001464A1" w:rsidP="001464A1">
      <w:r w:rsidRPr="00B363AA">
        <w:t xml:space="preserve">Ce service </w:t>
      </w:r>
      <w:r w:rsidR="00E85EE3" w:rsidRPr="00B363AA">
        <w:t xml:space="preserve">concerne la capacité du sol à </w:t>
      </w:r>
      <w:r w:rsidR="00386B16" w:rsidRPr="00B363AA">
        <w:t xml:space="preserve">agir comme un filtre, </w:t>
      </w:r>
      <w:r w:rsidR="004E5F55" w:rsidRPr="00B363AA">
        <w:t xml:space="preserve">une zone tampon pour empêcher </w:t>
      </w:r>
      <w:r w:rsidR="001717A3" w:rsidRPr="00B363AA">
        <w:t xml:space="preserve">des </w:t>
      </w:r>
      <w:r w:rsidR="004E5F55" w:rsidRPr="00B363AA">
        <w:t>polluants</w:t>
      </w:r>
      <w:r w:rsidR="001717A3" w:rsidRPr="00B363AA">
        <w:t xml:space="preserve"> potentiellement ou</w:t>
      </w:r>
      <w:r w:rsidR="004E5F55" w:rsidRPr="00B363AA">
        <w:t xml:space="preserve"> </w:t>
      </w:r>
      <w:r w:rsidR="001717A3" w:rsidRPr="00B363AA">
        <w:t>effectivement</w:t>
      </w:r>
      <w:r w:rsidR="004E5F55" w:rsidRPr="00B363AA">
        <w:t xml:space="preserve"> présents </w:t>
      </w:r>
      <w:r w:rsidR="001717A3" w:rsidRPr="00B363AA">
        <w:t xml:space="preserve">dans le sol d’être </w:t>
      </w:r>
      <w:r w:rsidR="706D2F2D" w:rsidRPr="00B363AA">
        <w:t>lixiviés</w:t>
      </w:r>
      <w:r w:rsidR="001717A3" w:rsidRPr="00B363AA">
        <w:t xml:space="preserve"> vers les nappes.</w:t>
      </w:r>
      <w:r w:rsidR="005F28DD" w:rsidRPr="00B363AA">
        <w:t xml:space="preserve"> </w:t>
      </w:r>
      <w:r w:rsidR="00384E84" w:rsidRPr="00B363AA">
        <w:t xml:space="preserve">En effet, le sol </w:t>
      </w:r>
      <w:r w:rsidR="005F28DD" w:rsidRPr="00B363AA">
        <w:t xml:space="preserve">contribue directement à la purification des eaux à travers </w:t>
      </w:r>
      <w:r w:rsidR="00807A24" w:rsidRPr="00B363AA">
        <w:t>deux</w:t>
      </w:r>
      <w:r w:rsidR="00384E84" w:rsidRPr="00B363AA">
        <w:t xml:space="preserve"> processus</w:t>
      </w:r>
      <w:r w:rsidR="00807A24" w:rsidRPr="00B363AA">
        <w:t xml:space="preserve"> principaux</w:t>
      </w:r>
      <w:r w:rsidR="00384E84" w:rsidRPr="00B363AA">
        <w:t> :</w:t>
      </w:r>
    </w:p>
    <w:p w14:paraId="1B4D8477" w14:textId="56F973AC" w:rsidR="00552C9D" w:rsidRPr="00B363AA" w:rsidRDefault="00384E84">
      <w:pPr>
        <w:pStyle w:val="Paragraphedeliste"/>
        <w:numPr>
          <w:ilvl w:val="0"/>
          <w:numId w:val="13"/>
        </w:numPr>
      </w:pPr>
      <w:r w:rsidRPr="00B363AA">
        <w:t>La</w:t>
      </w:r>
      <w:r w:rsidR="00992755" w:rsidRPr="00B363AA">
        <w:t xml:space="preserve"> rétention des polluants</w:t>
      </w:r>
      <w:r w:rsidR="001C332E" w:rsidRPr="00B363AA">
        <w:t xml:space="preserve"> sur les constituants du sol (</w:t>
      </w:r>
      <w:r w:rsidR="00BF0D5D" w:rsidRPr="00B363AA">
        <w:t>matière organique</w:t>
      </w:r>
      <w:r w:rsidR="001C332E" w:rsidRPr="00B363AA">
        <w:t>,</w:t>
      </w:r>
      <w:r w:rsidR="00BF0D5D" w:rsidRPr="00B363AA">
        <w:t xml:space="preserve"> minéraux argileux</w:t>
      </w:r>
      <w:r w:rsidR="001C332E" w:rsidRPr="00B363AA">
        <w:t xml:space="preserve">, oxydes de fer </w:t>
      </w:r>
      <w:r w:rsidR="00BF0D5D" w:rsidRPr="00B363AA">
        <w:t xml:space="preserve">et d’aluminium, </w:t>
      </w:r>
      <w:r w:rsidR="001C332E" w:rsidRPr="00B363AA">
        <w:t>etc.)</w:t>
      </w:r>
      <w:r w:rsidR="00992755" w:rsidRPr="00B363AA">
        <w:t xml:space="preserve">, via </w:t>
      </w:r>
      <w:r w:rsidR="005F28DD" w:rsidRPr="00B363AA">
        <w:t xml:space="preserve">des </w:t>
      </w:r>
      <w:r w:rsidR="001D3863" w:rsidRPr="00B363AA">
        <w:t xml:space="preserve">processus </w:t>
      </w:r>
      <w:r w:rsidR="001606BD" w:rsidRPr="00B363AA">
        <w:t>d’adsorption</w:t>
      </w:r>
      <w:r w:rsidR="001D3863" w:rsidRPr="00B363AA">
        <w:t>-désorption qui vont influencer les transferts de polluants</w:t>
      </w:r>
      <w:r w:rsidR="0041317D" w:rsidRPr="00B363AA">
        <w:t xml:space="preserve"> </w:t>
      </w:r>
      <w:r w:rsidR="00552C9D" w:rsidRPr="00B363AA">
        <w:t>;</w:t>
      </w:r>
    </w:p>
    <w:p w14:paraId="4D3F4205" w14:textId="355B6443" w:rsidR="0028312E" w:rsidRPr="00B363AA" w:rsidRDefault="00384E84">
      <w:pPr>
        <w:pStyle w:val="Paragraphedeliste"/>
        <w:numPr>
          <w:ilvl w:val="0"/>
          <w:numId w:val="13"/>
        </w:numPr>
      </w:pPr>
      <w:r w:rsidRPr="00B363AA">
        <w:t>La biodégradation</w:t>
      </w:r>
      <w:r w:rsidR="00807A24" w:rsidRPr="00B363AA">
        <w:t xml:space="preserve"> assurée par les microorganismes du sol</w:t>
      </w:r>
      <w:r w:rsidRPr="00B363AA">
        <w:t>.</w:t>
      </w:r>
    </w:p>
    <w:p w14:paraId="30FE8738" w14:textId="7CF17A9A" w:rsidR="00B75BE6" w:rsidRPr="00B363AA" w:rsidRDefault="00E865A6" w:rsidP="00B75BE6">
      <w:r w:rsidRPr="00B363AA">
        <w:t xml:space="preserve">La capacité de rétention </w:t>
      </w:r>
      <w:r w:rsidR="00134699" w:rsidRPr="00B363AA">
        <w:t>des polluants par le</w:t>
      </w:r>
      <w:r w:rsidRPr="00B363AA">
        <w:t xml:space="preserve"> </w:t>
      </w:r>
      <w:r w:rsidR="097BAC37" w:rsidRPr="00B363AA">
        <w:t xml:space="preserve">premier mètre </w:t>
      </w:r>
      <w:r w:rsidRPr="00B363AA">
        <w:t xml:space="preserve">du sol peut être évaluée dans le cadre de l’IQSW-pro. La biodégradation des polluants implique des processus </w:t>
      </w:r>
      <w:r w:rsidR="00433F8E" w:rsidRPr="00B363AA">
        <w:t>biochimiques complexes qui sortent du périmètre de l’indice.</w:t>
      </w:r>
    </w:p>
    <w:p w14:paraId="1F1CC83E" w14:textId="1A2EFD3C" w:rsidR="7CE436BD" w:rsidRPr="00B363AA" w:rsidRDefault="7CE436BD">
      <w:r w:rsidRPr="00B363AA">
        <w:t xml:space="preserve">Notons </w:t>
      </w:r>
      <w:r w:rsidR="1C4ADD37" w:rsidRPr="00B363AA">
        <w:t>que la capacité de rétention du premier mètre ne présage en rien de ce qui se passe en-dessous</w:t>
      </w:r>
      <w:r w:rsidR="626301F7" w:rsidRPr="00B363AA">
        <w:t>. Il est possible d’avoir un mètre de sol présentant une bonne capacité de rétention couvrant une forte pollution impliquant un risque pour la nappe ou, à l’inverse</w:t>
      </w:r>
      <w:r w:rsidR="327319A3" w:rsidRPr="00B363AA">
        <w:t xml:space="preserve">, un mètre de sol présentant un dépassement de sa capacité de rétention mais avec une épaisse zone tampon en dessous. </w:t>
      </w:r>
      <w:r w:rsidR="53F3A408" w:rsidRPr="00B363AA">
        <w:t xml:space="preserve">Le niveau d’atteinte de ce </w:t>
      </w:r>
      <w:r w:rsidR="002B7C20" w:rsidRPr="00B363AA">
        <w:t>service écosystémique</w:t>
      </w:r>
      <w:r w:rsidR="53F3A408" w:rsidRPr="00B363AA">
        <w:t xml:space="preserve"> ne permet donc pas, en l’état, d’appréhender toute la complexité </w:t>
      </w:r>
      <w:r w:rsidR="0E9F2FEB" w:rsidRPr="00B363AA">
        <w:t>du rôle joué par le sol dans toute sa profondeur sur le risque de contamination des eaux souterraines. L’outil vise exclusivement à définir le rôle joué par l’hor</w:t>
      </w:r>
      <w:r w:rsidR="335F7A23" w:rsidRPr="00B363AA">
        <w:t xml:space="preserve">izon de surface. </w:t>
      </w:r>
    </w:p>
    <w:p w14:paraId="4092C34F" w14:textId="071CDF0D" w:rsidR="009A4A18" w:rsidRPr="00B363AA" w:rsidRDefault="001464A1">
      <w:pPr>
        <w:pStyle w:val="Titre3"/>
        <w:numPr>
          <w:ilvl w:val="2"/>
          <w:numId w:val="12"/>
        </w:numPr>
      </w:pPr>
      <w:bookmarkStart w:id="110" w:name="_Toc241242972"/>
      <w:r w:rsidRPr="00B363AA">
        <w:t>Fonction</w:t>
      </w:r>
      <w:r w:rsidR="009A4A18" w:rsidRPr="00B363AA">
        <w:t>s</w:t>
      </w:r>
      <w:bookmarkEnd w:id="110"/>
    </w:p>
    <w:p w14:paraId="34B85AF6" w14:textId="61F8CBEC" w:rsidR="00261A1B" w:rsidRPr="00B363AA" w:rsidRDefault="00261A1B">
      <w:pPr>
        <w:pStyle w:val="Titre4"/>
        <w:numPr>
          <w:ilvl w:val="3"/>
          <w:numId w:val="12"/>
        </w:numPr>
      </w:pPr>
      <w:r w:rsidRPr="00B363AA">
        <w:t>Rétention des polluants</w:t>
      </w:r>
    </w:p>
    <w:p w14:paraId="488D36BA" w14:textId="47D0F4A6" w:rsidR="00EF4689" w:rsidRPr="00B363AA" w:rsidRDefault="00F552F8" w:rsidP="00B75BE6">
      <w:bookmarkStart w:id="111" w:name="_Toc230267103"/>
      <w:r w:rsidRPr="00B363AA">
        <w:t xml:space="preserve">Il s’agit de la seule fonction évaluée dans le cadre du </w:t>
      </w:r>
      <w:r w:rsidR="002B7C20" w:rsidRPr="00B363AA">
        <w:t>service écosystémique</w:t>
      </w:r>
      <w:r w:rsidRPr="00B363AA">
        <w:t xml:space="preserve"> </w:t>
      </w:r>
      <w:r w:rsidRPr="00B363AA">
        <w:rPr>
          <w:i/>
          <w:iCs/>
        </w:rPr>
        <w:t>Protection des nappes</w:t>
      </w:r>
      <w:r w:rsidRPr="00B363AA">
        <w:t xml:space="preserve">. </w:t>
      </w:r>
      <w:r w:rsidR="00B75BE6" w:rsidRPr="00B363AA">
        <w:t xml:space="preserve">Dans le cadre des études de risque type « Décret sols », le risque de </w:t>
      </w:r>
      <w:r w:rsidR="28EE56DC" w:rsidRPr="00B363AA">
        <w:t xml:space="preserve">lixiviation </w:t>
      </w:r>
      <w:r w:rsidR="00B75BE6" w:rsidRPr="00B363AA">
        <w:t>d’un polluant donné vers les nappes souterraines est évalué en comparant la concentration mesurée dans le sol avec la « valeur seuil nappe », VS</w:t>
      </w:r>
      <w:r w:rsidR="00B75BE6" w:rsidRPr="00B363AA">
        <w:rPr>
          <w:vertAlign w:val="subscript"/>
        </w:rPr>
        <w:t>N</w:t>
      </w:r>
      <w:r w:rsidR="00945F6B" w:rsidRPr="00B363AA">
        <w:t xml:space="preserve">, représentant la </w:t>
      </w:r>
      <w:r w:rsidR="00B75BE6" w:rsidRPr="00B363AA">
        <w:t>capacité du sol à retenir un polluant donné</w:t>
      </w:r>
      <w:r w:rsidR="00EF4689" w:rsidRPr="00B363AA">
        <w:t>. Cette valeur, correspondant à une « concentration maximale de rétention » (</w:t>
      </w:r>
      <w:proofErr w:type="spellStart"/>
      <w:r w:rsidR="00EF4689" w:rsidRPr="00B363AA">
        <w:t>Conc</w:t>
      </w:r>
      <w:r w:rsidR="00EF4689" w:rsidRPr="00B363AA">
        <w:rPr>
          <w:vertAlign w:val="subscript"/>
        </w:rPr>
        <w:t>rétention</w:t>
      </w:r>
      <w:proofErr w:type="spellEnd"/>
      <w:r w:rsidR="00EF4689" w:rsidRPr="00B363AA">
        <w:t xml:space="preserve">), peut être utilisée pour </w:t>
      </w:r>
      <w:r w:rsidR="007B0F06" w:rsidRPr="00B363AA">
        <w:t>évaluer la capacité théorique du sol à retenir les polluants.</w:t>
      </w:r>
      <w:r w:rsidR="29C79263" w:rsidRPr="00B363AA">
        <w:t xml:space="preserve"> </w:t>
      </w:r>
      <w:r w:rsidR="2554E9D6" w:rsidRPr="00B363AA">
        <w:t xml:space="preserve">Elle est calculée à partir des équations </w:t>
      </w:r>
      <w:r w:rsidR="00C93ADB" w:rsidRPr="00B363AA">
        <w:t xml:space="preserve">du GRER (voir </w:t>
      </w:r>
      <w:r w:rsidR="00493508" w:rsidRPr="00B363AA">
        <w:t>Annexe 2 – Indicateurs</w:t>
      </w:r>
      <w:r w:rsidR="00C93ADB" w:rsidRPr="00B363AA">
        <w:t>).</w:t>
      </w:r>
    </w:p>
    <w:p w14:paraId="005C0061" w14:textId="29784A2D" w:rsidR="00BC1737" w:rsidRPr="00B363AA" w:rsidRDefault="00BC1737">
      <w:pPr>
        <w:pStyle w:val="Titre3"/>
        <w:numPr>
          <w:ilvl w:val="2"/>
          <w:numId w:val="12"/>
        </w:numPr>
      </w:pPr>
      <w:bookmarkStart w:id="112" w:name="_Toc241242973"/>
      <w:r w:rsidRPr="00B363AA">
        <w:t>Contraintes</w:t>
      </w:r>
      <w:bookmarkEnd w:id="112"/>
    </w:p>
    <w:p w14:paraId="6BC28D08" w14:textId="4E941249" w:rsidR="00BC1737" w:rsidRPr="00B363AA" w:rsidRDefault="00E57BE9">
      <w:pPr>
        <w:pStyle w:val="Titre4"/>
        <w:numPr>
          <w:ilvl w:val="3"/>
          <w:numId w:val="12"/>
        </w:numPr>
      </w:pPr>
      <w:r w:rsidRPr="00B363AA">
        <w:t>Pollution</w:t>
      </w:r>
    </w:p>
    <w:p w14:paraId="6B9AA6DA" w14:textId="2CA40F69" w:rsidR="00E57BE9" w:rsidRPr="00B363AA" w:rsidRDefault="00E57BE9" w:rsidP="00E57BE9">
      <w:r w:rsidRPr="00B363AA">
        <w:t xml:space="preserve">La présence d’une pollution dans le sol représente une contrainte pour le </w:t>
      </w:r>
      <w:r w:rsidR="002B7C20" w:rsidRPr="00B363AA">
        <w:t>service écosystémique</w:t>
      </w:r>
      <w:r w:rsidRPr="00B363AA">
        <w:t xml:space="preserve"> </w:t>
      </w:r>
      <w:r w:rsidRPr="00B363AA">
        <w:rPr>
          <w:i/>
          <w:iCs/>
        </w:rPr>
        <w:t>Protection des nappes</w:t>
      </w:r>
      <w:r w:rsidRPr="00B363AA">
        <w:t xml:space="preserve">, </w:t>
      </w:r>
      <w:r w:rsidR="00B04BAC" w:rsidRPr="00B363AA">
        <w:t xml:space="preserve">car la </w:t>
      </w:r>
      <w:r w:rsidR="7AE5CFCA" w:rsidRPr="00B363AA">
        <w:t>présence d</w:t>
      </w:r>
      <w:r w:rsidR="1FD8C4AE" w:rsidRPr="00B363AA">
        <w:t>’un ou plusieurs</w:t>
      </w:r>
      <w:r w:rsidR="00B04BAC" w:rsidRPr="00B363AA">
        <w:t xml:space="preserve"> polluant sature la capacité de rétention du sol</w:t>
      </w:r>
      <w:r w:rsidR="1FD8C4AE" w:rsidRPr="00B363AA">
        <w:t>, limitant sa capacité à filtrer de</w:t>
      </w:r>
      <w:r w:rsidR="11CBA466" w:rsidRPr="00B363AA">
        <w:t>s pollutions ultérieures.</w:t>
      </w:r>
      <w:r w:rsidR="5566121C" w:rsidRPr="00B363AA">
        <w:t xml:space="preserve"> Un dépassement de la capacité de rétention du sol indique une contrainte forte</w:t>
      </w:r>
      <w:r w:rsidR="00B04BAC" w:rsidRPr="00B363AA">
        <w:t>.</w:t>
      </w:r>
    </w:p>
    <w:p w14:paraId="26481D26" w14:textId="664E8213" w:rsidR="00B04BAC" w:rsidRPr="00B363AA" w:rsidRDefault="003435BF">
      <w:pPr>
        <w:pStyle w:val="Titre3"/>
        <w:numPr>
          <w:ilvl w:val="2"/>
          <w:numId w:val="12"/>
        </w:numPr>
      </w:pPr>
      <w:bookmarkStart w:id="113" w:name="_Toc241242974"/>
      <w:r w:rsidRPr="00B363AA">
        <w:lastRenderedPageBreak/>
        <w:t>Compléments indicatifs</w:t>
      </w:r>
      <w:bookmarkEnd w:id="113"/>
    </w:p>
    <w:p w14:paraId="1E7EA58C" w14:textId="103BBF7D" w:rsidR="00B15F00" w:rsidRPr="00B363AA" w:rsidRDefault="00E26DDA" w:rsidP="00B15F00">
      <w:r w:rsidRPr="00B363AA">
        <w:t xml:space="preserve">Aucun complément indicatif ne s’applique au </w:t>
      </w:r>
      <w:r w:rsidR="002B7C20" w:rsidRPr="00B363AA">
        <w:t>service écosystémique</w:t>
      </w:r>
      <w:r w:rsidRPr="00B363AA">
        <w:t xml:space="preserve"> </w:t>
      </w:r>
      <w:r w:rsidRPr="00B363AA">
        <w:rPr>
          <w:i/>
          <w:iCs/>
        </w:rPr>
        <w:t>Protection des Nappes</w:t>
      </w:r>
      <w:r w:rsidRPr="00B363AA">
        <w:t>.</w:t>
      </w:r>
    </w:p>
    <w:p w14:paraId="5509AD6B" w14:textId="77777777" w:rsidR="004B2895" w:rsidRPr="00B363AA" w:rsidRDefault="006F53BE">
      <w:pPr>
        <w:pStyle w:val="Titre2"/>
        <w:numPr>
          <w:ilvl w:val="1"/>
          <w:numId w:val="12"/>
        </w:numPr>
      </w:pPr>
      <w:bookmarkStart w:id="114" w:name="_Toc241242975"/>
      <w:r w:rsidRPr="00B363AA">
        <w:t>P</w:t>
      </w:r>
      <w:r w:rsidR="00347859" w:rsidRPr="00B363AA">
        <w:t>otentiel d’accueil pour un</w:t>
      </w:r>
      <w:r w:rsidRPr="00B363AA">
        <w:t xml:space="preserve">e végétation </w:t>
      </w:r>
      <w:r w:rsidR="00347859" w:rsidRPr="00B363AA">
        <w:t>diversifié</w:t>
      </w:r>
      <w:r w:rsidRPr="00B363AA">
        <w:t>e</w:t>
      </w:r>
      <w:bookmarkEnd w:id="111"/>
      <w:bookmarkEnd w:id="114"/>
    </w:p>
    <w:p w14:paraId="54FB846C" w14:textId="40AFC43B" w:rsidR="0077712C" w:rsidRPr="00B363AA" w:rsidRDefault="009A7D10" w:rsidP="009D239D">
      <w:r w:rsidRPr="00B363AA">
        <w:t xml:space="preserve">Ce </w:t>
      </w:r>
      <w:r w:rsidR="002B7C20" w:rsidRPr="00B363AA">
        <w:t>service écosystémique</w:t>
      </w:r>
      <w:r w:rsidRPr="00B363AA">
        <w:t xml:space="preserve"> concerne la capacité du sol à accueillir une végétation diversifiée. </w:t>
      </w:r>
      <w:r w:rsidR="00694503" w:rsidRPr="00B363AA">
        <w:t>Il s’agit donc d’évaluer</w:t>
      </w:r>
      <w:r w:rsidR="00946BA7" w:rsidRPr="00B363AA">
        <w:t xml:space="preserve">, sur base de propriétés pédologiques, </w:t>
      </w:r>
      <w:r w:rsidR="00D90A37" w:rsidRPr="00B363AA">
        <w:t>le potentiel que présente un sol à accueillir la biodiversité végétale (que cette biodiversité soit effectivement représentée ou non).</w:t>
      </w:r>
    </w:p>
    <w:p w14:paraId="012EFFD0" w14:textId="63EB73BE" w:rsidR="00D90A37" w:rsidRPr="00B363AA" w:rsidRDefault="002002E2">
      <w:pPr>
        <w:pStyle w:val="Titre3"/>
        <w:numPr>
          <w:ilvl w:val="2"/>
          <w:numId w:val="12"/>
        </w:numPr>
      </w:pPr>
      <w:bookmarkStart w:id="115" w:name="_Toc241242976"/>
      <w:r w:rsidRPr="00B363AA">
        <w:t>Fonctions</w:t>
      </w:r>
      <w:bookmarkEnd w:id="115"/>
    </w:p>
    <w:p w14:paraId="351D4B8A" w14:textId="1D77BD96" w:rsidR="002002E2" w:rsidRPr="00B363AA" w:rsidRDefault="007F5C9F">
      <w:pPr>
        <w:pStyle w:val="Titre4"/>
        <w:numPr>
          <w:ilvl w:val="3"/>
          <w:numId w:val="12"/>
        </w:numPr>
      </w:pPr>
      <w:r w:rsidRPr="00B363AA">
        <w:t>Diversité des réseaux trophiques</w:t>
      </w:r>
    </w:p>
    <w:p w14:paraId="23022BED" w14:textId="780A301A" w:rsidR="00CB7132" w:rsidRPr="00B363AA" w:rsidRDefault="0077712C" w:rsidP="009D239D">
      <w:r w:rsidRPr="00B363AA">
        <w:t>La</w:t>
      </w:r>
      <w:r w:rsidR="00E132E5" w:rsidRPr="00B363AA">
        <w:t xml:space="preserve"> teneur </w:t>
      </w:r>
      <w:r w:rsidR="00564BD6" w:rsidRPr="00B363AA">
        <w:t>en nutriments</w:t>
      </w:r>
      <w:r w:rsidRPr="00B363AA">
        <w:t xml:space="preserve"> est le facteur principal qui</w:t>
      </w:r>
      <w:r w:rsidR="005251EF" w:rsidRPr="00B363AA">
        <w:t xml:space="preserve"> influence </w:t>
      </w:r>
      <w:r w:rsidR="00CC5BE1" w:rsidRPr="00B363AA">
        <w:t>l</w:t>
      </w:r>
      <w:r w:rsidRPr="00B363AA">
        <w:t xml:space="preserve">e potentiel de </w:t>
      </w:r>
      <w:r w:rsidR="00694503" w:rsidRPr="00B363AA">
        <w:t>diversification des espèces végétales</w:t>
      </w:r>
      <w:r w:rsidR="00AE710C" w:rsidRPr="00B363AA">
        <w:t xml:space="preserve">. </w:t>
      </w:r>
      <w:r w:rsidR="003F31D8" w:rsidRPr="00B363AA">
        <w:t xml:space="preserve">C’est </w:t>
      </w:r>
      <w:r w:rsidR="00BF6F14" w:rsidRPr="00B363AA">
        <w:t>essentiellement</w:t>
      </w:r>
      <w:r w:rsidR="003F31D8" w:rsidRPr="00B363AA">
        <w:t xml:space="preserve"> le cas du phosphore qui, à partir d’un</w:t>
      </w:r>
      <w:r w:rsidR="00671043" w:rsidRPr="00B363AA">
        <w:t>e</w:t>
      </w:r>
      <w:r w:rsidR="003F31D8" w:rsidRPr="00B363AA">
        <w:t xml:space="preserve"> certain</w:t>
      </w:r>
      <w:r w:rsidR="00671043" w:rsidRPr="00B363AA">
        <w:t>e</w:t>
      </w:r>
      <w:r w:rsidR="003F31D8" w:rsidRPr="00B363AA">
        <w:t xml:space="preserve"> </w:t>
      </w:r>
      <w:r w:rsidR="00671043" w:rsidRPr="00B363AA">
        <w:t>concentration</w:t>
      </w:r>
      <w:r w:rsidR="00DC3607" w:rsidRPr="00B363AA">
        <w:t xml:space="preserve">, </w:t>
      </w:r>
      <w:r w:rsidR="00CB7132" w:rsidRPr="00B363AA">
        <w:t xml:space="preserve">cause une diminution drastique du nombre d’espèces présentes dans </w:t>
      </w:r>
      <w:r w:rsidR="00671043" w:rsidRPr="00B363AA">
        <w:t xml:space="preserve">un milieu </w:t>
      </w:r>
      <w:r w:rsidR="0046076C" w:rsidRPr="00B363AA">
        <w:t>naturel ou géré de manière extensive</w:t>
      </w:r>
      <w:r w:rsidR="00CB7132" w:rsidRPr="00B363AA">
        <w:t xml:space="preserve">, au bénéfice </w:t>
      </w:r>
      <w:r w:rsidR="0046076C" w:rsidRPr="00B363AA">
        <w:t>d’un nombre réduit d’</w:t>
      </w:r>
      <w:r w:rsidR="00CB7132" w:rsidRPr="00B363AA">
        <w:t>espèces compétitrices</w:t>
      </w:r>
      <w:r w:rsidR="00480D2C" w:rsidRPr="00B363AA">
        <w:t xml:space="preserve"> </w:t>
      </w:r>
      <w:r w:rsidR="00883850" w:rsidRPr="00B363AA">
        <w:t xml:space="preserve">à croissance rapide </w:t>
      </w:r>
      <w:r w:rsidR="00480D2C" w:rsidRPr="00B363AA">
        <w:fldChar w:fldCharType="begin"/>
      </w:r>
      <w:r w:rsidR="00480D2C" w:rsidRPr="00B363AA">
        <w:instrText xml:space="preserve"> ADDIN ZOTERO_ITEM CSL_CITATION {"citationID":"I3kovtK7","properties":{"unsorted":true,"formattedCitation":"(Janssens &amp; Peeters, 1999; Ceulemans et al., 2014)","plainCitation":"(Janssens &amp; Peeters, 1999; Ceulemans et al., 2014)","noteIndex":0},"citationItems":[{"id":124,"uris":["http://zotero.org/groups/5684833/items/6FFL6DXR"],"itemData":{"id":124,"type":"article-journal","language":"fr","source":"dial.uclouvain.be","title":"Talus et pré fleuris : mode d'emploi. Un guide pour l'aménagement écologique d'espaces verts","title-short":"Talus et pré fleuris","URL":"https://dial.uclouvain.be/pr/boreal/object/boreal:84530","author":[{"family":"Janssens","given":"Frédéric"},{"family":"Peeters","given":"Alain"}],"accessed":{"date-parts":[["2025",7,30]]},"issued":{"date-parts":[["1999"]]}}},{"id":13,"uris":["http://zotero.org/groups/5684833/items/FGT9VPDF"],"itemData":{"id":13,"type":"article-journal","abstract":"Nutrient pollution presents a serious threat to biodiversity conservation. In terrestrial ecosystems, the deleterious effects of nitrogen pollution are increasingly understood and several mitigating environmental policies have been developed. Compared to nitrogen, the effects of increased phosphorus have received far less attention, although some studies have indicated that phosphorus pollution may be detrimental for biodiversity as well. On the basis of a dataset covering 501 grassland plots throughout Europe, we demonstrate that, independent of the level of atmospheric nitrogen deposition and soil acidity, plant species richness was consistently negatively related to soil phosphorus. We also identified thresholds in soil phosphorus above which biodiversity appears to remain at a constant low level. Our results indicate that nutrient management policies biased toward reducing nitrogen pollution will fail to preserve biodiversity. As soil phosphorus is known to be extremely persistent and we found no evidence for a critical threshold below which no environmental harm is expected, we suggest that agro-environmental schemes should include grasslands that are permanently free from phosphorus fertilization.","container-title":"Global Change Biology","DOI":"10.1111/gcb.12650","ISSN":"1365-2486","issue":"12","language":"en","license":"© 2014 John Wiley &amp; Sons Ltd","note":"_eprint: https://onlinelibrary.wiley.com/doi/pdf/10.1111/gcb.12650","page":"3814-3822","source":"Wiley Online Library","title":"Soil phosphorus constrains biodiversity across European grasslands","volume":"20","author":[{"family":"Ceulemans","given":"Tobias"},{"family":"Stevens","given":"Carly J."},{"family":"Duchateau","given":"Luc"},{"family":"Jacquemyn","given":"Hans"},{"family":"Gowing","given":"David J. G."},{"family":"Merckx","given":"Roel"},{"family":"Wallace","given":"Hilary"},{"family":"Rooijen","given":"Nils","non-dropping-particle":"van"},{"family":"Goethem","given":"Thomas"},{"family":"Bobbink","given":"Roland"},{"family":"Dorland","given":"Edu"},{"family":"Gaudnik","given":"Cassandre"},{"family":"Alard","given":"Didier"},{"family":"Corcket","given":"Emmanuel"},{"family":"Muller","given":"Serge"},{"family":"Dise","given":"Nancy B."},{"family":"Dupré","given":"Cecilia"},{"family":"Diekmann","given":"Martin"},{"family":"Honnay","given":"Olivier"}],"issued":{"date-parts":[["2014"]]}}}],"schema":"https://github.com/citation-style-language/schema/raw/master/csl-citation.json"} </w:instrText>
      </w:r>
      <w:r w:rsidR="00480D2C" w:rsidRPr="00B363AA">
        <w:fldChar w:fldCharType="separate"/>
      </w:r>
      <w:r w:rsidR="00480D2C" w:rsidRPr="00B363AA">
        <w:rPr>
          <w:rFonts w:cs="Calibri"/>
        </w:rPr>
        <w:t>(Janssens &amp; Peeters, 1999; Ceulemans et al., 2014)</w:t>
      </w:r>
      <w:r w:rsidR="00480D2C" w:rsidRPr="00B363AA">
        <w:fldChar w:fldCharType="end"/>
      </w:r>
      <w:r w:rsidR="00CB7132" w:rsidRPr="00B363AA">
        <w:t>.</w:t>
      </w:r>
      <w:r w:rsidR="009D239D" w:rsidRPr="00B363AA">
        <w:t xml:space="preserve"> </w:t>
      </w:r>
      <w:r w:rsidR="00440CA2" w:rsidRPr="00B363AA">
        <w:t>D</w:t>
      </w:r>
      <w:r w:rsidR="009D239D" w:rsidRPr="00B363AA">
        <w:t xml:space="preserve">es sols pauvres en phosphore contribuent au </w:t>
      </w:r>
      <w:r w:rsidR="0033182B" w:rsidRPr="00B363AA">
        <w:t xml:space="preserve">développement d’une communauté microbienne </w:t>
      </w:r>
      <w:r w:rsidR="00E07A3F" w:rsidRPr="00B363AA">
        <w:t xml:space="preserve">et d’un cortège végétal </w:t>
      </w:r>
      <w:r w:rsidR="0033182B" w:rsidRPr="00B363AA">
        <w:t>diversifié</w:t>
      </w:r>
      <w:r w:rsidR="00E07A3F" w:rsidRPr="00B363AA">
        <w:t xml:space="preserve">s </w:t>
      </w:r>
      <w:r w:rsidR="005F6B32" w:rsidRPr="00B363AA">
        <w:fldChar w:fldCharType="begin"/>
      </w:r>
      <w:r w:rsidR="005F6B32" w:rsidRPr="00B363AA">
        <w:instrText xml:space="preserve"> ADDIN ZOTERO_ITEM CSL_CITATION {"citationID":"x1W8aUGo","properties":{"unsorted":false,"formattedCitation":"(Lalibert\\uc0\\u233{} et al., 2013)","plainCitation":"(Laliberté et al., 2013)","noteIndex":0},"citationItems":[{"id":485,"uris":["http://zotero.org/groups/5684833/items/CUJRAF2I"],"itemData":{"id":485,"type":"article-journal","abstract":"Some of the most species-rich plant communities occur on ancient, strongly weathered soils, whereas those on recently developed soils tend to be less diverse. Mechanisms underlying this well-known pattern, however, remain unresolved. Here, we present a conceptual model describing alternative mechanisms by which pedogenesis (the process of soil formation) might drive plant diversity. We suggest that long-term soil chronosequences offer great, yet largely untapped, potential as ‘natural experiments’ to determine edaphic controls over plant diversity. Finally, we discuss how our conceptual model can be evaluated quantitatively using structural equation modeling to advance multivariate theories about the determinants of local plant diversity. This should help us to understand broader-scale diversity patterns, such as the latitudinal gradient of plant diversity.","container-title":"Trends in Ecology &amp; Evolution","DOI":"10.1016/j.tree.2013.02.008","ISSN":"0169-5347","issue":"6","journalAbbreviation":"Trends in Ecology &amp; Evolution","page":"331-340","source":"ScienceDirect","title":"How does pedogenesis drive plant diversity?","volume":"28","author":[{"family":"Laliberté","given":"Etienne"},{"family":"Grace","given":"James B."},{"family":"Huston","given":"Michael A."},{"family":"Lambers","given":"Hans"},{"family":"Teste","given":"François P."},{"family":"Turner","given":"Benjamin L."},{"family":"Wardle","given":"David A."}],"issued":{"date-parts":[["2013",6,1]]}}}],"schema":"https://github.com/citation-style-language/schema/raw/master/csl-citation.json"} </w:instrText>
      </w:r>
      <w:r w:rsidR="005F6B32" w:rsidRPr="00B363AA">
        <w:fldChar w:fldCharType="separate"/>
      </w:r>
      <w:r w:rsidR="005F6B32" w:rsidRPr="00B363AA">
        <w:rPr>
          <w:rFonts w:cs="Calibri"/>
          <w:kern w:val="0"/>
        </w:rPr>
        <w:t>(Laliberté et al., 2013)</w:t>
      </w:r>
      <w:r w:rsidR="005F6B32" w:rsidRPr="00B363AA">
        <w:fldChar w:fldCharType="end"/>
      </w:r>
      <w:r w:rsidR="0023398E" w:rsidRPr="00B363AA">
        <w:t>.</w:t>
      </w:r>
    </w:p>
    <w:p w14:paraId="17119D16" w14:textId="24C3DBD9" w:rsidR="00023891" w:rsidRPr="00B363AA" w:rsidRDefault="00CD6290" w:rsidP="009A7D10">
      <w:r w:rsidRPr="00B363AA">
        <w:t xml:space="preserve">Ainsi, la mesure de la teneur en P disponible est </w:t>
      </w:r>
      <w:r w:rsidR="00E07A3F" w:rsidRPr="00B363AA">
        <w:t>l’unique</w:t>
      </w:r>
      <w:r w:rsidRPr="00B363AA">
        <w:t xml:space="preserve"> paramètre </w:t>
      </w:r>
      <w:r w:rsidR="001C1B19" w:rsidRPr="00B363AA">
        <w:t xml:space="preserve">impliqué dans l’évaluation </w:t>
      </w:r>
      <w:r w:rsidR="000209DE" w:rsidRPr="00B363AA">
        <w:t xml:space="preserve">de la fonction </w:t>
      </w:r>
      <w:r w:rsidR="000209DE" w:rsidRPr="00B363AA">
        <w:rPr>
          <w:i/>
          <w:iCs/>
        </w:rPr>
        <w:t>Potentiel d’accueil</w:t>
      </w:r>
      <w:r w:rsidR="00AB5CD3" w:rsidRPr="00B363AA">
        <w:rPr>
          <w:i/>
          <w:iCs/>
        </w:rPr>
        <w:t xml:space="preserve"> pour une végétation diversifiée</w:t>
      </w:r>
      <w:r w:rsidRPr="00B363AA">
        <w:t>.</w:t>
      </w:r>
    </w:p>
    <w:p w14:paraId="6E698EB3" w14:textId="1A28F0FE" w:rsidR="00CD6290" w:rsidRPr="00B363AA" w:rsidRDefault="00D6268D">
      <w:pPr>
        <w:pStyle w:val="Titre3"/>
        <w:numPr>
          <w:ilvl w:val="2"/>
          <w:numId w:val="12"/>
        </w:numPr>
      </w:pPr>
      <w:bookmarkStart w:id="116" w:name="_Toc241242977"/>
      <w:r w:rsidRPr="00B363AA">
        <w:t>Contraintes</w:t>
      </w:r>
      <w:bookmarkEnd w:id="116"/>
    </w:p>
    <w:p w14:paraId="5697A190" w14:textId="347D2D71" w:rsidR="000209DE" w:rsidRPr="00B363AA" w:rsidRDefault="001C1B19">
      <w:pPr>
        <w:pStyle w:val="Titre4"/>
        <w:numPr>
          <w:ilvl w:val="3"/>
          <w:numId w:val="12"/>
        </w:numPr>
      </w:pPr>
      <w:r w:rsidRPr="00B363AA">
        <w:t>Présence d’espèces exotiques envahissantes</w:t>
      </w:r>
    </w:p>
    <w:p w14:paraId="5C7B94E8" w14:textId="53A07206" w:rsidR="00D6268D" w:rsidRPr="00B363AA" w:rsidRDefault="00D6268D" w:rsidP="00D6268D">
      <w:r w:rsidRPr="00B363AA">
        <w:t>La présence d</w:t>
      </w:r>
      <w:r w:rsidR="00C82C5D" w:rsidRPr="00B363AA">
        <w:t>e plantes exotiques envahissantes</w:t>
      </w:r>
      <w:r w:rsidRPr="00B363AA">
        <w:t xml:space="preserve"> est le reflet d’une perte de biodiversité</w:t>
      </w:r>
      <w:r w:rsidR="1A727E02" w:rsidRPr="00B363AA">
        <w:t xml:space="preserve"> qui impose une contrainte forte à la réinstallation d’un cortège végétal diversifié</w:t>
      </w:r>
      <w:r w:rsidR="370A9D10" w:rsidRPr="00B363AA">
        <w:t>.</w:t>
      </w:r>
      <w:r w:rsidRPr="00B363AA">
        <w:t xml:space="preserve"> </w:t>
      </w:r>
      <w:r w:rsidR="000B4FB6" w:rsidRPr="00B363AA">
        <w:t xml:space="preserve">Ainsi, la présence d’un massif d’EEE </w:t>
      </w:r>
      <w:r w:rsidR="0045017E" w:rsidRPr="00B363AA">
        <w:t xml:space="preserve">va </w:t>
      </w:r>
      <w:r w:rsidR="00AD659E" w:rsidRPr="00B363AA">
        <w:t>en toute logique</w:t>
      </w:r>
      <w:r w:rsidR="000B4118" w:rsidRPr="00B363AA">
        <w:t xml:space="preserve"> </w:t>
      </w:r>
      <w:r w:rsidR="0045017E" w:rsidRPr="00B363AA">
        <w:t xml:space="preserve">impacter négativement le </w:t>
      </w:r>
      <w:r w:rsidR="002B7C20" w:rsidRPr="00B363AA">
        <w:t>service</w:t>
      </w:r>
      <w:r w:rsidR="0045017E" w:rsidRPr="00B363AA">
        <w:t>.</w:t>
      </w:r>
    </w:p>
    <w:p w14:paraId="0AF7FC4F" w14:textId="76373BC1" w:rsidR="009174EB" w:rsidRPr="00B363AA" w:rsidRDefault="7387B8F2">
      <w:pPr>
        <w:pStyle w:val="Titre3"/>
        <w:numPr>
          <w:ilvl w:val="2"/>
          <w:numId w:val="12"/>
        </w:numPr>
      </w:pPr>
      <w:bookmarkStart w:id="117" w:name="_Toc241242978"/>
      <w:r w:rsidRPr="00B363AA">
        <w:t>Compléments indicatifs</w:t>
      </w:r>
      <w:bookmarkEnd w:id="117"/>
    </w:p>
    <w:p w14:paraId="659C42E6" w14:textId="77777777" w:rsidR="00E6063D" w:rsidRPr="00B363AA" w:rsidRDefault="00E6063D">
      <w:pPr>
        <w:pStyle w:val="Titre4"/>
        <w:numPr>
          <w:ilvl w:val="3"/>
          <w:numId w:val="12"/>
        </w:numPr>
      </w:pPr>
      <w:r w:rsidRPr="00B363AA">
        <w:t>Pollution</w:t>
      </w:r>
    </w:p>
    <w:p w14:paraId="1E3DCD1F" w14:textId="2F3160CA" w:rsidR="00502BD3" w:rsidRPr="00B363AA" w:rsidRDefault="00E6063D" w:rsidP="00E6063D">
      <w:r w:rsidRPr="00B363AA">
        <w:t>La pollution peut affecter négativement les espèces végétales et des valeurs de risque existent pour caractériser la menace que représente une pollution pour les écosystèmes : VS écosystèmes (VS</w:t>
      </w:r>
      <w:r w:rsidRPr="00B363AA">
        <w:rPr>
          <w:vertAlign w:val="subscript"/>
        </w:rPr>
        <w:t>E</w:t>
      </w:r>
      <w:r w:rsidRPr="00B363AA">
        <w:t>). Toutefois, étant donné que cette valeur de risque est modélisée pour de multiples composants de l’écosystème (non seulement les plantes mais également les animaux, les microorganismes du sol</w:t>
      </w:r>
      <w:r w:rsidR="75C5FA3A" w:rsidRPr="00B363AA">
        <w:t>,</w:t>
      </w:r>
      <w:r w:rsidRPr="00B363AA">
        <w:t xml:space="preserve"> etc.), un dépassement de la VS</w:t>
      </w:r>
      <w:r w:rsidRPr="00B363AA">
        <w:rPr>
          <w:vertAlign w:val="subscript"/>
        </w:rPr>
        <w:t>E</w:t>
      </w:r>
      <w:r w:rsidRPr="00B363AA">
        <w:t xml:space="preserve"> doit seulement être interprété comme un complément indicatif pour le </w:t>
      </w:r>
      <w:r w:rsidR="002B7C20" w:rsidRPr="00B363AA">
        <w:t>service écosystémique</w:t>
      </w:r>
      <w:r w:rsidRPr="00B363AA">
        <w:t xml:space="preserve"> </w:t>
      </w:r>
      <w:r w:rsidRPr="00B363AA">
        <w:rPr>
          <w:i/>
          <w:iCs/>
        </w:rPr>
        <w:t>Accueil pour une végétation diversifiée</w:t>
      </w:r>
      <w:r w:rsidRPr="00B363AA">
        <w:t>, et non comme une variable à scorer en soi. Notons que certaines pollutions peuvent engendrer la présence d’un écosystème rare (</w:t>
      </w:r>
      <w:r w:rsidR="00E818DB" w:rsidRPr="00B363AA">
        <w:t>voir partie</w:t>
      </w:r>
      <w:r w:rsidR="00013A2B" w:rsidRPr="00B363AA">
        <w:t xml:space="preserve"> </w:t>
      </w:r>
      <w:r w:rsidR="00013A2B" w:rsidRPr="00B363AA">
        <w:fldChar w:fldCharType="begin"/>
      </w:r>
      <w:r w:rsidR="00013A2B" w:rsidRPr="00B363AA">
        <w:instrText xml:space="preserve"> REF _Ref241075439 \r \h </w:instrText>
      </w:r>
      <w:r w:rsidR="00013A2B" w:rsidRPr="00B363AA">
        <w:fldChar w:fldCharType="separate"/>
      </w:r>
      <w:r w:rsidR="00013A2B" w:rsidRPr="00B363AA">
        <w:t>4.7.3.1</w:t>
      </w:r>
      <w:r w:rsidR="00013A2B" w:rsidRPr="00B363AA">
        <w:fldChar w:fldCharType="end"/>
      </w:r>
      <w:r w:rsidR="00E818DB" w:rsidRPr="00B363AA">
        <w:t>)</w:t>
      </w:r>
      <w:r w:rsidRPr="00B363AA">
        <w:t xml:space="preserve">. </w:t>
      </w:r>
    </w:p>
    <w:p w14:paraId="5058B979" w14:textId="65CAB874" w:rsidR="004B2895" w:rsidRPr="00B363AA" w:rsidRDefault="0045017E">
      <w:pPr>
        <w:pStyle w:val="Titre2"/>
        <w:numPr>
          <w:ilvl w:val="1"/>
          <w:numId w:val="12"/>
        </w:numPr>
      </w:pPr>
      <w:bookmarkStart w:id="118" w:name="_Toc230267104"/>
      <w:bookmarkStart w:id="119" w:name="_Ref233066337"/>
      <w:bookmarkStart w:id="120" w:name="_Ref241069708"/>
      <w:bookmarkStart w:id="121" w:name="_Toc241242979"/>
      <w:r w:rsidRPr="00B363AA">
        <w:t>Potentiel d’accueil pour un é</w:t>
      </w:r>
      <w:r w:rsidR="00347859" w:rsidRPr="00B363AA">
        <w:t>cosystème rare</w:t>
      </w:r>
      <w:bookmarkEnd w:id="118"/>
      <w:bookmarkEnd w:id="119"/>
      <w:bookmarkEnd w:id="120"/>
      <w:bookmarkEnd w:id="121"/>
    </w:p>
    <w:p w14:paraId="176DBCDF" w14:textId="6DC0BAAF" w:rsidR="00D83E17" w:rsidRPr="00B363AA" w:rsidRDefault="006A2E2E" w:rsidP="0022535A">
      <w:r w:rsidRPr="00B363AA">
        <w:t xml:space="preserve">Le potentiel d’accueil pour un écosystème rare fait référence à la capacité d’un sol à accueillir, </w:t>
      </w:r>
      <w:r w:rsidR="0022535A" w:rsidRPr="00B363AA">
        <w:t xml:space="preserve">en raison de propriétés atypiques, un écosystème rare. </w:t>
      </w:r>
      <w:r w:rsidR="00DE7B39" w:rsidRPr="00B363AA">
        <w:t>L</w:t>
      </w:r>
      <w:r w:rsidR="00D83E17" w:rsidRPr="00B363AA">
        <w:t xml:space="preserve">a spécificité </w:t>
      </w:r>
      <w:r w:rsidR="00FC4C62" w:rsidRPr="00B363AA">
        <w:t>d’un sol</w:t>
      </w:r>
      <w:r w:rsidR="00BC640D" w:rsidRPr="00B363AA">
        <w:t>, et donc l’intérêt de le protéger,</w:t>
      </w:r>
      <w:r w:rsidR="00D83E17" w:rsidRPr="00B363AA">
        <w:t xml:space="preserve"> réside dans la rareté </w:t>
      </w:r>
      <w:r w:rsidR="00BC640D" w:rsidRPr="00B363AA">
        <w:t>des espèces qu’il accueille (ou est en mesure d’accueillir).</w:t>
      </w:r>
      <w:r w:rsidR="00A96D7C" w:rsidRPr="00B363AA">
        <w:t xml:space="preserve"> </w:t>
      </w:r>
      <w:r w:rsidR="0022535A" w:rsidRPr="00B363AA">
        <w:t xml:space="preserve">Il est important de </w:t>
      </w:r>
      <w:r w:rsidR="00B61B30" w:rsidRPr="00B363AA">
        <w:t>mentionner que l</w:t>
      </w:r>
      <w:r w:rsidR="00A96D7C" w:rsidRPr="00B363AA">
        <w:t>e cortège d’espèces</w:t>
      </w:r>
      <w:r w:rsidR="00B61B30" w:rsidRPr="00B363AA">
        <w:t xml:space="preserve"> rares</w:t>
      </w:r>
      <w:r w:rsidR="00A96D7C" w:rsidRPr="00B363AA">
        <w:t xml:space="preserve"> </w:t>
      </w:r>
      <w:r w:rsidR="00B61B30" w:rsidRPr="00B363AA">
        <w:t>peut</w:t>
      </w:r>
      <w:r w:rsidR="00A96D7C" w:rsidRPr="00B363AA">
        <w:t xml:space="preserve"> être diversifié</w:t>
      </w:r>
      <w:r w:rsidR="00763E72" w:rsidRPr="00B363AA">
        <w:t xml:space="preserve"> ou plutôt concerner un nombre réduit </w:t>
      </w:r>
      <w:r w:rsidR="00763E72" w:rsidRPr="00B363AA">
        <w:lastRenderedPageBreak/>
        <w:t>d’espèces endémiques au milieu</w:t>
      </w:r>
      <w:r w:rsidR="00A96D7C" w:rsidRPr="00B363AA">
        <w:t xml:space="preserve">. </w:t>
      </w:r>
      <w:r w:rsidR="00551154" w:rsidRPr="00B363AA">
        <w:t>Dans un cas comme dans l’autre</w:t>
      </w:r>
      <w:r w:rsidR="00A96D7C" w:rsidRPr="00B363AA">
        <w:t>, il contribue à la biodiversité à l’échelle du territoire</w:t>
      </w:r>
      <w:r w:rsidR="00062E63" w:rsidRPr="00B363AA">
        <w:t>, raison pour laquelle il est important de le préserver</w:t>
      </w:r>
      <w:r w:rsidR="00A96D7C" w:rsidRPr="00B363AA">
        <w:t>.</w:t>
      </w:r>
    </w:p>
    <w:p w14:paraId="59B7FACF" w14:textId="3CCB8A1E" w:rsidR="00931BF0" w:rsidRPr="00B363AA" w:rsidRDefault="00931BF0">
      <w:pPr>
        <w:pStyle w:val="Titre3"/>
        <w:numPr>
          <w:ilvl w:val="2"/>
          <w:numId w:val="12"/>
        </w:numPr>
      </w:pPr>
      <w:bookmarkStart w:id="122" w:name="_Toc241242980"/>
      <w:r w:rsidRPr="00B363AA">
        <w:t>Fonctions</w:t>
      </w:r>
      <w:bookmarkEnd w:id="122"/>
    </w:p>
    <w:p w14:paraId="776316EB" w14:textId="5EA55812" w:rsidR="00931BF0" w:rsidRPr="00B363AA" w:rsidRDefault="00931BF0">
      <w:pPr>
        <w:pStyle w:val="Titre4"/>
        <w:numPr>
          <w:ilvl w:val="3"/>
          <w:numId w:val="12"/>
        </w:numPr>
      </w:pPr>
      <w:r w:rsidRPr="00B363AA">
        <w:t>Potentiel d’accueil d’un écosystème rare</w:t>
      </w:r>
    </w:p>
    <w:p w14:paraId="716CE751" w14:textId="7D7439C9" w:rsidR="00DE7B39" w:rsidRPr="00B363AA" w:rsidRDefault="001C7526" w:rsidP="0045017E">
      <w:r w:rsidRPr="00B363AA">
        <w:t>La</w:t>
      </w:r>
      <w:r w:rsidR="00DE7B39" w:rsidRPr="00B363AA">
        <w:t xml:space="preserve"> couche cartographique</w:t>
      </w:r>
      <w:r w:rsidRPr="00B363AA">
        <w:t xml:space="preserve"> « Contextes écologiques marginaux et sensibles »</w:t>
      </w:r>
      <w:r w:rsidR="00064448" w:rsidRPr="00B363AA">
        <w:t>, disponible sur le Géoportail de la Wallonie</w:t>
      </w:r>
      <w:r w:rsidR="005130E1" w:rsidRPr="00B363AA">
        <w:rPr>
          <w:rStyle w:val="Appelnotedebasdep"/>
        </w:rPr>
        <w:footnoteReference w:id="10"/>
      </w:r>
      <w:r w:rsidR="00064448" w:rsidRPr="00B363AA">
        <w:t xml:space="preserve">, </w:t>
      </w:r>
      <w:r w:rsidR="00DE7B39" w:rsidRPr="00B363AA">
        <w:t xml:space="preserve">vise à recenser, sur des bases des données </w:t>
      </w:r>
      <w:r w:rsidR="00B61B30" w:rsidRPr="00B363AA">
        <w:t>pédologiques</w:t>
      </w:r>
      <w:r w:rsidR="00DE7B39" w:rsidRPr="00B363AA">
        <w:t xml:space="preserve"> cartographiées, </w:t>
      </w:r>
      <w:r w:rsidR="009B19E2" w:rsidRPr="00B363AA">
        <w:t xml:space="preserve">les sols </w:t>
      </w:r>
      <w:r w:rsidR="00743D7F" w:rsidRPr="00B363AA">
        <w:t>qui présentent au minimum une propriété atypique, ce qui les rend potentiellement propice à accueillir un écosystème rare</w:t>
      </w:r>
      <w:r w:rsidR="40204AC6" w:rsidRPr="00B363AA">
        <w:t>.</w:t>
      </w:r>
      <w:r w:rsidR="00743D7F" w:rsidRPr="00B363AA">
        <w:t xml:space="preserve"> Si la présence des spécificités cartographiées est confirmée par les</w:t>
      </w:r>
      <w:r w:rsidR="009B19E2" w:rsidRPr="00B363AA">
        <w:t xml:space="preserve"> observations de terrain</w:t>
      </w:r>
      <w:r w:rsidR="00743D7F" w:rsidRPr="00B363AA">
        <w:t>, alors</w:t>
      </w:r>
      <w:r w:rsidR="00192B0C" w:rsidRPr="00B363AA">
        <w:t xml:space="preserve"> </w:t>
      </w:r>
      <w:r w:rsidR="000224AA" w:rsidRPr="00B363AA">
        <w:t>l’existence d’un potentiel d’accueil d’un écosystème rare est mise en évidence par le diagnostic.</w:t>
      </w:r>
      <w:r w:rsidR="00743D7F" w:rsidRPr="00B363AA">
        <w:t xml:space="preserve"> </w:t>
      </w:r>
    </w:p>
    <w:p w14:paraId="796E679D" w14:textId="60E2F672" w:rsidR="00502BD3" w:rsidRPr="00B363AA" w:rsidRDefault="00502BD3" w:rsidP="0045017E">
      <w:r w:rsidRPr="00B363AA">
        <w:t>Il est toutefois important de noter que ce SE, et cette fonction, ne sont pas scorés dans l’outil, mais font seulement état de SE de « superposition ».</w:t>
      </w:r>
    </w:p>
    <w:p w14:paraId="4B304DEF" w14:textId="616C3604" w:rsidR="00931BF0" w:rsidRPr="00B363AA" w:rsidRDefault="00931BF0">
      <w:pPr>
        <w:pStyle w:val="Titre3"/>
        <w:numPr>
          <w:ilvl w:val="2"/>
          <w:numId w:val="12"/>
        </w:numPr>
      </w:pPr>
      <w:bookmarkStart w:id="123" w:name="_Toc241242981"/>
      <w:r w:rsidRPr="00B363AA">
        <w:t>Contraintes</w:t>
      </w:r>
      <w:bookmarkEnd w:id="123"/>
    </w:p>
    <w:p w14:paraId="1EE0625F" w14:textId="7D5D3081" w:rsidR="00931BF0" w:rsidRPr="00B363AA" w:rsidRDefault="00226476" w:rsidP="00931BF0">
      <w:r w:rsidRPr="00B363AA">
        <w:t xml:space="preserve">Aucune contrainte ne s’applique au SE </w:t>
      </w:r>
      <w:r w:rsidRPr="00B363AA">
        <w:rPr>
          <w:i/>
          <w:iCs/>
        </w:rPr>
        <w:t>Potentiel d’accueil pour un écosystème rare</w:t>
      </w:r>
      <w:r w:rsidRPr="00B363AA">
        <w:t>.</w:t>
      </w:r>
    </w:p>
    <w:p w14:paraId="790D944B" w14:textId="0B23AB1C" w:rsidR="00931BF0" w:rsidRPr="00B363AA" w:rsidRDefault="00931BF0">
      <w:pPr>
        <w:pStyle w:val="Titre3"/>
        <w:numPr>
          <w:ilvl w:val="2"/>
          <w:numId w:val="12"/>
        </w:numPr>
      </w:pPr>
      <w:bookmarkStart w:id="124" w:name="_Ref241229315"/>
      <w:bookmarkStart w:id="125" w:name="_Toc241242982"/>
      <w:r w:rsidRPr="00B363AA">
        <w:t>Compléments indicatifs</w:t>
      </w:r>
      <w:bookmarkEnd w:id="124"/>
      <w:bookmarkEnd w:id="125"/>
    </w:p>
    <w:p w14:paraId="1A3C94DA" w14:textId="2207A02B" w:rsidR="00931BF0" w:rsidRPr="00B363AA" w:rsidRDefault="00931BF0">
      <w:pPr>
        <w:pStyle w:val="Titre4"/>
        <w:numPr>
          <w:ilvl w:val="3"/>
          <w:numId w:val="12"/>
        </w:numPr>
      </w:pPr>
      <w:bookmarkStart w:id="126" w:name="_Ref241075439"/>
      <w:r w:rsidRPr="00B363AA">
        <w:t>Pollution</w:t>
      </w:r>
      <w:bookmarkEnd w:id="126"/>
    </w:p>
    <w:p w14:paraId="4565A911" w14:textId="20E84A0A" w:rsidR="00715A75" w:rsidRPr="00B363AA" w:rsidRDefault="00931BF0" w:rsidP="00715A75">
      <w:r w:rsidRPr="00B363AA">
        <w:t xml:space="preserve">La présence d’une </w:t>
      </w:r>
      <w:r w:rsidR="009405D0" w:rsidRPr="00B363AA">
        <w:t>pollution</w:t>
      </w:r>
      <w:r w:rsidR="00046D39" w:rsidRPr="00B363AA">
        <w:t xml:space="preserve"> en éléments traces métalliques</w:t>
      </w:r>
      <w:r w:rsidR="00E64A74" w:rsidRPr="00B363AA">
        <w:t xml:space="preserve"> (notamment, en zinc) </w:t>
      </w:r>
      <w:r w:rsidR="009405D0" w:rsidRPr="00B363AA">
        <w:t xml:space="preserve">peut engendrer </w:t>
      </w:r>
      <w:r w:rsidR="00226476" w:rsidRPr="00B363AA">
        <w:t xml:space="preserve">la colonisation d’espèces </w:t>
      </w:r>
      <w:r w:rsidR="00046D39" w:rsidRPr="00B363AA">
        <w:t>métallo-</w:t>
      </w:r>
      <w:r w:rsidR="00226476" w:rsidRPr="00B363AA">
        <w:t>résistantes, comme c’est le cas des pelouses calaminaires</w:t>
      </w:r>
      <w:r w:rsidR="00046D39" w:rsidRPr="00B363AA">
        <w:t xml:space="preserve"> </w:t>
      </w:r>
      <w:r w:rsidR="00E5039A" w:rsidRPr="00B363AA">
        <w:fldChar w:fldCharType="begin"/>
      </w:r>
      <w:r w:rsidR="00E5039A" w:rsidRPr="00B363AA">
        <w:instrText xml:space="preserve"> ADDIN ZOTERO_ITEM CSL_CITATION {"citationID":"fozm9qse","properties":{"unsorted":false,"formattedCitation":"(Graitson, 2006)","plainCitation":"(Graitson, 2006)","noteIndex":0},"citationItems":[{"id":639,"uris":["http://zotero.org/groups/5684833/items/C226ALUZ"],"itemData":{"id":639,"type":"article-journal","container-title":"Natura Mosana","ISSN":"0028-0666","issue":"1","language":"French","publisher":"Natura Mosana, Marchienne-au-Pont, Belgium","source":"orbi.uliege.be","title":"Inventaire et caractérisation des sites calaminaires en Région Wallonne","URL":"https://orbi.uliege.be/handle/2268/32149","volume":"vol.58, n° 4","author":[{"family":"Graitson","given":"Eric"}],"accessed":{"date-parts":[["2026",9,23]]},"issued":{"date-parts":[["2006",3]]}}}],"schema":"https://github.com/citation-style-language/schema/raw/master/csl-citation.json"} </w:instrText>
      </w:r>
      <w:r w:rsidR="00E5039A" w:rsidRPr="00B363AA">
        <w:fldChar w:fldCharType="separate"/>
      </w:r>
      <w:r w:rsidR="00E5039A" w:rsidRPr="00B363AA">
        <w:rPr>
          <w:rFonts w:cs="Calibri"/>
        </w:rPr>
        <w:t>(Graitson, 2006)</w:t>
      </w:r>
      <w:r w:rsidR="00E5039A" w:rsidRPr="00B363AA">
        <w:fldChar w:fldCharType="end"/>
      </w:r>
      <w:r w:rsidR="00226476" w:rsidRPr="00B363AA">
        <w:t>.</w:t>
      </w:r>
      <w:r w:rsidR="009405D0" w:rsidRPr="00B363AA">
        <w:t xml:space="preserve"> </w:t>
      </w:r>
    </w:p>
    <w:p w14:paraId="53807A86" w14:textId="79F5AAEE" w:rsidR="004B2895" w:rsidRPr="00B363AA" w:rsidRDefault="00E6232A">
      <w:pPr>
        <w:pStyle w:val="Titre2"/>
        <w:numPr>
          <w:ilvl w:val="1"/>
          <w:numId w:val="12"/>
        </w:numPr>
      </w:pPr>
      <w:bookmarkStart w:id="127" w:name="_Toc230267105"/>
      <w:bookmarkStart w:id="128" w:name="_Ref232253681"/>
      <w:bookmarkStart w:id="129" w:name="_Toc241242983"/>
      <w:r w:rsidRPr="00B363AA">
        <w:t>Habitat pour la b</w:t>
      </w:r>
      <w:r w:rsidR="00347859" w:rsidRPr="00B363AA">
        <w:t>iodiversité du sol</w:t>
      </w:r>
      <w:bookmarkEnd w:id="127"/>
      <w:bookmarkEnd w:id="128"/>
      <w:bookmarkEnd w:id="129"/>
    </w:p>
    <w:p w14:paraId="492D7FAD" w14:textId="0792B3C9" w:rsidR="001672EC" w:rsidRPr="00B363AA" w:rsidRDefault="006E61E2" w:rsidP="009B19E2">
      <w:r w:rsidRPr="00B363AA">
        <w:t xml:space="preserve">Le sol </w:t>
      </w:r>
      <w:r w:rsidR="00F33647" w:rsidRPr="00B363AA">
        <w:t xml:space="preserve">est un réservoir de biodiversité, majoritairement invisible mais considérable à l’échelle planétaire. En effet, on estime que les sols abritent 25 % de la biodiversité </w:t>
      </w:r>
      <w:r w:rsidR="003410C6" w:rsidRPr="00B363AA">
        <w:t xml:space="preserve">globale </w:t>
      </w:r>
      <w:r w:rsidR="00F33647" w:rsidRPr="00B363AA">
        <w:t xml:space="preserve">(60 % de la biodiversité </w:t>
      </w:r>
      <w:r w:rsidR="003410C6" w:rsidRPr="00B363AA">
        <w:t>continentale</w:t>
      </w:r>
      <w:r w:rsidR="00F33647" w:rsidRPr="00B363AA">
        <w:t>).</w:t>
      </w:r>
      <w:r w:rsidR="00C2336D" w:rsidRPr="00B363AA">
        <w:t xml:space="preserve"> Les organismes du sol sont généralement classés selon leur taille, depuis les plus </w:t>
      </w:r>
      <w:r w:rsidR="00C85A21" w:rsidRPr="00B363AA">
        <w:t>petits microbes</w:t>
      </w:r>
      <w:r w:rsidR="00C2336D" w:rsidRPr="00B363AA">
        <w:t xml:space="preserve"> </w:t>
      </w:r>
      <w:r w:rsidR="003410C6" w:rsidRPr="00B363AA">
        <w:t>(virus, bactéries</w:t>
      </w:r>
      <w:r w:rsidR="00C55BBB" w:rsidRPr="00B363AA">
        <w:t>…)</w:t>
      </w:r>
      <w:r w:rsidR="00C2336D" w:rsidRPr="00B363AA">
        <w:t xml:space="preserve"> jusqu’à la </w:t>
      </w:r>
      <w:r w:rsidR="00C55BBB" w:rsidRPr="00B363AA">
        <w:t>macrofaune (vers de terre, car</w:t>
      </w:r>
      <w:r w:rsidR="00714521" w:rsidRPr="00B363AA">
        <w:t xml:space="preserve">abes, </w:t>
      </w:r>
      <w:r w:rsidR="009A335D" w:rsidRPr="00B363AA">
        <w:t>araignées</w:t>
      </w:r>
      <w:r w:rsidR="00714521" w:rsidRPr="00B363AA">
        <w:t>…)</w:t>
      </w:r>
      <w:r w:rsidR="0B795281" w:rsidRPr="00B363AA">
        <w:t>,</w:t>
      </w:r>
      <w:r w:rsidR="00714521" w:rsidRPr="00B363AA">
        <w:t xml:space="preserve"> voire la </w:t>
      </w:r>
      <w:r w:rsidR="00C2336D" w:rsidRPr="00B363AA">
        <w:t>mégafaune</w:t>
      </w:r>
      <w:r w:rsidR="00714521" w:rsidRPr="00B363AA">
        <w:t xml:space="preserve"> (rongeurs, amphibiens…)</w:t>
      </w:r>
      <w:r w:rsidR="00C85A21" w:rsidRPr="00B363AA">
        <w:t xml:space="preserve">. </w:t>
      </w:r>
    </w:p>
    <w:p w14:paraId="0D2C1DEB" w14:textId="77777777" w:rsidR="00F30018" w:rsidRPr="00B363AA" w:rsidRDefault="00CD1D59" w:rsidP="009B19E2">
      <w:r w:rsidRPr="00B363AA">
        <w:t>P</w:t>
      </w:r>
      <w:r w:rsidR="001672EC" w:rsidRPr="00B363AA">
        <w:t xml:space="preserve">lusieurs </w:t>
      </w:r>
      <w:r w:rsidRPr="00B363AA">
        <w:t>dimensions de la biodiversité des sols peuvent être</w:t>
      </w:r>
      <w:r w:rsidR="001672EC" w:rsidRPr="00B363AA">
        <w:t xml:space="preserve"> évalué</w:t>
      </w:r>
      <w:r w:rsidRPr="00B363AA">
        <w:t>e</w:t>
      </w:r>
      <w:r w:rsidR="001672EC" w:rsidRPr="00B363AA">
        <w:t>s</w:t>
      </w:r>
      <w:r w:rsidRPr="00B363AA">
        <w:t xml:space="preserve"> </w:t>
      </w:r>
      <w:r w:rsidR="000D4A72" w:rsidRPr="00B363AA">
        <w:t>: la diversité des organismes, leur abondance ou leur activité</w:t>
      </w:r>
      <w:r w:rsidR="00F30018" w:rsidRPr="00B363AA">
        <w:t>.</w:t>
      </w:r>
    </w:p>
    <w:p w14:paraId="3D26A4D6" w14:textId="12D8406C" w:rsidR="009B19E2" w:rsidRPr="00B363AA" w:rsidRDefault="00F35D31" w:rsidP="009B19E2">
      <w:r w:rsidRPr="00B363AA">
        <w:t>Dans le cadre de l</w:t>
      </w:r>
      <w:r w:rsidR="00C85A21" w:rsidRPr="00B363AA">
        <w:t>’IQSW</w:t>
      </w:r>
      <w:r w:rsidRPr="00B363AA">
        <w:t xml:space="preserve">-pro, le choix a été fait de </w:t>
      </w:r>
      <w:r w:rsidR="00CA7DAD" w:rsidRPr="00B363AA">
        <w:t xml:space="preserve">se focaliser sur les indicateurs </w:t>
      </w:r>
      <w:r w:rsidR="00390200" w:rsidRPr="00B363AA">
        <w:t xml:space="preserve">biologiques </w:t>
      </w:r>
      <w:r w:rsidR="00CA7DAD" w:rsidRPr="00B363AA">
        <w:t>suivants</w:t>
      </w:r>
      <w:r w:rsidR="000D4A72" w:rsidRPr="00B363AA">
        <w:t xml:space="preserve">, qui intègrent des aspects </w:t>
      </w:r>
      <w:r w:rsidR="00EE70F3" w:rsidRPr="00B363AA">
        <w:t>de diversité et d’abondance</w:t>
      </w:r>
      <w:r w:rsidR="00B266B1" w:rsidRPr="00B363AA">
        <w:t xml:space="preserve"> sur des groupes d’organismes distincts</w:t>
      </w:r>
      <w:r w:rsidR="00CA7DAD" w:rsidRPr="00B363AA">
        <w:t> :</w:t>
      </w:r>
    </w:p>
    <w:p w14:paraId="07A2D93D" w14:textId="64160C40" w:rsidR="00CA7DAD" w:rsidRPr="00B363AA" w:rsidRDefault="00CA7DAD">
      <w:pPr>
        <w:pStyle w:val="Paragraphedeliste"/>
        <w:numPr>
          <w:ilvl w:val="0"/>
          <w:numId w:val="13"/>
        </w:numPr>
      </w:pPr>
      <w:r w:rsidRPr="00B363AA">
        <w:t>Indicateurs microbiens</w:t>
      </w:r>
      <w:r w:rsidR="001672EC" w:rsidRPr="00B363AA">
        <w:t xml:space="preserve"> : </w:t>
      </w:r>
      <w:r w:rsidR="00390200" w:rsidRPr="00B363AA">
        <w:t xml:space="preserve">biomasse microbienne, </w:t>
      </w:r>
      <w:r w:rsidR="001672EC" w:rsidRPr="00B363AA">
        <w:t xml:space="preserve">diversité </w:t>
      </w:r>
      <w:r w:rsidR="000D4A72" w:rsidRPr="00B363AA">
        <w:t>des bactéries et des champignons</w:t>
      </w:r>
      <w:r w:rsidR="00EE70F3" w:rsidRPr="00B363AA">
        <w:t xml:space="preserve"> et leur abondance relative</w:t>
      </w:r>
      <w:r w:rsidR="001B0A2A" w:rsidRPr="00B363AA">
        <w:t xml:space="preserve"> (rapport bactérie</w:t>
      </w:r>
      <w:r w:rsidR="00F30018" w:rsidRPr="00B363AA">
        <w:t>s</w:t>
      </w:r>
      <w:r w:rsidR="001B0A2A" w:rsidRPr="00B363AA">
        <w:t> : champignon</w:t>
      </w:r>
      <w:r w:rsidR="00F30018" w:rsidRPr="00B363AA">
        <w:t>s</w:t>
      </w:r>
      <w:r w:rsidR="001B0A2A" w:rsidRPr="00B363AA">
        <w:t>)</w:t>
      </w:r>
      <w:r w:rsidR="00EE70F3" w:rsidRPr="00B363AA">
        <w:t>,</w:t>
      </w:r>
    </w:p>
    <w:p w14:paraId="02376A03" w14:textId="70847A10" w:rsidR="00EE70F3" w:rsidRPr="00B363AA" w:rsidRDefault="00EE70F3">
      <w:pPr>
        <w:pStyle w:val="Paragraphedeliste"/>
        <w:numPr>
          <w:ilvl w:val="0"/>
          <w:numId w:val="13"/>
        </w:numPr>
      </w:pPr>
      <w:r w:rsidRPr="00B363AA">
        <w:t xml:space="preserve">Indicateurs </w:t>
      </w:r>
      <w:r w:rsidR="001B0A2A" w:rsidRPr="00B363AA">
        <w:t>de la faune du sol </w:t>
      </w:r>
      <w:r w:rsidRPr="00B363AA">
        <w:t>: diversité des nématodes</w:t>
      </w:r>
      <w:r w:rsidR="00390200" w:rsidRPr="00B363AA">
        <w:t>.</w:t>
      </w:r>
    </w:p>
    <w:p w14:paraId="59094492" w14:textId="0A9BB1CA" w:rsidR="001C4420" w:rsidRPr="00B363AA" w:rsidRDefault="001C4420" w:rsidP="00AF4C22">
      <w:r w:rsidRPr="00B363AA">
        <w:t xml:space="preserve">Toutefois, </w:t>
      </w:r>
      <w:r w:rsidR="009A04C2" w:rsidRPr="00B363AA">
        <w:t>en tenant compte</w:t>
      </w:r>
      <w:r w:rsidR="00A76BC1" w:rsidRPr="00B363AA">
        <w:t xml:space="preserve"> à la fois</w:t>
      </w:r>
      <w:r w:rsidR="009A04C2" w:rsidRPr="00B363AA">
        <w:t xml:space="preserve"> de</w:t>
      </w:r>
      <w:r w:rsidRPr="00B363AA">
        <w:t xml:space="preserve"> </w:t>
      </w:r>
      <w:r w:rsidR="00A76BC1" w:rsidRPr="00B363AA">
        <w:t>c</w:t>
      </w:r>
      <w:r w:rsidRPr="00B363AA">
        <w:t xml:space="preserve">ertaines contraintes </w:t>
      </w:r>
      <w:r w:rsidR="00E0218D" w:rsidRPr="00B363AA">
        <w:t>liées à</w:t>
      </w:r>
      <w:r w:rsidRPr="00B363AA">
        <w:t xml:space="preserve"> la filière analytique (coût élevé </w:t>
      </w:r>
      <w:r w:rsidR="0033086E" w:rsidRPr="00B363AA">
        <w:t>de certaines</w:t>
      </w:r>
      <w:r w:rsidRPr="00B363AA">
        <w:t xml:space="preserve"> analyses et </w:t>
      </w:r>
      <w:r w:rsidR="00E0218D" w:rsidRPr="00B363AA">
        <w:t xml:space="preserve">long </w:t>
      </w:r>
      <w:r w:rsidRPr="00B363AA">
        <w:t>délai d’obtention des résultats</w:t>
      </w:r>
      <w:r w:rsidR="00E0218D" w:rsidRPr="00B363AA">
        <w:t>),</w:t>
      </w:r>
      <w:r w:rsidR="00A76BC1" w:rsidRPr="00B363AA">
        <w:t xml:space="preserve"> et de la</w:t>
      </w:r>
      <w:r w:rsidR="00AF4C22" w:rsidRPr="00B363AA">
        <w:t xml:space="preserve"> difficulté d’interprétation des </w:t>
      </w:r>
      <w:r w:rsidR="00AF4C22" w:rsidRPr="00B363AA">
        <w:lastRenderedPageBreak/>
        <w:t>paramètres biologiques du sol,</w:t>
      </w:r>
      <w:r w:rsidR="00A76BC1" w:rsidRPr="00B363AA">
        <w:t xml:space="preserve"> u</w:t>
      </w:r>
      <w:r w:rsidR="00E0218D" w:rsidRPr="00B363AA">
        <w:t>ne approche en deux niveaux est proposée dans le cadre de l’IQSW-pro :</w:t>
      </w:r>
    </w:p>
    <w:p w14:paraId="7DFDAECB" w14:textId="49173C51" w:rsidR="00E0218D" w:rsidRPr="00B363AA" w:rsidRDefault="00F30018">
      <w:pPr>
        <w:pStyle w:val="Paragraphedeliste"/>
        <w:numPr>
          <w:ilvl w:val="0"/>
          <w:numId w:val="13"/>
        </w:numPr>
      </w:pPr>
      <w:r w:rsidRPr="00B363AA">
        <w:t>Jeu</w:t>
      </w:r>
      <w:r w:rsidR="00F022F8" w:rsidRPr="00B363AA">
        <w:t xml:space="preserve"> de paramètres de base</w:t>
      </w:r>
      <w:r w:rsidR="009A04C2" w:rsidRPr="00B363AA">
        <w:t> : indicateurs nécessaires au calcul du score IQSW-pro</w:t>
      </w:r>
      <w:r w:rsidR="00A27553" w:rsidRPr="00B363AA">
        <w:t>, soit l’</w:t>
      </w:r>
      <w:r w:rsidR="00854D9D" w:rsidRPr="00B363AA">
        <w:t xml:space="preserve">analyse des nématodes et de la </w:t>
      </w:r>
      <w:r w:rsidR="009A04C2" w:rsidRPr="00B363AA">
        <w:t>biomasse microbienne</w:t>
      </w:r>
      <w:r w:rsidR="00B266B1" w:rsidRPr="00B363AA">
        <w:t> ;</w:t>
      </w:r>
    </w:p>
    <w:p w14:paraId="65570AD9" w14:textId="117EBF45" w:rsidR="00854D9D" w:rsidRPr="00B363AA" w:rsidRDefault="00FC2ECE">
      <w:pPr>
        <w:pStyle w:val="Paragraphedeliste"/>
        <w:numPr>
          <w:ilvl w:val="0"/>
          <w:numId w:val="13"/>
        </w:numPr>
      </w:pPr>
      <w:r w:rsidRPr="00B363AA">
        <w:t>Analyses complémentaires (</w:t>
      </w:r>
      <w:r w:rsidR="00212D05" w:rsidRPr="00B363AA">
        <w:t>« P</w:t>
      </w:r>
      <w:r w:rsidRPr="00B363AA">
        <w:t>o</w:t>
      </w:r>
      <w:r w:rsidR="00212D05" w:rsidRPr="00B363AA">
        <w:t>ur aller plus loin »</w:t>
      </w:r>
      <w:r w:rsidRPr="00B363AA">
        <w:t>)</w:t>
      </w:r>
      <w:r w:rsidR="7DFCB408" w:rsidRPr="00B363AA">
        <w:t xml:space="preserve"> </w:t>
      </w:r>
      <w:r w:rsidR="00854D9D" w:rsidRPr="00B363AA">
        <w:t xml:space="preserve">: </w:t>
      </w:r>
      <w:r w:rsidR="00AF4C22" w:rsidRPr="00B363AA">
        <w:t>analyse de la diversité des bactéries et des champignons et leur abondance relative.</w:t>
      </w:r>
    </w:p>
    <w:p w14:paraId="4C6598CE" w14:textId="0C59FF90" w:rsidR="00F14AC2" w:rsidRPr="00B363AA" w:rsidRDefault="00F14AC2">
      <w:pPr>
        <w:pStyle w:val="Titre3"/>
        <w:numPr>
          <w:ilvl w:val="2"/>
          <w:numId w:val="12"/>
        </w:numPr>
      </w:pPr>
      <w:bookmarkStart w:id="130" w:name="_Toc241242984"/>
      <w:r w:rsidRPr="00B363AA">
        <w:t>Fonctions</w:t>
      </w:r>
      <w:bookmarkEnd w:id="130"/>
    </w:p>
    <w:p w14:paraId="47D49443" w14:textId="633E7424" w:rsidR="00F14AC2" w:rsidRPr="00B363AA" w:rsidRDefault="00F14AC2">
      <w:pPr>
        <w:pStyle w:val="Titre4"/>
        <w:numPr>
          <w:ilvl w:val="3"/>
          <w:numId w:val="12"/>
        </w:numPr>
      </w:pPr>
      <w:r w:rsidRPr="00B363AA">
        <w:t>Abondance microbienne</w:t>
      </w:r>
    </w:p>
    <w:p w14:paraId="3B2D11F9" w14:textId="7F887BB3" w:rsidR="00F14AC2" w:rsidRPr="00B363AA" w:rsidRDefault="00B266B1" w:rsidP="00F14AC2">
      <w:r w:rsidRPr="00B363AA">
        <w:t>L’abondance microbienne est évaluée à travers la mesure de la biomasse microbienne</w:t>
      </w:r>
      <w:r w:rsidR="005D6863" w:rsidRPr="00B363AA">
        <w:t xml:space="preserve">. Cette </w:t>
      </w:r>
      <w:r w:rsidR="008E4AD4" w:rsidRPr="00B363AA">
        <w:t>information peut être complétée par l’évaluation</w:t>
      </w:r>
      <w:r w:rsidRPr="00B363AA">
        <w:t xml:space="preserve"> du quotient microbien</w:t>
      </w:r>
      <w:r w:rsidR="008E4AD4" w:rsidRPr="00B363AA">
        <w:t xml:space="preserve">, un indicateur de fonctionnement </w:t>
      </w:r>
      <w:r w:rsidR="00895E9D" w:rsidRPr="00B363AA">
        <w:rPr>
          <w:highlight w:val="yellow"/>
        </w:rPr>
        <w:t>(</w:t>
      </w:r>
      <w:r w:rsidR="005B4FF3" w:rsidRPr="00B363AA">
        <w:rPr>
          <w:highlight w:val="yellow"/>
        </w:rPr>
        <w:t xml:space="preserve">voir </w:t>
      </w:r>
      <w:r w:rsidR="00013A2B" w:rsidRPr="00B363AA">
        <w:t>Annexe 2 – Indicateurs</w:t>
      </w:r>
      <w:r w:rsidR="00895E9D" w:rsidRPr="00B363AA">
        <w:rPr>
          <w:highlight w:val="yellow"/>
        </w:rPr>
        <w:t>)</w:t>
      </w:r>
      <w:r w:rsidRPr="00B363AA">
        <w:t>.</w:t>
      </w:r>
    </w:p>
    <w:p w14:paraId="5868DCB2" w14:textId="4BDB801E" w:rsidR="00F14AC2" w:rsidRPr="00B363AA" w:rsidRDefault="00F14AC2" w:rsidP="007155F2">
      <w:pPr>
        <w:pStyle w:val="Titre4"/>
        <w:numPr>
          <w:ilvl w:val="3"/>
          <w:numId w:val="12"/>
        </w:numPr>
      </w:pPr>
      <w:r w:rsidRPr="00B363AA">
        <w:t xml:space="preserve">Diversité </w:t>
      </w:r>
      <w:r w:rsidR="002C53C2" w:rsidRPr="00B363AA">
        <w:t xml:space="preserve">et fonctionnalité </w:t>
      </w:r>
      <w:r w:rsidR="007155F2" w:rsidRPr="00B363AA">
        <w:t>de la faune</w:t>
      </w:r>
    </w:p>
    <w:p w14:paraId="0F9DABCE" w14:textId="74914430" w:rsidR="00502F77" w:rsidRPr="00B363AA" w:rsidRDefault="00B90F38" w:rsidP="00502F77">
      <w:r w:rsidRPr="00B363AA">
        <w:t xml:space="preserve">Les nématodes sont des organismes de la mésofaune </w:t>
      </w:r>
      <w:r w:rsidR="00467881" w:rsidRPr="00B363AA">
        <w:t xml:space="preserve">qui ont l’intérêt d’être </w:t>
      </w:r>
      <w:r w:rsidR="00502F77" w:rsidRPr="00B363AA">
        <w:t xml:space="preserve">ubiquistes, </w:t>
      </w:r>
      <w:r w:rsidR="0032401D" w:rsidRPr="00B363AA">
        <w:t xml:space="preserve">intégrateurs et </w:t>
      </w:r>
      <w:r w:rsidR="00467881" w:rsidRPr="00B363AA">
        <w:t xml:space="preserve">relativement </w:t>
      </w:r>
      <w:r w:rsidR="0032401D" w:rsidRPr="00B363AA">
        <w:t>stables</w:t>
      </w:r>
      <w:r w:rsidR="00467881" w:rsidRPr="00B363AA">
        <w:t xml:space="preserve"> en fonction des saisons et des aléas météorologiques.</w:t>
      </w:r>
      <w:r w:rsidR="00B92D09" w:rsidRPr="00B363AA">
        <w:t xml:space="preserve"> </w:t>
      </w:r>
      <w:r w:rsidR="00054304" w:rsidRPr="00B363AA">
        <w:t>L</w:t>
      </w:r>
      <w:r w:rsidR="0032401D" w:rsidRPr="00B363AA">
        <w:t xml:space="preserve">es </w:t>
      </w:r>
      <w:r w:rsidR="00C86D66" w:rsidRPr="00B363AA">
        <w:t>indicateurs dérivés de l’étude de</w:t>
      </w:r>
      <w:r w:rsidRPr="00B363AA">
        <w:t xml:space="preserve"> la population de </w:t>
      </w:r>
      <w:r w:rsidR="0032401D" w:rsidRPr="00B363AA">
        <w:t>nématodes</w:t>
      </w:r>
      <w:r w:rsidRPr="00B363AA">
        <w:t xml:space="preserve"> du sol</w:t>
      </w:r>
      <w:r w:rsidR="0032401D" w:rsidRPr="00B363AA">
        <w:t xml:space="preserve"> sont </w:t>
      </w:r>
      <w:r w:rsidR="00054304" w:rsidRPr="00B363AA">
        <w:t>ainsi très utiles</w:t>
      </w:r>
      <w:r w:rsidR="0032401D" w:rsidRPr="00B363AA">
        <w:t xml:space="preserve"> </w:t>
      </w:r>
      <w:r w:rsidR="00CA4BE3" w:rsidRPr="00B363AA">
        <w:t xml:space="preserve">pour informer de </w:t>
      </w:r>
      <w:r w:rsidR="00BE7549" w:rsidRPr="00B363AA">
        <w:t>la capacité qu’a un sol de fournir un habitat pour la biodiversité</w:t>
      </w:r>
      <w:r w:rsidR="00CA4BE3" w:rsidRPr="00B363AA">
        <w:t>.</w:t>
      </w:r>
      <w:r w:rsidR="00253903" w:rsidRPr="00B363AA">
        <w:t xml:space="preserve"> La fonction intègre plusieurs</w:t>
      </w:r>
      <w:r w:rsidR="002D2D34" w:rsidRPr="00B363AA">
        <w:t xml:space="preserve"> indicateurs complémentaires (Indice de Shannon, EI, SI</w:t>
      </w:r>
      <w:r w:rsidR="00215909" w:rsidRPr="00B363AA">
        <w:t xml:space="preserve">, voir </w:t>
      </w:r>
      <w:r w:rsidR="00013A2B" w:rsidRPr="00B363AA">
        <w:t>Annexe 2 – Indicateurs</w:t>
      </w:r>
      <w:r w:rsidR="00215909" w:rsidRPr="00B363AA">
        <w:t>)</w:t>
      </w:r>
      <w:r w:rsidR="00387696" w:rsidRPr="00B363AA">
        <w:t>.</w:t>
      </w:r>
    </w:p>
    <w:p w14:paraId="2DF26CB3" w14:textId="04429F80" w:rsidR="00A76BC1" w:rsidRPr="00B363AA" w:rsidRDefault="00EF2D17">
      <w:pPr>
        <w:pStyle w:val="Titre3"/>
        <w:numPr>
          <w:ilvl w:val="2"/>
          <w:numId w:val="12"/>
        </w:numPr>
      </w:pPr>
      <w:bookmarkStart w:id="131" w:name="_Toc241242985"/>
      <w:r w:rsidRPr="00B363AA">
        <w:t>Contraintes</w:t>
      </w:r>
      <w:bookmarkEnd w:id="131"/>
    </w:p>
    <w:p w14:paraId="458732A4" w14:textId="0A70DCE3" w:rsidR="00B20955" w:rsidRPr="00B363AA" w:rsidRDefault="00B20955" w:rsidP="00B20955">
      <w:r w:rsidRPr="00B363AA">
        <w:t xml:space="preserve">Aucune contrainte ne s’applique au </w:t>
      </w:r>
      <w:r w:rsidR="002B7C20" w:rsidRPr="00B363AA">
        <w:t>service écosystémique</w:t>
      </w:r>
      <w:r w:rsidRPr="00B363AA">
        <w:t xml:space="preserve"> </w:t>
      </w:r>
      <w:r w:rsidR="00BE7549" w:rsidRPr="00B363AA">
        <w:rPr>
          <w:i/>
          <w:iCs/>
        </w:rPr>
        <w:t>Habitat pour la biodiversité du sol</w:t>
      </w:r>
      <w:r w:rsidRPr="00B363AA">
        <w:t>.</w:t>
      </w:r>
    </w:p>
    <w:p w14:paraId="6D8940C8" w14:textId="03343338" w:rsidR="00B20955" w:rsidRPr="00B363AA" w:rsidRDefault="00442200">
      <w:pPr>
        <w:pStyle w:val="Titre3"/>
        <w:numPr>
          <w:ilvl w:val="2"/>
          <w:numId w:val="12"/>
        </w:numPr>
      </w:pPr>
      <w:bookmarkStart w:id="132" w:name="_Toc241242986"/>
      <w:r w:rsidRPr="00B363AA">
        <w:t>Complément indicatif</w:t>
      </w:r>
      <w:bookmarkEnd w:id="132"/>
    </w:p>
    <w:p w14:paraId="0B3A8F6D" w14:textId="77777777" w:rsidR="002D5C61" w:rsidRPr="00B363AA" w:rsidRDefault="002D5C61">
      <w:pPr>
        <w:pStyle w:val="Titre4"/>
        <w:numPr>
          <w:ilvl w:val="3"/>
          <w:numId w:val="12"/>
        </w:numPr>
      </w:pPr>
      <w:r w:rsidRPr="00B363AA">
        <w:t>Pollution</w:t>
      </w:r>
    </w:p>
    <w:p w14:paraId="7265ACE7" w14:textId="0CDE6A67" w:rsidR="002D5C61" w:rsidRPr="00B363AA" w:rsidRDefault="002D5C61" w:rsidP="001C7526">
      <w:r w:rsidRPr="00B363AA">
        <w:t>La pollution peut affecter la biodiversité du sol, et des valeurs de risque existent pour caractériser la menace que représente une pollution pour les écosystèmes : VS écosystèmes (VS</w:t>
      </w:r>
      <w:r w:rsidRPr="00B363AA">
        <w:rPr>
          <w:vertAlign w:val="subscript"/>
        </w:rPr>
        <w:t>E</w:t>
      </w:r>
      <w:r w:rsidRPr="00B363AA">
        <w:t>). Toutefois, étant donné que cette valeur de risque est modélisée pour de multiples composants de l’écosystème (non seulement les microorganismes du sol mais également les animaux, les plantes</w:t>
      </w:r>
      <w:r w:rsidR="58E03BBA" w:rsidRPr="00B363AA">
        <w:t>,</w:t>
      </w:r>
      <w:r w:rsidRPr="00B363AA">
        <w:t xml:space="preserve"> etc.), un dépassement de la VS</w:t>
      </w:r>
      <w:r w:rsidRPr="00B363AA">
        <w:rPr>
          <w:vertAlign w:val="subscript"/>
        </w:rPr>
        <w:t>E</w:t>
      </w:r>
      <w:r w:rsidRPr="00B363AA">
        <w:t xml:space="preserve"> doit seulement être interprété comme un </w:t>
      </w:r>
      <w:r w:rsidR="356FBFB6" w:rsidRPr="00B363AA">
        <w:t xml:space="preserve">complément indicatif </w:t>
      </w:r>
      <w:r w:rsidRPr="00B363AA">
        <w:t xml:space="preserve">pour le </w:t>
      </w:r>
      <w:r w:rsidR="002B7C20" w:rsidRPr="00B363AA">
        <w:t>service écosystémique</w:t>
      </w:r>
      <w:r w:rsidRPr="00B363AA">
        <w:t xml:space="preserve"> </w:t>
      </w:r>
      <w:r w:rsidRPr="00B363AA">
        <w:rPr>
          <w:i/>
          <w:iCs/>
        </w:rPr>
        <w:t>Biodiversité du sol</w:t>
      </w:r>
      <w:r w:rsidRPr="00B363AA">
        <w:t>, et non comme une variable à scorer en soi.</w:t>
      </w:r>
      <w:bookmarkStart w:id="133" w:name="_Toc230267106"/>
    </w:p>
    <w:p w14:paraId="172AEAE1" w14:textId="77777777" w:rsidR="004B2895" w:rsidRPr="00B363AA" w:rsidRDefault="00347859">
      <w:pPr>
        <w:pStyle w:val="Titre2"/>
        <w:numPr>
          <w:ilvl w:val="1"/>
          <w:numId w:val="12"/>
        </w:numPr>
      </w:pPr>
      <w:bookmarkStart w:id="134" w:name="_Toc241242987"/>
      <w:r w:rsidRPr="00B363AA">
        <w:t>Stockage de carbone</w:t>
      </w:r>
      <w:bookmarkEnd w:id="133"/>
      <w:bookmarkEnd w:id="134"/>
    </w:p>
    <w:p w14:paraId="31CD543D" w14:textId="77777777" w:rsidR="00ED089B" w:rsidRPr="00B363AA" w:rsidRDefault="00ED089B" w:rsidP="00ED089B">
      <w:r w:rsidRPr="00B363AA">
        <w:t xml:space="preserve">Le stockage de carbone dans les sols représente un levier climatique majeur pour l’atténuation des effets du changement climatique. En effet, les sols, en stockant quatre fois plus de carbone que la biosphère et jusqu’à trois fois plus de carbone que l’atmosphère, joue un rôle clé dans la balance des gaz à effets de serre </w:t>
      </w:r>
      <w:r w:rsidRPr="00B363AA">
        <w:fldChar w:fldCharType="begin"/>
      </w:r>
      <w:r w:rsidRPr="00B363AA">
        <w:instrText xml:space="preserve"> ADDIN ZOTERO_ITEM CSL_CITATION {"citationID":"jqTbc0iH","properties":{"unsorted":false,"formattedCitation":"(Chen et al., 2019)","plainCitation":"(Chen et al., 2019)","noteIndex":0},"citationItems":[{"id":513,"uris":["http://zotero.org/groups/5684833/items/G4XU9BCK"],"itemData":{"id":513,"type":"article-journal","abstract":"Increasing soil organic carbon (SOC) stocks via land management has been proposed as a temporary climate change mitigation measure. An upper limit of soil stable SOC storage, which refers to the concepts of SOC saturation has been proposed. Using systematic grid sampling of topsoil in mainland France and an equation that predicts this SOC saturation, we derived estimates of the SOC sequestration potential density (SOCspd) for various land uses. First, using French database and data from the literature we estimated the proportions of the SOC stored in the fine fraction (SOCfine) in total SOC for grassland (69%), cropland (85%) and forest (66%). Then, SOCspd was calculated as the difference between the theoretical SOC saturation value and SOCfine. The SOCspd stocks for French topsoil were estimated at about 1.1 Pg, in which cropland, forest and grassland accounted for 66%, 17% and 17%, respectively. Varying the proportions of SOCfine in the calculations by assuming a possible range of 0.8-0.9 for cropland and 0.6-0.9 for grassland and forest soils led to variations of total SOCspd stocks of about 0.1 Pg for each land use. Most importantly, we demonstrate that the distribution of SOCspd in forest soils is exactly centred at zero, which suggests that on average, forest topsoils are saturated in SOCfine, and thus Hassink’s equation provides a valid estimate for the SOC sequestration potential for French topsoil.","collection-title":"Soil Carbon and Climate Change: the 4 per Mille Initiative","container-title":"Soil and Tillage Research","DOI":"10.1016/j.still.2018.11.001","ISSN":"0167-1987","journalAbbreviation":"Soil and Tillage Research","page":"53-58","source":"ScienceDirect","title":"Soil carbon stocks under different land uses and the applicability of the soil carbon saturation concept","volume":"188","author":[{"family":"Chen","given":"Songchao"},{"family":"Arrouays","given":"Dominique"},{"family":"Angers","given":"Denis A."},{"family":"Martin","given":"Manuel P."},{"family":"Walter","given":"Christian"}],"issued":{"date-parts":[["2019",5,1]]}}}],"schema":"https://github.com/citation-style-language/schema/raw/master/csl-citation.json"} </w:instrText>
      </w:r>
      <w:r w:rsidRPr="00B363AA">
        <w:fldChar w:fldCharType="separate"/>
      </w:r>
      <w:r w:rsidRPr="00B363AA">
        <w:rPr>
          <w:rFonts w:cs="Calibri"/>
        </w:rPr>
        <w:t>(Chen et al., 2019)</w:t>
      </w:r>
      <w:r w:rsidRPr="00B363AA">
        <w:fldChar w:fldCharType="end"/>
      </w:r>
      <w:r w:rsidRPr="00B363AA">
        <w:t>. Or, les pratiques de gestion des dernières décennies ont largement contribué à déstocker du carbone des sols, qu’il est important de réintroduire.</w:t>
      </w:r>
    </w:p>
    <w:p w14:paraId="325F5686" w14:textId="0475648D" w:rsidR="0023163D" w:rsidRPr="00B363AA" w:rsidRDefault="0023163D">
      <w:pPr>
        <w:pStyle w:val="Titre3"/>
        <w:numPr>
          <w:ilvl w:val="2"/>
          <w:numId w:val="12"/>
        </w:numPr>
      </w:pPr>
      <w:bookmarkStart w:id="135" w:name="_Toc241242988"/>
      <w:r w:rsidRPr="00B363AA">
        <w:t>Fonctions</w:t>
      </w:r>
      <w:bookmarkEnd w:id="135"/>
    </w:p>
    <w:p w14:paraId="4478BAB9" w14:textId="2C492203" w:rsidR="0023163D" w:rsidRPr="00B363AA" w:rsidRDefault="0023163D">
      <w:pPr>
        <w:pStyle w:val="Titre4"/>
        <w:numPr>
          <w:ilvl w:val="3"/>
          <w:numId w:val="12"/>
        </w:numPr>
      </w:pPr>
      <w:r w:rsidRPr="00B363AA">
        <w:t>Stockage</w:t>
      </w:r>
    </w:p>
    <w:p w14:paraId="0699CF41" w14:textId="094FEDBB" w:rsidR="0023163D" w:rsidRPr="00B363AA" w:rsidRDefault="00B62E8D" w:rsidP="0023163D">
      <w:r w:rsidRPr="00B363AA">
        <w:t xml:space="preserve">Cette fonction est évaluée en mesurant directement le stock de carbone du sol, qui se calcule à partir des propriétés suivantes : l’épaisseur du sol, sa teneur en carbone organique, sa masse volumique </w:t>
      </w:r>
      <w:r w:rsidRPr="00B363AA">
        <w:lastRenderedPageBreak/>
        <w:t xml:space="preserve">apparente et sa charge en éléments grossiers. En présence d’une couche de litière (cas des sols forestiers), le stock de carbone dans cette couche doit s’additionner au bilan. Le rapport </w:t>
      </w:r>
      <w:proofErr w:type="spellStart"/>
      <w:r w:rsidRPr="00B363AA">
        <w:t>C</w:t>
      </w:r>
      <w:r w:rsidRPr="00B363AA">
        <w:rPr>
          <w:vertAlign w:val="subscript"/>
        </w:rPr>
        <w:t>org</w:t>
      </w:r>
      <w:proofErr w:type="spellEnd"/>
      <w:r w:rsidRPr="00B363AA">
        <w:t>/argile permet d’évaluer quant à lui le potentiel de stockage additionnel.</w:t>
      </w:r>
    </w:p>
    <w:p w14:paraId="7388840D" w14:textId="5A82C464" w:rsidR="0023163D" w:rsidRPr="00B363AA" w:rsidRDefault="0023163D">
      <w:pPr>
        <w:pStyle w:val="Titre3"/>
        <w:numPr>
          <w:ilvl w:val="2"/>
          <w:numId w:val="12"/>
        </w:numPr>
      </w:pPr>
      <w:bookmarkStart w:id="136" w:name="_Toc241242989"/>
      <w:r w:rsidRPr="00B363AA">
        <w:t>Contraintes</w:t>
      </w:r>
      <w:bookmarkEnd w:id="136"/>
    </w:p>
    <w:p w14:paraId="6F8FEB8E" w14:textId="795C3823" w:rsidR="0023163D" w:rsidRPr="00B363AA" w:rsidRDefault="00BE7549" w:rsidP="0023163D">
      <w:r w:rsidRPr="00B363AA">
        <w:t xml:space="preserve">Aucune contrainte ne s’applique au </w:t>
      </w:r>
      <w:r w:rsidR="002B7C20" w:rsidRPr="00B363AA">
        <w:t>service écosystémique</w:t>
      </w:r>
      <w:r w:rsidRPr="00B363AA">
        <w:t xml:space="preserve"> </w:t>
      </w:r>
      <w:r w:rsidRPr="00B363AA">
        <w:rPr>
          <w:i/>
          <w:iCs/>
        </w:rPr>
        <w:t>Stockage de carbone</w:t>
      </w:r>
      <w:r w:rsidRPr="00B363AA">
        <w:t>.</w:t>
      </w:r>
    </w:p>
    <w:p w14:paraId="64E903D5" w14:textId="3D94CFA6" w:rsidR="0023163D" w:rsidRPr="00B363AA" w:rsidRDefault="1BAE75F3">
      <w:pPr>
        <w:pStyle w:val="Titre3"/>
        <w:numPr>
          <w:ilvl w:val="2"/>
          <w:numId w:val="12"/>
        </w:numPr>
      </w:pPr>
      <w:bookmarkStart w:id="137" w:name="_Toc241242990"/>
      <w:r w:rsidRPr="00B363AA">
        <w:t>Complément indicatif</w:t>
      </w:r>
      <w:bookmarkEnd w:id="137"/>
    </w:p>
    <w:p w14:paraId="35DF4FFE" w14:textId="0448B149" w:rsidR="0023163D" w:rsidRPr="00B363AA" w:rsidRDefault="005B5D27" w:rsidP="005B5D27">
      <w:r w:rsidRPr="00B363AA">
        <w:t xml:space="preserve">Aucun </w:t>
      </w:r>
      <w:r w:rsidR="16763317" w:rsidRPr="00B363AA">
        <w:t>complément indicatif</w:t>
      </w:r>
      <w:r w:rsidRPr="00B363AA">
        <w:t xml:space="preserve"> ne s’applique au </w:t>
      </w:r>
      <w:r w:rsidR="002B7C20" w:rsidRPr="00B363AA">
        <w:t>service écosystémique</w:t>
      </w:r>
      <w:r w:rsidRPr="00B363AA">
        <w:t xml:space="preserve"> </w:t>
      </w:r>
      <w:r w:rsidRPr="00B363AA">
        <w:rPr>
          <w:i/>
          <w:iCs/>
        </w:rPr>
        <w:t>Stockage de carbone</w:t>
      </w:r>
      <w:r w:rsidRPr="00B363AA">
        <w:t>.</w:t>
      </w:r>
    </w:p>
    <w:p w14:paraId="5FCD59B4" w14:textId="77777777" w:rsidR="005B5D27" w:rsidRPr="00B363AA" w:rsidRDefault="005B5D27" w:rsidP="0023163D"/>
    <w:p w14:paraId="1FC390EC" w14:textId="08FAC381" w:rsidR="00347859" w:rsidRPr="00B363AA" w:rsidRDefault="00347859">
      <w:pPr>
        <w:pStyle w:val="Titre2"/>
        <w:numPr>
          <w:ilvl w:val="1"/>
          <w:numId w:val="12"/>
        </w:numPr>
      </w:pPr>
      <w:bookmarkStart w:id="138" w:name="_Toc230267107"/>
      <w:bookmarkStart w:id="139" w:name="_Ref232256479"/>
      <w:bookmarkStart w:id="140" w:name="_Toc241242991"/>
      <w:r w:rsidRPr="00B363AA">
        <w:t>Support pour les activités humaines</w:t>
      </w:r>
      <w:bookmarkEnd w:id="138"/>
      <w:bookmarkEnd w:id="139"/>
      <w:bookmarkEnd w:id="140"/>
    </w:p>
    <w:p w14:paraId="5FA4C79A" w14:textId="368E179A" w:rsidR="00AD23A8" w:rsidRPr="00B363AA" w:rsidRDefault="00AD23A8" w:rsidP="00AD23A8">
      <w:r w:rsidRPr="00B363AA">
        <w:t xml:space="preserve">Le </w:t>
      </w:r>
      <w:r w:rsidR="002B7C20" w:rsidRPr="00B363AA">
        <w:t>service écosystémique</w:t>
      </w:r>
      <w:r w:rsidRPr="00B363AA">
        <w:t xml:space="preserve"> </w:t>
      </w:r>
      <w:r w:rsidRPr="00B363AA">
        <w:rPr>
          <w:i/>
          <w:iCs/>
        </w:rPr>
        <w:t>Support pour les activités humaines</w:t>
      </w:r>
      <w:r w:rsidRPr="00B363AA">
        <w:t xml:space="preserve"> peut se référer à de nombreuses utilisations du sol. Il s’agit de mettre en évidence des bénéfices notamment sociaux, culturels, climatiques et paysagers, qui peuvent être retirés de l’usage d’un site. Les divers types de sites peuvent être distingués selon le caractère perméable ou imperméable de la couverture de sol.</w:t>
      </w:r>
    </w:p>
    <w:p w14:paraId="44E2787B" w14:textId="5FF23CB6" w:rsidR="00EC10F1" w:rsidRPr="00B363AA" w:rsidRDefault="00AD23A8">
      <w:pPr>
        <w:pStyle w:val="Titre3"/>
        <w:numPr>
          <w:ilvl w:val="2"/>
          <w:numId w:val="12"/>
        </w:numPr>
      </w:pPr>
      <w:bookmarkStart w:id="141" w:name="_Toc241242992"/>
      <w:r w:rsidRPr="00B363AA">
        <w:t>Zones perméables (non-scellées)</w:t>
      </w:r>
      <w:bookmarkEnd w:id="141"/>
    </w:p>
    <w:p w14:paraId="263CAFDC" w14:textId="72A48B1C" w:rsidR="00AD23A8" w:rsidRPr="00B363AA" w:rsidRDefault="564CC440" w:rsidP="00AD23A8">
      <w:r w:rsidRPr="00B363AA">
        <w:t>I</w:t>
      </w:r>
      <w:r w:rsidR="00AD23A8" w:rsidRPr="00B363AA">
        <w:t xml:space="preserve">mplanter </w:t>
      </w:r>
      <w:r w:rsidR="3D05ED5E" w:rsidRPr="00B363AA">
        <w:t>un espace vert</w:t>
      </w:r>
      <w:r w:rsidR="00AD23A8" w:rsidRPr="00B363AA">
        <w:t xml:space="preserve"> en ville permet, entre autres, d’établir un lieu de renforcement de lien social, de créer un ilot de fraicheur en ville et de contribuer à l’amélioration du paysage urbain.</w:t>
      </w:r>
    </w:p>
    <w:p w14:paraId="01333F73" w14:textId="057F4F91" w:rsidR="00AD23A8" w:rsidRPr="00B363AA" w:rsidRDefault="00BB0D58" w:rsidP="00AD23A8">
      <w:r w:rsidRPr="00B363AA">
        <w:t>É</w:t>
      </w:r>
      <w:r w:rsidR="00AD23A8" w:rsidRPr="00B363AA">
        <w:t>valuer la capacité du sol à servir de support pour ce type d’espace revient finalement à identifier la capacité du sol à accueillir un espace vert, dont l’utilisation fera intrinsèquement découler les bénéfices précités. Il s’agit d’un objectif couvert par le sous-</w:t>
      </w:r>
      <w:r w:rsidR="002B7C20" w:rsidRPr="00B363AA">
        <w:t xml:space="preserve">service </w:t>
      </w:r>
      <w:r w:rsidR="00AD23A8" w:rsidRPr="00B363AA">
        <w:rPr>
          <w:i/>
          <w:iCs/>
        </w:rPr>
        <w:t>Production – espaces verts</w:t>
      </w:r>
      <w:r w:rsidR="00AD23A8" w:rsidRPr="00B363AA">
        <w:t xml:space="preserve">, qui évalue la capacité du sol à accueillir deux types d’espaces (avec des enjeux sanitaires différents) : </w:t>
      </w:r>
    </w:p>
    <w:p w14:paraId="2615DEEB" w14:textId="35E55328" w:rsidR="00AD23A8" w:rsidRPr="00B363AA" w:rsidRDefault="00AD23A8" w:rsidP="00AD23A8">
      <w:pPr>
        <w:pStyle w:val="Paragraphedeliste"/>
        <w:numPr>
          <w:ilvl w:val="0"/>
          <w:numId w:val="5"/>
        </w:numPr>
      </w:pPr>
      <w:r w:rsidRPr="00B363AA">
        <w:t xml:space="preserve">Les espaces verts </w:t>
      </w:r>
      <w:r w:rsidRPr="00B363AA">
        <w:rPr>
          <w:i/>
          <w:iCs/>
        </w:rPr>
        <w:t>ornementaux</w:t>
      </w:r>
      <w:r w:rsidRPr="00B363AA">
        <w:t xml:space="preserve"> ou paysagers, dont l’utilisation typique n’implique a priori pas de mise en contact directe des usagers avec le sol (espaces verts urbains tels que des parcs, parterres</w:t>
      </w:r>
      <w:r w:rsidR="2D56BCAB" w:rsidRPr="00B363AA">
        <w:t>,</w:t>
      </w:r>
      <w:r w:rsidRPr="00B363AA">
        <w:t xml:space="preserve"> etc.) ;</w:t>
      </w:r>
    </w:p>
    <w:p w14:paraId="3015A36E" w14:textId="2F75A88D" w:rsidR="00AD23A8" w:rsidRPr="00B363AA" w:rsidRDefault="00AD23A8" w:rsidP="00AD23A8">
      <w:pPr>
        <w:pStyle w:val="Paragraphedeliste"/>
        <w:numPr>
          <w:ilvl w:val="0"/>
          <w:numId w:val="5"/>
        </w:numPr>
      </w:pPr>
      <w:r w:rsidRPr="00B363AA">
        <w:t xml:space="preserve">Les espaces verts </w:t>
      </w:r>
      <w:r w:rsidRPr="00B363AA">
        <w:rPr>
          <w:i/>
          <w:iCs/>
        </w:rPr>
        <w:t>récréatifs</w:t>
      </w:r>
      <w:r w:rsidRPr="00B363AA">
        <w:t>, dont l’utilisation typique est susceptible d’entraîner une mise en contact directe des usagers, notamment des enfants, avec le sol, par ex. : jardins résidentiels, terrains de sport, plaines de jeux</w:t>
      </w:r>
      <w:r w:rsidR="120B9CF2" w:rsidRPr="00B363AA">
        <w:t>,</w:t>
      </w:r>
      <w:r w:rsidRPr="00B363AA">
        <w:t xml:space="preserve"> etc.</w:t>
      </w:r>
    </w:p>
    <w:p w14:paraId="4B3408A6" w14:textId="7B049C76" w:rsidR="00AD23A8" w:rsidRPr="00B363AA" w:rsidRDefault="00AD23A8" w:rsidP="00AD23A8">
      <w:r w:rsidRPr="00B363AA">
        <w:t>Cette distinction est uniquement utilisée en tant que critère pour la détermination des valeurs de risque utilisées pour l’application de la contrainte pollution.</w:t>
      </w:r>
    </w:p>
    <w:p w14:paraId="70F35684" w14:textId="3585490E" w:rsidR="00AD23A8" w:rsidRPr="00B363AA" w:rsidRDefault="00AD23A8">
      <w:pPr>
        <w:pStyle w:val="Titre3"/>
        <w:numPr>
          <w:ilvl w:val="2"/>
          <w:numId w:val="12"/>
        </w:numPr>
      </w:pPr>
      <w:bookmarkStart w:id="142" w:name="_Toc241242993"/>
      <w:r w:rsidRPr="00B363AA">
        <w:t>Zones imperméables (scellées)</w:t>
      </w:r>
      <w:bookmarkEnd w:id="142"/>
    </w:p>
    <w:p w14:paraId="3E9C5616" w14:textId="0A498F1E" w:rsidR="00947CE6" w:rsidRPr="00B363AA" w:rsidRDefault="003469D5" w:rsidP="00EE391C">
      <w:r w:rsidRPr="00B363AA">
        <w:t xml:space="preserve">Des bénéfices culturels et sociaux peuvent également être tirés de zones imperméabilisées, qui </w:t>
      </w:r>
      <w:r w:rsidR="00A96AB7" w:rsidRPr="00B363AA">
        <w:t xml:space="preserve">constituent bon nombre de nos infrastructures. Toutefois, évaluer la qualité du sol </w:t>
      </w:r>
      <w:r w:rsidR="00F70F4C" w:rsidRPr="00B363AA">
        <w:t>pour correspondre à cet usage sort du périmètre de l’outil. En effet, tout type de sol peut en pratique servir de fondation à l’établissement d’infrastructures moyennant une étude géotechnique</w:t>
      </w:r>
      <w:r w:rsidR="00CA3719" w:rsidRPr="00B363AA">
        <w:t xml:space="preserve"> spécifique </w:t>
      </w:r>
      <w:r w:rsidR="486CCFB8" w:rsidRPr="00B363AA">
        <w:t>qui sort du cadre de l’outil</w:t>
      </w:r>
      <w:r w:rsidR="00AA229C" w:rsidRPr="00B363AA">
        <w:t>.</w:t>
      </w:r>
    </w:p>
    <w:p w14:paraId="763285F6" w14:textId="69E73FA9" w:rsidR="00D07FC6" w:rsidRPr="00B363AA" w:rsidRDefault="00D07FC6">
      <w:pPr>
        <w:pStyle w:val="Titre2"/>
        <w:numPr>
          <w:ilvl w:val="1"/>
          <w:numId w:val="12"/>
        </w:numPr>
      </w:pPr>
      <w:bookmarkStart w:id="143" w:name="_Toc230267112"/>
      <w:bookmarkStart w:id="144" w:name="_Toc241242994"/>
      <w:r w:rsidRPr="00B363AA">
        <w:lastRenderedPageBreak/>
        <w:t>Archivage du patrimoine</w:t>
      </w:r>
      <w:bookmarkEnd w:id="143"/>
      <w:bookmarkEnd w:id="144"/>
    </w:p>
    <w:p w14:paraId="38BD45A7" w14:textId="57477199" w:rsidR="00D07FC6" w:rsidRPr="00B363AA" w:rsidRDefault="007218B5" w:rsidP="00D07FC6">
      <w:r w:rsidRPr="00B363AA">
        <w:t xml:space="preserve">Le </w:t>
      </w:r>
      <w:r w:rsidR="002B7C20" w:rsidRPr="00B363AA">
        <w:t>service écosystémique</w:t>
      </w:r>
      <w:r w:rsidRPr="00B363AA">
        <w:t xml:space="preserve"> </w:t>
      </w:r>
      <w:r w:rsidRPr="00B363AA">
        <w:rPr>
          <w:i/>
          <w:iCs/>
        </w:rPr>
        <w:t>Archivage du patrimoine</w:t>
      </w:r>
      <w:r w:rsidRPr="00B363AA">
        <w:t xml:space="preserve"> </w:t>
      </w:r>
      <w:r w:rsidR="00FE23D7" w:rsidRPr="00B363AA">
        <w:t>considère que le sol</w:t>
      </w:r>
      <w:r w:rsidR="00E54ED6" w:rsidRPr="00B363AA">
        <w:t xml:space="preserve"> </w:t>
      </w:r>
      <w:r w:rsidR="00FE23D7" w:rsidRPr="00B363AA">
        <w:t>constitue un archivage géologique, géomorphologique</w:t>
      </w:r>
      <w:r w:rsidR="000B1DF5" w:rsidRPr="00B363AA">
        <w:t xml:space="preserve"> </w:t>
      </w:r>
      <w:r w:rsidR="00C117A2" w:rsidRPr="00B363AA">
        <w:t xml:space="preserve">et archéologique. </w:t>
      </w:r>
      <w:r w:rsidR="00291360" w:rsidRPr="00B363AA">
        <w:t xml:space="preserve">Selon </w:t>
      </w:r>
      <w:r w:rsidR="0069340D" w:rsidRPr="00B363AA">
        <w:t xml:space="preserve">Costantini </w:t>
      </w:r>
      <w:r w:rsidR="0069340D" w:rsidRPr="00B363AA">
        <w:fldChar w:fldCharType="begin"/>
      </w:r>
      <w:r w:rsidR="007F7F5F" w:rsidRPr="00B363AA">
        <w:instrText xml:space="preserve"> ADDIN ZOTERO_ITEM CSL_CITATION {"citationID":"clEzkmR7","properties":{"unsorted":false,"formattedCitation":"(2023)","plainCitation":"(2023)","noteIndex":0},"citationItems":[{"id":102,"uris":["http://zotero.org/groups/5684833/items/AK2FP6SN"],"itemData":{"id":102,"type":"article-journal","abstract":"Soils are healthy when they can continuously provide several ecosystem services. Among them, there are cultural services for humans and the archive of geological, geomorphological, and archaeological heritage. Yet strategies and policies aimed at preserving and enhancing the cultural and natural heritage of the soil are partial and rare. This paper provides a state of the art and sets a framework to give inspirational ideas for designing policies and actions to promote soil cultural and natural heritage protection, with particular reference to Europe. Through an online and documental analysis, the arguments treated in the published papers dealing with soil as a natural or cultural heritage are summarized, and the current main policies and actions to preserve our natural and cultural heritage at the global and European levels are reported and analysed. A focus on the national level has been also introduced, to exemplify policies and actions aimed at protecting the natural and cultural heritage and including reference to soil features. The analysis indicates that there is a relevant scientific production. It is possible to summarize eight main criteria that can be used to include a soil profile or a soilscape in an inventory of cultural and natural heritage. Nevertheless, most of current soil policies and actions do not provide examples of cultural heritage sites where the main object of preservation is the soil itself, and not just its functional characteristics. The only acknowledgement at the global level is the area of typical Chernozems of Moldovia, which is present among the tentative sites on the World Heritage List of UNESCO. In this context, some of the main values that characterize the cultural and natural heritage are excluded by soil policies, namely, the scientific and didactic interest, recreational, scenic, and aesthetic values, and the inspirational, religious, identity, ethnical and ethical relevance, which are acknowledged instead for other natural bodies, such as geological and geomorphological sites. Among the possible European strategies that could be implemented to valorise the soil natural and cultural values, the two most suitable instruments are the research and innovation programs of Horizon Europe to support the implementation of the Soil Health and Food mission, and the Natura 2000 program. Soil cultural and natural values may be instrumental to increase soil literacy, which is one of the scopes of the Soil mission. In the Natura 2000 program, the inclusion of the descriptions of the presence of pedosites could be an immediate action. This inclusion would not only increase both the cultural and naturalistic values of the areas but also favour soil literacy and the collaboration between soil scientists and professionals from other disciplines, thus enhancing a transdisciplinary approach to soil health, as well as its societal connectivity.","container-title":"Geoderma Regional","DOI":"10.1016/j.geodrs.2022.e00599","ISSN":"2352-0094","journalAbbreviation":"Geoderma Regional","page":"e00599","source":"ScienceDirect","title":"Possible policies and actions to protect the soil cultural and natural heritage of Europe","volume":"32","author":[{"family":"Costantini","given":"Edoardo A. C."}],"issued":{"date-parts":[["2023",3,1]]}},"suppress-author":true}],"schema":"https://github.com/citation-style-language/schema/raw/master/csl-citation.json"} </w:instrText>
      </w:r>
      <w:r w:rsidR="0069340D" w:rsidRPr="00B363AA">
        <w:fldChar w:fldCharType="separate"/>
      </w:r>
      <w:r w:rsidR="007F7F5F" w:rsidRPr="00B363AA">
        <w:rPr>
          <w:rFonts w:cs="Calibri"/>
        </w:rPr>
        <w:t>(2023)</w:t>
      </w:r>
      <w:r w:rsidR="0069340D" w:rsidRPr="00B363AA">
        <w:fldChar w:fldCharType="end"/>
      </w:r>
      <w:r w:rsidR="0069340D" w:rsidRPr="00B363AA">
        <w:t xml:space="preserve">, ce </w:t>
      </w:r>
      <w:r w:rsidR="002B7C20" w:rsidRPr="00B363AA">
        <w:t xml:space="preserve">service </w:t>
      </w:r>
      <w:r w:rsidR="00C117A2" w:rsidRPr="00B363AA">
        <w:t>regroupe une série de dimensions, compte tenu du fait que le sol est</w:t>
      </w:r>
      <w:r w:rsidR="00C94C75" w:rsidRPr="00B363AA">
        <w:t xml:space="preserve"> notamment</w:t>
      </w:r>
      <w:r w:rsidR="00C117A2" w:rsidRPr="00B363AA">
        <w:t> :</w:t>
      </w:r>
    </w:p>
    <w:p w14:paraId="3961F948" w14:textId="08FB645E" w:rsidR="00C117A2" w:rsidRPr="00B363AA" w:rsidRDefault="000B1DF5">
      <w:pPr>
        <w:pStyle w:val="Paragraphedeliste"/>
        <w:numPr>
          <w:ilvl w:val="0"/>
          <w:numId w:val="13"/>
        </w:numPr>
      </w:pPr>
      <w:r w:rsidRPr="00B363AA">
        <w:t xml:space="preserve">Un héritage </w:t>
      </w:r>
      <w:r w:rsidR="006B5608" w:rsidRPr="00B363AA">
        <w:t>géologique, géomorphologique et paléontologique, ce qui en fait un aspect</w:t>
      </w:r>
      <w:r w:rsidR="00C117A2" w:rsidRPr="00B363AA">
        <w:t xml:space="preserve"> </w:t>
      </w:r>
      <w:r w:rsidR="006B5608" w:rsidRPr="00B363AA">
        <w:t>du patrimoine</w:t>
      </w:r>
      <w:r w:rsidR="00C117A2" w:rsidRPr="00B363AA">
        <w:t xml:space="preserve"> en tant que tel </w:t>
      </w:r>
      <w:r w:rsidR="002E21BE" w:rsidRPr="00B363AA">
        <w:t>(ex. cas des paléosols</w:t>
      </w:r>
      <w:r w:rsidR="004A4F07" w:rsidRPr="00B363AA">
        <w:t>, concept de terroir</w:t>
      </w:r>
      <w:r w:rsidR="002E21BE" w:rsidRPr="00B363AA">
        <w:t>) ;</w:t>
      </w:r>
    </w:p>
    <w:p w14:paraId="59E6150B" w14:textId="2BF57C51" w:rsidR="002E21BE" w:rsidRPr="00B363AA" w:rsidRDefault="002E21BE">
      <w:pPr>
        <w:pStyle w:val="Paragraphedeliste"/>
        <w:numPr>
          <w:ilvl w:val="0"/>
          <w:numId w:val="13"/>
        </w:numPr>
      </w:pPr>
      <w:r w:rsidRPr="00B363AA">
        <w:t>Un support pour les traces du passé (ex. le sol contient des vestiges archéologiques) ;</w:t>
      </w:r>
    </w:p>
    <w:p w14:paraId="15ECAA0D" w14:textId="7EDA8449" w:rsidR="00D02637" w:rsidRPr="00B363AA" w:rsidRDefault="009C699B">
      <w:pPr>
        <w:pStyle w:val="Paragraphedeliste"/>
        <w:numPr>
          <w:ilvl w:val="0"/>
          <w:numId w:val="13"/>
        </w:numPr>
      </w:pPr>
      <w:r w:rsidRPr="00B363AA">
        <w:t>Un outil didactique (ex. classification des sols)</w:t>
      </w:r>
      <w:r w:rsidR="169E832C" w:rsidRPr="00B363AA">
        <w:t>,</w:t>
      </w:r>
      <w:r w:rsidR="00E54ED6" w:rsidRPr="00B363AA">
        <w:t xml:space="preserve"> etc.</w:t>
      </w:r>
    </w:p>
    <w:p w14:paraId="4B3AFCEE" w14:textId="3C0FF80A" w:rsidR="004A23B1" w:rsidRPr="00B363AA" w:rsidRDefault="00323789" w:rsidP="00D02637">
      <w:r w:rsidRPr="00B363AA">
        <w:t xml:space="preserve">Ce </w:t>
      </w:r>
      <w:r w:rsidR="002B7C20" w:rsidRPr="00B363AA">
        <w:t>service écosystémique</w:t>
      </w:r>
      <w:r w:rsidRPr="00B363AA">
        <w:t xml:space="preserve"> pourrait être diagnostiqué par une couche cartographique développée par l’</w:t>
      </w:r>
      <w:proofErr w:type="spellStart"/>
      <w:r w:rsidR="001314A2" w:rsidRPr="00B363AA">
        <w:t>AWaP</w:t>
      </w:r>
      <w:proofErr w:type="spellEnd"/>
      <w:r w:rsidR="001314A2" w:rsidRPr="00B363AA">
        <w:t xml:space="preserve"> et non-publiée à ce jour : la carte de zonage.</w:t>
      </w:r>
      <w:r w:rsidRPr="00B363AA">
        <w:t xml:space="preserve"> Concrètement, la carte de zonage serait consultée</w:t>
      </w:r>
      <w:r w:rsidR="001314A2" w:rsidRPr="00B363AA">
        <w:t xml:space="preserve"> pour extraire</w:t>
      </w:r>
      <w:r w:rsidRPr="00B363AA">
        <w:t xml:space="preserve"> une gamme de probabilité qualitative (faible, moyenne, élevée) que la zone diagnostiquée présente un intérêt archéologique. Ces informations viendraient compléter les données déjà disponibles via la carte archéologique sur </w:t>
      </w:r>
      <w:r w:rsidR="00064448" w:rsidRPr="00B363AA">
        <w:t>le Géoportail de la Wallonie</w:t>
      </w:r>
      <w:r w:rsidR="00311503" w:rsidRPr="00B363AA">
        <w:rPr>
          <w:rStyle w:val="Appelnotedebasdep"/>
        </w:rPr>
        <w:footnoteReference w:id="11"/>
      </w:r>
      <w:r w:rsidRPr="00B363AA">
        <w:t>.</w:t>
      </w:r>
      <w:r w:rsidR="001314A2" w:rsidRPr="00B363AA">
        <w:t xml:space="preserve"> Malheureusement, </w:t>
      </w:r>
      <w:r w:rsidR="00BE0B95" w:rsidRPr="00B363AA">
        <w:t>nous n’avons pas reçu de réponse positive quant à l’exploitation potentielle de cette carte.</w:t>
      </w:r>
      <w:r w:rsidR="008732BD" w:rsidRPr="00B363AA">
        <w:t xml:space="preserve"> La seule possibilité à ce stade est donc de valoriser la </w:t>
      </w:r>
      <w:r w:rsidR="00B3662C" w:rsidRPr="00B363AA">
        <w:t>carte archéologique qui recense les zones où des artéfacts archéologiques ont été effectivement recensés.</w:t>
      </w:r>
      <w:r w:rsidR="41E3F9F7" w:rsidRPr="00B363AA">
        <w:t xml:space="preserve"> Cette information n’est pas scorée</w:t>
      </w:r>
      <w:r w:rsidR="0388A3B2" w:rsidRPr="00B363AA">
        <w:t>. Elle est donnée de manière complémentaire aux scores IQSW-pro.</w:t>
      </w:r>
      <w:bookmarkStart w:id="145" w:name="_Toc230267113"/>
    </w:p>
    <w:p w14:paraId="653ECA81" w14:textId="05E20734" w:rsidR="006C3F20" w:rsidRPr="00B363AA" w:rsidRDefault="006C3F20" w:rsidP="004A23B1">
      <w:pPr>
        <w:pStyle w:val="Titre2"/>
        <w:numPr>
          <w:ilvl w:val="1"/>
          <w:numId w:val="12"/>
        </w:numPr>
      </w:pPr>
      <w:bookmarkStart w:id="146" w:name="_Toc241242995"/>
      <w:r w:rsidRPr="00B363AA">
        <w:t>Source de matières premières</w:t>
      </w:r>
      <w:bookmarkEnd w:id="145"/>
      <w:bookmarkEnd w:id="146"/>
    </w:p>
    <w:p w14:paraId="39D03AD9" w14:textId="01E48AE2" w:rsidR="00DD3E58" w:rsidRPr="00B363AA" w:rsidRDefault="000B4FB6" w:rsidP="00DD3E58">
      <w:r w:rsidRPr="00B363AA">
        <w:t xml:space="preserve">Dans la présente version de l’outil, </w:t>
      </w:r>
      <w:r w:rsidR="007218B5" w:rsidRPr="00B363AA">
        <w:t>le</w:t>
      </w:r>
      <w:r w:rsidRPr="00B363AA">
        <w:t xml:space="preserve"> </w:t>
      </w:r>
      <w:r w:rsidR="002B7C20" w:rsidRPr="00B363AA">
        <w:t>service écosystémique</w:t>
      </w:r>
      <w:r w:rsidR="007218B5" w:rsidRPr="00B363AA">
        <w:t xml:space="preserve"> </w:t>
      </w:r>
      <w:r w:rsidR="007218B5" w:rsidRPr="00B363AA">
        <w:rPr>
          <w:i/>
          <w:iCs/>
        </w:rPr>
        <w:t>Source de matières premières</w:t>
      </w:r>
      <w:r w:rsidR="007218B5" w:rsidRPr="00B363AA">
        <w:t xml:space="preserve"> </w:t>
      </w:r>
      <w:r w:rsidRPr="00B363AA">
        <w:t>est considéré comme sortant du périmètre de l’IQSW-pro et par conséquent, exclu de l’évaluation. En effet,</w:t>
      </w:r>
      <w:r w:rsidR="00285057" w:rsidRPr="00B363AA">
        <w:t xml:space="preserve"> l’</w:t>
      </w:r>
      <w:r w:rsidR="00F87625" w:rsidRPr="00B363AA">
        <w:t>I</w:t>
      </w:r>
      <w:r w:rsidR="00285057" w:rsidRPr="00B363AA">
        <w:t>QSW-pro se limite aux premiers horizons du sol</w:t>
      </w:r>
      <w:r w:rsidR="00F87625" w:rsidRPr="00B363AA">
        <w:t xml:space="preserve"> (</w:t>
      </w:r>
      <w:r w:rsidR="00276CA2" w:rsidRPr="00B363AA">
        <w:t xml:space="preserve">profondeur de </w:t>
      </w:r>
      <w:r w:rsidR="00F87625" w:rsidRPr="00B363AA">
        <w:t>1 m maximum)</w:t>
      </w:r>
      <w:r w:rsidR="00285057" w:rsidRPr="00B363AA">
        <w:t xml:space="preserve">, et n’a </w:t>
      </w:r>
      <w:r w:rsidR="00F87625" w:rsidRPr="00B363AA">
        <w:t>pas une portée géologique.</w:t>
      </w:r>
      <w:r w:rsidR="00F82587" w:rsidRPr="00B363AA">
        <w:t xml:space="preserve"> </w:t>
      </w:r>
    </w:p>
    <w:p w14:paraId="17812F00" w14:textId="2A9C01B8" w:rsidR="004847BE" w:rsidRPr="00B363AA" w:rsidRDefault="00C623EE" w:rsidP="004847BE">
      <w:pPr>
        <w:pStyle w:val="Titre1"/>
        <w:numPr>
          <w:ilvl w:val="0"/>
          <w:numId w:val="12"/>
        </w:numPr>
      </w:pPr>
      <w:bookmarkStart w:id="147" w:name="_Toc241242996"/>
      <w:r w:rsidRPr="00B363AA">
        <w:t>Résultats du diagnostic</w:t>
      </w:r>
      <w:bookmarkEnd w:id="147"/>
    </w:p>
    <w:p w14:paraId="7839CD67" w14:textId="04B6BE65" w:rsidR="000A0208" w:rsidRPr="00B363AA" w:rsidRDefault="000A0208">
      <w:pPr>
        <w:pStyle w:val="Titre2"/>
        <w:numPr>
          <w:ilvl w:val="1"/>
          <w:numId w:val="12"/>
        </w:numPr>
      </w:pPr>
      <w:bookmarkStart w:id="148" w:name="_Ref232411668"/>
      <w:bookmarkStart w:id="149" w:name="_Ref232412236"/>
      <w:bookmarkStart w:id="150" w:name="_Toc241242997"/>
      <w:r w:rsidRPr="00B363AA">
        <w:t>Calcul des scores de services écosystémiques</w:t>
      </w:r>
      <w:bookmarkEnd w:id="148"/>
      <w:bookmarkEnd w:id="149"/>
      <w:bookmarkEnd w:id="150"/>
    </w:p>
    <w:p w14:paraId="2A2A7820" w14:textId="6003D0D3" w:rsidR="00F75F65" w:rsidRPr="00B363AA" w:rsidRDefault="00287071" w:rsidP="00D136E6">
      <w:pPr>
        <w:pStyle w:val="Titre3"/>
        <w:numPr>
          <w:ilvl w:val="2"/>
          <w:numId w:val="12"/>
        </w:numPr>
      </w:pPr>
      <w:bookmarkStart w:id="151" w:name="_Ref241227803"/>
      <w:bookmarkStart w:id="152" w:name="_Toc241242998"/>
      <w:r w:rsidRPr="00B363AA">
        <w:t>Synthèse</w:t>
      </w:r>
      <w:r w:rsidR="00CD3F2D" w:rsidRPr="00B363AA">
        <w:t xml:space="preserve"> des indicateurs</w:t>
      </w:r>
      <w:bookmarkEnd w:id="151"/>
      <w:bookmarkEnd w:id="152"/>
    </w:p>
    <w:p w14:paraId="07F406AD" w14:textId="3717DFEA" w:rsidR="009A6CD4" w:rsidRPr="00B363AA" w:rsidRDefault="009A6CD4" w:rsidP="009A6CD4">
      <w:r w:rsidRPr="00B363AA">
        <w:t xml:space="preserve">Le </w:t>
      </w:r>
      <w:r w:rsidRPr="00B363AA">
        <w:fldChar w:fldCharType="begin"/>
      </w:r>
      <w:r w:rsidRPr="00B363AA">
        <w:instrText xml:space="preserve"> REF _Ref241227135 \h  \* MERGEFORMAT </w:instrText>
      </w:r>
      <w:r w:rsidRPr="00B363AA">
        <w:fldChar w:fldCharType="separate"/>
      </w:r>
      <w:r w:rsidRPr="00B363AA">
        <w:t>Tableau 3</w:t>
      </w:r>
      <w:r w:rsidRPr="00B363AA">
        <w:fldChar w:fldCharType="end"/>
      </w:r>
      <w:r w:rsidRPr="00B363AA">
        <w:t xml:space="preserve"> rassemble </w:t>
      </w:r>
      <w:r w:rsidR="008D60C9" w:rsidRPr="00B363AA">
        <w:t>tous les indicateurs intervenant dans le calcul du score d’un service écosystémique (pour la fonction considérée). La méthodologie d’interprétation des indicateurs</w:t>
      </w:r>
      <w:r w:rsidR="00E7406E" w:rsidRPr="00B363AA">
        <w:t xml:space="preserve">, basée sur l’approche détaillée dans la partie </w:t>
      </w:r>
      <w:r w:rsidR="00E7406E" w:rsidRPr="00B363AA">
        <w:fldChar w:fldCharType="begin"/>
      </w:r>
      <w:r w:rsidR="00E7406E" w:rsidRPr="00B363AA">
        <w:instrText xml:space="preserve"> REF _Ref241227230 \r \h </w:instrText>
      </w:r>
      <w:r w:rsidR="00E7406E" w:rsidRPr="00B363AA">
        <w:fldChar w:fldCharType="separate"/>
      </w:r>
      <w:r w:rsidR="001A7BE1" w:rsidRPr="00B363AA">
        <w:t>3.6.2</w:t>
      </w:r>
      <w:r w:rsidR="00E7406E" w:rsidRPr="00B363AA">
        <w:fldChar w:fldCharType="end"/>
      </w:r>
      <w:r w:rsidR="00E7406E" w:rsidRPr="00B363AA">
        <w:t xml:space="preserve">, </w:t>
      </w:r>
      <w:r w:rsidR="002820A8" w:rsidRPr="00B363AA">
        <w:t>est détaillée, pour chaque indicateur, dans l’Annexe 2 – Indicateurs.</w:t>
      </w:r>
    </w:p>
    <w:p w14:paraId="550C8C8D" w14:textId="77777777" w:rsidR="009B103C" w:rsidRPr="00B363AA" w:rsidRDefault="009B103C" w:rsidP="009A6CD4"/>
    <w:p w14:paraId="7FA5D511" w14:textId="77777777" w:rsidR="009B103C" w:rsidRPr="00B363AA" w:rsidRDefault="009B103C" w:rsidP="009A6CD4"/>
    <w:p w14:paraId="42A70795" w14:textId="77777777" w:rsidR="009B103C" w:rsidRPr="00B363AA" w:rsidRDefault="009B103C" w:rsidP="009A6CD4"/>
    <w:p w14:paraId="04382921" w14:textId="77777777" w:rsidR="009B103C" w:rsidRPr="00B363AA" w:rsidRDefault="009B103C" w:rsidP="009A6CD4"/>
    <w:p w14:paraId="6A549313" w14:textId="123024CE" w:rsidR="009E01DA" w:rsidRPr="00B363AA" w:rsidRDefault="009E01DA" w:rsidP="009E01DA">
      <w:pPr>
        <w:pStyle w:val="Lgende"/>
        <w:keepNext/>
        <w:jc w:val="center"/>
        <w:rPr>
          <w:i w:val="0"/>
          <w:iCs w:val="0"/>
        </w:rPr>
      </w:pPr>
      <w:bookmarkStart w:id="153" w:name="_Ref241227135"/>
      <w:r w:rsidRPr="00B363AA">
        <w:rPr>
          <w:i w:val="0"/>
          <w:iCs w:val="0"/>
        </w:rPr>
        <w:lastRenderedPageBreak/>
        <w:t xml:space="preserve">Tableau </w:t>
      </w:r>
      <w:r w:rsidRPr="00B363AA">
        <w:rPr>
          <w:i w:val="0"/>
          <w:iCs w:val="0"/>
        </w:rPr>
        <w:fldChar w:fldCharType="begin"/>
      </w:r>
      <w:r w:rsidRPr="00B363AA">
        <w:rPr>
          <w:i w:val="0"/>
          <w:iCs w:val="0"/>
        </w:rPr>
        <w:instrText xml:space="preserve"> SEQ Tableau \* ARABIC </w:instrText>
      </w:r>
      <w:r w:rsidRPr="00B363AA">
        <w:rPr>
          <w:i w:val="0"/>
          <w:iCs w:val="0"/>
        </w:rPr>
        <w:fldChar w:fldCharType="separate"/>
      </w:r>
      <w:r w:rsidR="009A6CD4" w:rsidRPr="00B363AA">
        <w:rPr>
          <w:i w:val="0"/>
          <w:iCs w:val="0"/>
        </w:rPr>
        <w:t>3</w:t>
      </w:r>
      <w:r w:rsidRPr="00B363AA">
        <w:rPr>
          <w:i w:val="0"/>
          <w:iCs w:val="0"/>
        </w:rPr>
        <w:fldChar w:fldCharType="end"/>
      </w:r>
      <w:bookmarkEnd w:id="153"/>
      <w:r w:rsidRPr="00B363AA">
        <w:rPr>
          <w:i w:val="0"/>
          <w:iCs w:val="0"/>
        </w:rPr>
        <w:t xml:space="preserve"> : Référentiels d’interprétation des indicateurs pour chaque combinaison service – fonction. La </w:t>
      </w:r>
      <w:r w:rsidR="009B103C" w:rsidRPr="00B363AA">
        <w:rPr>
          <w:i w:val="0"/>
          <w:iCs w:val="0"/>
        </w:rPr>
        <w:t>forme de la fonction</w:t>
      </w:r>
      <w:r w:rsidRPr="00B363AA">
        <w:rPr>
          <w:i w:val="0"/>
          <w:iCs w:val="0"/>
        </w:rPr>
        <w:t xml:space="preserve"> d’interprétation dont la forme est spécifiée (</w:t>
      </w:r>
      <w:r w:rsidRPr="00B363AA">
        <w:rPr>
          <w:noProof/>
        </w:rPr>
        <w:drawing>
          <wp:inline distT="0" distB="0" distL="0" distR="0" wp14:anchorId="47F51DB3" wp14:editId="218140E2">
            <wp:extent cx="91440" cy="118745"/>
            <wp:effectExtent l="0" t="0" r="3810" b="0"/>
            <wp:docPr id="206937099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 cy="118745"/>
                    </a:xfrm>
                    <a:prstGeom prst="rect">
                      <a:avLst/>
                    </a:prstGeom>
                    <a:noFill/>
                  </pic:spPr>
                </pic:pic>
              </a:graphicData>
            </a:graphic>
          </wp:inline>
        </w:drawing>
      </w:r>
      <w:r w:rsidRPr="00B363AA">
        <w:rPr>
          <w:i w:val="0"/>
          <w:iCs w:val="0"/>
        </w:rPr>
        <w:t xml:space="preserve">: </w:t>
      </w:r>
      <w:r w:rsidRPr="00B363AA">
        <w:t xml:space="preserve">more </w:t>
      </w:r>
      <w:proofErr w:type="spellStart"/>
      <w:r w:rsidRPr="00B363AA">
        <w:t>is</w:t>
      </w:r>
      <w:proofErr w:type="spellEnd"/>
      <w:r w:rsidRPr="00B363AA">
        <w:t xml:space="preserve"> </w:t>
      </w:r>
      <w:proofErr w:type="spellStart"/>
      <w:r w:rsidRPr="00B363AA">
        <w:t>better</w:t>
      </w:r>
      <w:proofErr w:type="spellEnd"/>
      <w:r w:rsidRPr="00B363AA">
        <w:rPr>
          <w:i w:val="0"/>
          <w:iCs w:val="0"/>
        </w:rPr>
        <w:t> ; </w:t>
      </w:r>
      <w:r w:rsidRPr="00B363AA">
        <w:rPr>
          <w:noProof/>
        </w:rPr>
        <w:drawing>
          <wp:inline distT="0" distB="0" distL="0" distR="0" wp14:anchorId="76A2E44E" wp14:editId="621D8C1B">
            <wp:extent cx="85917" cy="88985"/>
            <wp:effectExtent l="0" t="0" r="9525" b="6350"/>
            <wp:docPr id="3853716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 r="6040" b="25061"/>
                    <a:stretch>
                      <a:fillRect/>
                    </a:stretch>
                  </pic:blipFill>
                  <pic:spPr bwMode="auto">
                    <a:xfrm>
                      <a:off x="0" y="0"/>
                      <a:ext cx="85957" cy="89027"/>
                    </a:xfrm>
                    <a:prstGeom prst="rect">
                      <a:avLst/>
                    </a:prstGeom>
                    <a:noFill/>
                    <a:ln>
                      <a:noFill/>
                    </a:ln>
                    <a:extLst>
                      <a:ext uri="{53640926-AAD7-44D8-BBD7-CCE9431645EC}">
                        <a14:shadowObscured xmlns:a14="http://schemas.microsoft.com/office/drawing/2010/main"/>
                      </a:ext>
                    </a:extLst>
                  </pic:spPr>
                </pic:pic>
              </a:graphicData>
            </a:graphic>
          </wp:inline>
        </w:drawing>
      </w:r>
      <w:r w:rsidRPr="00B363AA">
        <w:rPr>
          <w:i w:val="0"/>
          <w:iCs w:val="0"/>
        </w:rPr>
        <w:t xml:space="preserve">: </w:t>
      </w:r>
      <w:proofErr w:type="spellStart"/>
      <w:r w:rsidRPr="00B363AA">
        <w:t>less</w:t>
      </w:r>
      <w:proofErr w:type="spellEnd"/>
      <w:r w:rsidRPr="00B363AA">
        <w:t xml:space="preserve"> </w:t>
      </w:r>
      <w:proofErr w:type="spellStart"/>
      <w:r w:rsidRPr="00B363AA">
        <w:t>is</w:t>
      </w:r>
      <w:proofErr w:type="spellEnd"/>
      <w:r w:rsidRPr="00B363AA">
        <w:t xml:space="preserve"> </w:t>
      </w:r>
      <w:proofErr w:type="spellStart"/>
      <w:r w:rsidRPr="00B363AA">
        <w:t>better</w:t>
      </w:r>
      <w:proofErr w:type="spellEnd"/>
      <w:r w:rsidRPr="00B363AA">
        <w:rPr>
          <w:i w:val="0"/>
          <w:iCs w:val="0"/>
        </w:rPr>
        <w:t> ; </w:t>
      </w:r>
      <w:r w:rsidRPr="00B363AA">
        <w:rPr>
          <w:noProof/>
        </w:rPr>
        <w:drawing>
          <wp:inline distT="0" distB="0" distL="0" distR="0" wp14:anchorId="2294C6BF" wp14:editId="4099462F">
            <wp:extent cx="164432" cy="65784"/>
            <wp:effectExtent l="0" t="0" r="7620" b="0"/>
            <wp:docPr id="105141109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3479" t="10398" r="12726" b="13669"/>
                    <a:stretch>
                      <a:fillRect/>
                    </a:stretch>
                  </pic:blipFill>
                  <pic:spPr bwMode="auto">
                    <a:xfrm>
                      <a:off x="0" y="0"/>
                      <a:ext cx="193899" cy="77573"/>
                    </a:xfrm>
                    <a:prstGeom prst="rect">
                      <a:avLst/>
                    </a:prstGeom>
                    <a:noFill/>
                    <a:ln>
                      <a:noFill/>
                    </a:ln>
                    <a:extLst>
                      <a:ext uri="{53640926-AAD7-44D8-BBD7-CCE9431645EC}">
                        <a14:shadowObscured xmlns:a14="http://schemas.microsoft.com/office/drawing/2010/main"/>
                      </a:ext>
                    </a:extLst>
                  </pic:spPr>
                </pic:pic>
              </a:graphicData>
            </a:graphic>
          </wp:inline>
        </w:drawing>
      </w:r>
      <w:r w:rsidRPr="00B363AA">
        <w:rPr>
          <w:i w:val="0"/>
          <w:iCs w:val="0"/>
        </w:rPr>
        <w:t xml:space="preserve">: </w:t>
      </w:r>
      <w:r w:rsidRPr="00B363AA">
        <w:t>optimum</w:t>
      </w:r>
      <w:r w:rsidRPr="00B363AA">
        <w:rPr>
          <w:i w:val="0"/>
          <w:iCs w:val="0"/>
        </w:rPr>
        <w:t xml:space="preserve">). Dans le service </w:t>
      </w:r>
      <w:r w:rsidRPr="00B363AA">
        <w:t>Production</w:t>
      </w:r>
      <w:r w:rsidRPr="00B363AA">
        <w:rPr>
          <w:i w:val="0"/>
          <w:iCs w:val="0"/>
        </w:rPr>
        <w:t>, pour certains indicateurs, une distinction est faite dans le choix des bornes entre les catégories d’usage (C : cultures ; P : prairies ; EV : espaces verts ; F : forêts).</w:t>
      </w:r>
    </w:p>
    <w:tbl>
      <w:tblPr>
        <w:tblStyle w:val="Grilledutableau"/>
        <w:tblW w:w="9067" w:type="dxa"/>
        <w:tblCellMar>
          <w:top w:w="28" w:type="dxa"/>
          <w:bottom w:w="28" w:type="dxa"/>
        </w:tblCellMar>
        <w:tblLook w:val="04A0" w:firstRow="1" w:lastRow="0" w:firstColumn="1" w:lastColumn="0" w:noHBand="0" w:noVBand="1"/>
      </w:tblPr>
      <w:tblGrid>
        <w:gridCol w:w="1200"/>
        <w:gridCol w:w="1239"/>
        <w:gridCol w:w="748"/>
        <w:gridCol w:w="1628"/>
        <w:gridCol w:w="4252"/>
      </w:tblGrid>
      <w:tr w:rsidR="009E01DA" w:rsidRPr="00B363AA" w14:paraId="0C4139F5" w14:textId="77777777" w:rsidTr="003F3F11">
        <w:tc>
          <w:tcPr>
            <w:tcW w:w="12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499B2CEC" w14:textId="77777777" w:rsidR="009E01DA" w:rsidRPr="00B363AA" w:rsidRDefault="009E01DA" w:rsidP="003F3F11">
            <w:pPr>
              <w:jc w:val="center"/>
              <w:rPr>
                <w:b/>
                <w:bCs/>
                <w:sz w:val="20"/>
                <w:szCs w:val="20"/>
              </w:rPr>
            </w:pPr>
            <w:r w:rsidRPr="00B363AA">
              <w:rPr>
                <w:b/>
                <w:bCs/>
                <w:sz w:val="20"/>
                <w:szCs w:val="20"/>
              </w:rPr>
              <w:t>Service</w:t>
            </w:r>
          </w:p>
        </w:tc>
        <w:tc>
          <w:tcPr>
            <w:tcW w:w="123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61173E96" w14:textId="77777777" w:rsidR="009E01DA" w:rsidRPr="00B363AA" w:rsidRDefault="009E01DA" w:rsidP="003F3F11">
            <w:pPr>
              <w:jc w:val="center"/>
              <w:rPr>
                <w:b/>
                <w:bCs/>
                <w:sz w:val="20"/>
                <w:szCs w:val="20"/>
              </w:rPr>
            </w:pPr>
            <w:r w:rsidRPr="00B363AA">
              <w:rPr>
                <w:b/>
                <w:bCs/>
                <w:sz w:val="20"/>
                <w:szCs w:val="20"/>
              </w:rPr>
              <w:t>Fonction</w:t>
            </w:r>
          </w:p>
        </w:tc>
        <w:tc>
          <w:tcPr>
            <w:tcW w:w="7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53C8ED10" w14:textId="77777777" w:rsidR="009E01DA" w:rsidRPr="00B363AA" w:rsidRDefault="009E01DA" w:rsidP="003F3F11">
            <w:pPr>
              <w:jc w:val="center"/>
              <w:rPr>
                <w:b/>
                <w:bCs/>
                <w:sz w:val="20"/>
                <w:szCs w:val="20"/>
              </w:rPr>
            </w:pPr>
            <w:r w:rsidRPr="00B363AA">
              <w:rPr>
                <w:b/>
                <w:bCs/>
                <w:sz w:val="20"/>
                <w:szCs w:val="20"/>
              </w:rPr>
              <w:t>Forme</w:t>
            </w:r>
          </w:p>
        </w:tc>
        <w:tc>
          <w:tcPr>
            <w:tcW w:w="16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5E3B6038" w14:textId="77777777" w:rsidR="009E01DA" w:rsidRPr="00B363AA" w:rsidRDefault="009E01DA" w:rsidP="003F3F11">
            <w:pPr>
              <w:jc w:val="center"/>
              <w:rPr>
                <w:b/>
                <w:bCs/>
                <w:sz w:val="20"/>
                <w:szCs w:val="20"/>
              </w:rPr>
            </w:pPr>
            <w:r w:rsidRPr="00B363AA">
              <w:rPr>
                <w:b/>
                <w:bCs/>
                <w:sz w:val="20"/>
                <w:szCs w:val="20"/>
              </w:rPr>
              <w:t>Évaluation</w:t>
            </w:r>
          </w:p>
        </w:tc>
        <w:tc>
          <w:tcPr>
            <w:tcW w:w="42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26E72348" w14:textId="77777777" w:rsidR="009E01DA" w:rsidRPr="00B363AA" w:rsidRDefault="009E01DA" w:rsidP="003F3F11">
            <w:pPr>
              <w:jc w:val="center"/>
              <w:rPr>
                <w:b/>
                <w:bCs/>
                <w:sz w:val="20"/>
                <w:szCs w:val="20"/>
              </w:rPr>
            </w:pPr>
            <w:r w:rsidRPr="00B363AA">
              <w:rPr>
                <w:b/>
                <w:bCs/>
                <w:sz w:val="20"/>
                <w:szCs w:val="20"/>
              </w:rPr>
              <w:t>Référentiel</w:t>
            </w:r>
          </w:p>
        </w:tc>
      </w:tr>
      <w:tr w:rsidR="009E01DA" w:rsidRPr="00B363AA" w14:paraId="6BE01708" w14:textId="77777777" w:rsidTr="003F3F11">
        <w:tblPrEx>
          <w:tblCellMar>
            <w:top w:w="0" w:type="dxa"/>
            <w:bottom w:w="0" w:type="dxa"/>
          </w:tblCellMar>
        </w:tblPrEx>
        <w:tc>
          <w:tcPr>
            <w:tcW w:w="1200" w:type="dxa"/>
            <w:vMerge w:val="restart"/>
            <w:shd w:val="clear" w:color="auto" w:fill="D1D1D1" w:themeFill="background2" w:themeFillShade="E6"/>
            <w:vAlign w:val="center"/>
          </w:tcPr>
          <w:p w14:paraId="3D591357" w14:textId="77777777" w:rsidR="009E01DA" w:rsidRPr="00B363AA" w:rsidRDefault="009E01DA" w:rsidP="003F3F11">
            <w:pPr>
              <w:jc w:val="left"/>
              <w:rPr>
                <w:b/>
                <w:bCs/>
                <w:sz w:val="20"/>
                <w:szCs w:val="20"/>
              </w:rPr>
            </w:pPr>
            <w:r w:rsidRPr="00B363AA">
              <w:rPr>
                <w:b/>
                <w:bCs/>
                <w:sz w:val="20"/>
                <w:szCs w:val="20"/>
              </w:rPr>
              <w:t xml:space="preserve">Production </w:t>
            </w:r>
          </w:p>
        </w:tc>
        <w:tc>
          <w:tcPr>
            <w:tcW w:w="1239" w:type="dxa"/>
            <w:vMerge w:val="restart"/>
            <w:shd w:val="clear" w:color="auto" w:fill="F2F2F2" w:themeFill="background1" w:themeFillShade="F2"/>
            <w:vAlign w:val="center"/>
          </w:tcPr>
          <w:p w14:paraId="1D47D84F" w14:textId="77777777" w:rsidR="009E01DA" w:rsidRPr="00B363AA" w:rsidRDefault="009E01DA" w:rsidP="003F3F11">
            <w:pPr>
              <w:jc w:val="left"/>
              <w:rPr>
                <w:sz w:val="20"/>
                <w:szCs w:val="20"/>
              </w:rPr>
            </w:pPr>
            <w:r w:rsidRPr="00B363AA">
              <w:rPr>
                <w:sz w:val="20"/>
                <w:szCs w:val="20"/>
              </w:rPr>
              <w:t>Fourniture nutriments</w:t>
            </w:r>
          </w:p>
        </w:tc>
        <w:tc>
          <w:tcPr>
            <w:tcW w:w="748" w:type="dxa"/>
            <w:vMerge w:val="restart"/>
            <w:vAlign w:val="center"/>
          </w:tcPr>
          <w:p w14:paraId="68421129"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532646C6" wp14:editId="7E7601A1">
                      <wp:extent cx="94615" cy="153035"/>
                      <wp:effectExtent l="0" t="38100" r="57785" b="18415"/>
                      <wp:docPr id="1014400902"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type w14:anchorId="136AAB9A" id="_x0000_t32" coordsize="21600,21600" o:spt="32" o:oned="t" path="m,l21600,21600e" filled="f">
                      <v:path arrowok="t" fillok="f" o:connecttype="none"/>
                      <o:lock v:ext="edit" shapetype="t"/>
                    </v:shapetype>
                    <v:shape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vMerge w:val="restart"/>
            <w:shd w:val="clear" w:color="auto" w:fill="F2F9EB"/>
            <w:vAlign w:val="center"/>
          </w:tcPr>
          <w:p w14:paraId="49993027" w14:textId="77777777" w:rsidR="009E01DA" w:rsidRPr="00B363AA" w:rsidRDefault="009E01DA" w:rsidP="003F3F11">
            <w:pPr>
              <w:jc w:val="left"/>
              <w:rPr>
                <w:sz w:val="20"/>
                <w:szCs w:val="20"/>
              </w:rPr>
            </w:pPr>
            <w:proofErr w:type="spellStart"/>
            <w:r w:rsidRPr="00B363AA">
              <w:rPr>
                <w:sz w:val="20"/>
                <w:szCs w:val="20"/>
              </w:rPr>
              <w:t>P</w:t>
            </w:r>
            <w:r w:rsidRPr="00B363AA">
              <w:rPr>
                <w:sz w:val="20"/>
                <w:szCs w:val="20"/>
                <w:vertAlign w:val="subscript"/>
              </w:rPr>
              <w:t>qualité</w:t>
            </w:r>
            <w:proofErr w:type="spellEnd"/>
          </w:p>
        </w:tc>
        <w:tc>
          <w:tcPr>
            <w:tcW w:w="4252" w:type="dxa"/>
            <w:shd w:val="clear" w:color="auto" w:fill="F2F9EB"/>
            <w:vAlign w:val="center"/>
          </w:tcPr>
          <w:p w14:paraId="14D93557" w14:textId="77777777" w:rsidR="009E01DA" w:rsidRPr="00B363AA" w:rsidRDefault="009E01DA" w:rsidP="003F3F11">
            <w:pPr>
              <w:jc w:val="left"/>
              <w:rPr>
                <w:sz w:val="20"/>
                <w:szCs w:val="20"/>
              </w:rPr>
            </w:pPr>
            <w:r w:rsidRPr="00B363AA">
              <w:rPr>
                <w:sz w:val="20"/>
                <w:szCs w:val="20"/>
              </w:rPr>
              <w:t xml:space="preserve">(C) Valeur cible identifiée sur base des gammes optimales REQUASUD pour les cultures </w:t>
            </w:r>
            <w:r w:rsidRPr="00B363AA">
              <w:rPr>
                <w:sz w:val="20"/>
                <w:szCs w:val="20"/>
              </w:rPr>
              <w:fldChar w:fldCharType="begin"/>
            </w:r>
            <w:r w:rsidRPr="00B363AA">
              <w:rPr>
                <w:sz w:val="20"/>
                <w:szCs w:val="20"/>
              </w:rPr>
              <w:instrText xml:space="preserve"> ADDIN ZOTERO_ITEM CSL_CITATION {"citationID":"k7kOnRtQ","properties":{"unsorted":false,"formattedCitation":"(Genot et al., 2011)","plainCitation":"(Genot et al., 2011)","noteIndex":0},"citationItems":[{"id":120,"uris":["http://zotero.org/groups/5684833/items/C2MGHKXM"],"itemData":{"id":120,"type":"report","publisher":"REQUASUD","title":"Un conseil de fumure raisonné - Le cas du phosphore","URL":"https://www.requasud.be/wp-content/uploads/2017/07/brochure_cr2451_requasud_ld.pdf","author":[{"family":"Genot","given":"V."},{"family":"Renneson","given":"M."},{"family":"Bock","given":"L."},{"family":"Colinet","given":"G."}],"issued":{"date-parts":[["2011"]]}}}],"schema":"https://github.com/citation-style-language/schema/raw/master/csl-citation.json"} </w:instrText>
            </w:r>
            <w:r w:rsidRPr="00B363AA">
              <w:rPr>
                <w:sz w:val="20"/>
                <w:szCs w:val="20"/>
              </w:rPr>
              <w:fldChar w:fldCharType="separate"/>
            </w:r>
            <w:r w:rsidRPr="00B363AA">
              <w:rPr>
                <w:rFonts w:cs="Calibri"/>
                <w:sz w:val="20"/>
              </w:rPr>
              <w:t>(Genot et al., 2011)</w:t>
            </w:r>
            <w:r w:rsidRPr="00B363AA">
              <w:rPr>
                <w:sz w:val="20"/>
                <w:szCs w:val="20"/>
              </w:rPr>
              <w:fldChar w:fldCharType="end"/>
            </w:r>
          </w:p>
        </w:tc>
      </w:tr>
      <w:tr w:rsidR="009E01DA" w:rsidRPr="00B363AA" w14:paraId="10ABB31A" w14:textId="77777777" w:rsidTr="003F3F11">
        <w:tblPrEx>
          <w:tblCellMar>
            <w:top w:w="0" w:type="dxa"/>
            <w:bottom w:w="0" w:type="dxa"/>
          </w:tblCellMar>
        </w:tblPrEx>
        <w:tc>
          <w:tcPr>
            <w:tcW w:w="1200" w:type="dxa"/>
            <w:vMerge/>
            <w:shd w:val="clear" w:color="auto" w:fill="D1D1D1" w:themeFill="background2" w:themeFillShade="E6"/>
            <w:vAlign w:val="center"/>
          </w:tcPr>
          <w:p w14:paraId="0EE0723D"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538B4A07" w14:textId="77777777" w:rsidR="009E01DA" w:rsidRPr="00B363AA" w:rsidRDefault="009E01DA" w:rsidP="003F3F11">
            <w:pPr>
              <w:jc w:val="left"/>
              <w:rPr>
                <w:sz w:val="20"/>
                <w:szCs w:val="20"/>
              </w:rPr>
            </w:pPr>
          </w:p>
        </w:tc>
        <w:tc>
          <w:tcPr>
            <w:tcW w:w="748" w:type="dxa"/>
            <w:vMerge/>
            <w:vAlign w:val="center"/>
          </w:tcPr>
          <w:p w14:paraId="21A3CD68" w14:textId="77777777" w:rsidR="009E01DA" w:rsidRPr="00B363AA" w:rsidRDefault="009E01DA" w:rsidP="003F3F11">
            <w:pPr>
              <w:jc w:val="center"/>
              <w:rPr>
                <w:sz w:val="20"/>
                <w:szCs w:val="20"/>
              </w:rPr>
            </w:pPr>
          </w:p>
        </w:tc>
        <w:tc>
          <w:tcPr>
            <w:tcW w:w="1628" w:type="dxa"/>
            <w:vMerge/>
            <w:shd w:val="clear" w:color="auto" w:fill="F2F9EB"/>
            <w:vAlign w:val="center"/>
          </w:tcPr>
          <w:p w14:paraId="240BC09C" w14:textId="77777777" w:rsidR="009E01DA" w:rsidRPr="00B363AA" w:rsidRDefault="009E01DA" w:rsidP="003F3F11">
            <w:pPr>
              <w:jc w:val="left"/>
              <w:rPr>
                <w:sz w:val="20"/>
                <w:szCs w:val="20"/>
              </w:rPr>
            </w:pPr>
          </w:p>
        </w:tc>
        <w:tc>
          <w:tcPr>
            <w:tcW w:w="4252" w:type="dxa"/>
            <w:shd w:val="clear" w:color="auto" w:fill="F2F9EB"/>
            <w:vAlign w:val="center"/>
          </w:tcPr>
          <w:p w14:paraId="71E8F27E" w14:textId="77777777" w:rsidR="009E01DA" w:rsidRPr="00B363AA" w:rsidRDefault="009E01DA" w:rsidP="003F3F11">
            <w:pPr>
              <w:jc w:val="left"/>
              <w:rPr>
                <w:sz w:val="20"/>
                <w:szCs w:val="20"/>
              </w:rPr>
            </w:pPr>
            <w:r w:rsidRPr="00B363AA">
              <w:rPr>
                <w:sz w:val="20"/>
                <w:szCs w:val="20"/>
              </w:rPr>
              <w:t xml:space="preserve">(P-EV) Inférence d’une valeur cible plus permissive que celle des cultures </w:t>
            </w:r>
          </w:p>
        </w:tc>
      </w:tr>
      <w:tr w:rsidR="009E01DA" w:rsidRPr="00B363AA" w14:paraId="3CB42349" w14:textId="77777777" w:rsidTr="003F3F11">
        <w:tblPrEx>
          <w:tblCellMar>
            <w:top w:w="0" w:type="dxa"/>
            <w:bottom w:w="0" w:type="dxa"/>
          </w:tblCellMar>
        </w:tblPrEx>
        <w:tc>
          <w:tcPr>
            <w:tcW w:w="1200" w:type="dxa"/>
            <w:vMerge/>
            <w:shd w:val="clear" w:color="auto" w:fill="D1D1D1" w:themeFill="background2" w:themeFillShade="E6"/>
            <w:vAlign w:val="center"/>
          </w:tcPr>
          <w:p w14:paraId="2602B281"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5086D255" w14:textId="77777777" w:rsidR="009E01DA" w:rsidRPr="00B363AA" w:rsidRDefault="009E01DA" w:rsidP="003F3F11">
            <w:pPr>
              <w:jc w:val="left"/>
              <w:rPr>
                <w:sz w:val="20"/>
                <w:szCs w:val="20"/>
              </w:rPr>
            </w:pPr>
          </w:p>
        </w:tc>
        <w:tc>
          <w:tcPr>
            <w:tcW w:w="748" w:type="dxa"/>
            <w:vMerge/>
            <w:vAlign w:val="center"/>
          </w:tcPr>
          <w:p w14:paraId="5F3FEE0E" w14:textId="77777777" w:rsidR="009E01DA" w:rsidRPr="00B363AA" w:rsidRDefault="009E01DA" w:rsidP="003F3F11">
            <w:pPr>
              <w:jc w:val="center"/>
              <w:rPr>
                <w:sz w:val="20"/>
                <w:szCs w:val="20"/>
              </w:rPr>
            </w:pPr>
          </w:p>
        </w:tc>
        <w:tc>
          <w:tcPr>
            <w:tcW w:w="1628" w:type="dxa"/>
            <w:vMerge/>
            <w:shd w:val="clear" w:color="auto" w:fill="F2F9EB"/>
            <w:vAlign w:val="center"/>
          </w:tcPr>
          <w:p w14:paraId="329C6D7F" w14:textId="77777777" w:rsidR="009E01DA" w:rsidRPr="00B363AA" w:rsidRDefault="009E01DA" w:rsidP="003F3F11">
            <w:pPr>
              <w:jc w:val="left"/>
              <w:rPr>
                <w:sz w:val="20"/>
                <w:szCs w:val="20"/>
              </w:rPr>
            </w:pPr>
          </w:p>
        </w:tc>
        <w:tc>
          <w:tcPr>
            <w:tcW w:w="4252" w:type="dxa"/>
            <w:shd w:val="clear" w:color="auto" w:fill="F2F9EB"/>
            <w:vAlign w:val="center"/>
          </w:tcPr>
          <w:p w14:paraId="362175E2" w14:textId="77777777" w:rsidR="009E01DA" w:rsidRPr="00B363AA" w:rsidRDefault="009E01DA" w:rsidP="003F3F11">
            <w:pPr>
              <w:jc w:val="left"/>
              <w:rPr>
                <w:sz w:val="20"/>
                <w:szCs w:val="20"/>
              </w:rPr>
            </w:pPr>
            <w:r w:rsidRPr="00B363AA">
              <w:rPr>
                <w:sz w:val="20"/>
                <w:szCs w:val="20"/>
              </w:rPr>
              <w:t>(F) Paramètre non-limitant (score maximal dès niveau minimum)</w:t>
            </w:r>
          </w:p>
        </w:tc>
      </w:tr>
      <w:tr w:rsidR="009E01DA" w:rsidRPr="00B363AA" w14:paraId="36787B25" w14:textId="77777777" w:rsidTr="003F3F11">
        <w:tblPrEx>
          <w:tblCellMar>
            <w:top w:w="0" w:type="dxa"/>
            <w:bottom w:w="0" w:type="dxa"/>
          </w:tblCellMar>
        </w:tblPrEx>
        <w:tc>
          <w:tcPr>
            <w:tcW w:w="1200" w:type="dxa"/>
            <w:vMerge/>
            <w:shd w:val="clear" w:color="auto" w:fill="D1D1D1" w:themeFill="background2" w:themeFillShade="E6"/>
            <w:vAlign w:val="center"/>
          </w:tcPr>
          <w:p w14:paraId="65BA8C99"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40B0A4B2" w14:textId="77777777" w:rsidR="009E01DA" w:rsidRPr="00B363AA" w:rsidRDefault="009E01DA" w:rsidP="003F3F11">
            <w:pPr>
              <w:jc w:val="left"/>
              <w:rPr>
                <w:sz w:val="20"/>
                <w:szCs w:val="20"/>
              </w:rPr>
            </w:pPr>
          </w:p>
        </w:tc>
        <w:tc>
          <w:tcPr>
            <w:tcW w:w="748" w:type="dxa"/>
            <w:vMerge/>
            <w:vAlign w:val="center"/>
          </w:tcPr>
          <w:p w14:paraId="53AB15B5" w14:textId="77777777" w:rsidR="009E01DA" w:rsidRPr="00B363AA" w:rsidRDefault="009E01DA" w:rsidP="003F3F11">
            <w:pPr>
              <w:jc w:val="center"/>
              <w:rPr>
                <w:sz w:val="20"/>
                <w:szCs w:val="20"/>
              </w:rPr>
            </w:pPr>
          </w:p>
        </w:tc>
        <w:tc>
          <w:tcPr>
            <w:tcW w:w="1628" w:type="dxa"/>
            <w:shd w:val="clear" w:color="auto" w:fill="EFF5FB"/>
            <w:vAlign w:val="center"/>
          </w:tcPr>
          <w:p w14:paraId="656CA0CF" w14:textId="77777777" w:rsidR="009E01DA" w:rsidRPr="00B363AA" w:rsidRDefault="009E01DA" w:rsidP="003F3F11">
            <w:pPr>
              <w:jc w:val="left"/>
              <w:rPr>
                <w:sz w:val="20"/>
                <w:szCs w:val="20"/>
              </w:rPr>
            </w:pPr>
            <w:proofErr w:type="spellStart"/>
            <w:r w:rsidRPr="00B363AA">
              <w:rPr>
                <w:sz w:val="20"/>
                <w:szCs w:val="20"/>
              </w:rPr>
              <w:t>P</w:t>
            </w:r>
            <w:r w:rsidRPr="00B363AA">
              <w:rPr>
                <w:sz w:val="20"/>
                <w:szCs w:val="20"/>
                <w:vertAlign w:val="subscript"/>
              </w:rPr>
              <w:t>santé</w:t>
            </w:r>
            <w:proofErr w:type="spellEnd"/>
          </w:p>
        </w:tc>
        <w:tc>
          <w:tcPr>
            <w:tcW w:w="4252" w:type="dxa"/>
            <w:shd w:val="clear" w:color="auto" w:fill="EFF5FB"/>
            <w:vAlign w:val="center"/>
          </w:tcPr>
          <w:p w14:paraId="13622029" w14:textId="77777777" w:rsidR="009E01DA" w:rsidRPr="00B363AA" w:rsidRDefault="009E01DA" w:rsidP="003F3F11">
            <w:pPr>
              <w:jc w:val="left"/>
              <w:rPr>
                <w:sz w:val="20"/>
                <w:szCs w:val="20"/>
              </w:rPr>
            </w:pPr>
            <w:r w:rsidRPr="00B363AA">
              <w:rPr>
                <w:sz w:val="20"/>
                <w:szCs w:val="20"/>
              </w:rPr>
              <w:t xml:space="preserve">Gammes optimales pour une classe texturale et un pH donné </w:t>
            </w:r>
            <w:r w:rsidRPr="00B363AA">
              <w:rPr>
                <w:sz w:val="20"/>
                <w:szCs w:val="20"/>
              </w:rPr>
              <w:fldChar w:fldCharType="begin"/>
            </w:r>
            <w:r w:rsidRPr="00B363AA">
              <w:rPr>
                <w:sz w:val="20"/>
                <w:szCs w:val="20"/>
              </w:rPr>
              <w:instrText xml:space="preserve"> ADDIN ZOTERO_ITEM CSL_CITATION {"citationID":"gFdearnp","properties":{"unsorted":false,"formattedCitation":"(Genot et al., 2011)","plainCitation":"(Genot et al., 2011)","noteIndex":0},"citationItems":[{"id":120,"uris":["http://zotero.org/groups/5684833/items/C2MGHKXM"],"itemData":{"id":120,"type":"report","publisher":"REQUASUD","title":"Un conseil de fumure raisonné - Le cas du phosphore","URL":"https://www.requasud.be/wp-content/uploads/2017/07/brochure_cr2451_requasud_ld.pdf","author":[{"family":"Genot","given":"V."},{"family":"Renneson","given":"M."},{"family":"Bock","given":"L."},{"family":"Colinet","given":"G."}],"issued":{"date-parts":[["2011"]]}}}],"schema":"https://github.com/citation-style-language/schema/raw/master/csl-citation.json"} </w:instrText>
            </w:r>
            <w:r w:rsidRPr="00B363AA">
              <w:rPr>
                <w:sz w:val="20"/>
                <w:szCs w:val="20"/>
              </w:rPr>
              <w:fldChar w:fldCharType="separate"/>
            </w:r>
            <w:r w:rsidRPr="00B363AA">
              <w:rPr>
                <w:rFonts w:cs="Calibri"/>
                <w:sz w:val="20"/>
              </w:rPr>
              <w:t>(Genot et al., 2011)</w:t>
            </w:r>
            <w:r w:rsidRPr="00B363AA">
              <w:rPr>
                <w:sz w:val="20"/>
                <w:szCs w:val="20"/>
              </w:rPr>
              <w:fldChar w:fldCharType="end"/>
            </w:r>
          </w:p>
        </w:tc>
      </w:tr>
      <w:tr w:rsidR="009E01DA" w:rsidRPr="00B363AA" w14:paraId="66BEBF3C" w14:textId="77777777" w:rsidTr="003F3F11">
        <w:tblPrEx>
          <w:tblCellMar>
            <w:top w:w="0" w:type="dxa"/>
            <w:bottom w:w="0" w:type="dxa"/>
          </w:tblCellMar>
        </w:tblPrEx>
        <w:tc>
          <w:tcPr>
            <w:tcW w:w="1200" w:type="dxa"/>
            <w:vMerge/>
            <w:shd w:val="clear" w:color="auto" w:fill="D1D1D1" w:themeFill="background2" w:themeFillShade="E6"/>
            <w:vAlign w:val="center"/>
          </w:tcPr>
          <w:p w14:paraId="47190166"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2557806C" w14:textId="77777777" w:rsidR="009E01DA" w:rsidRPr="00B363AA" w:rsidRDefault="009E01DA" w:rsidP="003F3F11">
            <w:pPr>
              <w:jc w:val="left"/>
              <w:rPr>
                <w:sz w:val="20"/>
                <w:szCs w:val="20"/>
              </w:rPr>
            </w:pPr>
          </w:p>
        </w:tc>
        <w:tc>
          <w:tcPr>
            <w:tcW w:w="748" w:type="dxa"/>
            <w:vMerge w:val="restart"/>
            <w:vAlign w:val="center"/>
          </w:tcPr>
          <w:p w14:paraId="28E664F6"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10296651" wp14:editId="1F46E966">
                      <wp:extent cx="94615" cy="153035"/>
                      <wp:effectExtent l="0" t="38100" r="57785" b="18415"/>
                      <wp:docPr id="2093906329"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28230F5F"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vMerge w:val="restart"/>
            <w:shd w:val="clear" w:color="auto" w:fill="F2F9EB"/>
            <w:vAlign w:val="center"/>
          </w:tcPr>
          <w:p w14:paraId="29BBEDE9" w14:textId="77777777" w:rsidR="009E01DA" w:rsidRPr="00B363AA" w:rsidRDefault="009E01DA" w:rsidP="003F3F11">
            <w:pPr>
              <w:jc w:val="left"/>
              <w:rPr>
                <w:sz w:val="20"/>
                <w:szCs w:val="20"/>
              </w:rPr>
            </w:pPr>
            <w:r w:rsidRPr="00B363AA">
              <w:rPr>
                <w:sz w:val="20"/>
                <w:szCs w:val="20"/>
              </w:rPr>
              <w:t xml:space="preserve">K, Mg, </w:t>
            </w:r>
            <w:proofErr w:type="spellStart"/>
            <w:r w:rsidRPr="00B363AA">
              <w:rPr>
                <w:sz w:val="20"/>
                <w:szCs w:val="20"/>
              </w:rPr>
              <w:t>Ca</w:t>
            </w:r>
            <w:r w:rsidRPr="00B363AA">
              <w:rPr>
                <w:sz w:val="20"/>
                <w:szCs w:val="20"/>
                <w:vertAlign w:val="subscript"/>
              </w:rPr>
              <w:t>qualité</w:t>
            </w:r>
            <w:proofErr w:type="spellEnd"/>
          </w:p>
        </w:tc>
        <w:tc>
          <w:tcPr>
            <w:tcW w:w="4252" w:type="dxa"/>
            <w:shd w:val="clear" w:color="auto" w:fill="F2F9EB"/>
            <w:vAlign w:val="center"/>
          </w:tcPr>
          <w:p w14:paraId="29A2D47E" w14:textId="77777777" w:rsidR="009E01DA" w:rsidRPr="00B363AA" w:rsidRDefault="009E01DA" w:rsidP="003F3F11">
            <w:pPr>
              <w:jc w:val="left"/>
              <w:rPr>
                <w:sz w:val="20"/>
                <w:szCs w:val="20"/>
              </w:rPr>
            </w:pPr>
            <w:r w:rsidRPr="00B363AA">
              <w:rPr>
                <w:sz w:val="20"/>
                <w:szCs w:val="20"/>
              </w:rPr>
              <w:t xml:space="preserve">(C) Valeur cible identifiée sur base des gammes optimales REQUASUD pour les cultures </w:t>
            </w:r>
            <w:r w:rsidRPr="00B363AA">
              <w:rPr>
                <w:sz w:val="20"/>
                <w:szCs w:val="20"/>
              </w:rPr>
              <w:fldChar w:fldCharType="begin"/>
            </w:r>
            <w:r w:rsidRPr="00B363AA">
              <w:rPr>
                <w:sz w:val="20"/>
                <w:szCs w:val="20"/>
              </w:rPr>
              <w:instrText xml:space="preserve"> ADDIN ZOTERO_ITEM CSL_CITATION {"citationID":"pFioDCwI","properties":{"unsorted":false,"formattedCitation":"(Dombret, 2022)","plainCitation":"(Dombret, 2022)","noteIndex":0},"citationItems":[{"id":121,"uris":["http://zotero.org/groups/5684833/items/I22FDLA8"],"itemData":{"id":121,"type":"article-magazine","container-title":"Biowallonie","issue":"63","title":"Interpréter l'analyse de terre pour la culture maraîchère : comprendre les résultats (3/3)","URL":"https://www.biowallonie.com/wp-content/uploads/2022/04/Brochure_A4_ITBIO63_web.pdf","volume":"Itinéraires BIO","author":[{"family":"Dombret","given":"Laurence"}],"issued":{"date-parts":[["2022"]]}}}],"schema":"https://github.com/citation-style-language/schema/raw/master/csl-citation.json"} </w:instrText>
            </w:r>
            <w:r w:rsidRPr="00B363AA">
              <w:rPr>
                <w:sz w:val="20"/>
                <w:szCs w:val="20"/>
              </w:rPr>
              <w:fldChar w:fldCharType="separate"/>
            </w:r>
            <w:r w:rsidRPr="00B363AA">
              <w:rPr>
                <w:rFonts w:cs="Calibri"/>
                <w:sz w:val="20"/>
              </w:rPr>
              <w:t>(Dombret, 2022)</w:t>
            </w:r>
            <w:r w:rsidRPr="00B363AA">
              <w:rPr>
                <w:sz w:val="20"/>
                <w:szCs w:val="20"/>
              </w:rPr>
              <w:fldChar w:fldCharType="end"/>
            </w:r>
          </w:p>
        </w:tc>
      </w:tr>
      <w:tr w:rsidR="009E01DA" w:rsidRPr="00B363AA" w14:paraId="714C8DCD" w14:textId="77777777" w:rsidTr="003F3F11">
        <w:tblPrEx>
          <w:tblCellMar>
            <w:top w:w="0" w:type="dxa"/>
            <w:bottom w:w="0" w:type="dxa"/>
          </w:tblCellMar>
        </w:tblPrEx>
        <w:tc>
          <w:tcPr>
            <w:tcW w:w="1200" w:type="dxa"/>
            <w:vMerge/>
            <w:shd w:val="clear" w:color="auto" w:fill="D1D1D1" w:themeFill="background2" w:themeFillShade="E6"/>
            <w:vAlign w:val="center"/>
          </w:tcPr>
          <w:p w14:paraId="3EBB5C5B"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34D2D6B1" w14:textId="77777777" w:rsidR="009E01DA" w:rsidRPr="00B363AA" w:rsidRDefault="009E01DA" w:rsidP="003F3F11">
            <w:pPr>
              <w:jc w:val="left"/>
              <w:rPr>
                <w:sz w:val="20"/>
                <w:szCs w:val="20"/>
              </w:rPr>
            </w:pPr>
          </w:p>
        </w:tc>
        <w:tc>
          <w:tcPr>
            <w:tcW w:w="748" w:type="dxa"/>
            <w:vMerge/>
            <w:vAlign w:val="center"/>
          </w:tcPr>
          <w:p w14:paraId="178310A8" w14:textId="77777777" w:rsidR="009E01DA" w:rsidRPr="00B363AA" w:rsidRDefault="009E01DA" w:rsidP="003F3F11">
            <w:pPr>
              <w:jc w:val="center"/>
              <w:rPr>
                <w:sz w:val="20"/>
                <w:szCs w:val="20"/>
              </w:rPr>
            </w:pPr>
          </w:p>
        </w:tc>
        <w:tc>
          <w:tcPr>
            <w:tcW w:w="1628" w:type="dxa"/>
            <w:vMerge/>
            <w:shd w:val="clear" w:color="auto" w:fill="F2F9EB"/>
            <w:vAlign w:val="center"/>
          </w:tcPr>
          <w:p w14:paraId="1A22B408" w14:textId="77777777" w:rsidR="009E01DA" w:rsidRPr="00B363AA" w:rsidRDefault="009E01DA" w:rsidP="003F3F11">
            <w:pPr>
              <w:jc w:val="left"/>
              <w:rPr>
                <w:sz w:val="20"/>
                <w:szCs w:val="20"/>
              </w:rPr>
            </w:pPr>
          </w:p>
        </w:tc>
        <w:tc>
          <w:tcPr>
            <w:tcW w:w="4252" w:type="dxa"/>
            <w:shd w:val="clear" w:color="auto" w:fill="F2F9EB"/>
            <w:vAlign w:val="center"/>
          </w:tcPr>
          <w:p w14:paraId="406156D2" w14:textId="77777777" w:rsidR="009E01DA" w:rsidRPr="00B363AA" w:rsidRDefault="009E01DA" w:rsidP="003F3F11">
            <w:pPr>
              <w:jc w:val="left"/>
              <w:rPr>
                <w:sz w:val="20"/>
                <w:szCs w:val="20"/>
              </w:rPr>
            </w:pPr>
            <w:r w:rsidRPr="00B363AA">
              <w:rPr>
                <w:sz w:val="20"/>
                <w:szCs w:val="20"/>
              </w:rPr>
              <w:t xml:space="preserve">(P-EV) Inférence d’une valeur cible plus permissive que celle des cultures </w:t>
            </w:r>
          </w:p>
        </w:tc>
      </w:tr>
      <w:tr w:rsidR="009E01DA" w:rsidRPr="00B363AA" w14:paraId="3DAA7E0D" w14:textId="77777777" w:rsidTr="003F3F11">
        <w:tblPrEx>
          <w:tblCellMar>
            <w:top w:w="0" w:type="dxa"/>
            <w:bottom w:w="0" w:type="dxa"/>
          </w:tblCellMar>
        </w:tblPrEx>
        <w:tc>
          <w:tcPr>
            <w:tcW w:w="1200" w:type="dxa"/>
            <w:vMerge/>
            <w:shd w:val="clear" w:color="auto" w:fill="D1D1D1" w:themeFill="background2" w:themeFillShade="E6"/>
            <w:vAlign w:val="center"/>
          </w:tcPr>
          <w:p w14:paraId="20E8F7AC"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24724140" w14:textId="77777777" w:rsidR="009E01DA" w:rsidRPr="00B363AA" w:rsidRDefault="009E01DA" w:rsidP="003F3F11">
            <w:pPr>
              <w:jc w:val="left"/>
              <w:rPr>
                <w:sz w:val="20"/>
                <w:szCs w:val="20"/>
              </w:rPr>
            </w:pPr>
          </w:p>
        </w:tc>
        <w:tc>
          <w:tcPr>
            <w:tcW w:w="748" w:type="dxa"/>
            <w:vMerge/>
            <w:vAlign w:val="center"/>
          </w:tcPr>
          <w:p w14:paraId="4E3DFDD4" w14:textId="77777777" w:rsidR="009E01DA" w:rsidRPr="00B363AA" w:rsidRDefault="009E01DA" w:rsidP="003F3F11">
            <w:pPr>
              <w:jc w:val="center"/>
              <w:rPr>
                <w:sz w:val="20"/>
                <w:szCs w:val="20"/>
              </w:rPr>
            </w:pPr>
          </w:p>
        </w:tc>
        <w:tc>
          <w:tcPr>
            <w:tcW w:w="1628" w:type="dxa"/>
            <w:vMerge/>
            <w:shd w:val="clear" w:color="auto" w:fill="F2F9EB"/>
            <w:vAlign w:val="center"/>
          </w:tcPr>
          <w:p w14:paraId="3B3F9617" w14:textId="77777777" w:rsidR="009E01DA" w:rsidRPr="00B363AA" w:rsidRDefault="009E01DA" w:rsidP="003F3F11">
            <w:pPr>
              <w:jc w:val="left"/>
              <w:rPr>
                <w:sz w:val="20"/>
                <w:szCs w:val="20"/>
              </w:rPr>
            </w:pPr>
          </w:p>
        </w:tc>
        <w:tc>
          <w:tcPr>
            <w:tcW w:w="4252" w:type="dxa"/>
            <w:shd w:val="clear" w:color="auto" w:fill="F2F9EB"/>
            <w:vAlign w:val="center"/>
          </w:tcPr>
          <w:p w14:paraId="116DD5A9" w14:textId="77777777" w:rsidR="009E01DA" w:rsidRPr="00B363AA" w:rsidRDefault="009E01DA" w:rsidP="003F3F11">
            <w:pPr>
              <w:jc w:val="left"/>
              <w:rPr>
                <w:sz w:val="20"/>
                <w:szCs w:val="20"/>
              </w:rPr>
            </w:pPr>
            <w:r w:rsidRPr="00B363AA">
              <w:rPr>
                <w:sz w:val="20"/>
                <w:szCs w:val="20"/>
              </w:rPr>
              <w:t>(F) Paramètre non-limitant (score maximal dès niveau minimum)</w:t>
            </w:r>
          </w:p>
        </w:tc>
      </w:tr>
      <w:tr w:rsidR="009E01DA" w:rsidRPr="00B363AA" w14:paraId="20B58ABF" w14:textId="77777777" w:rsidTr="003F3F11">
        <w:tblPrEx>
          <w:tblCellMar>
            <w:top w:w="0" w:type="dxa"/>
            <w:bottom w:w="0" w:type="dxa"/>
          </w:tblCellMar>
        </w:tblPrEx>
        <w:tc>
          <w:tcPr>
            <w:tcW w:w="1200" w:type="dxa"/>
            <w:vMerge/>
            <w:shd w:val="clear" w:color="auto" w:fill="D1D1D1" w:themeFill="background2" w:themeFillShade="E6"/>
            <w:vAlign w:val="center"/>
          </w:tcPr>
          <w:p w14:paraId="50B28167"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6B1B2D99" w14:textId="77777777" w:rsidR="009E01DA" w:rsidRPr="00B363AA" w:rsidRDefault="009E01DA" w:rsidP="003F3F11">
            <w:pPr>
              <w:jc w:val="left"/>
              <w:rPr>
                <w:sz w:val="20"/>
                <w:szCs w:val="20"/>
              </w:rPr>
            </w:pPr>
          </w:p>
        </w:tc>
        <w:tc>
          <w:tcPr>
            <w:tcW w:w="748" w:type="dxa"/>
            <w:vMerge/>
            <w:vAlign w:val="center"/>
          </w:tcPr>
          <w:p w14:paraId="0CB136FA" w14:textId="77777777" w:rsidR="009E01DA" w:rsidRPr="00B363AA" w:rsidRDefault="009E01DA" w:rsidP="003F3F11">
            <w:pPr>
              <w:jc w:val="center"/>
              <w:rPr>
                <w:sz w:val="20"/>
                <w:szCs w:val="20"/>
              </w:rPr>
            </w:pPr>
          </w:p>
        </w:tc>
        <w:tc>
          <w:tcPr>
            <w:tcW w:w="1628" w:type="dxa"/>
            <w:shd w:val="clear" w:color="auto" w:fill="EFF5FB"/>
            <w:vAlign w:val="center"/>
          </w:tcPr>
          <w:p w14:paraId="0596D9FC" w14:textId="77777777" w:rsidR="009E01DA" w:rsidRPr="00B363AA" w:rsidRDefault="009E01DA" w:rsidP="003F3F11">
            <w:pPr>
              <w:jc w:val="left"/>
              <w:rPr>
                <w:sz w:val="20"/>
                <w:szCs w:val="20"/>
              </w:rPr>
            </w:pPr>
            <w:r w:rsidRPr="00B363AA">
              <w:rPr>
                <w:sz w:val="20"/>
                <w:szCs w:val="20"/>
              </w:rPr>
              <w:t xml:space="preserve">K, Mg, </w:t>
            </w:r>
            <w:proofErr w:type="spellStart"/>
            <w:r w:rsidRPr="00B363AA">
              <w:rPr>
                <w:sz w:val="20"/>
                <w:szCs w:val="20"/>
              </w:rPr>
              <w:t>Ca</w:t>
            </w:r>
            <w:r w:rsidRPr="00B363AA">
              <w:rPr>
                <w:sz w:val="20"/>
                <w:szCs w:val="20"/>
                <w:vertAlign w:val="subscript"/>
              </w:rPr>
              <w:t>santé</w:t>
            </w:r>
            <w:proofErr w:type="spellEnd"/>
          </w:p>
        </w:tc>
        <w:tc>
          <w:tcPr>
            <w:tcW w:w="4252" w:type="dxa"/>
            <w:shd w:val="clear" w:color="auto" w:fill="EFF5FB"/>
            <w:vAlign w:val="center"/>
          </w:tcPr>
          <w:p w14:paraId="07353EC4" w14:textId="77777777" w:rsidR="009E01DA" w:rsidRPr="00B363AA" w:rsidRDefault="009E01DA" w:rsidP="003F3F11">
            <w:pPr>
              <w:jc w:val="left"/>
              <w:rPr>
                <w:sz w:val="20"/>
                <w:szCs w:val="20"/>
              </w:rPr>
            </w:pPr>
            <w:r w:rsidRPr="00B363AA">
              <w:rPr>
                <w:sz w:val="20"/>
                <w:szCs w:val="20"/>
              </w:rPr>
              <w:t xml:space="preserve">Gammes optimales selon la valeur de la CEC </w:t>
            </w:r>
            <w:r w:rsidRPr="00B363AA">
              <w:rPr>
                <w:sz w:val="20"/>
                <w:szCs w:val="20"/>
              </w:rPr>
              <w:fldChar w:fldCharType="begin"/>
            </w:r>
            <w:r w:rsidRPr="00B363AA">
              <w:rPr>
                <w:sz w:val="20"/>
                <w:szCs w:val="20"/>
              </w:rPr>
              <w:instrText xml:space="preserve"> ADDIN ZOTERO_ITEM CSL_CITATION {"citationID":"QKUHaaBZ","properties":{"unsorted":false,"formattedCitation":"(Dombret, 2022)","plainCitation":"(Dombret, 2022)","noteIndex":0},"citationItems":[{"id":121,"uris":["http://zotero.org/groups/5684833/items/I22FDLA8"],"itemData":{"id":121,"type":"article-magazine","container-title":"Biowallonie","issue":"63","title":"Interpréter l'analyse de terre pour la culture maraîchère : comprendre les résultats (3/3)","URL":"https://www.biowallonie.com/wp-content/uploads/2022/04/Brochure_A4_ITBIO63_web.pdf","volume":"Itinéraires BIO","author":[{"family":"Dombret","given":"Laurence"}],"issued":{"date-parts":[["2022"]]}}}],"schema":"https://github.com/citation-style-language/schema/raw/master/csl-citation.json"} </w:instrText>
            </w:r>
            <w:r w:rsidRPr="00B363AA">
              <w:rPr>
                <w:sz w:val="20"/>
                <w:szCs w:val="20"/>
              </w:rPr>
              <w:fldChar w:fldCharType="separate"/>
            </w:r>
            <w:r w:rsidRPr="00B363AA">
              <w:rPr>
                <w:rFonts w:cs="Calibri"/>
                <w:sz w:val="20"/>
              </w:rPr>
              <w:t>(Dombret, 2022)</w:t>
            </w:r>
            <w:r w:rsidRPr="00B363AA">
              <w:rPr>
                <w:sz w:val="20"/>
                <w:szCs w:val="20"/>
              </w:rPr>
              <w:fldChar w:fldCharType="end"/>
            </w:r>
            <w:r w:rsidRPr="00B363AA">
              <w:rPr>
                <w:sz w:val="20"/>
                <w:szCs w:val="20"/>
              </w:rPr>
              <w:t xml:space="preserve"> </w:t>
            </w:r>
          </w:p>
        </w:tc>
      </w:tr>
      <w:tr w:rsidR="009E01DA" w:rsidRPr="00B363AA" w14:paraId="7A40C473" w14:textId="77777777" w:rsidTr="003F3F11">
        <w:tblPrEx>
          <w:tblCellMar>
            <w:top w:w="0" w:type="dxa"/>
            <w:bottom w:w="0" w:type="dxa"/>
          </w:tblCellMar>
        </w:tblPrEx>
        <w:tc>
          <w:tcPr>
            <w:tcW w:w="1200" w:type="dxa"/>
            <w:vMerge/>
            <w:shd w:val="clear" w:color="auto" w:fill="D1D1D1" w:themeFill="background2" w:themeFillShade="E6"/>
            <w:vAlign w:val="center"/>
          </w:tcPr>
          <w:p w14:paraId="6F9874EF"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46CAF3D4" w14:textId="77777777" w:rsidR="009E01DA" w:rsidRPr="00B363AA" w:rsidRDefault="009E01DA" w:rsidP="003F3F11">
            <w:pPr>
              <w:jc w:val="left"/>
              <w:rPr>
                <w:sz w:val="20"/>
                <w:szCs w:val="20"/>
              </w:rPr>
            </w:pPr>
          </w:p>
        </w:tc>
        <w:tc>
          <w:tcPr>
            <w:tcW w:w="748" w:type="dxa"/>
            <w:vMerge w:val="restart"/>
            <w:vAlign w:val="center"/>
          </w:tcPr>
          <w:p w14:paraId="72F8E15B"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7E74BBD4" wp14:editId="5F56A2AF">
                      <wp:extent cx="94615" cy="153035"/>
                      <wp:effectExtent l="0" t="38100" r="57785" b="18415"/>
                      <wp:docPr id="1491665011"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0C4E5CA3"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50EA5BFD" w14:textId="77777777" w:rsidR="009E01DA" w:rsidRPr="00B363AA" w:rsidRDefault="009E01DA" w:rsidP="003F3F11">
            <w:pPr>
              <w:jc w:val="left"/>
              <w:rPr>
                <w:sz w:val="20"/>
                <w:szCs w:val="20"/>
              </w:rPr>
            </w:pPr>
            <w:proofErr w:type="spellStart"/>
            <w:r w:rsidRPr="00B363AA">
              <w:rPr>
                <w:sz w:val="20"/>
                <w:szCs w:val="20"/>
              </w:rPr>
              <w:t>C</w:t>
            </w:r>
            <w:r w:rsidRPr="00B363AA">
              <w:rPr>
                <w:sz w:val="20"/>
                <w:szCs w:val="20"/>
                <w:vertAlign w:val="subscript"/>
              </w:rPr>
              <w:t>org</w:t>
            </w:r>
            <w:proofErr w:type="spellEnd"/>
            <w:r w:rsidRPr="00B363AA">
              <w:rPr>
                <w:sz w:val="20"/>
                <w:szCs w:val="20"/>
                <w:vertAlign w:val="subscript"/>
              </w:rPr>
              <w:t xml:space="preserve"> qualité</w:t>
            </w:r>
          </w:p>
        </w:tc>
        <w:tc>
          <w:tcPr>
            <w:tcW w:w="4252" w:type="dxa"/>
            <w:shd w:val="clear" w:color="auto" w:fill="F2F9EB"/>
            <w:vAlign w:val="center"/>
          </w:tcPr>
          <w:p w14:paraId="49D7E388" w14:textId="77777777" w:rsidR="009E01DA" w:rsidRPr="00B363AA" w:rsidRDefault="009E01DA" w:rsidP="003F3F11">
            <w:pPr>
              <w:jc w:val="left"/>
              <w:rPr>
                <w:sz w:val="20"/>
                <w:szCs w:val="20"/>
              </w:rPr>
            </w:pPr>
            <w:r w:rsidRPr="00B363AA">
              <w:rPr>
                <w:sz w:val="20"/>
                <w:szCs w:val="20"/>
              </w:rPr>
              <w:t xml:space="preserve">Valeur cible </w:t>
            </w:r>
            <w:r w:rsidRPr="00B363AA">
              <w:rPr>
                <w:sz w:val="20"/>
                <w:szCs w:val="20"/>
              </w:rPr>
              <w:fldChar w:fldCharType="begin"/>
            </w:r>
            <w:r w:rsidRPr="00B363AA">
              <w:rPr>
                <w:sz w:val="20"/>
                <w:szCs w:val="20"/>
              </w:rPr>
              <w:instrText xml:space="preserve"> ADDIN ZOTERO_ITEM CSL_CITATION {"citationID":"Tb7qp1YH","properties":{"unsorted":false,"formattedCitation":"(Baritz et al., 2023)","plainCitation":"(Baritz et al., 2023)","noteIndex":0},"citationItems":[{"id":82,"uris":["http://zotero.org/groups/5684833/items/2R2SZSKQ"],"itemData":{"id":82,"type":"report","abstract":"This report describes the rationale for a series of common and broadly accepted soil health indicators to support policy. The focus is on soil threats, and indicators were selected in view of their appropriateness for assessing the condition of soil, its degradation, its resilience and its valuable services. For each indicator, a rationale is provided for using thresholds as critical limits to indicate that soil is in good condition, i.e. healthy soil, in respect of of specific soil functions and local conditions.","call-number":"TH-AL-22-018-EN-N","ISBN":"978-92-9480-538-6","language":"eng","number":"08/2022","publisher":"European Environment Agency","source":"Publications Office of the European Union","title":"Soil monitoring in Europe: indicators and thresholds for soil quality assessments","title-short":"Soil monitoring in Europe","URL":"https://data.europa.eu/doi/10.2800/956606","author":[{"family":"Baritz","given":"Rainer"},{"family":"Amelung","given":"Wulf"},{"family":"Trombetti","given":"Marco"},{"family":"Hijbeek","given":"Renske"},{"family":"Romkens","given":"Paul"},{"family":"Vries","given":"Wim","non-dropping-particle":"de"}],"accessed":{"date-parts":[["2024",9,27]]},"issued":{"date-parts":[["2023"]]}}}],"schema":"https://github.com/citation-style-language/schema/raw/master/csl-citation.json"} </w:instrText>
            </w:r>
            <w:r w:rsidRPr="00B363AA">
              <w:rPr>
                <w:sz w:val="20"/>
                <w:szCs w:val="20"/>
              </w:rPr>
              <w:fldChar w:fldCharType="separate"/>
            </w:r>
            <w:r w:rsidRPr="00B363AA">
              <w:rPr>
                <w:rFonts w:cs="Calibri"/>
                <w:sz w:val="20"/>
              </w:rPr>
              <w:t>(Baritz et al., 2023)</w:t>
            </w:r>
            <w:r w:rsidRPr="00B363AA">
              <w:rPr>
                <w:sz w:val="20"/>
                <w:szCs w:val="20"/>
              </w:rPr>
              <w:fldChar w:fldCharType="end"/>
            </w:r>
          </w:p>
        </w:tc>
      </w:tr>
      <w:tr w:rsidR="009E01DA" w:rsidRPr="00B363AA" w14:paraId="5705DD73" w14:textId="77777777" w:rsidTr="003F3F11">
        <w:tblPrEx>
          <w:tblCellMar>
            <w:top w:w="0" w:type="dxa"/>
            <w:bottom w:w="0" w:type="dxa"/>
          </w:tblCellMar>
        </w:tblPrEx>
        <w:tc>
          <w:tcPr>
            <w:tcW w:w="1200" w:type="dxa"/>
            <w:vMerge/>
            <w:shd w:val="clear" w:color="auto" w:fill="D1D1D1" w:themeFill="background2" w:themeFillShade="E6"/>
            <w:vAlign w:val="center"/>
          </w:tcPr>
          <w:p w14:paraId="21BD6D22"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7B1086D7" w14:textId="77777777" w:rsidR="009E01DA" w:rsidRPr="00B363AA" w:rsidRDefault="009E01DA" w:rsidP="003F3F11">
            <w:pPr>
              <w:jc w:val="left"/>
              <w:rPr>
                <w:sz w:val="20"/>
                <w:szCs w:val="20"/>
              </w:rPr>
            </w:pPr>
          </w:p>
        </w:tc>
        <w:tc>
          <w:tcPr>
            <w:tcW w:w="748" w:type="dxa"/>
            <w:vMerge/>
            <w:vAlign w:val="center"/>
          </w:tcPr>
          <w:p w14:paraId="4411EFF9" w14:textId="77777777" w:rsidR="009E01DA" w:rsidRPr="00B363AA" w:rsidRDefault="009E01DA" w:rsidP="003F3F11">
            <w:pPr>
              <w:jc w:val="center"/>
              <w:rPr>
                <w:sz w:val="20"/>
                <w:szCs w:val="20"/>
              </w:rPr>
            </w:pPr>
          </w:p>
        </w:tc>
        <w:tc>
          <w:tcPr>
            <w:tcW w:w="1628" w:type="dxa"/>
            <w:shd w:val="clear" w:color="auto" w:fill="EFF5FB"/>
            <w:vAlign w:val="center"/>
          </w:tcPr>
          <w:p w14:paraId="7F3005AF" w14:textId="77777777" w:rsidR="009E01DA" w:rsidRPr="00B363AA" w:rsidRDefault="009E01DA" w:rsidP="003F3F11">
            <w:pPr>
              <w:jc w:val="left"/>
              <w:rPr>
                <w:sz w:val="20"/>
                <w:szCs w:val="20"/>
              </w:rPr>
            </w:pPr>
            <w:proofErr w:type="spellStart"/>
            <w:r w:rsidRPr="00B363AA">
              <w:rPr>
                <w:sz w:val="20"/>
                <w:szCs w:val="20"/>
              </w:rPr>
              <w:t>C</w:t>
            </w:r>
            <w:r w:rsidRPr="00B363AA">
              <w:rPr>
                <w:sz w:val="20"/>
                <w:szCs w:val="20"/>
                <w:vertAlign w:val="subscript"/>
              </w:rPr>
              <w:t>org</w:t>
            </w:r>
            <w:proofErr w:type="spellEnd"/>
            <w:r w:rsidRPr="00B363AA">
              <w:rPr>
                <w:sz w:val="20"/>
                <w:szCs w:val="20"/>
                <w:vertAlign w:val="subscript"/>
              </w:rPr>
              <w:t xml:space="preserve"> santé</w:t>
            </w:r>
          </w:p>
        </w:tc>
        <w:tc>
          <w:tcPr>
            <w:tcW w:w="4252" w:type="dxa"/>
            <w:shd w:val="clear" w:color="auto" w:fill="EFF5FB"/>
            <w:vAlign w:val="center"/>
          </w:tcPr>
          <w:p w14:paraId="70570FCB" w14:textId="77777777" w:rsidR="009E01DA" w:rsidRPr="00B363AA" w:rsidRDefault="009E01DA" w:rsidP="003F3F11">
            <w:pPr>
              <w:jc w:val="left"/>
              <w:rPr>
                <w:sz w:val="20"/>
                <w:szCs w:val="20"/>
              </w:rPr>
            </w:pPr>
            <w:r w:rsidRPr="00B363AA">
              <w:rPr>
                <w:sz w:val="20"/>
                <w:szCs w:val="20"/>
              </w:rPr>
              <w:t xml:space="preserve">Valeurs considérées « satisfaisante » par classe texturale </w:t>
            </w:r>
            <w:r w:rsidRPr="00B363AA">
              <w:rPr>
                <w:sz w:val="20"/>
                <w:szCs w:val="20"/>
              </w:rPr>
              <w:fldChar w:fldCharType="begin"/>
            </w:r>
            <w:r w:rsidRPr="00B363AA">
              <w:rPr>
                <w:sz w:val="20"/>
                <w:szCs w:val="20"/>
              </w:rPr>
              <w:instrText xml:space="preserve"> ADDIN ZOTERO_ITEM CSL_CITATION {"citationID":"nnrynXmx","properties":{"unsorted":false,"formattedCitation":"(Mariage, 2019)","plainCitation":"(Mariage, 2019)","noteIndex":0},"citationItems":[{"id":118,"uris":["http://zotero.org/groups/5684833/items/WR8HRSK5"],"itemData":{"id":118,"type":"document","publisher":"REQUASUD","title":"Les matières organiques et la fertilité du sol","URL":"https://www.requasud.be/assets/pdf/publications/presentations/fiche_explicative_carbone_v01.pdf","author":[{"family":"Mariage","given":"Clémence"}],"issued":{"date-parts":[["2019"]]}}}],"schema":"https://github.com/citation-style-language/schema/raw/master/csl-citation.json"} </w:instrText>
            </w:r>
            <w:r w:rsidRPr="00B363AA">
              <w:rPr>
                <w:sz w:val="20"/>
                <w:szCs w:val="20"/>
              </w:rPr>
              <w:fldChar w:fldCharType="separate"/>
            </w:r>
            <w:r w:rsidRPr="00B363AA">
              <w:rPr>
                <w:rFonts w:cs="Calibri"/>
                <w:sz w:val="20"/>
              </w:rPr>
              <w:t>(Mariage, 2019)</w:t>
            </w:r>
            <w:r w:rsidRPr="00B363AA">
              <w:rPr>
                <w:sz w:val="20"/>
                <w:szCs w:val="20"/>
              </w:rPr>
              <w:fldChar w:fldCharType="end"/>
            </w:r>
          </w:p>
        </w:tc>
      </w:tr>
      <w:tr w:rsidR="009E01DA" w:rsidRPr="00B363AA" w14:paraId="01DAC78F" w14:textId="77777777" w:rsidTr="003F3F11">
        <w:tblPrEx>
          <w:tblCellMar>
            <w:top w:w="0" w:type="dxa"/>
            <w:bottom w:w="0" w:type="dxa"/>
          </w:tblCellMar>
        </w:tblPrEx>
        <w:tc>
          <w:tcPr>
            <w:tcW w:w="1200" w:type="dxa"/>
            <w:vMerge/>
            <w:shd w:val="clear" w:color="auto" w:fill="D1D1D1" w:themeFill="background2" w:themeFillShade="E6"/>
            <w:vAlign w:val="center"/>
          </w:tcPr>
          <w:p w14:paraId="170D649D"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77D99AB9" w14:textId="77777777" w:rsidR="009E01DA" w:rsidRPr="00B363AA" w:rsidRDefault="009E01DA" w:rsidP="003F3F11">
            <w:pPr>
              <w:jc w:val="left"/>
              <w:rPr>
                <w:sz w:val="20"/>
                <w:szCs w:val="20"/>
              </w:rPr>
            </w:pPr>
          </w:p>
        </w:tc>
        <w:tc>
          <w:tcPr>
            <w:tcW w:w="748" w:type="dxa"/>
            <w:vMerge w:val="restart"/>
            <w:vAlign w:val="center"/>
          </w:tcPr>
          <w:p w14:paraId="7211942E"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19ABF85B" wp14:editId="75637A4C">
                      <wp:extent cx="94615" cy="153035"/>
                      <wp:effectExtent l="0" t="38100" r="57785" b="18415"/>
                      <wp:docPr id="1782179210"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4CE185B8"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276E94FC" w14:textId="77777777" w:rsidR="009E01DA" w:rsidRPr="00B363AA" w:rsidRDefault="009E01DA" w:rsidP="003F3F11">
            <w:pPr>
              <w:jc w:val="left"/>
              <w:rPr>
                <w:sz w:val="20"/>
                <w:szCs w:val="20"/>
              </w:rPr>
            </w:pPr>
            <w:proofErr w:type="spellStart"/>
            <w:r w:rsidRPr="00B363AA">
              <w:rPr>
                <w:sz w:val="20"/>
                <w:szCs w:val="20"/>
              </w:rPr>
              <w:t>CEC</w:t>
            </w:r>
            <w:r w:rsidRPr="00B363AA">
              <w:rPr>
                <w:sz w:val="20"/>
                <w:szCs w:val="20"/>
                <w:vertAlign w:val="subscript"/>
              </w:rPr>
              <w:t>qualité</w:t>
            </w:r>
            <w:proofErr w:type="spellEnd"/>
          </w:p>
        </w:tc>
        <w:tc>
          <w:tcPr>
            <w:tcW w:w="4252" w:type="dxa"/>
            <w:shd w:val="clear" w:color="auto" w:fill="F2F9EB"/>
            <w:vAlign w:val="center"/>
          </w:tcPr>
          <w:p w14:paraId="58564D27" w14:textId="77777777" w:rsidR="009E01DA" w:rsidRPr="00B363AA" w:rsidRDefault="009E01DA" w:rsidP="003F3F11">
            <w:pPr>
              <w:jc w:val="left"/>
              <w:rPr>
                <w:sz w:val="20"/>
                <w:szCs w:val="20"/>
              </w:rPr>
            </w:pPr>
            <w:r w:rsidRPr="00B363AA">
              <w:rPr>
                <w:sz w:val="20"/>
                <w:szCs w:val="20"/>
              </w:rPr>
              <w:t xml:space="preserve">Interprétation absolue des gammes de CEC </w:t>
            </w:r>
            <w:r w:rsidRPr="00B363AA">
              <w:rPr>
                <w:sz w:val="20"/>
                <w:szCs w:val="20"/>
              </w:rPr>
              <w:fldChar w:fldCharType="begin"/>
            </w:r>
            <w:r w:rsidRPr="00B363AA">
              <w:rPr>
                <w:sz w:val="20"/>
                <w:szCs w:val="20"/>
              </w:rPr>
              <w:instrText xml:space="preserve"> ADDIN ZOTERO_ITEM CSL_CITATION {"citationID":"JfMnj7VQ","properties":{"unsorted":false,"formattedCitation":"(Cugnon,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sidRPr="00B363AA">
              <w:rPr>
                <w:sz w:val="20"/>
                <w:szCs w:val="20"/>
              </w:rPr>
              <w:fldChar w:fldCharType="separate"/>
            </w:r>
            <w:r w:rsidRPr="00B363AA">
              <w:rPr>
                <w:rFonts w:cs="Calibri"/>
                <w:sz w:val="20"/>
              </w:rPr>
              <w:t>(Cugnon, 2025)</w:t>
            </w:r>
            <w:r w:rsidRPr="00B363AA">
              <w:rPr>
                <w:sz w:val="20"/>
                <w:szCs w:val="20"/>
              </w:rPr>
              <w:fldChar w:fldCharType="end"/>
            </w:r>
            <w:r w:rsidRPr="00B363AA">
              <w:rPr>
                <w:sz w:val="20"/>
                <w:szCs w:val="20"/>
              </w:rPr>
              <w:t xml:space="preserve"> </w:t>
            </w:r>
          </w:p>
        </w:tc>
      </w:tr>
      <w:tr w:rsidR="009E01DA" w:rsidRPr="00B363AA" w14:paraId="178F848B" w14:textId="77777777" w:rsidTr="003F3F11">
        <w:tblPrEx>
          <w:tblCellMar>
            <w:top w:w="0" w:type="dxa"/>
            <w:bottom w:w="0" w:type="dxa"/>
          </w:tblCellMar>
        </w:tblPrEx>
        <w:tc>
          <w:tcPr>
            <w:tcW w:w="1200" w:type="dxa"/>
            <w:vMerge/>
            <w:shd w:val="clear" w:color="auto" w:fill="D1D1D1" w:themeFill="background2" w:themeFillShade="E6"/>
            <w:vAlign w:val="center"/>
          </w:tcPr>
          <w:p w14:paraId="41266C20"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7A0EE3C9" w14:textId="77777777" w:rsidR="009E01DA" w:rsidRPr="00B363AA" w:rsidRDefault="009E01DA" w:rsidP="003F3F11">
            <w:pPr>
              <w:jc w:val="left"/>
              <w:rPr>
                <w:sz w:val="20"/>
                <w:szCs w:val="20"/>
              </w:rPr>
            </w:pPr>
          </w:p>
        </w:tc>
        <w:tc>
          <w:tcPr>
            <w:tcW w:w="748" w:type="dxa"/>
            <w:vMerge/>
            <w:vAlign w:val="center"/>
          </w:tcPr>
          <w:p w14:paraId="284596E6" w14:textId="77777777" w:rsidR="009E01DA" w:rsidRPr="00B363AA" w:rsidRDefault="009E01DA" w:rsidP="003F3F11">
            <w:pPr>
              <w:jc w:val="center"/>
              <w:rPr>
                <w:sz w:val="20"/>
                <w:szCs w:val="20"/>
              </w:rPr>
            </w:pPr>
          </w:p>
        </w:tc>
        <w:tc>
          <w:tcPr>
            <w:tcW w:w="1628" w:type="dxa"/>
            <w:shd w:val="clear" w:color="auto" w:fill="EFF5FB"/>
            <w:vAlign w:val="center"/>
          </w:tcPr>
          <w:p w14:paraId="10BAB938" w14:textId="77777777" w:rsidR="009E01DA" w:rsidRPr="00B363AA" w:rsidRDefault="009E01DA" w:rsidP="003F3F11">
            <w:pPr>
              <w:jc w:val="left"/>
              <w:rPr>
                <w:sz w:val="20"/>
                <w:szCs w:val="20"/>
              </w:rPr>
            </w:pPr>
            <w:proofErr w:type="spellStart"/>
            <w:r w:rsidRPr="00B363AA">
              <w:rPr>
                <w:sz w:val="20"/>
                <w:szCs w:val="20"/>
              </w:rPr>
              <w:t>CEC</w:t>
            </w:r>
            <w:r w:rsidRPr="00B363AA">
              <w:rPr>
                <w:sz w:val="20"/>
                <w:szCs w:val="20"/>
                <w:vertAlign w:val="subscript"/>
              </w:rPr>
              <w:t>santé</w:t>
            </w:r>
            <w:proofErr w:type="spellEnd"/>
          </w:p>
        </w:tc>
        <w:tc>
          <w:tcPr>
            <w:tcW w:w="4252" w:type="dxa"/>
            <w:shd w:val="clear" w:color="auto" w:fill="EFF5FB"/>
            <w:vAlign w:val="center"/>
          </w:tcPr>
          <w:p w14:paraId="66604DA4" w14:textId="77777777" w:rsidR="009E01DA" w:rsidRPr="00B363AA" w:rsidRDefault="009E01DA" w:rsidP="003F3F11">
            <w:pPr>
              <w:jc w:val="left"/>
              <w:rPr>
                <w:sz w:val="20"/>
                <w:szCs w:val="20"/>
              </w:rPr>
            </w:pPr>
            <w:r w:rsidRPr="00B363AA">
              <w:rPr>
                <w:sz w:val="20"/>
                <w:szCs w:val="20"/>
              </w:rPr>
              <w:t xml:space="preserve">Gammes de CEC par classe texturale </w:t>
            </w:r>
            <w:r w:rsidRPr="00B363AA">
              <w:rPr>
                <w:sz w:val="20"/>
                <w:szCs w:val="20"/>
              </w:rPr>
              <w:fldChar w:fldCharType="begin"/>
            </w:r>
            <w:r w:rsidRPr="00B363AA">
              <w:rPr>
                <w:sz w:val="20"/>
                <w:szCs w:val="20"/>
              </w:rPr>
              <w:instrText xml:space="preserve"> ADDIN ZOTERO_ITEM CSL_CITATION {"citationID":"GXFncJxt","properties":{"unsorted":false,"formattedCitation":"(Cugnon,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sidRPr="00B363AA">
              <w:rPr>
                <w:sz w:val="20"/>
                <w:szCs w:val="20"/>
              </w:rPr>
              <w:fldChar w:fldCharType="separate"/>
            </w:r>
            <w:r w:rsidRPr="00B363AA">
              <w:rPr>
                <w:rFonts w:cs="Calibri"/>
                <w:sz w:val="20"/>
              </w:rPr>
              <w:t>(Cugnon, 2025)</w:t>
            </w:r>
            <w:r w:rsidRPr="00B363AA">
              <w:rPr>
                <w:sz w:val="20"/>
                <w:szCs w:val="20"/>
              </w:rPr>
              <w:fldChar w:fldCharType="end"/>
            </w:r>
          </w:p>
        </w:tc>
      </w:tr>
      <w:tr w:rsidR="009E01DA" w:rsidRPr="00B363AA" w14:paraId="3F89C6BC" w14:textId="77777777" w:rsidTr="003F3F11">
        <w:tblPrEx>
          <w:tblCellMar>
            <w:top w:w="0" w:type="dxa"/>
            <w:bottom w:w="0" w:type="dxa"/>
          </w:tblCellMar>
        </w:tblPrEx>
        <w:tc>
          <w:tcPr>
            <w:tcW w:w="1200" w:type="dxa"/>
            <w:vMerge/>
            <w:shd w:val="clear" w:color="auto" w:fill="D1D1D1" w:themeFill="background2" w:themeFillShade="E6"/>
            <w:vAlign w:val="center"/>
          </w:tcPr>
          <w:p w14:paraId="77DC748D"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5F703DEE" w14:textId="77777777" w:rsidR="009E01DA" w:rsidRPr="00B363AA" w:rsidRDefault="009E01DA" w:rsidP="003F3F11">
            <w:pPr>
              <w:jc w:val="left"/>
              <w:rPr>
                <w:sz w:val="20"/>
                <w:szCs w:val="20"/>
              </w:rPr>
            </w:pPr>
          </w:p>
        </w:tc>
        <w:tc>
          <w:tcPr>
            <w:tcW w:w="748" w:type="dxa"/>
            <w:vMerge w:val="restart"/>
            <w:vAlign w:val="center"/>
          </w:tcPr>
          <w:p w14:paraId="7004C546"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04579B24" wp14:editId="2FE76C5A">
                      <wp:extent cx="248400" cy="0"/>
                      <wp:effectExtent l="38100" t="76200" r="18415" b="95250"/>
                      <wp:docPr id="933547764" name="Connecteur droit avec flèche 1"/>
                      <wp:cNvGraphicFramePr/>
                      <a:graphic xmlns:a="http://schemas.openxmlformats.org/drawingml/2006/main">
                        <a:graphicData uri="http://schemas.microsoft.com/office/word/2010/wordprocessingShape">
                          <wps:wsp>
                            <wps:cNvCnPr/>
                            <wps:spPr>
                              <a:xfrm flipV="1">
                                <a:off x="0" y="0"/>
                                <a:ext cx="248400" cy="0"/>
                              </a:xfrm>
                              <a:prstGeom prst="straightConnector1">
                                <a:avLst/>
                              </a:prstGeom>
                              <a:ln w="12700">
                                <a:solidFill>
                                  <a:schemeClr val="tx2"/>
                                </a:solidFill>
                                <a:headEnd type="triangl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58ECE8E" id="Connecteur droit avec flèche 1" o:spid="_x0000_s1026" type="#_x0000_t32" style="width:19.55pt;height:0;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" strokecolor="#0e2841 [3215]" strokeweight="1pt">
                      <v:stroke startarrow="block" endarrow="block" joinstyle="miter"/>
                      <w10:anchorlock/>
                    </v:shape>
                  </w:pict>
                </mc:Fallback>
              </mc:AlternateContent>
            </w:r>
          </w:p>
        </w:tc>
        <w:tc>
          <w:tcPr>
            <w:tcW w:w="1628" w:type="dxa"/>
            <w:shd w:val="clear" w:color="auto" w:fill="F2F9EB"/>
            <w:vAlign w:val="center"/>
          </w:tcPr>
          <w:p w14:paraId="02110B44" w14:textId="77777777" w:rsidR="009E01DA" w:rsidRPr="00B363AA" w:rsidRDefault="009E01DA" w:rsidP="003F3F11">
            <w:pPr>
              <w:jc w:val="left"/>
              <w:rPr>
                <w:sz w:val="20"/>
                <w:szCs w:val="20"/>
              </w:rPr>
            </w:pPr>
            <w:proofErr w:type="spellStart"/>
            <w:proofErr w:type="gramStart"/>
            <w:r w:rsidRPr="00B363AA">
              <w:rPr>
                <w:sz w:val="20"/>
                <w:szCs w:val="20"/>
              </w:rPr>
              <w:t>pH</w:t>
            </w:r>
            <w:r w:rsidRPr="00B363AA">
              <w:rPr>
                <w:sz w:val="20"/>
                <w:szCs w:val="20"/>
                <w:vertAlign w:val="subscript"/>
              </w:rPr>
              <w:t>qualité</w:t>
            </w:r>
            <w:proofErr w:type="spellEnd"/>
            <w:proofErr w:type="gramEnd"/>
            <w:r w:rsidRPr="00B363AA">
              <w:rPr>
                <w:sz w:val="20"/>
                <w:szCs w:val="20"/>
              </w:rPr>
              <w:t xml:space="preserve"> </w:t>
            </w:r>
          </w:p>
        </w:tc>
        <w:tc>
          <w:tcPr>
            <w:tcW w:w="4252" w:type="dxa"/>
            <w:vMerge w:val="restart"/>
            <w:vAlign w:val="center"/>
          </w:tcPr>
          <w:p w14:paraId="62E9D47E" w14:textId="77777777" w:rsidR="009E01DA" w:rsidRPr="00B363AA" w:rsidRDefault="009E01DA" w:rsidP="003F3F11">
            <w:pPr>
              <w:jc w:val="left"/>
              <w:rPr>
                <w:sz w:val="20"/>
                <w:szCs w:val="20"/>
              </w:rPr>
            </w:pPr>
            <w:r w:rsidRPr="00B363AA">
              <w:rPr>
                <w:sz w:val="20"/>
                <w:szCs w:val="20"/>
              </w:rPr>
              <w:t>(C) Gammes optimales (</w:t>
            </w:r>
            <w:proofErr w:type="spellStart"/>
            <w:r w:rsidRPr="00B363AA">
              <w:t>pH</w:t>
            </w:r>
            <w:r w:rsidRPr="00B363AA">
              <w:rPr>
                <w:vertAlign w:val="subscript"/>
              </w:rPr>
              <w:t>KCl</w:t>
            </w:r>
            <w:proofErr w:type="spellEnd"/>
            <w:r w:rsidRPr="00B363AA">
              <w:t>)</w:t>
            </w:r>
            <w:r w:rsidRPr="00B363AA">
              <w:rPr>
                <w:sz w:val="20"/>
                <w:szCs w:val="20"/>
              </w:rPr>
              <w:t xml:space="preserve"> REQUASUD pour les cultures </w:t>
            </w:r>
            <w:r w:rsidRPr="00B363AA">
              <w:rPr>
                <w:sz w:val="20"/>
                <w:szCs w:val="20"/>
              </w:rPr>
              <w:fldChar w:fldCharType="begin"/>
            </w:r>
            <w:r w:rsidRPr="00B363AA">
              <w:rPr>
                <w:sz w:val="20"/>
                <w:szCs w:val="20"/>
              </w:rPr>
              <w:instrText xml:space="preserve"> ADDIN ZOTERO_ITEM CSL_CITATION {"citationID":"oxyzwn3y","properties":{"unsorted":false,"formattedCitation":"(Cugnon,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sidRPr="00B363AA">
              <w:rPr>
                <w:sz w:val="20"/>
                <w:szCs w:val="20"/>
              </w:rPr>
              <w:fldChar w:fldCharType="separate"/>
            </w:r>
            <w:r w:rsidRPr="00B363AA">
              <w:rPr>
                <w:rFonts w:cs="Calibri"/>
                <w:sz w:val="20"/>
              </w:rPr>
              <w:t>(Cugnon, 2025)</w:t>
            </w:r>
            <w:r w:rsidRPr="00B363AA">
              <w:rPr>
                <w:sz w:val="20"/>
                <w:szCs w:val="20"/>
              </w:rPr>
              <w:fldChar w:fldCharType="end"/>
            </w:r>
          </w:p>
        </w:tc>
      </w:tr>
      <w:tr w:rsidR="009E01DA" w:rsidRPr="00B363AA" w14:paraId="73DFB965" w14:textId="77777777" w:rsidTr="003F3F11">
        <w:tblPrEx>
          <w:tblCellMar>
            <w:top w:w="0" w:type="dxa"/>
            <w:bottom w:w="0" w:type="dxa"/>
          </w:tblCellMar>
        </w:tblPrEx>
        <w:tc>
          <w:tcPr>
            <w:tcW w:w="1200" w:type="dxa"/>
            <w:vMerge/>
            <w:shd w:val="clear" w:color="auto" w:fill="D1D1D1" w:themeFill="background2" w:themeFillShade="E6"/>
            <w:vAlign w:val="center"/>
          </w:tcPr>
          <w:p w14:paraId="2399E66D"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6229AC0D" w14:textId="77777777" w:rsidR="009E01DA" w:rsidRPr="00B363AA" w:rsidRDefault="009E01DA" w:rsidP="003F3F11">
            <w:pPr>
              <w:jc w:val="left"/>
              <w:rPr>
                <w:sz w:val="20"/>
                <w:szCs w:val="20"/>
              </w:rPr>
            </w:pPr>
          </w:p>
        </w:tc>
        <w:tc>
          <w:tcPr>
            <w:tcW w:w="748" w:type="dxa"/>
            <w:vMerge/>
            <w:vAlign w:val="center"/>
          </w:tcPr>
          <w:p w14:paraId="73BA615C" w14:textId="77777777" w:rsidR="009E01DA" w:rsidRPr="00B363AA" w:rsidRDefault="009E01DA" w:rsidP="003F3F11">
            <w:pPr>
              <w:jc w:val="center"/>
              <w:rPr>
                <w:sz w:val="20"/>
                <w:szCs w:val="20"/>
              </w:rPr>
            </w:pPr>
          </w:p>
        </w:tc>
        <w:tc>
          <w:tcPr>
            <w:tcW w:w="1628" w:type="dxa"/>
            <w:shd w:val="clear" w:color="auto" w:fill="EFF5FB"/>
            <w:vAlign w:val="center"/>
          </w:tcPr>
          <w:p w14:paraId="5036032D" w14:textId="77777777" w:rsidR="009E01DA" w:rsidRPr="00B363AA" w:rsidRDefault="009E01DA" w:rsidP="003F3F11">
            <w:pPr>
              <w:jc w:val="left"/>
              <w:rPr>
                <w:sz w:val="20"/>
                <w:szCs w:val="20"/>
              </w:rPr>
            </w:pPr>
            <w:proofErr w:type="spellStart"/>
            <w:proofErr w:type="gramStart"/>
            <w:r w:rsidRPr="00B363AA">
              <w:rPr>
                <w:sz w:val="20"/>
                <w:szCs w:val="20"/>
              </w:rPr>
              <w:t>pH</w:t>
            </w:r>
            <w:r w:rsidRPr="00B363AA">
              <w:rPr>
                <w:sz w:val="20"/>
                <w:szCs w:val="20"/>
                <w:vertAlign w:val="subscript"/>
              </w:rPr>
              <w:t>santé</w:t>
            </w:r>
            <w:proofErr w:type="spellEnd"/>
            <w:proofErr w:type="gramEnd"/>
          </w:p>
        </w:tc>
        <w:tc>
          <w:tcPr>
            <w:tcW w:w="4252" w:type="dxa"/>
            <w:vMerge/>
            <w:vAlign w:val="center"/>
          </w:tcPr>
          <w:p w14:paraId="4324BFD2" w14:textId="77777777" w:rsidR="009E01DA" w:rsidRPr="00B363AA" w:rsidRDefault="009E01DA" w:rsidP="003F3F11">
            <w:pPr>
              <w:jc w:val="left"/>
              <w:rPr>
                <w:sz w:val="20"/>
                <w:szCs w:val="20"/>
              </w:rPr>
            </w:pPr>
          </w:p>
        </w:tc>
      </w:tr>
      <w:tr w:rsidR="009E01DA" w:rsidRPr="00B363AA" w14:paraId="143E0897" w14:textId="77777777" w:rsidTr="003F3F11">
        <w:tblPrEx>
          <w:tblCellMar>
            <w:top w:w="0" w:type="dxa"/>
            <w:bottom w:w="0" w:type="dxa"/>
          </w:tblCellMar>
        </w:tblPrEx>
        <w:tc>
          <w:tcPr>
            <w:tcW w:w="1200" w:type="dxa"/>
            <w:vMerge/>
            <w:shd w:val="clear" w:color="auto" w:fill="D1D1D1" w:themeFill="background2" w:themeFillShade="E6"/>
            <w:vAlign w:val="center"/>
          </w:tcPr>
          <w:p w14:paraId="68D85D49"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4F7FB4A0" w14:textId="77777777" w:rsidR="009E01DA" w:rsidRPr="00B363AA" w:rsidRDefault="009E01DA" w:rsidP="003F3F11">
            <w:pPr>
              <w:jc w:val="left"/>
              <w:rPr>
                <w:sz w:val="20"/>
                <w:szCs w:val="20"/>
              </w:rPr>
            </w:pPr>
          </w:p>
        </w:tc>
        <w:tc>
          <w:tcPr>
            <w:tcW w:w="748" w:type="dxa"/>
            <w:vMerge/>
            <w:vAlign w:val="center"/>
          </w:tcPr>
          <w:p w14:paraId="714148AC" w14:textId="77777777" w:rsidR="009E01DA" w:rsidRPr="00B363AA" w:rsidRDefault="009E01DA" w:rsidP="003F3F11">
            <w:pPr>
              <w:jc w:val="center"/>
              <w:rPr>
                <w:sz w:val="20"/>
                <w:szCs w:val="20"/>
              </w:rPr>
            </w:pPr>
          </w:p>
        </w:tc>
        <w:tc>
          <w:tcPr>
            <w:tcW w:w="1628" w:type="dxa"/>
            <w:shd w:val="clear" w:color="auto" w:fill="F2F9EB"/>
            <w:vAlign w:val="center"/>
          </w:tcPr>
          <w:p w14:paraId="708DD38F" w14:textId="77777777" w:rsidR="009E01DA" w:rsidRPr="00B363AA" w:rsidRDefault="009E01DA" w:rsidP="003F3F11">
            <w:pPr>
              <w:jc w:val="left"/>
              <w:rPr>
                <w:rFonts w:cs="Calibri"/>
                <w:sz w:val="20"/>
                <w:szCs w:val="20"/>
              </w:rPr>
            </w:pPr>
            <w:proofErr w:type="spellStart"/>
            <w:proofErr w:type="gramStart"/>
            <w:r w:rsidRPr="00B363AA">
              <w:rPr>
                <w:sz w:val="20"/>
                <w:szCs w:val="20"/>
              </w:rPr>
              <w:t>pH</w:t>
            </w:r>
            <w:r w:rsidRPr="00B363AA">
              <w:rPr>
                <w:sz w:val="20"/>
                <w:szCs w:val="20"/>
                <w:vertAlign w:val="subscript"/>
              </w:rPr>
              <w:t>qualité</w:t>
            </w:r>
            <w:proofErr w:type="spellEnd"/>
            <w:proofErr w:type="gramEnd"/>
            <w:r w:rsidRPr="00B363AA">
              <w:rPr>
                <w:sz w:val="20"/>
                <w:szCs w:val="20"/>
              </w:rPr>
              <w:t xml:space="preserve"> </w:t>
            </w:r>
          </w:p>
        </w:tc>
        <w:tc>
          <w:tcPr>
            <w:tcW w:w="4252" w:type="dxa"/>
            <w:vMerge w:val="restart"/>
            <w:vAlign w:val="center"/>
          </w:tcPr>
          <w:p w14:paraId="0BFA1681" w14:textId="77777777" w:rsidR="009E01DA" w:rsidRPr="00B363AA" w:rsidRDefault="009E01DA" w:rsidP="003F3F11">
            <w:pPr>
              <w:jc w:val="left"/>
              <w:rPr>
                <w:sz w:val="20"/>
                <w:szCs w:val="20"/>
              </w:rPr>
            </w:pPr>
            <w:r w:rsidRPr="00B363AA">
              <w:rPr>
                <w:sz w:val="20"/>
                <w:szCs w:val="20"/>
              </w:rPr>
              <w:t>(P) Gammes optimales (</w:t>
            </w:r>
            <w:proofErr w:type="spellStart"/>
            <w:r w:rsidRPr="00B363AA">
              <w:t>pH</w:t>
            </w:r>
            <w:r w:rsidRPr="00B363AA">
              <w:rPr>
                <w:vertAlign w:val="subscript"/>
              </w:rPr>
              <w:t>KCl</w:t>
            </w:r>
            <w:proofErr w:type="spellEnd"/>
            <w:r w:rsidRPr="00B363AA">
              <w:t>)</w:t>
            </w:r>
            <w:r w:rsidRPr="00B363AA">
              <w:rPr>
                <w:sz w:val="20"/>
                <w:szCs w:val="20"/>
              </w:rPr>
              <w:t xml:space="preserve"> REQUASUD pour les prairies </w:t>
            </w:r>
            <w:r w:rsidRPr="00B363AA">
              <w:rPr>
                <w:sz w:val="20"/>
                <w:szCs w:val="20"/>
              </w:rPr>
              <w:fldChar w:fldCharType="begin"/>
            </w:r>
            <w:r w:rsidRPr="00B363AA">
              <w:rPr>
                <w:sz w:val="20"/>
                <w:szCs w:val="20"/>
              </w:rPr>
              <w:instrText xml:space="preserve"> ADDIN ZOTERO_ITEM CSL_CITATION {"citationID":"KaYFxno7","properties":{"unsorted":false,"formattedCitation":"(Cugnon,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sidRPr="00B363AA">
              <w:rPr>
                <w:sz w:val="20"/>
                <w:szCs w:val="20"/>
              </w:rPr>
              <w:fldChar w:fldCharType="separate"/>
            </w:r>
            <w:r w:rsidRPr="00B363AA">
              <w:rPr>
                <w:rFonts w:cs="Calibri"/>
                <w:sz w:val="20"/>
              </w:rPr>
              <w:t>(Cugnon, 2025)</w:t>
            </w:r>
            <w:r w:rsidRPr="00B363AA">
              <w:rPr>
                <w:sz w:val="20"/>
                <w:szCs w:val="20"/>
              </w:rPr>
              <w:fldChar w:fldCharType="end"/>
            </w:r>
          </w:p>
        </w:tc>
      </w:tr>
      <w:tr w:rsidR="009E01DA" w:rsidRPr="00B363AA" w14:paraId="16A9DB61" w14:textId="77777777" w:rsidTr="003F3F11">
        <w:tblPrEx>
          <w:tblCellMar>
            <w:top w:w="0" w:type="dxa"/>
            <w:bottom w:w="0" w:type="dxa"/>
          </w:tblCellMar>
        </w:tblPrEx>
        <w:tc>
          <w:tcPr>
            <w:tcW w:w="1200" w:type="dxa"/>
            <w:vMerge/>
            <w:shd w:val="clear" w:color="auto" w:fill="D1D1D1" w:themeFill="background2" w:themeFillShade="E6"/>
            <w:vAlign w:val="center"/>
          </w:tcPr>
          <w:p w14:paraId="2ADC4566"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5F5F2AE7" w14:textId="77777777" w:rsidR="009E01DA" w:rsidRPr="00B363AA" w:rsidRDefault="009E01DA" w:rsidP="003F3F11">
            <w:pPr>
              <w:jc w:val="left"/>
              <w:rPr>
                <w:sz w:val="20"/>
                <w:szCs w:val="20"/>
              </w:rPr>
            </w:pPr>
          </w:p>
        </w:tc>
        <w:tc>
          <w:tcPr>
            <w:tcW w:w="748" w:type="dxa"/>
            <w:vMerge/>
            <w:vAlign w:val="center"/>
          </w:tcPr>
          <w:p w14:paraId="60FDB961" w14:textId="77777777" w:rsidR="009E01DA" w:rsidRPr="00B363AA" w:rsidRDefault="009E01DA" w:rsidP="003F3F11">
            <w:pPr>
              <w:jc w:val="center"/>
              <w:rPr>
                <w:sz w:val="20"/>
                <w:szCs w:val="20"/>
              </w:rPr>
            </w:pPr>
          </w:p>
        </w:tc>
        <w:tc>
          <w:tcPr>
            <w:tcW w:w="1628" w:type="dxa"/>
            <w:shd w:val="clear" w:color="auto" w:fill="EFF5FB"/>
            <w:vAlign w:val="center"/>
          </w:tcPr>
          <w:p w14:paraId="00BDB9CD" w14:textId="77777777" w:rsidR="009E01DA" w:rsidRPr="00B363AA" w:rsidRDefault="009E01DA" w:rsidP="003F3F11">
            <w:pPr>
              <w:jc w:val="left"/>
              <w:rPr>
                <w:rFonts w:cs="Calibri"/>
                <w:sz w:val="20"/>
                <w:szCs w:val="20"/>
              </w:rPr>
            </w:pPr>
            <w:proofErr w:type="spellStart"/>
            <w:proofErr w:type="gramStart"/>
            <w:r w:rsidRPr="00B363AA">
              <w:rPr>
                <w:sz w:val="20"/>
                <w:szCs w:val="20"/>
              </w:rPr>
              <w:t>pH</w:t>
            </w:r>
            <w:r w:rsidRPr="00B363AA">
              <w:rPr>
                <w:sz w:val="20"/>
                <w:szCs w:val="20"/>
                <w:vertAlign w:val="subscript"/>
              </w:rPr>
              <w:t>santé</w:t>
            </w:r>
            <w:proofErr w:type="spellEnd"/>
            <w:proofErr w:type="gramEnd"/>
          </w:p>
        </w:tc>
        <w:tc>
          <w:tcPr>
            <w:tcW w:w="4252" w:type="dxa"/>
            <w:vMerge/>
            <w:vAlign w:val="center"/>
          </w:tcPr>
          <w:p w14:paraId="098D8EBF" w14:textId="77777777" w:rsidR="009E01DA" w:rsidRPr="00B363AA" w:rsidRDefault="009E01DA" w:rsidP="003F3F11">
            <w:pPr>
              <w:jc w:val="left"/>
              <w:rPr>
                <w:sz w:val="20"/>
                <w:szCs w:val="20"/>
              </w:rPr>
            </w:pPr>
          </w:p>
        </w:tc>
      </w:tr>
      <w:tr w:rsidR="009E01DA" w:rsidRPr="00B363AA" w14:paraId="65295820" w14:textId="77777777" w:rsidTr="003F3F11">
        <w:tblPrEx>
          <w:tblCellMar>
            <w:top w:w="0" w:type="dxa"/>
            <w:bottom w:w="0" w:type="dxa"/>
          </w:tblCellMar>
        </w:tblPrEx>
        <w:trPr>
          <w:trHeight w:val="403"/>
        </w:trPr>
        <w:tc>
          <w:tcPr>
            <w:tcW w:w="1200" w:type="dxa"/>
            <w:vMerge/>
            <w:shd w:val="clear" w:color="auto" w:fill="D1D1D1" w:themeFill="background2" w:themeFillShade="E6"/>
            <w:vAlign w:val="center"/>
          </w:tcPr>
          <w:p w14:paraId="0D51DABE"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1841533A" w14:textId="77777777" w:rsidR="009E01DA" w:rsidRPr="00B363AA" w:rsidRDefault="009E01DA" w:rsidP="003F3F11">
            <w:pPr>
              <w:jc w:val="left"/>
              <w:rPr>
                <w:sz w:val="20"/>
                <w:szCs w:val="20"/>
              </w:rPr>
            </w:pPr>
          </w:p>
        </w:tc>
        <w:tc>
          <w:tcPr>
            <w:tcW w:w="748" w:type="dxa"/>
            <w:vMerge/>
            <w:vAlign w:val="center"/>
          </w:tcPr>
          <w:p w14:paraId="1D2289A3" w14:textId="77777777" w:rsidR="009E01DA" w:rsidRPr="00B363AA" w:rsidRDefault="009E01DA" w:rsidP="003F3F11">
            <w:pPr>
              <w:jc w:val="center"/>
              <w:rPr>
                <w:sz w:val="20"/>
                <w:szCs w:val="20"/>
              </w:rPr>
            </w:pPr>
          </w:p>
        </w:tc>
        <w:tc>
          <w:tcPr>
            <w:tcW w:w="1628" w:type="dxa"/>
            <w:shd w:val="clear" w:color="auto" w:fill="F2F9EB"/>
            <w:vAlign w:val="center"/>
          </w:tcPr>
          <w:p w14:paraId="5106FED4" w14:textId="77777777" w:rsidR="009E01DA" w:rsidRPr="00B363AA" w:rsidRDefault="009E01DA" w:rsidP="003F3F11">
            <w:pPr>
              <w:jc w:val="left"/>
              <w:rPr>
                <w:rFonts w:cs="Calibri"/>
                <w:sz w:val="20"/>
                <w:szCs w:val="20"/>
              </w:rPr>
            </w:pPr>
            <w:proofErr w:type="spellStart"/>
            <w:proofErr w:type="gramStart"/>
            <w:r w:rsidRPr="00B363AA">
              <w:rPr>
                <w:sz w:val="20"/>
                <w:szCs w:val="20"/>
              </w:rPr>
              <w:t>pH</w:t>
            </w:r>
            <w:r w:rsidRPr="00B363AA">
              <w:rPr>
                <w:sz w:val="20"/>
                <w:szCs w:val="20"/>
                <w:vertAlign w:val="subscript"/>
              </w:rPr>
              <w:t>qualité</w:t>
            </w:r>
            <w:proofErr w:type="spellEnd"/>
            <w:proofErr w:type="gramEnd"/>
            <w:r w:rsidRPr="00B363AA">
              <w:rPr>
                <w:sz w:val="20"/>
                <w:szCs w:val="20"/>
              </w:rPr>
              <w:t xml:space="preserve"> </w:t>
            </w:r>
          </w:p>
        </w:tc>
        <w:tc>
          <w:tcPr>
            <w:tcW w:w="4252" w:type="dxa"/>
            <w:vMerge w:val="restart"/>
            <w:vAlign w:val="center"/>
          </w:tcPr>
          <w:p w14:paraId="146AED96" w14:textId="77777777" w:rsidR="009E01DA" w:rsidRPr="00B363AA" w:rsidRDefault="009E01DA" w:rsidP="003F3F11">
            <w:pPr>
              <w:jc w:val="left"/>
              <w:rPr>
                <w:sz w:val="20"/>
                <w:szCs w:val="20"/>
              </w:rPr>
            </w:pPr>
            <w:r w:rsidRPr="00B363AA">
              <w:rPr>
                <w:sz w:val="20"/>
                <w:szCs w:val="20"/>
              </w:rPr>
              <w:t>(EV) Adaptation des gammes optimales (</w:t>
            </w:r>
            <w:proofErr w:type="spellStart"/>
            <w:r w:rsidRPr="00B363AA">
              <w:t>pH</w:t>
            </w:r>
            <w:r w:rsidRPr="00B363AA">
              <w:rPr>
                <w:vertAlign w:val="subscript"/>
              </w:rPr>
              <w:t>KCl</w:t>
            </w:r>
            <w:proofErr w:type="spellEnd"/>
            <w:r w:rsidRPr="00B363AA">
              <w:t>)</w:t>
            </w:r>
            <w:r w:rsidRPr="00B363AA">
              <w:rPr>
                <w:sz w:val="20"/>
                <w:szCs w:val="20"/>
              </w:rPr>
              <w:t xml:space="preserve"> REQUASUD // chapitre C </w:t>
            </w:r>
            <w:proofErr w:type="spellStart"/>
            <w:r w:rsidRPr="00B363AA">
              <w:rPr>
                <w:sz w:val="20"/>
                <w:szCs w:val="20"/>
              </w:rPr>
              <w:t>Qualiroutes</w:t>
            </w:r>
            <w:proofErr w:type="spellEnd"/>
            <w:r w:rsidRPr="00B363AA">
              <w:rPr>
                <w:sz w:val="20"/>
                <w:szCs w:val="20"/>
              </w:rPr>
              <w:t xml:space="preserve"> </w:t>
            </w:r>
            <w:r w:rsidRPr="00B363AA">
              <w:rPr>
                <w:sz w:val="20"/>
                <w:szCs w:val="20"/>
              </w:rPr>
              <w:fldChar w:fldCharType="begin"/>
            </w:r>
            <w:r w:rsidRPr="00B363AA">
              <w:rPr>
                <w:sz w:val="20"/>
                <w:szCs w:val="20"/>
              </w:rPr>
              <w:instrText xml:space="preserve"> ADDIN ZOTERO_ITEM CSL_CITATION {"citationID":"B00A4otB","properties":{"unsorted":false,"formattedCitation":"(SPW Mobilit\\uc0\\u233{} Infrastructures, 2026)","plainCitation":"(SPW Mobilité Infrastructures, 2026)","noteIndex":0},"citationItems":[{"id":571,"uris":["http://zotero.org/groups/5684833/items/XUAHKAZ9"],"itemData":{"id":571,"type":"standard","abstract":"Sur cet onglet vous trouverez le site Qualité et Construction","language":"fr","publisher":"Service Public de Wallonie","title":"Cahier des Charges type Qualiroutes - Chapitre C : Matériaux et produits de construction","URL":"https://infrastructures.wallonie.be/cms/render/live/fr/sites/routes/pouvoirs-locaux/nos-thematiques/routes/qualite--construction/qualiroutes.html","version":"approuvé par le Gouvernement wallon en date du 20 juillet 2011","author":[{"family":"SPW Mobilité Infrastructures","given":""}],"accessed":{"date-parts":[["2026",6,2]]},"issued":{"date-parts":[["2026"]]}}}],"schema":"https://github.com/citation-style-language/schema/raw/master/csl-citation.json"} </w:instrText>
            </w:r>
            <w:r w:rsidRPr="00B363AA">
              <w:rPr>
                <w:sz w:val="20"/>
                <w:szCs w:val="20"/>
              </w:rPr>
              <w:fldChar w:fldCharType="separate"/>
            </w:r>
            <w:r w:rsidRPr="00B363AA">
              <w:rPr>
                <w:rFonts w:cs="Calibri"/>
                <w:kern w:val="0"/>
                <w:sz w:val="20"/>
              </w:rPr>
              <w:t>(SPW Mobilité Infrastructures, 2026)</w:t>
            </w:r>
            <w:r w:rsidRPr="00B363AA">
              <w:rPr>
                <w:sz w:val="20"/>
                <w:szCs w:val="20"/>
              </w:rPr>
              <w:fldChar w:fldCharType="end"/>
            </w:r>
          </w:p>
        </w:tc>
      </w:tr>
      <w:tr w:rsidR="009E01DA" w:rsidRPr="00B363AA" w14:paraId="3584FA3E" w14:textId="77777777" w:rsidTr="003F3F11">
        <w:tblPrEx>
          <w:tblCellMar>
            <w:top w:w="0" w:type="dxa"/>
            <w:bottom w:w="0" w:type="dxa"/>
          </w:tblCellMar>
        </w:tblPrEx>
        <w:tc>
          <w:tcPr>
            <w:tcW w:w="1200" w:type="dxa"/>
            <w:vMerge/>
            <w:shd w:val="clear" w:color="auto" w:fill="D1D1D1" w:themeFill="background2" w:themeFillShade="E6"/>
            <w:vAlign w:val="center"/>
          </w:tcPr>
          <w:p w14:paraId="7E26AC26"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2CA7168E" w14:textId="77777777" w:rsidR="009E01DA" w:rsidRPr="00B363AA" w:rsidRDefault="009E01DA" w:rsidP="003F3F11">
            <w:pPr>
              <w:jc w:val="left"/>
              <w:rPr>
                <w:sz w:val="20"/>
                <w:szCs w:val="20"/>
              </w:rPr>
            </w:pPr>
          </w:p>
        </w:tc>
        <w:tc>
          <w:tcPr>
            <w:tcW w:w="748" w:type="dxa"/>
            <w:vMerge/>
            <w:vAlign w:val="center"/>
          </w:tcPr>
          <w:p w14:paraId="21191D08" w14:textId="77777777" w:rsidR="009E01DA" w:rsidRPr="00B363AA" w:rsidRDefault="009E01DA" w:rsidP="003F3F11">
            <w:pPr>
              <w:jc w:val="center"/>
              <w:rPr>
                <w:sz w:val="20"/>
                <w:szCs w:val="20"/>
              </w:rPr>
            </w:pPr>
          </w:p>
        </w:tc>
        <w:tc>
          <w:tcPr>
            <w:tcW w:w="1628" w:type="dxa"/>
            <w:shd w:val="clear" w:color="auto" w:fill="EFF5FB"/>
            <w:vAlign w:val="center"/>
          </w:tcPr>
          <w:p w14:paraId="5B7B6E68" w14:textId="77777777" w:rsidR="009E01DA" w:rsidRPr="00B363AA" w:rsidRDefault="009E01DA" w:rsidP="003F3F11">
            <w:pPr>
              <w:jc w:val="left"/>
              <w:rPr>
                <w:rFonts w:cs="Calibri"/>
                <w:sz w:val="20"/>
                <w:szCs w:val="20"/>
              </w:rPr>
            </w:pPr>
            <w:proofErr w:type="spellStart"/>
            <w:proofErr w:type="gramStart"/>
            <w:r w:rsidRPr="00B363AA">
              <w:rPr>
                <w:sz w:val="20"/>
                <w:szCs w:val="20"/>
              </w:rPr>
              <w:t>pH</w:t>
            </w:r>
            <w:r w:rsidRPr="00B363AA">
              <w:rPr>
                <w:sz w:val="20"/>
                <w:szCs w:val="20"/>
                <w:vertAlign w:val="subscript"/>
              </w:rPr>
              <w:t>santé</w:t>
            </w:r>
            <w:proofErr w:type="spellEnd"/>
            <w:proofErr w:type="gramEnd"/>
          </w:p>
        </w:tc>
        <w:tc>
          <w:tcPr>
            <w:tcW w:w="4252" w:type="dxa"/>
            <w:vMerge/>
            <w:vAlign w:val="center"/>
          </w:tcPr>
          <w:p w14:paraId="294775F5" w14:textId="77777777" w:rsidR="009E01DA" w:rsidRPr="00B363AA" w:rsidRDefault="009E01DA" w:rsidP="003F3F11">
            <w:pPr>
              <w:jc w:val="left"/>
              <w:rPr>
                <w:sz w:val="20"/>
                <w:szCs w:val="20"/>
              </w:rPr>
            </w:pPr>
          </w:p>
        </w:tc>
      </w:tr>
      <w:tr w:rsidR="009E01DA" w:rsidRPr="00B363AA" w14:paraId="65473F93" w14:textId="77777777" w:rsidTr="003F3F11">
        <w:tblPrEx>
          <w:tblCellMar>
            <w:top w:w="0" w:type="dxa"/>
            <w:bottom w:w="0" w:type="dxa"/>
          </w:tblCellMar>
        </w:tblPrEx>
        <w:trPr>
          <w:trHeight w:val="328"/>
        </w:trPr>
        <w:tc>
          <w:tcPr>
            <w:tcW w:w="1200" w:type="dxa"/>
            <w:vMerge/>
            <w:shd w:val="clear" w:color="auto" w:fill="D1D1D1" w:themeFill="background2" w:themeFillShade="E6"/>
            <w:vAlign w:val="center"/>
          </w:tcPr>
          <w:p w14:paraId="4980E5E1"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70FFBBE8" w14:textId="77777777" w:rsidR="009E01DA" w:rsidRPr="00B363AA" w:rsidRDefault="009E01DA" w:rsidP="003F3F11">
            <w:pPr>
              <w:jc w:val="left"/>
              <w:rPr>
                <w:sz w:val="20"/>
                <w:szCs w:val="20"/>
              </w:rPr>
            </w:pPr>
          </w:p>
        </w:tc>
        <w:tc>
          <w:tcPr>
            <w:tcW w:w="748" w:type="dxa"/>
            <w:vMerge/>
            <w:vAlign w:val="center"/>
          </w:tcPr>
          <w:p w14:paraId="1DD8A4F3" w14:textId="77777777" w:rsidR="009E01DA" w:rsidRPr="00B363AA" w:rsidRDefault="009E01DA" w:rsidP="003F3F11">
            <w:pPr>
              <w:jc w:val="center"/>
              <w:rPr>
                <w:sz w:val="20"/>
                <w:szCs w:val="20"/>
              </w:rPr>
            </w:pPr>
          </w:p>
        </w:tc>
        <w:tc>
          <w:tcPr>
            <w:tcW w:w="1628" w:type="dxa"/>
            <w:shd w:val="clear" w:color="auto" w:fill="F2F9EB"/>
            <w:vAlign w:val="center"/>
          </w:tcPr>
          <w:p w14:paraId="1B3CC6E3" w14:textId="77777777" w:rsidR="009E01DA" w:rsidRPr="00B363AA" w:rsidRDefault="009E01DA" w:rsidP="003F3F11">
            <w:pPr>
              <w:jc w:val="left"/>
              <w:rPr>
                <w:rFonts w:cs="Calibri"/>
                <w:sz w:val="20"/>
                <w:szCs w:val="20"/>
              </w:rPr>
            </w:pPr>
            <w:proofErr w:type="spellStart"/>
            <w:proofErr w:type="gramStart"/>
            <w:r w:rsidRPr="00B363AA">
              <w:rPr>
                <w:sz w:val="20"/>
                <w:szCs w:val="20"/>
              </w:rPr>
              <w:t>pH</w:t>
            </w:r>
            <w:r w:rsidRPr="00B363AA">
              <w:rPr>
                <w:sz w:val="20"/>
                <w:szCs w:val="20"/>
                <w:vertAlign w:val="subscript"/>
              </w:rPr>
              <w:t>qualité</w:t>
            </w:r>
            <w:proofErr w:type="spellEnd"/>
            <w:proofErr w:type="gramEnd"/>
          </w:p>
        </w:tc>
        <w:tc>
          <w:tcPr>
            <w:tcW w:w="4252" w:type="dxa"/>
            <w:vMerge w:val="restart"/>
            <w:vAlign w:val="center"/>
          </w:tcPr>
          <w:p w14:paraId="05A6A652" w14:textId="77777777" w:rsidR="009E01DA" w:rsidRPr="00B363AA" w:rsidRDefault="009E01DA" w:rsidP="003F3F11">
            <w:pPr>
              <w:jc w:val="left"/>
              <w:rPr>
                <w:sz w:val="20"/>
                <w:szCs w:val="20"/>
              </w:rPr>
            </w:pPr>
            <w:r w:rsidRPr="00B363AA">
              <w:rPr>
                <w:sz w:val="20"/>
                <w:szCs w:val="20"/>
              </w:rPr>
              <w:t>(F) Gammes d’interprétation (</w:t>
            </w:r>
            <w:proofErr w:type="spellStart"/>
            <w:r w:rsidRPr="00B363AA">
              <w:t>pH</w:t>
            </w:r>
            <w:r w:rsidRPr="00B363AA">
              <w:rPr>
                <w:vertAlign w:val="subscript"/>
              </w:rPr>
              <w:t>eau</w:t>
            </w:r>
            <w:proofErr w:type="spellEnd"/>
            <w:r w:rsidRPr="00B363AA">
              <w:t>)</w:t>
            </w:r>
            <w:r w:rsidRPr="00B363AA">
              <w:rPr>
                <w:sz w:val="20"/>
                <w:szCs w:val="20"/>
              </w:rPr>
              <w:t xml:space="preserve"> pour les sols forestiers </w:t>
            </w:r>
            <w:r w:rsidRPr="00B363AA">
              <w:rPr>
                <w:sz w:val="20"/>
                <w:szCs w:val="20"/>
              </w:rPr>
              <w:fldChar w:fldCharType="begin"/>
            </w:r>
            <w:r w:rsidRPr="00B363AA">
              <w:rPr>
                <w:sz w:val="20"/>
                <w:szCs w:val="20"/>
              </w:rPr>
              <w:instrText xml:space="preserve"> ADDIN ZOTERO_ITEM CSL_CITATION {"citationID":"CB20bPQA","properties":{"unsorted":false,"formattedCitation":"({\\i{}Fichier \\uc0\\u233{}cologique des essences}, s.\\uc0\\u160{}d.)","plainCitation":"(Fichier écologique des essences, s. d.)","noteIndex":0},"citationItems":[{"id":569,"uris":["http://zotero.org/groups/5684833/items/8E5EHNH6"],"itemData":{"id":569,"type":"document","title":"Fichier écologique des essences","URL":"https://www.fichierecologique.be/#!/","accessed":{"date-parts":[["2026",6,2]]}}}],"schema":"https://github.com/citation-style-language/schema/raw/master/csl-citation.json"} </w:instrText>
            </w:r>
            <w:r w:rsidRPr="00B363AA">
              <w:rPr>
                <w:sz w:val="20"/>
                <w:szCs w:val="20"/>
              </w:rPr>
              <w:fldChar w:fldCharType="separate"/>
            </w:r>
            <w:r w:rsidRPr="00B363AA">
              <w:rPr>
                <w:rFonts w:cs="Calibri"/>
                <w:kern w:val="0"/>
                <w:sz w:val="20"/>
              </w:rPr>
              <w:t>(</w:t>
            </w:r>
            <w:r w:rsidRPr="00B363AA">
              <w:rPr>
                <w:rFonts w:cs="Calibri"/>
                <w:i/>
                <w:iCs/>
                <w:kern w:val="0"/>
                <w:sz w:val="20"/>
              </w:rPr>
              <w:t>Fichier écologique des essences</w:t>
            </w:r>
            <w:r w:rsidRPr="00B363AA">
              <w:rPr>
                <w:rFonts w:cs="Calibri"/>
                <w:kern w:val="0"/>
                <w:sz w:val="20"/>
              </w:rPr>
              <w:t>, s. d.)</w:t>
            </w:r>
            <w:r w:rsidRPr="00B363AA">
              <w:rPr>
                <w:sz w:val="20"/>
                <w:szCs w:val="20"/>
              </w:rPr>
              <w:fldChar w:fldCharType="end"/>
            </w:r>
          </w:p>
        </w:tc>
      </w:tr>
      <w:tr w:rsidR="009E01DA" w:rsidRPr="00B363AA" w14:paraId="49EBD9FE" w14:textId="77777777" w:rsidTr="003F3F11">
        <w:tblPrEx>
          <w:tblCellMar>
            <w:top w:w="0" w:type="dxa"/>
            <w:bottom w:w="0" w:type="dxa"/>
          </w:tblCellMar>
        </w:tblPrEx>
        <w:tc>
          <w:tcPr>
            <w:tcW w:w="1200" w:type="dxa"/>
            <w:vMerge/>
            <w:shd w:val="clear" w:color="auto" w:fill="D1D1D1" w:themeFill="background2" w:themeFillShade="E6"/>
            <w:vAlign w:val="center"/>
          </w:tcPr>
          <w:p w14:paraId="795ED58C"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46335252" w14:textId="77777777" w:rsidR="009E01DA" w:rsidRPr="00B363AA" w:rsidRDefault="009E01DA" w:rsidP="003F3F11">
            <w:pPr>
              <w:jc w:val="left"/>
              <w:rPr>
                <w:sz w:val="20"/>
                <w:szCs w:val="20"/>
              </w:rPr>
            </w:pPr>
          </w:p>
        </w:tc>
        <w:tc>
          <w:tcPr>
            <w:tcW w:w="748" w:type="dxa"/>
            <w:vMerge/>
            <w:vAlign w:val="center"/>
          </w:tcPr>
          <w:p w14:paraId="39E9F45F" w14:textId="77777777" w:rsidR="009E01DA" w:rsidRPr="00B363AA" w:rsidRDefault="009E01DA" w:rsidP="003F3F11">
            <w:pPr>
              <w:jc w:val="center"/>
              <w:rPr>
                <w:sz w:val="20"/>
                <w:szCs w:val="20"/>
              </w:rPr>
            </w:pPr>
          </w:p>
        </w:tc>
        <w:tc>
          <w:tcPr>
            <w:tcW w:w="1628" w:type="dxa"/>
            <w:shd w:val="clear" w:color="auto" w:fill="EFF5FB"/>
            <w:vAlign w:val="center"/>
          </w:tcPr>
          <w:p w14:paraId="5F50BF85" w14:textId="77777777" w:rsidR="009E01DA" w:rsidRPr="00B363AA" w:rsidRDefault="009E01DA" w:rsidP="003F3F11">
            <w:pPr>
              <w:jc w:val="left"/>
              <w:rPr>
                <w:sz w:val="20"/>
                <w:szCs w:val="20"/>
              </w:rPr>
            </w:pPr>
            <w:proofErr w:type="spellStart"/>
            <w:proofErr w:type="gramStart"/>
            <w:r w:rsidRPr="00B363AA">
              <w:rPr>
                <w:sz w:val="20"/>
                <w:szCs w:val="20"/>
              </w:rPr>
              <w:t>pH</w:t>
            </w:r>
            <w:r w:rsidRPr="00B363AA">
              <w:rPr>
                <w:sz w:val="20"/>
                <w:szCs w:val="20"/>
                <w:vertAlign w:val="subscript"/>
              </w:rPr>
              <w:t>santé</w:t>
            </w:r>
            <w:proofErr w:type="spellEnd"/>
            <w:proofErr w:type="gramEnd"/>
          </w:p>
        </w:tc>
        <w:tc>
          <w:tcPr>
            <w:tcW w:w="4252" w:type="dxa"/>
            <w:vMerge/>
            <w:vAlign w:val="center"/>
          </w:tcPr>
          <w:p w14:paraId="37D03772" w14:textId="77777777" w:rsidR="009E01DA" w:rsidRPr="00B363AA" w:rsidRDefault="009E01DA" w:rsidP="003F3F11">
            <w:pPr>
              <w:jc w:val="left"/>
              <w:rPr>
                <w:highlight w:val="yellow"/>
              </w:rPr>
            </w:pPr>
          </w:p>
        </w:tc>
      </w:tr>
      <w:tr w:rsidR="009E01DA" w:rsidRPr="00B363AA" w14:paraId="3D5FD714" w14:textId="77777777" w:rsidTr="003F3F11">
        <w:tblPrEx>
          <w:tblCellMar>
            <w:top w:w="0" w:type="dxa"/>
            <w:bottom w:w="0" w:type="dxa"/>
          </w:tblCellMar>
        </w:tblPrEx>
        <w:tc>
          <w:tcPr>
            <w:tcW w:w="1200" w:type="dxa"/>
            <w:vMerge/>
            <w:shd w:val="clear" w:color="auto" w:fill="D1D1D1" w:themeFill="background2" w:themeFillShade="E6"/>
            <w:vAlign w:val="center"/>
          </w:tcPr>
          <w:p w14:paraId="7816CD59"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1DD0B4A3" w14:textId="77777777" w:rsidR="009E01DA" w:rsidRPr="00B363AA" w:rsidRDefault="009E01DA" w:rsidP="003F3F11">
            <w:pPr>
              <w:jc w:val="left"/>
              <w:rPr>
                <w:sz w:val="20"/>
                <w:szCs w:val="20"/>
              </w:rPr>
            </w:pPr>
          </w:p>
        </w:tc>
        <w:tc>
          <w:tcPr>
            <w:tcW w:w="748" w:type="dxa"/>
            <w:vMerge w:val="restart"/>
            <w:vAlign w:val="center"/>
          </w:tcPr>
          <w:p w14:paraId="6AAE9ADE"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5C347BFB" wp14:editId="64852A5E">
                      <wp:extent cx="248400" cy="0"/>
                      <wp:effectExtent l="38100" t="76200" r="18415" b="95250"/>
                      <wp:docPr id="1546839154" name="Connecteur droit avec flèche 1"/>
                      <wp:cNvGraphicFramePr/>
                      <a:graphic xmlns:a="http://schemas.openxmlformats.org/drawingml/2006/main">
                        <a:graphicData uri="http://schemas.microsoft.com/office/word/2010/wordprocessingShape">
                          <wps:wsp>
                            <wps:cNvCnPr/>
                            <wps:spPr>
                              <a:xfrm flipV="1">
                                <a:off x="0" y="0"/>
                                <a:ext cx="248400" cy="0"/>
                              </a:xfrm>
                              <a:prstGeom prst="straightConnector1">
                                <a:avLst/>
                              </a:prstGeom>
                              <a:ln w="12700">
                                <a:solidFill>
                                  <a:schemeClr val="tx2"/>
                                </a:solidFill>
                                <a:headEnd type="triangl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764C684D" id="Connecteur droit avec flèche 1" o:spid="_x0000_s1026" type="#_x0000_t32" style="width:19.55pt;height:0;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" strokecolor="#0e2841 [3215]" strokeweight="1pt">
                      <v:stroke startarrow="block" endarrow="block" joinstyle="miter"/>
                      <w10:anchorlock/>
                    </v:shape>
                  </w:pict>
                </mc:Fallback>
              </mc:AlternateContent>
            </w:r>
          </w:p>
        </w:tc>
        <w:tc>
          <w:tcPr>
            <w:tcW w:w="1628" w:type="dxa"/>
            <w:tcBorders>
              <w:top w:val="single" w:sz="4" w:space="0" w:color="auto"/>
              <w:bottom w:val="single" w:sz="4" w:space="0" w:color="auto"/>
            </w:tcBorders>
            <w:shd w:val="clear" w:color="auto" w:fill="F2F9EB"/>
            <w:vAlign w:val="center"/>
          </w:tcPr>
          <w:p w14:paraId="477825B1" w14:textId="77777777" w:rsidR="009E01DA" w:rsidRPr="00B363AA" w:rsidRDefault="009E01DA" w:rsidP="003F3F11">
            <w:pPr>
              <w:jc w:val="left"/>
              <w:rPr>
                <w:sz w:val="20"/>
                <w:szCs w:val="20"/>
              </w:rPr>
            </w:pPr>
            <w:r w:rsidRPr="00B363AA">
              <w:rPr>
                <w:sz w:val="20"/>
                <w:szCs w:val="20"/>
              </w:rPr>
              <w:t>K/</w:t>
            </w:r>
            <w:proofErr w:type="spellStart"/>
            <w:r w:rsidRPr="00B363AA">
              <w:rPr>
                <w:sz w:val="20"/>
                <w:szCs w:val="20"/>
              </w:rPr>
              <w:t>Mg</w:t>
            </w:r>
            <w:r w:rsidRPr="00B363AA">
              <w:rPr>
                <w:sz w:val="20"/>
                <w:szCs w:val="20"/>
                <w:vertAlign w:val="subscript"/>
              </w:rPr>
              <w:t>qualité</w:t>
            </w:r>
            <w:proofErr w:type="spellEnd"/>
          </w:p>
        </w:tc>
        <w:tc>
          <w:tcPr>
            <w:tcW w:w="4252" w:type="dxa"/>
            <w:vMerge w:val="restart"/>
            <w:vAlign w:val="center"/>
          </w:tcPr>
          <w:p w14:paraId="674AD87B" w14:textId="77777777" w:rsidR="009E01DA" w:rsidRPr="00B363AA" w:rsidRDefault="009E01DA" w:rsidP="003F3F11">
            <w:pPr>
              <w:jc w:val="left"/>
              <w:rPr>
                <w:highlight w:val="yellow"/>
              </w:rPr>
            </w:pPr>
            <w:r w:rsidRPr="00B363AA">
              <w:rPr>
                <w:sz w:val="20"/>
                <w:szCs w:val="20"/>
              </w:rPr>
              <w:t xml:space="preserve">Gamme optimale </w:t>
            </w:r>
            <w:r w:rsidRPr="00B363AA">
              <w:rPr>
                <w:sz w:val="20"/>
                <w:szCs w:val="20"/>
              </w:rPr>
              <w:fldChar w:fldCharType="begin"/>
            </w:r>
            <w:r w:rsidRPr="00B363AA">
              <w:rPr>
                <w:sz w:val="20"/>
                <w:szCs w:val="20"/>
              </w:rPr>
              <w:instrText xml:space="preserve"> ADDIN ZOTERO_ITEM CSL_CITATION {"citationID":"6izxBfFz","properties":{"unsorted":false,"formattedCitation":"(Cugnon, 2025)","plainCitation":"(Cugnon, 2025)","noteIndex":0},"citationItems":[{"id":369,"uris":["http://zotero.org/groups/5684833/items/G8WMXQK3"],"itemData":{"id":369,"type":"speech","collection-title":"Walakis","language":"fr","title":"Saison 2 Agri-webinaire: \"Comprendre son conseil de fertilisation\" | Walakis","title-short":"Saison 2 Agri-webinaire","URL":"https://walakis.be/fr/ressources/saison-2-agri-webinaire-comprendre-son-conseil-de-fertilisation","author":[{"family":"Cugnon","given":"Thibaut"}],"accessed":{"date-parts":[["2026",1,9]]},"issued":{"date-parts":[["2025",11,19]]}}}],"schema":"https://github.com/citation-style-language/schema/raw/master/csl-citation.json"} </w:instrText>
            </w:r>
            <w:r w:rsidRPr="00B363AA">
              <w:rPr>
                <w:sz w:val="20"/>
                <w:szCs w:val="20"/>
              </w:rPr>
              <w:fldChar w:fldCharType="separate"/>
            </w:r>
            <w:r w:rsidRPr="00B363AA">
              <w:rPr>
                <w:rFonts w:cs="Calibri"/>
                <w:sz w:val="20"/>
                <w:szCs w:val="20"/>
              </w:rPr>
              <w:t>(Cugnon, 2025)</w:t>
            </w:r>
            <w:r w:rsidRPr="00B363AA">
              <w:rPr>
                <w:sz w:val="20"/>
                <w:szCs w:val="20"/>
              </w:rPr>
              <w:fldChar w:fldCharType="end"/>
            </w:r>
          </w:p>
        </w:tc>
      </w:tr>
      <w:tr w:rsidR="009E01DA" w:rsidRPr="00B363AA" w14:paraId="7B9DA3E5" w14:textId="77777777" w:rsidTr="003F3F11">
        <w:tblPrEx>
          <w:tblCellMar>
            <w:top w:w="0" w:type="dxa"/>
            <w:bottom w:w="0" w:type="dxa"/>
          </w:tblCellMar>
        </w:tblPrEx>
        <w:tc>
          <w:tcPr>
            <w:tcW w:w="1200" w:type="dxa"/>
            <w:vMerge/>
            <w:shd w:val="clear" w:color="auto" w:fill="D1D1D1" w:themeFill="background2" w:themeFillShade="E6"/>
            <w:vAlign w:val="center"/>
          </w:tcPr>
          <w:p w14:paraId="20CADF6D"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21EA252D" w14:textId="77777777" w:rsidR="009E01DA" w:rsidRPr="00B363AA" w:rsidRDefault="009E01DA" w:rsidP="003F3F11">
            <w:pPr>
              <w:jc w:val="left"/>
              <w:rPr>
                <w:sz w:val="20"/>
                <w:szCs w:val="20"/>
              </w:rPr>
            </w:pPr>
          </w:p>
        </w:tc>
        <w:tc>
          <w:tcPr>
            <w:tcW w:w="748" w:type="dxa"/>
            <w:vMerge/>
            <w:vAlign w:val="center"/>
          </w:tcPr>
          <w:p w14:paraId="2EA0FB40" w14:textId="77777777" w:rsidR="009E01DA" w:rsidRPr="00B363AA" w:rsidRDefault="009E01DA" w:rsidP="003F3F11">
            <w:pPr>
              <w:jc w:val="center"/>
              <w:rPr>
                <w:sz w:val="20"/>
                <w:szCs w:val="20"/>
              </w:rPr>
            </w:pPr>
          </w:p>
        </w:tc>
        <w:tc>
          <w:tcPr>
            <w:tcW w:w="1628" w:type="dxa"/>
            <w:tcBorders>
              <w:top w:val="single" w:sz="4" w:space="0" w:color="auto"/>
            </w:tcBorders>
            <w:shd w:val="clear" w:color="auto" w:fill="EFF5FB"/>
            <w:vAlign w:val="center"/>
          </w:tcPr>
          <w:p w14:paraId="70D3A029" w14:textId="77777777" w:rsidR="009E01DA" w:rsidRPr="00B363AA" w:rsidRDefault="009E01DA" w:rsidP="003F3F11">
            <w:pPr>
              <w:jc w:val="left"/>
              <w:rPr>
                <w:sz w:val="20"/>
                <w:szCs w:val="20"/>
              </w:rPr>
            </w:pPr>
            <w:r w:rsidRPr="00B363AA">
              <w:rPr>
                <w:sz w:val="20"/>
                <w:szCs w:val="20"/>
              </w:rPr>
              <w:t>K/</w:t>
            </w:r>
            <w:proofErr w:type="spellStart"/>
            <w:r w:rsidRPr="00B363AA">
              <w:rPr>
                <w:sz w:val="20"/>
                <w:szCs w:val="20"/>
              </w:rPr>
              <w:t>Mg</w:t>
            </w:r>
            <w:r w:rsidRPr="00B363AA">
              <w:rPr>
                <w:sz w:val="20"/>
                <w:szCs w:val="20"/>
                <w:vertAlign w:val="subscript"/>
              </w:rPr>
              <w:t>santé</w:t>
            </w:r>
            <w:proofErr w:type="spellEnd"/>
          </w:p>
        </w:tc>
        <w:tc>
          <w:tcPr>
            <w:tcW w:w="4252" w:type="dxa"/>
            <w:vMerge/>
            <w:vAlign w:val="center"/>
          </w:tcPr>
          <w:p w14:paraId="01B443E7" w14:textId="77777777" w:rsidR="009E01DA" w:rsidRPr="00B363AA" w:rsidRDefault="009E01DA" w:rsidP="003F3F11">
            <w:pPr>
              <w:jc w:val="left"/>
              <w:rPr>
                <w:highlight w:val="yellow"/>
              </w:rPr>
            </w:pPr>
          </w:p>
        </w:tc>
      </w:tr>
      <w:tr w:rsidR="009E01DA" w:rsidRPr="00B363AA" w14:paraId="70299E7D" w14:textId="77777777" w:rsidTr="003F3F11">
        <w:tblPrEx>
          <w:tblCellMar>
            <w:top w:w="0" w:type="dxa"/>
            <w:bottom w:w="0" w:type="dxa"/>
          </w:tblCellMar>
        </w:tblPrEx>
        <w:tc>
          <w:tcPr>
            <w:tcW w:w="1200" w:type="dxa"/>
            <w:vMerge/>
            <w:shd w:val="clear" w:color="auto" w:fill="D1D1D1" w:themeFill="background2" w:themeFillShade="E6"/>
            <w:vAlign w:val="center"/>
          </w:tcPr>
          <w:p w14:paraId="69A5841F" w14:textId="77777777" w:rsidR="009E01DA" w:rsidRPr="00B363AA" w:rsidRDefault="009E01DA" w:rsidP="003F3F11">
            <w:pPr>
              <w:jc w:val="left"/>
              <w:rPr>
                <w:b/>
                <w:bCs/>
                <w:sz w:val="20"/>
                <w:szCs w:val="20"/>
              </w:rPr>
            </w:pPr>
          </w:p>
        </w:tc>
        <w:tc>
          <w:tcPr>
            <w:tcW w:w="1239" w:type="dxa"/>
            <w:vMerge w:val="restart"/>
            <w:shd w:val="clear" w:color="auto" w:fill="F2F2F2" w:themeFill="background1" w:themeFillShade="F2"/>
            <w:vAlign w:val="center"/>
          </w:tcPr>
          <w:p w14:paraId="0DCA9AD1" w14:textId="77777777" w:rsidR="009E01DA" w:rsidRPr="00B363AA" w:rsidRDefault="009E01DA" w:rsidP="003F3F11">
            <w:pPr>
              <w:jc w:val="left"/>
              <w:rPr>
                <w:sz w:val="20"/>
                <w:szCs w:val="20"/>
              </w:rPr>
            </w:pPr>
            <w:r w:rsidRPr="00B363AA">
              <w:rPr>
                <w:sz w:val="20"/>
                <w:szCs w:val="20"/>
              </w:rPr>
              <w:t>Fourniture eau</w:t>
            </w:r>
          </w:p>
        </w:tc>
        <w:tc>
          <w:tcPr>
            <w:tcW w:w="748" w:type="dxa"/>
            <w:vMerge w:val="restart"/>
            <w:vAlign w:val="center"/>
          </w:tcPr>
          <w:p w14:paraId="30A1F993"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63B73E59" wp14:editId="07DFD33F">
                      <wp:extent cx="94615" cy="153035"/>
                      <wp:effectExtent l="0" t="38100" r="57785" b="18415"/>
                      <wp:docPr id="1731663065"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7342AD39"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50F05857" w14:textId="77777777" w:rsidR="009E01DA" w:rsidRPr="00B363AA" w:rsidRDefault="009E01DA" w:rsidP="003F3F11">
            <w:pPr>
              <w:jc w:val="left"/>
              <w:rPr>
                <w:rFonts w:cs="Calibri"/>
                <w:sz w:val="20"/>
                <w:szCs w:val="20"/>
              </w:rPr>
            </w:pPr>
            <w:proofErr w:type="spellStart"/>
            <w:r w:rsidRPr="00B363AA">
              <w:rPr>
                <w:sz w:val="20"/>
                <w:szCs w:val="20"/>
              </w:rPr>
              <w:t>REU</w:t>
            </w:r>
            <w:r w:rsidRPr="00B363AA">
              <w:rPr>
                <w:sz w:val="20"/>
                <w:szCs w:val="20"/>
                <w:vertAlign w:val="subscript"/>
              </w:rPr>
              <w:t>qualité</w:t>
            </w:r>
            <w:proofErr w:type="spellEnd"/>
          </w:p>
        </w:tc>
        <w:tc>
          <w:tcPr>
            <w:tcW w:w="4252" w:type="dxa"/>
            <w:shd w:val="clear" w:color="auto" w:fill="F2F9EB"/>
            <w:vAlign w:val="center"/>
          </w:tcPr>
          <w:p w14:paraId="2F79D693" w14:textId="77777777" w:rsidR="009E01DA" w:rsidRPr="00B363AA" w:rsidRDefault="009E01DA" w:rsidP="003F3F11">
            <w:pPr>
              <w:jc w:val="left"/>
              <w:rPr>
                <w:sz w:val="20"/>
                <w:szCs w:val="20"/>
              </w:rPr>
            </w:pPr>
            <w:r w:rsidRPr="00B363AA">
              <w:rPr>
                <w:sz w:val="20"/>
                <w:szCs w:val="20"/>
              </w:rPr>
              <w:t xml:space="preserve">Valeurs optimales pour croissance racinaire </w:t>
            </w:r>
            <w:r w:rsidRPr="00B363AA">
              <w:rPr>
                <w:sz w:val="20"/>
                <w:szCs w:val="20"/>
              </w:rPr>
              <w:fldChar w:fldCharType="begin"/>
            </w:r>
            <w:r w:rsidRPr="00B363AA">
              <w:rPr>
                <w:sz w:val="20"/>
                <w:szCs w:val="20"/>
              </w:rPr>
              <w:instrText xml:space="preserve"> ADDIN ZOTERO_ITEM CSL_CITATION {"citationID":"wfh9soWb","properties":{"unsorted":false,"formattedCitation":"(Bielders et al., 2013)","plainCitation":"(Bielders et al., 2013)","noteIndex":0},"citationItems":[{"id":375,"uris":["http://zotero.org/groups/5684833/items/DDS2F9EX"],"itemData":{"id":375,"type":"article-journal","language":"fr","note":"number: UCL - Université Catholique de Louvain","source":"dial.uclouvain.be","title":"Vers des indicateurs de fonctionnement du sol (INFOSOL): approche méthodologique de développement d'indicateurs pédologiques pour les fonctions édaphiques de régulation hydrique et de support physique pour les plantes","title-short":"Vers des indicateurs de fonctionnement du sol (INFOSOL)","URL":"https://dial.uclouvain.be/pr/boreal/fr/object/boreal%3A127913","author":[{"family":"Bielders","given":"Charles"},{"family":"Javaux","given":"Mathieu"},{"family":"Roisin","given":"Christian"},{"family":"Vanclooster","given":"Marnik"}],"accessed":{"date-parts":[["2026",1,14]]},"issued":{"date-parts":[["2013"]]}}}],"schema":"https://github.com/citation-style-language/schema/raw/master/csl-citation.json"} </w:instrText>
            </w:r>
            <w:r w:rsidRPr="00B363AA">
              <w:rPr>
                <w:sz w:val="20"/>
                <w:szCs w:val="20"/>
              </w:rPr>
              <w:fldChar w:fldCharType="separate"/>
            </w:r>
            <w:r w:rsidRPr="00B363AA">
              <w:rPr>
                <w:rFonts w:cs="Calibri"/>
                <w:sz w:val="20"/>
              </w:rPr>
              <w:t>(Bielders et al., 2013)</w:t>
            </w:r>
            <w:r w:rsidRPr="00B363AA">
              <w:rPr>
                <w:sz w:val="20"/>
                <w:szCs w:val="20"/>
              </w:rPr>
              <w:fldChar w:fldCharType="end"/>
            </w:r>
          </w:p>
        </w:tc>
      </w:tr>
      <w:tr w:rsidR="009E01DA" w:rsidRPr="00B363AA" w14:paraId="45AC73C1" w14:textId="77777777" w:rsidTr="003F3F11">
        <w:tblPrEx>
          <w:tblCellMar>
            <w:top w:w="0" w:type="dxa"/>
            <w:bottom w:w="0" w:type="dxa"/>
          </w:tblCellMar>
        </w:tblPrEx>
        <w:tc>
          <w:tcPr>
            <w:tcW w:w="1200" w:type="dxa"/>
            <w:vMerge/>
            <w:shd w:val="clear" w:color="auto" w:fill="D1D1D1" w:themeFill="background2" w:themeFillShade="E6"/>
            <w:vAlign w:val="center"/>
          </w:tcPr>
          <w:p w14:paraId="07B2207E"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579537A5" w14:textId="77777777" w:rsidR="009E01DA" w:rsidRPr="00B363AA" w:rsidRDefault="009E01DA" w:rsidP="003F3F11">
            <w:pPr>
              <w:jc w:val="left"/>
              <w:rPr>
                <w:sz w:val="20"/>
                <w:szCs w:val="20"/>
              </w:rPr>
            </w:pPr>
          </w:p>
        </w:tc>
        <w:tc>
          <w:tcPr>
            <w:tcW w:w="748" w:type="dxa"/>
            <w:vMerge/>
            <w:vAlign w:val="center"/>
          </w:tcPr>
          <w:p w14:paraId="1284A5C9" w14:textId="77777777" w:rsidR="009E01DA" w:rsidRPr="00B363AA" w:rsidRDefault="009E01DA" w:rsidP="003F3F11">
            <w:pPr>
              <w:jc w:val="center"/>
              <w:rPr>
                <w:sz w:val="20"/>
                <w:szCs w:val="20"/>
              </w:rPr>
            </w:pPr>
          </w:p>
        </w:tc>
        <w:tc>
          <w:tcPr>
            <w:tcW w:w="1628" w:type="dxa"/>
            <w:shd w:val="clear" w:color="auto" w:fill="EFF5FB"/>
            <w:vAlign w:val="center"/>
          </w:tcPr>
          <w:p w14:paraId="05D8D8A1" w14:textId="77777777" w:rsidR="009E01DA" w:rsidRPr="00B363AA" w:rsidRDefault="009E01DA" w:rsidP="003F3F11">
            <w:pPr>
              <w:jc w:val="left"/>
              <w:rPr>
                <w:rFonts w:cs="Calibri"/>
                <w:sz w:val="20"/>
                <w:szCs w:val="20"/>
              </w:rPr>
            </w:pPr>
            <w:proofErr w:type="spellStart"/>
            <w:r w:rsidRPr="00B363AA">
              <w:rPr>
                <w:sz w:val="20"/>
                <w:szCs w:val="20"/>
              </w:rPr>
              <w:t>REU</w:t>
            </w:r>
            <w:r w:rsidRPr="00B363AA">
              <w:rPr>
                <w:sz w:val="20"/>
                <w:szCs w:val="20"/>
                <w:vertAlign w:val="subscript"/>
              </w:rPr>
              <w:t>santé</w:t>
            </w:r>
            <w:proofErr w:type="spellEnd"/>
          </w:p>
        </w:tc>
        <w:tc>
          <w:tcPr>
            <w:tcW w:w="4252" w:type="dxa"/>
            <w:shd w:val="clear" w:color="auto" w:fill="EFF5FB"/>
            <w:vAlign w:val="center"/>
          </w:tcPr>
          <w:p w14:paraId="6AFB4C56" w14:textId="77777777" w:rsidR="009E01DA" w:rsidRPr="00B363AA" w:rsidRDefault="009E01DA" w:rsidP="003F3F11">
            <w:pPr>
              <w:jc w:val="left"/>
              <w:rPr>
                <w:sz w:val="20"/>
                <w:szCs w:val="20"/>
              </w:rPr>
            </w:pPr>
            <w:r w:rsidRPr="00B363AA">
              <w:rPr>
                <w:sz w:val="20"/>
                <w:szCs w:val="20"/>
              </w:rPr>
              <w:t>Comparaison à la valeur optimale (MO optimisée)</w:t>
            </w:r>
          </w:p>
        </w:tc>
      </w:tr>
      <w:tr w:rsidR="009E01DA" w:rsidRPr="00B363AA" w14:paraId="78EB1166" w14:textId="77777777" w:rsidTr="003F3F11">
        <w:tblPrEx>
          <w:tblCellMar>
            <w:top w:w="0" w:type="dxa"/>
            <w:bottom w:w="0" w:type="dxa"/>
          </w:tblCellMar>
        </w:tblPrEx>
        <w:tc>
          <w:tcPr>
            <w:tcW w:w="1200" w:type="dxa"/>
            <w:vMerge/>
            <w:shd w:val="clear" w:color="auto" w:fill="D1D1D1" w:themeFill="background2" w:themeFillShade="E6"/>
            <w:vAlign w:val="center"/>
          </w:tcPr>
          <w:p w14:paraId="03E19E57" w14:textId="77777777" w:rsidR="009E01DA" w:rsidRPr="00B363AA" w:rsidRDefault="009E01DA" w:rsidP="003F3F11">
            <w:pPr>
              <w:jc w:val="left"/>
              <w:rPr>
                <w:b/>
                <w:bCs/>
                <w:sz w:val="20"/>
                <w:szCs w:val="20"/>
              </w:rPr>
            </w:pPr>
          </w:p>
        </w:tc>
        <w:tc>
          <w:tcPr>
            <w:tcW w:w="1239" w:type="dxa"/>
            <w:vMerge w:val="restart"/>
            <w:tcBorders>
              <w:top w:val="single" w:sz="4" w:space="0" w:color="FFFFFF" w:themeColor="background1"/>
            </w:tcBorders>
            <w:shd w:val="clear" w:color="auto" w:fill="F2F2F2" w:themeFill="background1" w:themeFillShade="F2"/>
            <w:vAlign w:val="center"/>
          </w:tcPr>
          <w:p w14:paraId="01842050" w14:textId="77777777" w:rsidR="009E01DA" w:rsidRPr="00B363AA" w:rsidRDefault="009E01DA" w:rsidP="003F3F11">
            <w:pPr>
              <w:jc w:val="left"/>
              <w:rPr>
                <w:sz w:val="20"/>
                <w:szCs w:val="20"/>
              </w:rPr>
            </w:pPr>
            <w:r w:rsidRPr="00B363AA">
              <w:rPr>
                <w:sz w:val="20"/>
                <w:szCs w:val="20"/>
              </w:rPr>
              <w:t>Structure</w:t>
            </w:r>
          </w:p>
        </w:tc>
        <w:tc>
          <w:tcPr>
            <w:tcW w:w="748" w:type="dxa"/>
            <w:vMerge w:val="restart"/>
            <w:tcBorders>
              <w:top w:val="single" w:sz="4" w:space="0" w:color="FFFFFF" w:themeColor="background1"/>
            </w:tcBorders>
            <w:vAlign w:val="center"/>
          </w:tcPr>
          <w:p w14:paraId="44D85316"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30B7D57B" wp14:editId="17858F00">
                      <wp:extent cx="94615" cy="153035"/>
                      <wp:effectExtent l="0" t="0" r="76835" b="56515"/>
                      <wp:docPr id="687576109" name="Connecteur droit avec flèche 1"/>
                      <wp:cNvGraphicFramePr/>
                      <a:graphic xmlns:a="http://schemas.openxmlformats.org/drawingml/2006/main">
                        <a:graphicData uri="http://schemas.microsoft.com/office/word/2010/wordprocessingShape">
                          <wps:wsp>
                            <wps:cNvCnPr/>
                            <wps:spPr>
                              <a:xfrm>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78F971D9" id="Connecteur droit avec flèche 1" o:spid="_x0000_s1026" type="#_x0000_t32" style="width:7.45pt;height:12.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" strokecolor="#0e2841 [3215]" strokeweight="1pt">
                      <v:stroke endarrow="block" joinstyle="miter"/>
                      <w10:anchorlock/>
                    </v:shape>
                  </w:pict>
                </mc:Fallback>
              </mc:AlternateContent>
            </w:r>
          </w:p>
        </w:tc>
        <w:tc>
          <w:tcPr>
            <w:tcW w:w="1628" w:type="dxa"/>
            <w:tcBorders>
              <w:top w:val="single" w:sz="4" w:space="0" w:color="FFFFFF" w:themeColor="background1"/>
            </w:tcBorders>
            <w:shd w:val="clear" w:color="auto" w:fill="F2F9EB"/>
            <w:vAlign w:val="center"/>
          </w:tcPr>
          <w:p w14:paraId="39F84B69" w14:textId="77777777" w:rsidR="009E01DA" w:rsidRPr="00B363AA" w:rsidRDefault="009E01DA" w:rsidP="003F3F11">
            <w:pPr>
              <w:jc w:val="left"/>
              <w:rPr>
                <w:rFonts w:cs="Calibri"/>
                <w:sz w:val="20"/>
                <w:szCs w:val="20"/>
              </w:rPr>
            </w:pPr>
            <w:proofErr w:type="spellStart"/>
            <w:r w:rsidRPr="00B363AA">
              <w:rPr>
                <w:sz w:val="20"/>
                <w:szCs w:val="20"/>
              </w:rPr>
              <w:t>VESS</w:t>
            </w:r>
            <w:r w:rsidRPr="00B363AA">
              <w:rPr>
                <w:sz w:val="20"/>
                <w:szCs w:val="20"/>
                <w:vertAlign w:val="subscript"/>
              </w:rPr>
              <w:t>qualité</w:t>
            </w:r>
            <w:proofErr w:type="spellEnd"/>
          </w:p>
        </w:tc>
        <w:tc>
          <w:tcPr>
            <w:tcW w:w="4252" w:type="dxa"/>
            <w:vMerge w:val="restart"/>
            <w:vAlign w:val="center"/>
          </w:tcPr>
          <w:p w14:paraId="0571C6FA" w14:textId="77777777" w:rsidR="009E01DA" w:rsidRPr="00B363AA" w:rsidRDefault="009E01DA" w:rsidP="003F3F11">
            <w:pPr>
              <w:jc w:val="left"/>
              <w:rPr>
                <w:sz w:val="20"/>
                <w:szCs w:val="20"/>
              </w:rPr>
            </w:pPr>
            <w:r w:rsidRPr="00B363AA">
              <w:rPr>
                <w:sz w:val="20"/>
                <w:szCs w:val="20"/>
              </w:rPr>
              <w:t xml:space="preserve">Valeurs optimales pour croissance racinaire </w:t>
            </w:r>
            <w:r w:rsidRPr="00B363AA">
              <w:rPr>
                <w:sz w:val="20"/>
                <w:szCs w:val="20"/>
              </w:rPr>
              <w:fldChar w:fldCharType="begin"/>
            </w:r>
            <w:r w:rsidRPr="00B363AA">
              <w:rPr>
                <w:sz w:val="20"/>
                <w:szCs w:val="20"/>
              </w:rPr>
              <w:instrText xml:space="preserve"> ADDIN ZOTERO_ITEM CSL_CITATION {"citationID":"kOYiCpII","properties":{"unsorted":false,"formattedCitation":"(Ball et al., 2017)","plainCitation":"(Ball et al., 2017)","noteIndex":0},"citationItems":[{"id":471,"uris":["http://zotero.org/groups/5684833/items/AGAM8FM8"],"itemData":{"id":471,"type":"article-journal","abstract":"Visual soil evaluation techniques have gained popularity and are increasingly used in agriculture and soil science for research, consultancy and teaching purposes. We describe recent applications, developments, opportunities and limitations, mainly of the Visual Evaluation of Soil Structure (for topsoil (VESS) and for subsoil (SubVESS)), and of the Visual Soil Assessment (VSA). Data are taken from experiments on compaction and from assessments made in farmer’s fields in the UK, Brazil and New Zealand. The methods are widely used to detect compaction and are well-suited for monitoring changes in compaction status, particularly in relation to weather extremes. VESS proved useful in distinguishing grazing vs wheel compaction in the UK and Brazil by permitting detection of layers at different depths within the topsoil zone. The depths of compact layers are important for scoring management decisions for soil improvement. However the use of scores as limiting thresholds in different soil types needs the support of further soil measurements and/or additional visual assessments of soil and crop. VSA and VESS were also used to estimate the risk of significant soil emissions of nitrous oxide where compaction damage was present and rates of mineral N fertiliser were high. Visual assessments also have the potential to assess the risk of surface water runoff and nutrient loss. The potential role of soil colour was shown for the further development of visual evaluation techniques for a soil carbon storage index. Visual soil evaluation techniques also provide a useful visual aid for improving soil awareness in groups of stakeholders, helping the exchange of knowledge and ideas for innovation in agriculture.","collection-title":"Visual soil evaluation and soil compaction research","container-title":"Soil and Tillage Research","DOI":"10.1016/j.still.2016.07.006","ISSN":"0167-1987","journalAbbreviation":"Soil and Tillage Research","page":"114-124","source":"ScienceDirect","title":"Visual soil evaluation: A summary of some applications and potential developments for agriculture","title-short":"Visual soil evaluation","volume":"173","author":[{"family":"Ball","given":"Bruce C."},{"family":"Guimarães","given":"Rachel M. L."},{"family":"Cloy","given":"Joanna M."},{"family":"Hargreaves","given":"Paul R."},{"family":"Shepherd","given":"T. Graham"},{"family":"McKenzie","given":"Blair M."}],"issued":{"date-parts":[["2017",11,1]]}}}],"schema":"https://github.com/citation-style-language/schema/raw/master/csl-citation.json"} </w:instrText>
            </w:r>
            <w:r w:rsidRPr="00B363AA">
              <w:rPr>
                <w:sz w:val="20"/>
                <w:szCs w:val="20"/>
              </w:rPr>
              <w:fldChar w:fldCharType="separate"/>
            </w:r>
            <w:r w:rsidRPr="00B363AA">
              <w:rPr>
                <w:rFonts w:cs="Calibri"/>
                <w:sz w:val="20"/>
              </w:rPr>
              <w:t>(Ball et al., 2017)</w:t>
            </w:r>
            <w:r w:rsidRPr="00B363AA">
              <w:rPr>
                <w:sz w:val="20"/>
                <w:szCs w:val="20"/>
              </w:rPr>
              <w:fldChar w:fldCharType="end"/>
            </w:r>
          </w:p>
        </w:tc>
      </w:tr>
      <w:tr w:rsidR="009E01DA" w:rsidRPr="00B363AA" w14:paraId="031B1867" w14:textId="77777777" w:rsidTr="003F3F11">
        <w:tblPrEx>
          <w:tblCellMar>
            <w:top w:w="0" w:type="dxa"/>
            <w:bottom w:w="0" w:type="dxa"/>
          </w:tblCellMar>
        </w:tblPrEx>
        <w:tc>
          <w:tcPr>
            <w:tcW w:w="1200" w:type="dxa"/>
            <w:vMerge/>
            <w:shd w:val="clear" w:color="auto" w:fill="D1D1D1" w:themeFill="background2" w:themeFillShade="E6"/>
            <w:vAlign w:val="center"/>
          </w:tcPr>
          <w:p w14:paraId="6D07792D"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52C0AEC1" w14:textId="77777777" w:rsidR="009E01DA" w:rsidRPr="00B363AA" w:rsidRDefault="009E01DA" w:rsidP="003F3F11">
            <w:pPr>
              <w:jc w:val="left"/>
              <w:rPr>
                <w:sz w:val="20"/>
                <w:szCs w:val="20"/>
              </w:rPr>
            </w:pPr>
          </w:p>
        </w:tc>
        <w:tc>
          <w:tcPr>
            <w:tcW w:w="748" w:type="dxa"/>
            <w:vMerge/>
            <w:vAlign w:val="center"/>
          </w:tcPr>
          <w:p w14:paraId="44FD023F" w14:textId="77777777" w:rsidR="009E01DA" w:rsidRPr="00B363AA" w:rsidRDefault="009E01DA" w:rsidP="003F3F11">
            <w:pPr>
              <w:jc w:val="center"/>
              <w:rPr>
                <w:sz w:val="20"/>
                <w:szCs w:val="20"/>
              </w:rPr>
            </w:pPr>
          </w:p>
        </w:tc>
        <w:tc>
          <w:tcPr>
            <w:tcW w:w="1628" w:type="dxa"/>
            <w:shd w:val="clear" w:color="auto" w:fill="EFF5FB"/>
            <w:vAlign w:val="center"/>
          </w:tcPr>
          <w:p w14:paraId="394C0673" w14:textId="77777777" w:rsidR="009E01DA" w:rsidRPr="00B363AA" w:rsidRDefault="009E01DA" w:rsidP="003F3F11">
            <w:pPr>
              <w:jc w:val="left"/>
              <w:rPr>
                <w:rFonts w:cs="Calibri"/>
                <w:sz w:val="20"/>
                <w:szCs w:val="20"/>
              </w:rPr>
            </w:pPr>
            <w:proofErr w:type="spellStart"/>
            <w:r w:rsidRPr="00B363AA">
              <w:rPr>
                <w:sz w:val="20"/>
                <w:szCs w:val="20"/>
              </w:rPr>
              <w:t>VESS</w:t>
            </w:r>
            <w:r w:rsidRPr="00B363AA">
              <w:rPr>
                <w:sz w:val="20"/>
                <w:szCs w:val="20"/>
                <w:vertAlign w:val="subscript"/>
              </w:rPr>
              <w:t>santé</w:t>
            </w:r>
            <w:proofErr w:type="spellEnd"/>
          </w:p>
        </w:tc>
        <w:tc>
          <w:tcPr>
            <w:tcW w:w="4252" w:type="dxa"/>
            <w:vMerge/>
            <w:vAlign w:val="center"/>
          </w:tcPr>
          <w:p w14:paraId="34A04245" w14:textId="77777777" w:rsidR="009E01DA" w:rsidRPr="00B363AA" w:rsidRDefault="009E01DA" w:rsidP="003F3F11">
            <w:pPr>
              <w:jc w:val="left"/>
              <w:rPr>
                <w:sz w:val="20"/>
                <w:szCs w:val="20"/>
              </w:rPr>
            </w:pPr>
          </w:p>
        </w:tc>
      </w:tr>
      <w:tr w:rsidR="009E01DA" w:rsidRPr="00B363AA" w14:paraId="6A5D80FF" w14:textId="77777777" w:rsidTr="003F3F11">
        <w:tblPrEx>
          <w:tblCellMar>
            <w:top w:w="0" w:type="dxa"/>
            <w:bottom w:w="0" w:type="dxa"/>
          </w:tblCellMar>
        </w:tblPrEx>
        <w:tc>
          <w:tcPr>
            <w:tcW w:w="1200" w:type="dxa"/>
            <w:vMerge/>
            <w:shd w:val="clear" w:color="auto" w:fill="D1D1D1" w:themeFill="background2" w:themeFillShade="E6"/>
            <w:vAlign w:val="center"/>
          </w:tcPr>
          <w:p w14:paraId="4183D7E6"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79FE5A09" w14:textId="77777777" w:rsidR="009E01DA" w:rsidRPr="00B363AA" w:rsidRDefault="009E01DA" w:rsidP="003F3F11">
            <w:pPr>
              <w:jc w:val="left"/>
              <w:rPr>
                <w:sz w:val="20"/>
                <w:szCs w:val="20"/>
              </w:rPr>
            </w:pPr>
          </w:p>
        </w:tc>
        <w:tc>
          <w:tcPr>
            <w:tcW w:w="748" w:type="dxa"/>
            <w:vMerge w:val="restart"/>
            <w:tcBorders>
              <w:top w:val="single" w:sz="4" w:space="0" w:color="FFFFFF" w:themeColor="background1"/>
            </w:tcBorders>
            <w:vAlign w:val="center"/>
          </w:tcPr>
          <w:p w14:paraId="2DD1070D"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79CBB921" wp14:editId="178A27CB">
                      <wp:extent cx="248400" cy="0"/>
                      <wp:effectExtent l="38100" t="76200" r="18415" b="95250"/>
                      <wp:docPr id="527244355" name="Connecteur droit avec flèche 1"/>
                      <wp:cNvGraphicFramePr/>
                      <a:graphic xmlns:a="http://schemas.openxmlformats.org/drawingml/2006/main">
                        <a:graphicData uri="http://schemas.microsoft.com/office/word/2010/wordprocessingShape">
                          <wps:wsp>
                            <wps:cNvCnPr/>
                            <wps:spPr>
                              <a:xfrm flipV="1">
                                <a:off x="0" y="0"/>
                                <a:ext cx="248400" cy="0"/>
                              </a:xfrm>
                              <a:prstGeom prst="straightConnector1">
                                <a:avLst/>
                              </a:prstGeom>
                              <a:ln w="12700">
                                <a:solidFill>
                                  <a:schemeClr val="tx2"/>
                                </a:solidFill>
                                <a:headEnd type="triangl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47B4ABF" id="Connecteur droit avec flèche 1" o:spid="_x0000_s1026" type="#_x0000_t32" style="width:19.55pt;height:0;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" strokecolor="#0e2841 [3215]" strokeweight="1pt">
                      <v:stroke startarrow="block" endarrow="block" joinstyle="miter"/>
                      <w10:anchorlock/>
                    </v:shape>
                  </w:pict>
                </mc:Fallback>
              </mc:AlternateContent>
            </w:r>
          </w:p>
        </w:tc>
        <w:tc>
          <w:tcPr>
            <w:tcW w:w="1628" w:type="dxa"/>
            <w:tcBorders>
              <w:top w:val="single" w:sz="4" w:space="0" w:color="FFFFFF" w:themeColor="background1"/>
            </w:tcBorders>
            <w:shd w:val="clear" w:color="auto" w:fill="F2F9EB"/>
            <w:vAlign w:val="center"/>
          </w:tcPr>
          <w:p w14:paraId="47085A42" w14:textId="77777777" w:rsidR="009E01DA" w:rsidRPr="00B363AA" w:rsidRDefault="009E01DA" w:rsidP="003F3F11">
            <w:pPr>
              <w:jc w:val="left"/>
              <w:rPr>
                <w:rFonts w:cs="Calibri"/>
                <w:sz w:val="20"/>
                <w:szCs w:val="20"/>
              </w:rPr>
            </w:pPr>
            <w:proofErr w:type="spellStart"/>
            <w:proofErr w:type="gramStart"/>
            <w:r w:rsidRPr="00B363AA">
              <w:rPr>
                <w:rFonts w:cs="Calibri"/>
              </w:rPr>
              <w:t>ρ</w:t>
            </w:r>
            <w:proofErr w:type="gramEnd"/>
            <w:r w:rsidRPr="00B363AA">
              <w:rPr>
                <w:rFonts w:cs="Calibri"/>
                <w:vertAlign w:val="subscript"/>
              </w:rPr>
              <w:t>b</w:t>
            </w:r>
            <w:proofErr w:type="spellEnd"/>
            <w:r w:rsidRPr="00B363AA">
              <w:rPr>
                <w:rFonts w:cs="Calibri"/>
                <w:vertAlign w:val="subscript"/>
              </w:rPr>
              <w:t xml:space="preserve"> </w:t>
            </w:r>
            <w:r w:rsidRPr="00B363AA">
              <w:rPr>
                <w:sz w:val="20"/>
                <w:szCs w:val="20"/>
                <w:vertAlign w:val="subscript"/>
              </w:rPr>
              <w:t>qualité</w:t>
            </w:r>
          </w:p>
        </w:tc>
        <w:tc>
          <w:tcPr>
            <w:tcW w:w="4252" w:type="dxa"/>
            <w:tcBorders>
              <w:top w:val="single" w:sz="4" w:space="0" w:color="FFFFFF" w:themeColor="background1"/>
            </w:tcBorders>
            <w:shd w:val="clear" w:color="auto" w:fill="F2F9EB"/>
            <w:vAlign w:val="center"/>
          </w:tcPr>
          <w:p w14:paraId="267B7C55" w14:textId="77777777" w:rsidR="009E01DA" w:rsidRPr="00B363AA" w:rsidRDefault="009E01DA" w:rsidP="003F3F11">
            <w:pPr>
              <w:jc w:val="left"/>
              <w:rPr>
                <w:sz w:val="20"/>
                <w:szCs w:val="20"/>
              </w:rPr>
            </w:pPr>
            <w:r w:rsidRPr="00B363AA">
              <w:rPr>
                <w:sz w:val="20"/>
                <w:szCs w:val="20"/>
              </w:rPr>
              <w:t xml:space="preserve">Valeurs optimales pour croissance racinaire </w:t>
            </w:r>
            <w:r w:rsidRPr="00B363AA">
              <w:rPr>
                <w:sz w:val="20"/>
                <w:szCs w:val="20"/>
              </w:rPr>
              <w:fldChar w:fldCharType="begin"/>
            </w:r>
            <w:r w:rsidRPr="00B363AA">
              <w:rPr>
                <w:sz w:val="20"/>
                <w:szCs w:val="20"/>
              </w:rPr>
              <w:instrText xml:space="preserve"> ADDIN ZOTERO_ITEM CSL_CITATION {"citationID":"180WNerY","properties":{"unsorted":false,"formattedCitation":"(Bielders et al., 2013)","plainCitation":"(Bielders et al., 2013)","noteIndex":0},"citationItems":[{"id":375,"uris":["http://zotero.org/groups/5684833/items/DDS2F9EX"],"itemData":{"id":375,"type":"article-journal","language":"fr","note":"number: UCL - Université Catholique de Louvain","source":"dial.uclouvain.be","title":"Vers des indicateurs de fonctionnement du sol (INFOSOL): approche méthodologique de développement d'indicateurs pédologiques pour les fonctions édaphiques de régulation hydrique et de support physique pour les plantes","title-short":"Vers des indicateurs de fonctionnement du sol (INFOSOL)","URL":"https://dial.uclouvain.be/pr/boreal/fr/object/boreal%3A127913","author":[{"family":"Bielders","given":"Charles"},{"family":"Javaux","given":"Mathieu"},{"family":"Roisin","given":"Christian"},{"family":"Vanclooster","given":"Marnik"}],"accessed":{"date-parts":[["2026",1,14]]},"issued":{"date-parts":[["2013"]]}}}],"schema":"https://github.com/citation-style-language/schema/raw/master/csl-citation.json"} </w:instrText>
            </w:r>
            <w:r w:rsidRPr="00B363AA">
              <w:rPr>
                <w:sz w:val="20"/>
                <w:szCs w:val="20"/>
              </w:rPr>
              <w:fldChar w:fldCharType="separate"/>
            </w:r>
            <w:r w:rsidRPr="00B363AA">
              <w:rPr>
                <w:rFonts w:cs="Calibri"/>
                <w:sz w:val="20"/>
              </w:rPr>
              <w:t>(Bielders et al., 2013)</w:t>
            </w:r>
            <w:r w:rsidRPr="00B363AA">
              <w:rPr>
                <w:sz w:val="20"/>
                <w:szCs w:val="20"/>
              </w:rPr>
              <w:fldChar w:fldCharType="end"/>
            </w:r>
          </w:p>
        </w:tc>
      </w:tr>
      <w:tr w:rsidR="009E01DA" w:rsidRPr="00B363AA" w14:paraId="724BBDC9" w14:textId="77777777" w:rsidTr="003F3F11">
        <w:tc>
          <w:tcPr>
            <w:tcW w:w="1200" w:type="dxa"/>
            <w:vMerge/>
            <w:shd w:val="clear" w:color="auto" w:fill="D1D1D1" w:themeFill="background2" w:themeFillShade="E6"/>
            <w:vAlign w:val="center"/>
          </w:tcPr>
          <w:p w14:paraId="202AB8B7"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21FD048C" w14:textId="77777777" w:rsidR="009E01DA" w:rsidRPr="00B363AA" w:rsidRDefault="009E01DA" w:rsidP="003F3F11">
            <w:pPr>
              <w:jc w:val="left"/>
              <w:rPr>
                <w:sz w:val="20"/>
                <w:szCs w:val="20"/>
              </w:rPr>
            </w:pPr>
          </w:p>
        </w:tc>
        <w:tc>
          <w:tcPr>
            <w:tcW w:w="748" w:type="dxa"/>
            <w:vMerge/>
            <w:vAlign w:val="center"/>
          </w:tcPr>
          <w:p w14:paraId="02A42DF4" w14:textId="77777777" w:rsidR="009E01DA" w:rsidRPr="00B363AA" w:rsidRDefault="009E01DA" w:rsidP="003F3F11">
            <w:pPr>
              <w:jc w:val="center"/>
              <w:rPr>
                <w:sz w:val="20"/>
                <w:szCs w:val="20"/>
              </w:rPr>
            </w:pPr>
          </w:p>
        </w:tc>
        <w:tc>
          <w:tcPr>
            <w:tcW w:w="1628" w:type="dxa"/>
            <w:vMerge w:val="restart"/>
            <w:shd w:val="clear" w:color="auto" w:fill="EFF5FB"/>
            <w:vAlign w:val="center"/>
          </w:tcPr>
          <w:p w14:paraId="6F839ADE" w14:textId="77777777" w:rsidR="009E01DA" w:rsidRPr="00B363AA" w:rsidRDefault="009E01DA" w:rsidP="003F3F11">
            <w:pPr>
              <w:jc w:val="left"/>
              <w:rPr>
                <w:rFonts w:cs="Calibri"/>
                <w:sz w:val="20"/>
                <w:szCs w:val="20"/>
              </w:rPr>
            </w:pPr>
            <w:proofErr w:type="spellStart"/>
            <w:proofErr w:type="gramStart"/>
            <w:r w:rsidRPr="00B363AA">
              <w:rPr>
                <w:rFonts w:cs="Calibri"/>
              </w:rPr>
              <w:t>ρ</w:t>
            </w:r>
            <w:proofErr w:type="gramEnd"/>
            <w:r w:rsidRPr="00B363AA">
              <w:rPr>
                <w:rFonts w:cs="Calibri"/>
                <w:vertAlign w:val="subscript"/>
              </w:rPr>
              <w:t>b</w:t>
            </w:r>
            <w:proofErr w:type="spellEnd"/>
            <w:r w:rsidRPr="00B363AA">
              <w:rPr>
                <w:sz w:val="20"/>
                <w:szCs w:val="20"/>
                <w:vertAlign w:val="subscript"/>
              </w:rPr>
              <w:t xml:space="preserve"> santé</w:t>
            </w:r>
          </w:p>
        </w:tc>
        <w:tc>
          <w:tcPr>
            <w:tcW w:w="4252" w:type="dxa"/>
            <w:shd w:val="clear" w:color="auto" w:fill="EFF5FB"/>
            <w:vAlign w:val="center"/>
          </w:tcPr>
          <w:p w14:paraId="26D91D74" w14:textId="77777777" w:rsidR="009E01DA" w:rsidRPr="00B363AA" w:rsidRDefault="009E01DA" w:rsidP="003F3F11">
            <w:pPr>
              <w:jc w:val="left"/>
              <w:rPr>
                <w:sz w:val="20"/>
                <w:szCs w:val="20"/>
              </w:rPr>
            </w:pPr>
            <w:r w:rsidRPr="00B363AA">
              <w:rPr>
                <w:sz w:val="20"/>
                <w:szCs w:val="20"/>
              </w:rPr>
              <w:t xml:space="preserve">(C-P-EV) Valeurs idéales par classe texturale pour des cultures </w:t>
            </w:r>
            <w:r w:rsidRPr="00B363AA">
              <w:rPr>
                <w:sz w:val="20"/>
                <w:szCs w:val="20"/>
              </w:rPr>
              <w:fldChar w:fldCharType="begin"/>
            </w:r>
            <w:r w:rsidRPr="00B363AA">
              <w:rPr>
                <w:sz w:val="20"/>
                <w:szCs w:val="20"/>
              </w:rPr>
              <w:instrText xml:space="preserve"> ADDIN ZOTERO_ITEM CSL_CITATION {"citationID":"CN5H1qTH","properties":{"unsorted":false,"formattedCitation":"(Calzolari et al., 2019)","plainCitation":"(Calzolari et al., 2019)","noteIndex":0},"citationItems":[{"id":562,"uris":["http://zotero.org/groups/5684833/items/DL92HZTX"],"itemData":{"id":562,"type":"article-journal","abstract":"Urban soils are deeply influenced by human activities. They consist of materials different from those of nearby agricultural or natural areas, due to mechanical disturbance, supply or removal of material, contamination with exogenous materials (plastics, asphalt, pollutants, etc.). They are the result of urbanization activities that involve total or partial sealing of the surfaces (Morel et al. 2005).\nThe development of urban soils is controlled by the same factors as natural soils, with a clear and important prevalence of the anthropic factor. The survey of urban soils therefore follows the same criteria of surveying natural or agricultural soils, taking into account that the anthropic disturbance in addition to being prevalent acts in a very short time. This causes a strong heterogeneity in the spatial distribution of the soils and of their characteristics that is problematic to solve in a detailed soil map. \nHuman disturbed soils are classified (FAO World Reference Base For Soil Resources, IUSS - Working Group WRB, 2014) as: \no Anthrosols: soil that has been formed or heavily modified due to long-term human activity, such as from irrigation, addition of organic waste or wet-field cultivation used to create paddy fields\no Technosols: are dominated by their technical origin. They contain either a significant (20% or more) amount of artefacts or some sort of geotechnical liner, or are sealed by technic hard rock (hard material created by humans, having properties unlike natural rock).\nUrban soils perform the same functions as a natural soil contributing to the provision of Ecosystem Services. However, the degree of disturbance to which they are subjected, the level of sealing and the type of coverage have an influence that needs to be described in detail and taken into account.\nGiven the great variability of the urban environment and the differences between different urban environments, there are still no standardized references for the survey and mapping of urban soils. There are some experiences, such as the map of the city of Berlin (https://www.stadtentwicklung.berlin.de/umwelt/umweltatlas/dinh_01.htm) and of New York City (http://www.soilandwater.nyc/urban-soils.html). \nWithin the SOS4LIFE project, a methodology has been developed for defining  urban soil mapping units in the study case of the town of Carpi (MO), based on the type of \"natural\" soils below the urban fabric, the urban typologies and the land cover of unsealed soils. Considering that most of the SEs in urban areas are provided by green areas, the assessment of soils and related functionality has been concentrated in gardens and parks, sports fields and on peri-urban agricultural areas. The gardens in private allotments were not considered, having verified the high degree of impermeabilization of the same (driveways, parking lots, access ramps to garages, etc.). However, even these soils, although strongly altered, maintain some functionalities. The SEs considered are therefore generally underestimated for the entire city.","language":"cpe","note":"Accepted: 2024-02-19T13:57:35Z","source":"iris.cnr.it","title":"Guidelines for assessing soil ecosystem services in urban environment and their management - LIFE15 ENV/IT/000225 GUIDELINES ACTION B1.3","URL":"https://iris.cnr.it/handle/20.500.14243/362331","author":[{"family":"Calzolari","given":"Costanza"},{"family":"Ungaro","given":"Fabrizio"},{"family":"Maienza","given":"Anita"},{"family":"Marchi","given":"Nazaria"},{"family":"Tarocco","given":"Paola"}],"accessed":{"date-parts":[["2026",5,31]]},"issued":{"date-parts":[["2019"]]}}}],"schema":"https://github.com/citation-style-language/schema/raw/master/csl-citation.json"} </w:instrText>
            </w:r>
            <w:r w:rsidRPr="00B363AA">
              <w:rPr>
                <w:sz w:val="20"/>
                <w:szCs w:val="20"/>
              </w:rPr>
              <w:fldChar w:fldCharType="separate"/>
            </w:r>
            <w:r w:rsidRPr="00B363AA">
              <w:rPr>
                <w:rFonts w:cs="Calibri"/>
                <w:sz w:val="20"/>
              </w:rPr>
              <w:t>(Calzolari et al., 2019)</w:t>
            </w:r>
            <w:r w:rsidRPr="00B363AA">
              <w:rPr>
                <w:sz w:val="20"/>
                <w:szCs w:val="20"/>
              </w:rPr>
              <w:fldChar w:fldCharType="end"/>
            </w:r>
            <w:r w:rsidRPr="00B363AA">
              <w:rPr>
                <w:sz w:val="20"/>
                <w:szCs w:val="20"/>
              </w:rPr>
              <w:t xml:space="preserve"> </w:t>
            </w:r>
          </w:p>
        </w:tc>
      </w:tr>
      <w:tr w:rsidR="009E01DA" w:rsidRPr="00B363AA" w14:paraId="2525D4AB" w14:textId="77777777" w:rsidTr="003F3F11">
        <w:tc>
          <w:tcPr>
            <w:tcW w:w="1200" w:type="dxa"/>
            <w:vMerge/>
            <w:shd w:val="clear" w:color="auto" w:fill="D1D1D1" w:themeFill="background2" w:themeFillShade="E6"/>
            <w:vAlign w:val="center"/>
          </w:tcPr>
          <w:p w14:paraId="5EBCAF45"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079CCF99" w14:textId="77777777" w:rsidR="009E01DA" w:rsidRPr="00B363AA" w:rsidRDefault="009E01DA" w:rsidP="003F3F11">
            <w:pPr>
              <w:jc w:val="left"/>
              <w:rPr>
                <w:sz w:val="20"/>
                <w:szCs w:val="20"/>
              </w:rPr>
            </w:pPr>
          </w:p>
        </w:tc>
        <w:tc>
          <w:tcPr>
            <w:tcW w:w="748" w:type="dxa"/>
            <w:vMerge/>
            <w:vAlign w:val="center"/>
          </w:tcPr>
          <w:p w14:paraId="25D4D8C8" w14:textId="77777777" w:rsidR="009E01DA" w:rsidRPr="00B363AA" w:rsidRDefault="009E01DA" w:rsidP="003F3F11">
            <w:pPr>
              <w:jc w:val="center"/>
              <w:rPr>
                <w:sz w:val="20"/>
                <w:szCs w:val="20"/>
              </w:rPr>
            </w:pPr>
          </w:p>
        </w:tc>
        <w:tc>
          <w:tcPr>
            <w:tcW w:w="1628" w:type="dxa"/>
            <w:vMerge/>
            <w:shd w:val="clear" w:color="auto" w:fill="EFF5FB"/>
            <w:vAlign w:val="center"/>
          </w:tcPr>
          <w:p w14:paraId="718D2CF9" w14:textId="77777777" w:rsidR="009E01DA" w:rsidRPr="00B363AA" w:rsidRDefault="009E01DA" w:rsidP="003F3F11">
            <w:pPr>
              <w:jc w:val="left"/>
              <w:rPr>
                <w:rFonts w:cs="Calibri"/>
                <w:sz w:val="20"/>
                <w:szCs w:val="20"/>
              </w:rPr>
            </w:pPr>
          </w:p>
        </w:tc>
        <w:tc>
          <w:tcPr>
            <w:tcW w:w="4252" w:type="dxa"/>
            <w:shd w:val="clear" w:color="auto" w:fill="EFF5FB"/>
            <w:vAlign w:val="center"/>
          </w:tcPr>
          <w:p w14:paraId="50032EC3" w14:textId="77777777" w:rsidR="009E01DA" w:rsidRPr="00B363AA" w:rsidRDefault="009E01DA" w:rsidP="003F3F11">
            <w:pPr>
              <w:jc w:val="left"/>
              <w:rPr>
                <w:sz w:val="20"/>
                <w:szCs w:val="20"/>
              </w:rPr>
            </w:pPr>
            <w:r w:rsidRPr="00B363AA">
              <w:rPr>
                <w:sz w:val="20"/>
                <w:szCs w:val="20"/>
              </w:rPr>
              <w:t xml:space="preserve">(F) Valeurs idéales par classe texturale déterminées empiriquement pour des essences forestières </w:t>
            </w:r>
            <w:r w:rsidRPr="00B363AA">
              <w:rPr>
                <w:sz w:val="20"/>
                <w:szCs w:val="20"/>
              </w:rPr>
              <w:fldChar w:fldCharType="begin"/>
            </w:r>
            <w:r w:rsidRPr="00B363AA">
              <w:rPr>
                <w:sz w:val="20"/>
                <w:szCs w:val="20"/>
              </w:rPr>
              <w:instrText xml:space="preserve"> ADDIN ZOTERO_ITEM CSL_CITATION {"citationID":"KwALFI3v","properties":{"unsorted":false,"formattedCitation":"(Ampoorter et al., 2011)","plainCitation":"(Ampoorter et al., 2011)","noteIndex":0},"citationItems":[{"id":438,"uris":["http://zotero.org/groups/5684833/items/JA2Y6HI7"],"itemData":{"id":438,"type":"article-journal","abstract":"Soil compaction due to mechanized harvesting operations in forests can have profound effects on forest soils and, hence, can have a detrimental effect on subsequent forest regeneration. We performed a meta-analysis to quantify the effect of soil compaction on height growth, diameter growth, and survival of tree saplings. These effects were predominantly insignificant, varied strongly and were thus not unambiguously negative. Only on silty soils, growth and survival were significantly reduced by soil compaction, which contrasted with sandy and loamy soils, where the effect of soil compaction was negligible or even slightly positive. A weighted analysis revealed an overall decrease of height growth on the compacted areas, but this result should be interpreted with caution due to the limited number of observations. Although results did not show an overall negative effect of soil compaction, harvesting activities should focus on minimizing soil compaction degree and extent to prevent a decrease of soil productivity. From a methodological point of view we suggest providing more basic statistics in the articles and to include more shade-tolerant tree species in future experimental designs. These species are currently underrepresented.\nZusammenfassung\nDie Bodenverdichtung in Folge mechanisierter Holzerntemethoden kann erhebliche Auswirkungen auf Waldböden haben und damit auch schädliche Auswirkungen auf die nachfolgende Waldregeneration. Wir führten eine Meta-Analyse durch, um den Effekt der Bodenverdichtung auf Wuchshöhe, Dickenwachstum und Überleben der Jungbäume zu quantifizieren. Diese Effekte waren überwiegend nicht signifikant, variierten stark und waren deshalb nicht eindeutig negativ. Nur auf schluffigen Böden wurden Wachstum und Überleben signifikant durch die Bodenverdichtung verringert, Dies stand im Gegensatz zu sandigen und lehmigen Böden, auf denen die Auswirkungen der Bodenverdichtung vernachlässigbar oder sogar positiv waren. Eine gewichtete Analyse erbrachte insgesamt eine Abnahme des Höhenwachstums auf verdichteten Flächen, aber aufgrund der geringen Anzahl von Beobachtungen sollte dieses Ergebnis mit Vorsicht interpretiert werden. Auch wenn die Ergebnisse keinen generell negativen Effekt der Bodenverdichtung zeigten, sollten Erntemaßnahmen darauf gerichtet sein, Grad und Ausmaß der Bodenverdichtung zu minimieren, um einer Abnahme der Produktivität vorzubeugen. Von einem methodischen Standpunkt aus regen wir an, mehr basale Statistiken in den Artikeln zu publizieren und mehr schattentolerante Baumarten in zukünftige Untersuchungen aufzunehmen. Diese Arten sind gegenwärtig unterrepräsentiert.","container-title":"Basic and Applied Ecology","DOI":"10.1016/j.baae.2011.06.003","ISSN":"1439-1791","issue":"5","journalAbbreviation":"Basic and Applied Ecology","page":"394-402","source":"ScienceDirect","title":"Effects of soil compaction on growth and survival of tree saplings: A meta-analysis","title-short":"Effects of soil compaction on growth and survival of tree saplings","volume":"12","author":[{"family":"Ampoorter","given":"E."},{"family":"De Frenne","given":"P."},{"family":"Hermy","given":"M."},{"family":"Verheyen","given":"K."}],"issued":{"date-parts":[["2011",8,1]]}}}],"schema":"https://github.com/citation-style-language/schema/raw/master/csl-citation.json"} </w:instrText>
            </w:r>
            <w:r w:rsidRPr="00B363AA">
              <w:rPr>
                <w:sz w:val="20"/>
                <w:szCs w:val="20"/>
              </w:rPr>
              <w:fldChar w:fldCharType="separate"/>
            </w:r>
            <w:r w:rsidRPr="00B363AA">
              <w:rPr>
                <w:rFonts w:cs="Calibri"/>
                <w:sz w:val="20"/>
              </w:rPr>
              <w:t>(Ampoorter et al., 2011)</w:t>
            </w:r>
            <w:r w:rsidRPr="00B363AA">
              <w:rPr>
                <w:sz w:val="20"/>
                <w:szCs w:val="20"/>
              </w:rPr>
              <w:fldChar w:fldCharType="end"/>
            </w:r>
          </w:p>
        </w:tc>
      </w:tr>
      <w:tr w:rsidR="009E01DA" w:rsidRPr="00B363AA" w14:paraId="56EF19F3" w14:textId="77777777" w:rsidTr="003F3F11">
        <w:trPr>
          <w:trHeight w:val="475"/>
        </w:trPr>
        <w:tc>
          <w:tcPr>
            <w:tcW w:w="1200" w:type="dxa"/>
            <w:vMerge/>
            <w:shd w:val="clear" w:color="auto" w:fill="D1D1D1" w:themeFill="background2" w:themeFillShade="E6"/>
            <w:vAlign w:val="center"/>
          </w:tcPr>
          <w:p w14:paraId="375C7831"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717BC1FF" w14:textId="77777777" w:rsidR="009E01DA" w:rsidRPr="00B363AA" w:rsidRDefault="009E01DA" w:rsidP="003F3F11">
            <w:pPr>
              <w:jc w:val="left"/>
              <w:rPr>
                <w:sz w:val="20"/>
                <w:szCs w:val="20"/>
              </w:rPr>
            </w:pPr>
          </w:p>
        </w:tc>
        <w:tc>
          <w:tcPr>
            <w:tcW w:w="748" w:type="dxa"/>
            <w:vMerge w:val="restart"/>
            <w:vAlign w:val="center"/>
          </w:tcPr>
          <w:p w14:paraId="33CE3771"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2A255384" wp14:editId="7501AE57">
                      <wp:extent cx="94615" cy="153035"/>
                      <wp:effectExtent l="0" t="38100" r="57785" b="18415"/>
                      <wp:docPr id="1836418795"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397AEFA0"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0931C1CC" w14:textId="77777777" w:rsidR="009E01DA" w:rsidRPr="00B363AA" w:rsidRDefault="009E01DA" w:rsidP="003F3F11">
            <w:pPr>
              <w:jc w:val="left"/>
              <w:rPr>
                <w:rFonts w:cs="Calibri"/>
                <w:sz w:val="20"/>
                <w:szCs w:val="20"/>
              </w:rPr>
            </w:pPr>
            <w:proofErr w:type="spellStart"/>
            <w:r w:rsidRPr="00B363AA">
              <w:rPr>
                <w:sz w:val="20"/>
                <w:szCs w:val="20"/>
              </w:rPr>
              <w:t>Drainage</w:t>
            </w:r>
            <w:r w:rsidRPr="00B363AA">
              <w:rPr>
                <w:sz w:val="20"/>
                <w:szCs w:val="20"/>
                <w:vertAlign w:val="subscript"/>
              </w:rPr>
              <w:t>qualité</w:t>
            </w:r>
            <w:proofErr w:type="spellEnd"/>
          </w:p>
        </w:tc>
        <w:tc>
          <w:tcPr>
            <w:tcW w:w="4252" w:type="dxa"/>
            <w:vMerge w:val="restart"/>
            <w:vAlign w:val="center"/>
          </w:tcPr>
          <w:p w14:paraId="54E4571F" w14:textId="77777777" w:rsidR="009E01DA" w:rsidRPr="00B363AA" w:rsidRDefault="009E01DA" w:rsidP="003F3F11">
            <w:pPr>
              <w:jc w:val="left"/>
              <w:rPr>
                <w:sz w:val="20"/>
                <w:szCs w:val="20"/>
              </w:rPr>
            </w:pPr>
            <w:r w:rsidRPr="00B363AA">
              <w:rPr>
                <w:sz w:val="20"/>
                <w:szCs w:val="20"/>
              </w:rPr>
              <w:t xml:space="preserve">Appréciation du drainage pour 2 ensembles texturaux sur base de la présence et profondeur d’apparition des taches d’hydromorphie selon la Légende de la Carte Numérique des Sols de Wallonie </w:t>
            </w:r>
            <w:r w:rsidRPr="00B363AA">
              <w:rPr>
                <w:sz w:val="20"/>
                <w:szCs w:val="20"/>
              </w:rPr>
              <w:fldChar w:fldCharType="begin"/>
            </w:r>
            <w:r w:rsidRPr="00B363AA">
              <w:rPr>
                <w:sz w:val="20"/>
                <w:szCs w:val="20"/>
              </w:rPr>
              <w:instrText xml:space="preserve"> ADDIN ZOTERO_ITEM CSL_CITATION {"citationID":"O7nz53ZP","properties":{"unsorted":false,"formattedCitation":"(Bah et al., 2007)","plainCitation":"(Bah et al., 2007)","noteIndex":0},"citationItems":[{"id":20,"uris":["http://zotero.org/groups/5684833/items/AHCVNBT5"],"itemData":{"id":20,"type":"report","publisher":"Faculté universitaire des Sciences agronomiques de Gembloux – Laboratoire de Géopédologie, en relation avec le PCNSW (convention pour le compte de la Région Wallonne – DGA)","title":"Légende de la Carte Numérique des Sols de Wallonie (Belgique) sur base de la légende originale de la Carte des sols de la Belgique de l’IRSIA à 1/20.000","URL":"https://www.fichierecologique.be/resources/LCNSW_V2.pdf","author":[{"family":"Bah","given":"B."},{"family":"Engels","given":"P."},{"family":"Legrain","given":"X."},{"family":"Colinet","given":"G."}],"issued":{"date-parts":[["2007",12]]}}}],"schema":"https://github.com/citation-style-language/schema/raw/master/csl-citation.json"} </w:instrText>
            </w:r>
            <w:r w:rsidRPr="00B363AA">
              <w:rPr>
                <w:sz w:val="20"/>
                <w:szCs w:val="20"/>
              </w:rPr>
              <w:fldChar w:fldCharType="separate"/>
            </w:r>
            <w:r w:rsidRPr="00B363AA">
              <w:rPr>
                <w:rFonts w:cs="Calibri"/>
                <w:sz w:val="20"/>
              </w:rPr>
              <w:t>(Bah et al., 2007)</w:t>
            </w:r>
            <w:r w:rsidRPr="00B363AA">
              <w:rPr>
                <w:sz w:val="20"/>
                <w:szCs w:val="20"/>
              </w:rPr>
              <w:fldChar w:fldCharType="end"/>
            </w:r>
          </w:p>
        </w:tc>
      </w:tr>
      <w:tr w:rsidR="009E01DA" w:rsidRPr="00B363AA" w14:paraId="3FBA347A" w14:textId="77777777" w:rsidTr="003F3F11">
        <w:tc>
          <w:tcPr>
            <w:tcW w:w="1200" w:type="dxa"/>
            <w:vMerge/>
            <w:shd w:val="clear" w:color="auto" w:fill="D1D1D1" w:themeFill="background2" w:themeFillShade="E6"/>
            <w:vAlign w:val="center"/>
          </w:tcPr>
          <w:p w14:paraId="2DC36961"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3CAE6982" w14:textId="77777777" w:rsidR="009E01DA" w:rsidRPr="00B363AA" w:rsidRDefault="009E01DA" w:rsidP="003F3F11">
            <w:pPr>
              <w:jc w:val="left"/>
              <w:rPr>
                <w:sz w:val="20"/>
                <w:szCs w:val="20"/>
              </w:rPr>
            </w:pPr>
          </w:p>
        </w:tc>
        <w:tc>
          <w:tcPr>
            <w:tcW w:w="748" w:type="dxa"/>
            <w:vMerge/>
            <w:vAlign w:val="center"/>
          </w:tcPr>
          <w:p w14:paraId="0A126DB5" w14:textId="77777777" w:rsidR="009E01DA" w:rsidRPr="00B363AA" w:rsidRDefault="009E01DA" w:rsidP="003F3F11">
            <w:pPr>
              <w:jc w:val="center"/>
              <w:rPr>
                <w:sz w:val="20"/>
                <w:szCs w:val="20"/>
              </w:rPr>
            </w:pPr>
          </w:p>
        </w:tc>
        <w:tc>
          <w:tcPr>
            <w:tcW w:w="1628" w:type="dxa"/>
            <w:shd w:val="clear" w:color="auto" w:fill="EFF5FB"/>
            <w:vAlign w:val="center"/>
          </w:tcPr>
          <w:p w14:paraId="00076531" w14:textId="77777777" w:rsidR="009E01DA" w:rsidRPr="00B363AA" w:rsidRDefault="009E01DA" w:rsidP="003F3F11">
            <w:pPr>
              <w:jc w:val="left"/>
              <w:rPr>
                <w:rFonts w:cs="Calibri"/>
                <w:sz w:val="20"/>
                <w:szCs w:val="20"/>
              </w:rPr>
            </w:pPr>
            <w:proofErr w:type="spellStart"/>
            <w:r w:rsidRPr="00B363AA">
              <w:rPr>
                <w:sz w:val="20"/>
                <w:szCs w:val="20"/>
              </w:rPr>
              <w:t>Drainage</w:t>
            </w:r>
            <w:r w:rsidRPr="00B363AA">
              <w:rPr>
                <w:sz w:val="20"/>
                <w:szCs w:val="20"/>
                <w:vertAlign w:val="subscript"/>
              </w:rPr>
              <w:t>santé</w:t>
            </w:r>
            <w:proofErr w:type="spellEnd"/>
          </w:p>
        </w:tc>
        <w:tc>
          <w:tcPr>
            <w:tcW w:w="4252" w:type="dxa"/>
            <w:vMerge/>
            <w:vAlign w:val="center"/>
          </w:tcPr>
          <w:p w14:paraId="36C1B143" w14:textId="77777777" w:rsidR="009E01DA" w:rsidRPr="00B363AA" w:rsidRDefault="009E01DA" w:rsidP="003F3F11">
            <w:pPr>
              <w:jc w:val="left"/>
              <w:rPr>
                <w:sz w:val="20"/>
                <w:szCs w:val="20"/>
              </w:rPr>
            </w:pPr>
          </w:p>
        </w:tc>
      </w:tr>
      <w:tr w:rsidR="009E01DA" w:rsidRPr="00B363AA" w14:paraId="0221CD83" w14:textId="77777777" w:rsidTr="003F3F11">
        <w:tc>
          <w:tcPr>
            <w:tcW w:w="1200" w:type="dxa"/>
            <w:vMerge/>
            <w:shd w:val="clear" w:color="auto" w:fill="D1D1D1" w:themeFill="background2" w:themeFillShade="E6"/>
            <w:vAlign w:val="center"/>
          </w:tcPr>
          <w:p w14:paraId="657C0B54"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62CB7BA4" w14:textId="77777777" w:rsidR="009E01DA" w:rsidRPr="00B363AA" w:rsidRDefault="009E01DA" w:rsidP="003F3F11">
            <w:pPr>
              <w:jc w:val="left"/>
              <w:rPr>
                <w:sz w:val="20"/>
                <w:szCs w:val="20"/>
              </w:rPr>
            </w:pPr>
          </w:p>
        </w:tc>
        <w:tc>
          <w:tcPr>
            <w:tcW w:w="748" w:type="dxa"/>
            <w:vMerge w:val="restart"/>
            <w:vAlign w:val="center"/>
          </w:tcPr>
          <w:p w14:paraId="33533286"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5C8A3312" wp14:editId="3CD60FEF">
                      <wp:extent cx="94615" cy="153035"/>
                      <wp:effectExtent l="0" t="38100" r="57785" b="18415"/>
                      <wp:docPr id="496718094"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521D0156"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19C60065" w14:textId="77777777" w:rsidR="009E01DA" w:rsidRPr="00B363AA" w:rsidRDefault="009E01DA" w:rsidP="003F3F11">
            <w:pPr>
              <w:jc w:val="left"/>
              <w:rPr>
                <w:sz w:val="20"/>
                <w:szCs w:val="20"/>
              </w:rPr>
            </w:pPr>
            <w:proofErr w:type="spellStart"/>
            <w:r w:rsidRPr="00B363AA">
              <w:rPr>
                <w:sz w:val="20"/>
                <w:szCs w:val="20"/>
              </w:rPr>
              <w:t>C</w:t>
            </w:r>
            <w:r w:rsidRPr="00B363AA">
              <w:rPr>
                <w:sz w:val="20"/>
                <w:szCs w:val="20"/>
                <w:vertAlign w:val="subscript"/>
              </w:rPr>
              <w:t>org</w:t>
            </w:r>
            <w:proofErr w:type="spellEnd"/>
            <w:r w:rsidRPr="00B363AA">
              <w:rPr>
                <w:sz w:val="20"/>
                <w:szCs w:val="20"/>
              </w:rPr>
              <w:t>/</w:t>
            </w:r>
            <w:proofErr w:type="spellStart"/>
            <w:r w:rsidRPr="00B363AA">
              <w:rPr>
                <w:sz w:val="20"/>
                <w:szCs w:val="20"/>
              </w:rPr>
              <w:t>argile</w:t>
            </w:r>
            <w:r w:rsidRPr="00B363AA">
              <w:rPr>
                <w:sz w:val="20"/>
                <w:szCs w:val="20"/>
                <w:vertAlign w:val="subscript"/>
              </w:rPr>
              <w:t>qualité</w:t>
            </w:r>
            <w:proofErr w:type="spellEnd"/>
          </w:p>
        </w:tc>
        <w:tc>
          <w:tcPr>
            <w:tcW w:w="4252" w:type="dxa"/>
            <w:shd w:val="clear" w:color="auto" w:fill="F2F9EB"/>
            <w:vAlign w:val="center"/>
          </w:tcPr>
          <w:p w14:paraId="5C09E1A1" w14:textId="77777777" w:rsidR="009E01DA" w:rsidRPr="00B363AA" w:rsidRDefault="009E01DA" w:rsidP="003F3F11">
            <w:pPr>
              <w:jc w:val="left"/>
              <w:rPr>
                <w:sz w:val="20"/>
                <w:szCs w:val="20"/>
              </w:rPr>
            </w:pPr>
            <w:r w:rsidRPr="00B363AA">
              <w:rPr>
                <w:sz w:val="20"/>
                <w:szCs w:val="20"/>
              </w:rPr>
              <w:t xml:space="preserve">Valeurs optimales en lien avec une bonne qualité structurale </w:t>
            </w:r>
            <w:r w:rsidRPr="00B363AA">
              <w:rPr>
                <w:sz w:val="20"/>
                <w:szCs w:val="20"/>
              </w:rPr>
              <w:fldChar w:fldCharType="begin"/>
            </w:r>
            <w:r w:rsidRPr="00B363AA">
              <w:rPr>
                <w:sz w:val="20"/>
                <w:szCs w:val="20"/>
              </w:rPr>
              <w:instrText xml:space="preserve"> ADDIN ZOTERO_ITEM CSL_CITATION {"citationID":"6rGq8gPy","properties":{"unsorted":false,"formattedCitation":"(Johannes et al., 2017)","plainCitation":"(Johannes et al., 2017)","noteIndex":0},"citationItems":[{"id":578,"uris":["http://zotero.org/groups/5684833/items/7DIUTBLP"],"itemData":{"id":578,"type":"article-journal","abstract":"Most soil structure-related physical properties are correlated to soil organic carbon (SOC) content. Texture, mineralogy, and SOC:clay ratio are also acknowledged to affect physical properties, however there is no consensus or general conclusions in this respect. Against this background, the present study aims at determining objectives for the management of SOC in terms of structural quality of agricultural soils. The large area in which 161 free-to-swell undisturbed samples were obtained for this research represents a major part of the Swiss agricultural land and belongs to one broad soil group (Cambi-Luvisols). The structural quality was scored visually, and bulk volumes (inverse of bulk density) were measured at standard matric potentials. To define the effect of SOC without interference of soil mechanical degradation, soils with good structural quality scores were considered first in studying the relationship between SOC and soil pore volumes. Results suggest that the relationship is always linear, irrespective of the clay content of the soils. No optimum of SOC corresponding to a fraction of the clay content is found, contrary to the theory of “complexed organic carbon” (Dexter et al., 2008). However, the SOC:clay ratio decreases with decreasing soil structure quality. The SOC:clay ratio of 1:8 is the average for a very good structure quality. A SOC:clay ratio of 1:10 is the limit between good and medium structural quality, thus it constitutes a reasonable goal for soil management by farmers. A SOC:clay ratio of 1:8 or smaller leads to a high probability of poor structural state. These ratios can be used as criteria for soil structural quality and SOC management, and in that context, the concept of complexed organic carbon appears relevant.","container-title":"Geoderma","DOI":"10.1016/j.geoderma.2017.04.021","ISSN":"0016-7061","journalAbbreviation":"Geoderma","page":"14-21","source":"ScienceDirect","title":"Optimal organic carbon values for soil structure quality of arable soils. Does clay content matter?","volume":"302","author":[{"family":"Johannes","given":"Alice"},{"family":"Matter","given":"Adrien"},{"family":"Schulin","given":"Rainer"},{"family":"Weisskopf","given":"Peter"},{"family":"Baveye","given":"Philippe C."},{"family":"Boivin","given":"Pascal"}],"issued":{"date-parts":[["2017",9,15]]}}}],"schema":"https://github.com/citation-style-language/schema/raw/master/csl-citation.json"} </w:instrText>
            </w:r>
            <w:r w:rsidRPr="00B363AA">
              <w:rPr>
                <w:sz w:val="20"/>
                <w:szCs w:val="20"/>
              </w:rPr>
              <w:fldChar w:fldCharType="separate"/>
            </w:r>
            <w:r w:rsidRPr="00B363AA">
              <w:rPr>
                <w:rFonts w:cs="Calibri"/>
                <w:sz w:val="20"/>
              </w:rPr>
              <w:t>(Johannes et al., 2017)</w:t>
            </w:r>
            <w:r w:rsidRPr="00B363AA">
              <w:rPr>
                <w:sz w:val="20"/>
                <w:szCs w:val="20"/>
              </w:rPr>
              <w:fldChar w:fldCharType="end"/>
            </w:r>
          </w:p>
        </w:tc>
      </w:tr>
      <w:tr w:rsidR="009E01DA" w:rsidRPr="00B363AA" w14:paraId="39388B6B" w14:textId="77777777" w:rsidTr="003F3F11">
        <w:tc>
          <w:tcPr>
            <w:tcW w:w="1200" w:type="dxa"/>
            <w:vMerge/>
            <w:shd w:val="clear" w:color="auto" w:fill="D1D1D1" w:themeFill="background2" w:themeFillShade="E6"/>
            <w:vAlign w:val="center"/>
          </w:tcPr>
          <w:p w14:paraId="65D5BCE8"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53BCF177" w14:textId="77777777" w:rsidR="009E01DA" w:rsidRPr="00B363AA" w:rsidRDefault="009E01DA" w:rsidP="003F3F11">
            <w:pPr>
              <w:jc w:val="left"/>
              <w:rPr>
                <w:sz w:val="20"/>
                <w:szCs w:val="20"/>
              </w:rPr>
            </w:pPr>
          </w:p>
        </w:tc>
        <w:tc>
          <w:tcPr>
            <w:tcW w:w="748" w:type="dxa"/>
            <w:vMerge/>
            <w:tcBorders>
              <w:bottom w:val="single" w:sz="18" w:space="0" w:color="auto"/>
            </w:tcBorders>
            <w:vAlign w:val="center"/>
          </w:tcPr>
          <w:p w14:paraId="12884344" w14:textId="77777777" w:rsidR="009E01DA" w:rsidRPr="00B363AA" w:rsidRDefault="009E01DA" w:rsidP="003F3F11">
            <w:pPr>
              <w:jc w:val="center"/>
              <w:rPr>
                <w:sz w:val="20"/>
                <w:szCs w:val="20"/>
              </w:rPr>
            </w:pPr>
          </w:p>
        </w:tc>
        <w:tc>
          <w:tcPr>
            <w:tcW w:w="1628" w:type="dxa"/>
            <w:tcBorders>
              <w:bottom w:val="single" w:sz="18" w:space="0" w:color="auto"/>
            </w:tcBorders>
            <w:shd w:val="clear" w:color="auto" w:fill="EFF5FB"/>
            <w:vAlign w:val="center"/>
          </w:tcPr>
          <w:p w14:paraId="108943CD" w14:textId="77777777" w:rsidR="009E01DA" w:rsidRPr="00B363AA" w:rsidRDefault="009E01DA" w:rsidP="003F3F11">
            <w:pPr>
              <w:jc w:val="left"/>
              <w:rPr>
                <w:sz w:val="20"/>
                <w:szCs w:val="20"/>
              </w:rPr>
            </w:pPr>
            <w:proofErr w:type="spellStart"/>
            <w:r w:rsidRPr="00B363AA">
              <w:rPr>
                <w:sz w:val="20"/>
                <w:szCs w:val="20"/>
              </w:rPr>
              <w:t>C</w:t>
            </w:r>
            <w:r w:rsidRPr="00B363AA">
              <w:rPr>
                <w:sz w:val="20"/>
                <w:szCs w:val="20"/>
                <w:vertAlign w:val="subscript"/>
              </w:rPr>
              <w:t>org</w:t>
            </w:r>
            <w:proofErr w:type="spellEnd"/>
            <w:r w:rsidRPr="00B363AA">
              <w:rPr>
                <w:sz w:val="20"/>
                <w:szCs w:val="20"/>
              </w:rPr>
              <w:t>/</w:t>
            </w:r>
            <w:proofErr w:type="spellStart"/>
            <w:r w:rsidRPr="00B363AA">
              <w:rPr>
                <w:sz w:val="20"/>
                <w:szCs w:val="20"/>
              </w:rPr>
              <w:t>argile</w:t>
            </w:r>
            <w:r w:rsidRPr="00B363AA">
              <w:rPr>
                <w:sz w:val="20"/>
                <w:szCs w:val="20"/>
                <w:vertAlign w:val="subscript"/>
              </w:rPr>
              <w:t>santé</w:t>
            </w:r>
            <w:proofErr w:type="spellEnd"/>
          </w:p>
        </w:tc>
        <w:tc>
          <w:tcPr>
            <w:tcW w:w="4252" w:type="dxa"/>
            <w:tcBorders>
              <w:bottom w:val="single" w:sz="18" w:space="0" w:color="auto"/>
            </w:tcBorders>
            <w:shd w:val="clear" w:color="auto" w:fill="EFF5FB"/>
            <w:vAlign w:val="center"/>
          </w:tcPr>
          <w:p w14:paraId="7CFAB682" w14:textId="77777777" w:rsidR="009E01DA" w:rsidRPr="00B363AA" w:rsidRDefault="009E01DA" w:rsidP="003F3F11">
            <w:pPr>
              <w:jc w:val="left"/>
              <w:rPr>
                <w:sz w:val="20"/>
                <w:szCs w:val="20"/>
              </w:rPr>
            </w:pPr>
            <w:r w:rsidRPr="00B363AA">
              <w:rPr>
                <w:sz w:val="20"/>
                <w:szCs w:val="20"/>
              </w:rPr>
              <w:t>Comparaison à la valeur potentielle atteignable en fonction de la classe texturale (sur base de MO potentielle)</w:t>
            </w:r>
          </w:p>
        </w:tc>
      </w:tr>
      <w:tr w:rsidR="009E01DA" w:rsidRPr="00B363AA" w14:paraId="3501072E" w14:textId="77777777" w:rsidTr="003F3F11">
        <w:tc>
          <w:tcPr>
            <w:tcW w:w="1200" w:type="dxa"/>
            <w:vMerge w:val="restart"/>
            <w:tcBorders>
              <w:top w:val="single" w:sz="18" w:space="0" w:color="auto"/>
            </w:tcBorders>
            <w:shd w:val="clear" w:color="auto" w:fill="D1D1D1" w:themeFill="background2" w:themeFillShade="E6"/>
            <w:vAlign w:val="center"/>
          </w:tcPr>
          <w:p w14:paraId="49495AD1" w14:textId="77777777" w:rsidR="009E01DA" w:rsidRPr="00B363AA" w:rsidRDefault="009E01DA" w:rsidP="003F3F11">
            <w:pPr>
              <w:jc w:val="left"/>
              <w:rPr>
                <w:b/>
                <w:bCs/>
                <w:sz w:val="20"/>
                <w:szCs w:val="20"/>
              </w:rPr>
            </w:pPr>
            <w:r w:rsidRPr="00B363AA">
              <w:rPr>
                <w:b/>
                <w:bCs/>
                <w:sz w:val="20"/>
                <w:szCs w:val="20"/>
              </w:rPr>
              <w:t>Infiltration</w:t>
            </w:r>
          </w:p>
        </w:tc>
        <w:tc>
          <w:tcPr>
            <w:tcW w:w="1239" w:type="dxa"/>
            <w:vMerge w:val="restart"/>
            <w:tcBorders>
              <w:top w:val="single" w:sz="18" w:space="0" w:color="auto"/>
            </w:tcBorders>
            <w:shd w:val="clear" w:color="auto" w:fill="F2F2F2" w:themeFill="background1" w:themeFillShade="F2"/>
            <w:vAlign w:val="center"/>
          </w:tcPr>
          <w:p w14:paraId="1E2DE0B0" w14:textId="77777777" w:rsidR="009E01DA" w:rsidRPr="00B363AA" w:rsidRDefault="009E01DA" w:rsidP="003F3F11">
            <w:pPr>
              <w:jc w:val="left"/>
              <w:rPr>
                <w:sz w:val="20"/>
                <w:szCs w:val="20"/>
              </w:rPr>
            </w:pPr>
            <w:r w:rsidRPr="00B363AA">
              <w:rPr>
                <w:sz w:val="20"/>
                <w:szCs w:val="20"/>
              </w:rPr>
              <w:t>Infiltration</w:t>
            </w:r>
          </w:p>
        </w:tc>
        <w:tc>
          <w:tcPr>
            <w:tcW w:w="748" w:type="dxa"/>
            <w:vMerge w:val="restart"/>
            <w:tcBorders>
              <w:top w:val="single" w:sz="18" w:space="0" w:color="auto"/>
            </w:tcBorders>
            <w:vAlign w:val="center"/>
          </w:tcPr>
          <w:p w14:paraId="611194D4"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7B2E07DB" wp14:editId="2FF05A11">
                      <wp:extent cx="94615" cy="153035"/>
                      <wp:effectExtent l="0" t="38100" r="57785" b="18415"/>
                      <wp:docPr id="848313753"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30CD4CEF"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tcBorders>
              <w:top w:val="single" w:sz="18" w:space="0" w:color="auto"/>
            </w:tcBorders>
            <w:shd w:val="clear" w:color="auto" w:fill="F2F9EB"/>
            <w:vAlign w:val="center"/>
          </w:tcPr>
          <w:p w14:paraId="7A87817F" w14:textId="77777777" w:rsidR="009E01DA" w:rsidRPr="00B363AA" w:rsidRDefault="009E01DA" w:rsidP="003F3F11">
            <w:pPr>
              <w:jc w:val="left"/>
              <w:rPr>
                <w:rFonts w:cs="Calibri"/>
                <w:sz w:val="20"/>
                <w:szCs w:val="20"/>
              </w:rPr>
            </w:pPr>
            <w:proofErr w:type="spellStart"/>
            <w:r w:rsidRPr="00B363AA">
              <w:rPr>
                <w:sz w:val="20"/>
                <w:szCs w:val="20"/>
              </w:rPr>
              <w:t>Ksat</w:t>
            </w:r>
            <w:r w:rsidRPr="00B363AA">
              <w:rPr>
                <w:sz w:val="20"/>
                <w:szCs w:val="20"/>
                <w:vertAlign w:val="subscript"/>
              </w:rPr>
              <w:t>qualité</w:t>
            </w:r>
            <w:proofErr w:type="spellEnd"/>
          </w:p>
        </w:tc>
        <w:tc>
          <w:tcPr>
            <w:tcW w:w="4252" w:type="dxa"/>
            <w:tcBorders>
              <w:top w:val="single" w:sz="18" w:space="0" w:color="auto"/>
            </w:tcBorders>
            <w:shd w:val="clear" w:color="auto" w:fill="F2F9EB"/>
            <w:vAlign w:val="center"/>
          </w:tcPr>
          <w:p w14:paraId="3B7FE856" w14:textId="77777777" w:rsidR="009E01DA" w:rsidRPr="00B363AA" w:rsidRDefault="009E01DA" w:rsidP="003F3F11">
            <w:pPr>
              <w:jc w:val="left"/>
              <w:rPr>
                <w:sz w:val="20"/>
                <w:szCs w:val="20"/>
              </w:rPr>
            </w:pPr>
            <w:r w:rsidRPr="00B363AA">
              <w:rPr>
                <w:sz w:val="20"/>
                <w:szCs w:val="20"/>
              </w:rPr>
              <w:t xml:space="preserve">Valeurs optimales </w:t>
            </w:r>
            <w:r w:rsidRPr="00B363AA">
              <w:rPr>
                <w:sz w:val="20"/>
                <w:szCs w:val="20"/>
              </w:rPr>
              <w:fldChar w:fldCharType="begin"/>
            </w:r>
            <w:r w:rsidRPr="00B363AA">
              <w:rPr>
                <w:sz w:val="20"/>
                <w:szCs w:val="20"/>
              </w:rPr>
              <w:instrText xml:space="preserve"> ADDIN ZOTERO_ITEM CSL_CITATION {"citationID":"Mp76CDwS","properties":{"unsorted":false,"formattedCitation":"(O\\uc0\\u8217{}Geen, 2013)","plainCitation":"(O’Geen, 2013)","noteIndex":0},"citationItems":[{"id":400,"uris":["http://zotero.org/groups/5684833/items/UVXZIBTE"],"itemData":{"id":400,"type":"document","abstract":"What are the relationships between soil moisture storage, soil water flow, and soil properties?","language":"en","note":"Cg_cat: Soil Water Dynamics\nCg_level: MED\nCg_topic: Soil Water Dynamics","publisher":"Nature Education Knowledge 4(5):9","title":"Soil Water Dynamics","URL":"https://www.nature.com/scitable/knowledge/library/soil-water-dynamics-103089121/","author":[{"family":"O'Geen","given":"A. T."}],"accessed":{"date-parts":[["2026",2,3]]},"issued":{"date-parts":[["2013"]]}}}],"schema":"https://github.com/citation-style-language/schema/raw/master/csl-citation.json"} </w:instrText>
            </w:r>
            <w:r w:rsidRPr="00B363AA">
              <w:rPr>
                <w:sz w:val="20"/>
                <w:szCs w:val="20"/>
              </w:rPr>
              <w:fldChar w:fldCharType="separate"/>
            </w:r>
            <w:r w:rsidRPr="00B363AA">
              <w:rPr>
                <w:rFonts w:cs="Calibri"/>
                <w:kern w:val="0"/>
                <w:sz w:val="20"/>
              </w:rPr>
              <w:t>(O’Geen, 2013)</w:t>
            </w:r>
            <w:r w:rsidRPr="00B363AA">
              <w:rPr>
                <w:sz w:val="20"/>
                <w:szCs w:val="20"/>
              </w:rPr>
              <w:fldChar w:fldCharType="end"/>
            </w:r>
          </w:p>
        </w:tc>
      </w:tr>
      <w:tr w:rsidR="009E01DA" w:rsidRPr="00B363AA" w14:paraId="033B9BA0" w14:textId="77777777" w:rsidTr="003F3F11">
        <w:tc>
          <w:tcPr>
            <w:tcW w:w="1200" w:type="dxa"/>
            <w:vMerge/>
            <w:shd w:val="clear" w:color="auto" w:fill="D1D1D1" w:themeFill="background2" w:themeFillShade="E6"/>
            <w:vAlign w:val="center"/>
          </w:tcPr>
          <w:p w14:paraId="037D44AF"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77C0A04C" w14:textId="77777777" w:rsidR="009E01DA" w:rsidRPr="00B363AA" w:rsidRDefault="009E01DA" w:rsidP="003F3F11">
            <w:pPr>
              <w:jc w:val="left"/>
              <w:rPr>
                <w:sz w:val="20"/>
                <w:szCs w:val="20"/>
              </w:rPr>
            </w:pPr>
          </w:p>
        </w:tc>
        <w:tc>
          <w:tcPr>
            <w:tcW w:w="748" w:type="dxa"/>
            <w:vMerge/>
            <w:vAlign w:val="center"/>
          </w:tcPr>
          <w:p w14:paraId="33D282B0" w14:textId="77777777" w:rsidR="009E01DA" w:rsidRPr="00B363AA" w:rsidRDefault="009E01DA" w:rsidP="003F3F11">
            <w:pPr>
              <w:jc w:val="center"/>
              <w:rPr>
                <w:sz w:val="20"/>
                <w:szCs w:val="20"/>
              </w:rPr>
            </w:pPr>
          </w:p>
        </w:tc>
        <w:tc>
          <w:tcPr>
            <w:tcW w:w="1628" w:type="dxa"/>
            <w:shd w:val="clear" w:color="auto" w:fill="EFF5FB"/>
            <w:vAlign w:val="center"/>
          </w:tcPr>
          <w:p w14:paraId="2DEC762D" w14:textId="77777777" w:rsidR="009E01DA" w:rsidRPr="00B363AA" w:rsidRDefault="009E01DA" w:rsidP="003F3F11">
            <w:pPr>
              <w:jc w:val="left"/>
              <w:rPr>
                <w:rFonts w:cs="Calibri"/>
                <w:sz w:val="20"/>
                <w:szCs w:val="20"/>
              </w:rPr>
            </w:pPr>
            <w:proofErr w:type="spellStart"/>
            <w:r w:rsidRPr="00B363AA">
              <w:rPr>
                <w:sz w:val="20"/>
                <w:szCs w:val="20"/>
              </w:rPr>
              <w:t>Ksat</w:t>
            </w:r>
            <w:r w:rsidRPr="00B363AA">
              <w:rPr>
                <w:sz w:val="20"/>
                <w:szCs w:val="20"/>
                <w:vertAlign w:val="subscript"/>
              </w:rPr>
              <w:t>santé</w:t>
            </w:r>
            <w:proofErr w:type="spellEnd"/>
          </w:p>
        </w:tc>
        <w:tc>
          <w:tcPr>
            <w:tcW w:w="4252" w:type="dxa"/>
            <w:shd w:val="clear" w:color="auto" w:fill="EFF5FB"/>
            <w:vAlign w:val="center"/>
          </w:tcPr>
          <w:p w14:paraId="637E66D3" w14:textId="77777777" w:rsidR="009E01DA" w:rsidRPr="00B363AA" w:rsidRDefault="009E01DA" w:rsidP="003F3F11">
            <w:pPr>
              <w:jc w:val="left"/>
              <w:rPr>
                <w:sz w:val="20"/>
                <w:szCs w:val="20"/>
              </w:rPr>
            </w:pPr>
            <w:r w:rsidRPr="00B363AA">
              <w:rPr>
                <w:sz w:val="20"/>
                <w:szCs w:val="20"/>
              </w:rPr>
              <w:t xml:space="preserve">Valeurs moyennes par classe texturale </w:t>
            </w:r>
            <w:r w:rsidRPr="00B363AA">
              <w:rPr>
                <w:sz w:val="20"/>
                <w:szCs w:val="20"/>
              </w:rPr>
              <w:fldChar w:fldCharType="begin"/>
            </w:r>
            <w:r w:rsidRPr="00B363AA">
              <w:rPr>
                <w:sz w:val="20"/>
                <w:szCs w:val="20"/>
              </w:rPr>
              <w:instrText xml:space="preserve"> ADDIN ZOTERO_ITEM CSL_CITATION {"citationID":"eZQ3kfGq","properties":{"unsorted":false,"formattedCitation":"(O\\uc0\\u8217{}Geen, 2013)","plainCitation":"(O’Geen, 2013)","noteIndex":0},"citationItems":[{"id":400,"uris":["http://zotero.org/groups/5684833/items/UVXZIBTE"],"itemData":{"id":400,"type":"document","abstract":"What are the relationships between soil moisture storage, soil water flow, and soil properties?","language":"en","note":"Cg_cat: Soil Water Dynamics\nCg_level: MED\nCg_topic: Soil Water Dynamics","publisher":"Nature Education Knowledge 4(5):9","title":"Soil Water Dynamics","URL":"https://www.nature.com/scitable/knowledge/library/soil-water-dynamics-103089121/","author":[{"family":"O'Geen","given":"A. T."}],"accessed":{"date-parts":[["2026",2,3]]},"issued":{"date-parts":[["2013"]]}}}],"schema":"https://github.com/citation-style-language/schema/raw/master/csl-citation.json"} </w:instrText>
            </w:r>
            <w:r w:rsidRPr="00B363AA">
              <w:rPr>
                <w:sz w:val="20"/>
                <w:szCs w:val="20"/>
              </w:rPr>
              <w:fldChar w:fldCharType="separate"/>
            </w:r>
            <w:r w:rsidRPr="00B363AA">
              <w:rPr>
                <w:rFonts w:cs="Calibri"/>
                <w:kern w:val="0"/>
                <w:sz w:val="20"/>
              </w:rPr>
              <w:t>(O’Geen, 2013)</w:t>
            </w:r>
            <w:r w:rsidRPr="00B363AA">
              <w:rPr>
                <w:sz w:val="20"/>
                <w:szCs w:val="20"/>
              </w:rPr>
              <w:fldChar w:fldCharType="end"/>
            </w:r>
          </w:p>
        </w:tc>
      </w:tr>
      <w:tr w:rsidR="009E01DA" w:rsidRPr="00B363AA" w14:paraId="2ABF645C" w14:textId="77777777" w:rsidTr="003F3F11">
        <w:trPr>
          <w:trHeight w:val="740"/>
        </w:trPr>
        <w:tc>
          <w:tcPr>
            <w:tcW w:w="1200" w:type="dxa"/>
            <w:vMerge/>
            <w:shd w:val="clear" w:color="auto" w:fill="D1D1D1" w:themeFill="background2" w:themeFillShade="E6"/>
            <w:vAlign w:val="center"/>
          </w:tcPr>
          <w:p w14:paraId="20CDFCFA" w14:textId="77777777" w:rsidR="009E01DA" w:rsidRPr="00B363AA" w:rsidRDefault="009E01DA" w:rsidP="003F3F11">
            <w:pPr>
              <w:jc w:val="left"/>
              <w:rPr>
                <w:b/>
                <w:bCs/>
                <w:sz w:val="20"/>
                <w:szCs w:val="20"/>
              </w:rPr>
            </w:pPr>
          </w:p>
        </w:tc>
        <w:tc>
          <w:tcPr>
            <w:tcW w:w="1239" w:type="dxa"/>
            <w:vMerge w:val="restart"/>
            <w:shd w:val="clear" w:color="auto" w:fill="F2F2F2" w:themeFill="background1" w:themeFillShade="F2"/>
            <w:vAlign w:val="center"/>
          </w:tcPr>
          <w:p w14:paraId="196ED0FA" w14:textId="77777777" w:rsidR="009E01DA" w:rsidRPr="00B363AA" w:rsidRDefault="009E01DA" w:rsidP="003F3F11">
            <w:pPr>
              <w:jc w:val="left"/>
              <w:rPr>
                <w:sz w:val="20"/>
                <w:szCs w:val="20"/>
              </w:rPr>
            </w:pPr>
            <w:r w:rsidRPr="00B363AA">
              <w:rPr>
                <w:sz w:val="20"/>
                <w:szCs w:val="20"/>
              </w:rPr>
              <w:t>Drainage</w:t>
            </w:r>
          </w:p>
        </w:tc>
        <w:tc>
          <w:tcPr>
            <w:tcW w:w="748" w:type="dxa"/>
            <w:vMerge w:val="restart"/>
            <w:vAlign w:val="center"/>
          </w:tcPr>
          <w:p w14:paraId="4B53BC3E"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32BBFB3E" wp14:editId="70A254C9">
                      <wp:extent cx="94615" cy="153035"/>
                      <wp:effectExtent l="0" t="38100" r="57785" b="18415"/>
                      <wp:docPr id="312443919"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529BD76F"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666983EB" w14:textId="77777777" w:rsidR="009E01DA" w:rsidRPr="00B363AA" w:rsidRDefault="009E01DA" w:rsidP="003F3F11">
            <w:pPr>
              <w:jc w:val="left"/>
              <w:rPr>
                <w:rFonts w:cs="Calibri"/>
                <w:sz w:val="20"/>
                <w:szCs w:val="20"/>
              </w:rPr>
            </w:pPr>
            <w:proofErr w:type="spellStart"/>
            <w:r w:rsidRPr="00B363AA">
              <w:rPr>
                <w:sz w:val="20"/>
                <w:szCs w:val="20"/>
              </w:rPr>
              <w:t>Drainage</w:t>
            </w:r>
            <w:r w:rsidRPr="00B363AA">
              <w:rPr>
                <w:sz w:val="20"/>
                <w:szCs w:val="20"/>
                <w:vertAlign w:val="subscript"/>
              </w:rPr>
              <w:t>qualité</w:t>
            </w:r>
            <w:proofErr w:type="spellEnd"/>
          </w:p>
        </w:tc>
        <w:tc>
          <w:tcPr>
            <w:tcW w:w="4252" w:type="dxa"/>
            <w:vMerge w:val="restart"/>
            <w:vAlign w:val="center"/>
          </w:tcPr>
          <w:p w14:paraId="78F6AFB3" w14:textId="77777777" w:rsidR="009E01DA" w:rsidRPr="00B363AA" w:rsidRDefault="009E01DA" w:rsidP="003F3F11">
            <w:pPr>
              <w:jc w:val="left"/>
              <w:rPr>
                <w:sz w:val="20"/>
                <w:szCs w:val="20"/>
              </w:rPr>
            </w:pPr>
            <w:r w:rsidRPr="00B363AA">
              <w:rPr>
                <w:sz w:val="20"/>
                <w:szCs w:val="20"/>
              </w:rPr>
              <w:t xml:space="preserve">Appréciation du drainage pour 2 ensembles texturaux sur base de la présence et profondeur d’apparition des taches d’hydromorphie selon la Légende de la Carte Numérique des Sols de Wallonie </w:t>
            </w:r>
            <w:r w:rsidRPr="00B363AA">
              <w:rPr>
                <w:sz w:val="20"/>
                <w:szCs w:val="20"/>
              </w:rPr>
              <w:fldChar w:fldCharType="begin"/>
            </w:r>
            <w:r w:rsidRPr="00B363AA">
              <w:rPr>
                <w:sz w:val="20"/>
                <w:szCs w:val="20"/>
              </w:rPr>
              <w:instrText xml:space="preserve"> ADDIN ZOTERO_ITEM CSL_CITATION {"citationID":"9NnH9vBr","properties":{"unsorted":false,"formattedCitation":"(Bah et al., 2007)","plainCitation":"(Bah et al., 2007)","noteIndex":0},"citationItems":[{"id":20,"uris":["http://zotero.org/groups/5684833/items/AHCVNBT5"],"itemData":{"id":20,"type":"report","publisher":"Faculté universitaire des Sciences agronomiques de Gembloux – Laboratoire de Géopédologie, en relation avec le PCNSW (convention pour le compte de la Région Wallonne – DGA)","title":"Légende de la Carte Numérique des Sols de Wallonie (Belgique) sur base de la légende originale de la Carte des sols de la Belgique de l’IRSIA à 1/20.000","URL":"https://www.fichierecologique.be/resources/LCNSW_V2.pdf","author":[{"family":"Bah","given":"B."},{"family":"Engels","given":"P."},{"family":"Legrain","given":"X."},{"family":"Colinet","given":"G."}],"issued":{"date-parts":[["2007",12]]}}}],"schema":"https://github.com/citation-style-language/schema/raw/master/csl-citation.json"} </w:instrText>
            </w:r>
            <w:r w:rsidRPr="00B363AA">
              <w:rPr>
                <w:sz w:val="20"/>
                <w:szCs w:val="20"/>
              </w:rPr>
              <w:fldChar w:fldCharType="separate"/>
            </w:r>
            <w:r w:rsidRPr="00B363AA">
              <w:rPr>
                <w:rFonts w:cs="Calibri"/>
                <w:sz w:val="20"/>
              </w:rPr>
              <w:t>(Bah et al., 2007)</w:t>
            </w:r>
            <w:r w:rsidRPr="00B363AA">
              <w:rPr>
                <w:sz w:val="20"/>
                <w:szCs w:val="20"/>
              </w:rPr>
              <w:fldChar w:fldCharType="end"/>
            </w:r>
          </w:p>
        </w:tc>
      </w:tr>
      <w:tr w:rsidR="009E01DA" w:rsidRPr="00B363AA" w14:paraId="0800B5F6" w14:textId="77777777" w:rsidTr="003F3F11">
        <w:tc>
          <w:tcPr>
            <w:tcW w:w="1200" w:type="dxa"/>
            <w:vMerge/>
            <w:tcBorders>
              <w:bottom w:val="single" w:sz="18" w:space="0" w:color="auto"/>
            </w:tcBorders>
            <w:shd w:val="clear" w:color="auto" w:fill="D1D1D1" w:themeFill="background2" w:themeFillShade="E6"/>
            <w:vAlign w:val="center"/>
          </w:tcPr>
          <w:p w14:paraId="0B79DA7E" w14:textId="77777777" w:rsidR="009E01DA" w:rsidRPr="00B363AA" w:rsidRDefault="009E01DA" w:rsidP="003F3F11">
            <w:pPr>
              <w:jc w:val="left"/>
              <w:rPr>
                <w:b/>
                <w:bCs/>
                <w:sz w:val="20"/>
                <w:szCs w:val="20"/>
              </w:rPr>
            </w:pPr>
          </w:p>
        </w:tc>
        <w:tc>
          <w:tcPr>
            <w:tcW w:w="1239" w:type="dxa"/>
            <w:vMerge/>
            <w:tcBorders>
              <w:bottom w:val="single" w:sz="18" w:space="0" w:color="auto"/>
            </w:tcBorders>
            <w:shd w:val="clear" w:color="auto" w:fill="F2F2F2" w:themeFill="background1" w:themeFillShade="F2"/>
            <w:vAlign w:val="center"/>
          </w:tcPr>
          <w:p w14:paraId="5CBFC8AC" w14:textId="77777777" w:rsidR="009E01DA" w:rsidRPr="00B363AA" w:rsidRDefault="009E01DA" w:rsidP="003F3F11">
            <w:pPr>
              <w:jc w:val="left"/>
              <w:rPr>
                <w:sz w:val="20"/>
                <w:szCs w:val="20"/>
              </w:rPr>
            </w:pPr>
          </w:p>
        </w:tc>
        <w:tc>
          <w:tcPr>
            <w:tcW w:w="748" w:type="dxa"/>
            <w:vMerge/>
            <w:tcBorders>
              <w:bottom w:val="single" w:sz="18" w:space="0" w:color="auto"/>
            </w:tcBorders>
            <w:vAlign w:val="center"/>
          </w:tcPr>
          <w:p w14:paraId="44825177" w14:textId="77777777" w:rsidR="009E01DA" w:rsidRPr="00B363AA" w:rsidRDefault="009E01DA" w:rsidP="003F3F11">
            <w:pPr>
              <w:jc w:val="center"/>
              <w:rPr>
                <w:sz w:val="20"/>
                <w:szCs w:val="20"/>
              </w:rPr>
            </w:pPr>
          </w:p>
        </w:tc>
        <w:tc>
          <w:tcPr>
            <w:tcW w:w="1628" w:type="dxa"/>
            <w:tcBorders>
              <w:bottom w:val="single" w:sz="18" w:space="0" w:color="auto"/>
            </w:tcBorders>
            <w:shd w:val="clear" w:color="auto" w:fill="EFF5FB"/>
            <w:vAlign w:val="center"/>
          </w:tcPr>
          <w:p w14:paraId="567C1A0C" w14:textId="77777777" w:rsidR="009E01DA" w:rsidRPr="00B363AA" w:rsidRDefault="009E01DA" w:rsidP="003F3F11">
            <w:pPr>
              <w:jc w:val="left"/>
              <w:rPr>
                <w:rFonts w:cs="Calibri"/>
                <w:sz w:val="20"/>
                <w:szCs w:val="20"/>
              </w:rPr>
            </w:pPr>
            <w:proofErr w:type="spellStart"/>
            <w:r w:rsidRPr="00B363AA">
              <w:rPr>
                <w:sz w:val="20"/>
                <w:szCs w:val="20"/>
              </w:rPr>
              <w:t>Drainage</w:t>
            </w:r>
            <w:r w:rsidRPr="00B363AA">
              <w:rPr>
                <w:sz w:val="20"/>
                <w:szCs w:val="20"/>
                <w:vertAlign w:val="subscript"/>
              </w:rPr>
              <w:t>santé</w:t>
            </w:r>
            <w:proofErr w:type="spellEnd"/>
          </w:p>
        </w:tc>
        <w:tc>
          <w:tcPr>
            <w:tcW w:w="4252" w:type="dxa"/>
            <w:vMerge/>
            <w:tcBorders>
              <w:bottom w:val="single" w:sz="18" w:space="0" w:color="auto"/>
            </w:tcBorders>
            <w:vAlign w:val="center"/>
          </w:tcPr>
          <w:p w14:paraId="720013B3" w14:textId="77777777" w:rsidR="009E01DA" w:rsidRPr="00B363AA" w:rsidRDefault="009E01DA" w:rsidP="003F3F11">
            <w:pPr>
              <w:jc w:val="left"/>
              <w:rPr>
                <w:sz w:val="20"/>
                <w:szCs w:val="20"/>
              </w:rPr>
            </w:pPr>
          </w:p>
        </w:tc>
      </w:tr>
      <w:tr w:rsidR="009E01DA" w:rsidRPr="00B363AA" w14:paraId="7909E516" w14:textId="77777777" w:rsidTr="003F3F11">
        <w:tc>
          <w:tcPr>
            <w:tcW w:w="1200" w:type="dxa"/>
            <w:vMerge w:val="restart"/>
            <w:tcBorders>
              <w:top w:val="single" w:sz="18" w:space="0" w:color="auto"/>
            </w:tcBorders>
            <w:shd w:val="clear" w:color="auto" w:fill="D1D1D1" w:themeFill="background2" w:themeFillShade="E6"/>
            <w:vAlign w:val="center"/>
          </w:tcPr>
          <w:p w14:paraId="1E5162A1" w14:textId="77777777" w:rsidR="009E01DA" w:rsidRPr="00B363AA" w:rsidRDefault="009E01DA" w:rsidP="003F3F11">
            <w:pPr>
              <w:jc w:val="left"/>
              <w:rPr>
                <w:b/>
                <w:bCs/>
                <w:sz w:val="20"/>
                <w:szCs w:val="20"/>
              </w:rPr>
            </w:pPr>
            <w:r w:rsidRPr="00B363AA">
              <w:rPr>
                <w:b/>
                <w:bCs/>
                <w:sz w:val="20"/>
                <w:szCs w:val="20"/>
              </w:rPr>
              <w:t>Protection des nappes</w:t>
            </w:r>
          </w:p>
        </w:tc>
        <w:tc>
          <w:tcPr>
            <w:tcW w:w="1239" w:type="dxa"/>
            <w:vMerge w:val="restart"/>
            <w:tcBorders>
              <w:top w:val="single" w:sz="18" w:space="0" w:color="auto"/>
            </w:tcBorders>
            <w:shd w:val="clear" w:color="auto" w:fill="F2F2F2" w:themeFill="background1" w:themeFillShade="F2"/>
            <w:vAlign w:val="center"/>
          </w:tcPr>
          <w:p w14:paraId="3341802C" w14:textId="77777777" w:rsidR="009E01DA" w:rsidRPr="00B363AA" w:rsidRDefault="009E01DA" w:rsidP="003F3F11">
            <w:pPr>
              <w:jc w:val="left"/>
              <w:rPr>
                <w:sz w:val="20"/>
                <w:szCs w:val="20"/>
              </w:rPr>
            </w:pPr>
            <w:r w:rsidRPr="00B363AA">
              <w:rPr>
                <w:sz w:val="20"/>
                <w:szCs w:val="20"/>
              </w:rPr>
              <w:t>Rétention</w:t>
            </w:r>
          </w:p>
        </w:tc>
        <w:tc>
          <w:tcPr>
            <w:tcW w:w="748" w:type="dxa"/>
            <w:vMerge w:val="restart"/>
            <w:tcBorders>
              <w:top w:val="single" w:sz="18" w:space="0" w:color="auto"/>
            </w:tcBorders>
            <w:vAlign w:val="center"/>
          </w:tcPr>
          <w:p w14:paraId="72DEEEF9"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1E9B8601" wp14:editId="4F7085E4">
                      <wp:extent cx="94615" cy="153035"/>
                      <wp:effectExtent l="0" t="38100" r="57785" b="18415"/>
                      <wp:docPr id="300856950"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4281E381"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tcBorders>
              <w:top w:val="single" w:sz="18" w:space="0" w:color="auto"/>
            </w:tcBorders>
            <w:shd w:val="clear" w:color="auto" w:fill="F2F9EB"/>
            <w:vAlign w:val="center"/>
          </w:tcPr>
          <w:p w14:paraId="6D82C23C" w14:textId="77777777" w:rsidR="009E01DA" w:rsidRPr="00B363AA" w:rsidRDefault="009E01DA" w:rsidP="003F3F11">
            <w:pPr>
              <w:jc w:val="left"/>
              <w:rPr>
                <w:sz w:val="20"/>
                <w:szCs w:val="20"/>
              </w:rPr>
            </w:pPr>
            <w:proofErr w:type="spellStart"/>
            <w:r w:rsidRPr="00B363AA">
              <w:rPr>
                <w:sz w:val="20"/>
                <w:szCs w:val="20"/>
              </w:rPr>
              <w:t>Conc</w:t>
            </w:r>
            <w:r w:rsidRPr="00B363AA">
              <w:rPr>
                <w:sz w:val="20"/>
                <w:szCs w:val="20"/>
                <w:vertAlign w:val="subscript"/>
              </w:rPr>
              <w:t>rétention</w:t>
            </w:r>
            <w:proofErr w:type="spellEnd"/>
            <w:r w:rsidRPr="00B363AA">
              <w:rPr>
                <w:sz w:val="20"/>
                <w:szCs w:val="20"/>
                <w:vertAlign w:val="subscript"/>
              </w:rPr>
              <w:t xml:space="preserve"> qualité</w:t>
            </w:r>
          </w:p>
        </w:tc>
        <w:tc>
          <w:tcPr>
            <w:tcW w:w="4252" w:type="dxa"/>
            <w:tcBorders>
              <w:top w:val="single" w:sz="18" w:space="0" w:color="auto"/>
            </w:tcBorders>
            <w:shd w:val="clear" w:color="auto" w:fill="F2F9EB"/>
            <w:vAlign w:val="center"/>
          </w:tcPr>
          <w:p w14:paraId="4C627AB2" w14:textId="77777777" w:rsidR="009E01DA" w:rsidRPr="00B363AA" w:rsidRDefault="009E01DA" w:rsidP="003F3F11">
            <w:pPr>
              <w:jc w:val="left"/>
              <w:rPr>
                <w:sz w:val="20"/>
                <w:szCs w:val="20"/>
              </w:rPr>
            </w:pPr>
            <w:r w:rsidRPr="00B363AA">
              <w:rPr>
                <w:sz w:val="20"/>
                <w:szCs w:val="20"/>
              </w:rPr>
              <w:t>Comparaison à la valeur cible modélisée avec paramètres standards et MO optimale</w:t>
            </w:r>
          </w:p>
        </w:tc>
      </w:tr>
      <w:tr w:rsidR="009E01DA" w:rsidRPr="00B363AA" w14:paraId="1796C588" w14:textId="77777777" w:rsidTr="003F3F11">
        <w:tc>
          <w:tcPr>
            <w:tcW w:w="1200" w:type="dxa"/>
            <w:vMerge/>
            <w:tcBorders>
              <w:bottom w:val="single" w:sz="18" w:space="0" w:color="auto"/>
            </w:tcBorders>
            <w:shd w:val="clear" w:color="auto" w:fill="D1D1D1" w:themeFill="background2" w:themeFillShade="E6"/>
            <w:vAlign w:val="center"/>
          </w:tcPr>
          <w:p w14:paraId="0BA688D0" w14:textId="77777777" w:rsidR="009E01DA" w:rsidRPr="00B363AA" w:rsidRDefault="009E01DA" w:rsidP="003F3F11">
            <w:pPr>
              <w:jc w:val="left"/>
              <w:rPr>
                <w:b/>
                <w:bCs/>
                <w:sz w:val="20"/>
                <w:szCs w:val="20"/>
              </w:rPr>
            </w:pPr>
          </w:p>
        </w:tc>
        <w:tc>
          <w:tcPr>
            <w:tcW w:w="1239" w:type="dxa"/>
            <w:vMerge/>
            <w:tcBorders>
              <w:bottom w:val="single" w:sz="18" w:space="0" w:color="auto"/>
            </w:tcBorders>
            <w:shd w:val="clear" w:color="auto" w:fill="F2F2F2" w:themeFill="background1" w:themeFillShade="F2"/>
            <w:vAlign w:val="center"/>
          </w:tcPr>
          <w:p w14:paraId="0EDB44F2" w14:textId="77777777" w:rsidR="009E01DA" w:rsidRPr="00B363AA" w:rsidRDefault="009E01DA" w:rsidP="003F3F11">
            <w:pPr>
              <w:jc w:val="left"/>
              <w:rPr>
                <w:sz w:val="20"/>
                <w:szCs w:val="20"/>
              </w:rPr>
            </w:pPr>
          </w:p>
        </w:tc>
        <w:tc>
          <w:tcPr>
            <w:tcW w:w="748" w:type="dxa"/>
            <w:vMerge/>
            <w:tcBorders>
              <w:bottom w:val="single" w:sz="18" w:space="0" w:color="auto"/>
            </w:tcBorders>
            <w:vAlign w:val="center"/>
          </w:tcPr>
          <w:p w14:paraId="0CF09FEE" w14:textId="77777777" w:rsidR="009E01DA" w:rsidRPr="00B363AA" w:rsidRDefault="009E01DA" w:rsidP="003F3F11">
            <w:pPr>
              <w:jc w:val="center"/>
              <w:rPr>
                <w:sz w:val="20"/>
                <w:szCs w:val="20"/>
              </w:rPr>
            </w:pPr>
          </w:p>
        </w:tc>
        <w:tc>
          <w:tcPr>
            <w:tcW w:w="1628" w:type="dxa"/>
            <w:tcBorders>
              <w:bottom w:val="single" w:sz="18" w:space="0" w:color="auto"/>
            </w:tcBorders>
            <w:shd w:val="clear" w:color="auto" w:fill="EFF5FB"/>
            <w:vAlign w:val="center"/>
          </w:tcPr>
          <w:p w14:paraId="063420CA" w14:textId="77777777" w:rsidR="009E01DA" w:rsidRPr="00B363AA" w:rsidRDefault="009E01DA" w:rsidP="003F3F11">
            <w:pPr>
              <w:jc w:val="left"/>
              <w:rPr>
                <w:sz w:val="20"/>
                <w:szCs w:val="20"/>
              </w:rPr>
            </w:pPr>
            <w:proofErr w:type="spellStart"/>
            <w:r w:rsidRPr="00B363AA">
              <w:rPr>
                <w:sz w:val="20"/>
                <w:szCs w:val="20"/>
              </w:rPr>
              <w:t>Conc</w:t>
            </w:r>
            <w:r w:rsidRPr="00B363AA">
              <w:rPr>
                <w:sz w:val="20"/>
                <w:szCs w:val="20"/>
                <w:vertAlign w:val="subscript"/>
              </w:rPr>
              <w:t>rétention</w:t>
            </w:r>
            <w:proofErr w:type="spellEnd"/>
            <w:r w:rsidRPr="00B363AA">
              <w:rPr>
                <w:sz w:val="20"/>
                <w:szCs w:val="20"/>
                <w:vertAlign w:val="subscript"/>
              </w:rPr>
              <w:t xml:space="preserve"> santé</w:t>
            </w:r>
          </w:p>
        </w:tc>
        <w:tc>
          <w:tcPr>
            <w:tcW w:w="4252" w:type="dxa"/>
            <w:tcBorders>
              <w:bottom w:val="single" w:sz="18" w:space="0" w:color="auto"/>
            </w:tcBorders>
            <w:shd w:val="clear" w:color="auto" w:fill="EFF5FB"/>
            <w:vAlign w:val="center"/>
          </w:tcPr>
          <w:p w14:paraId="18DAA91F" w14:textId="77777777" w:rsidR="009E01DA" w:rsidRPr="00B363AA" w:rsidRDefault="009E01DA" w:rsidP="003F3F11">
            <w:pPr>
              <w:jc w:val="left"/>
              <w:rPr>
                <w:sz w:val="20"/>
                <w:szCs w:val="20"/>
              </w:rPr>
            </w:pPr>
            <w:r w:rsidRPr="00B363AA">
              <w:rPr>
                <w:sz w:val="20"/>
                <w:szCs w:val="20"/>
              </w:rPr>
              <w:t>Comparaison à la valeur potentielle atteignable en fonction de la classe texturale (sur base de MO potentielle)</w:t>
            </w:r>
          </w:p>
        </w:tc>
      </w:tr>
      <w:tr w:rsidR="009E01DA" w:rsidRPr="00B363AA" w14:paraId="23542FC5" w14:textId="77777777" w:rsidTr="003F3F11">
        <w:tc>
          <w:tcPr>
            <w:tcW w:w="1200" w:type="dxa"/>
            <w:tcBorders>
              <w:top w:val="single" w:sz="18" w:space="0" w:color="auto"/>
              <w:bottom w:val="single" w:sz="18" w:space="0" w:color="auto"/>
            </w:tcBorders>
            <w:shd w:val="clear" w:color="auto" w:fill="D1D1D1" w:themeFill="background2" w:themeFillShade="E6"/>
            <w:vAlign w:val="center"/>
          </w:tcPr>
          <w:p w14:paraId="0E24BFE3" w14:textId="77777777" w:rsidR="009E01DA" w:rsidRPr="00B363AA" w:rsidRDefault="009E01DA" w:rsidP="003F3F11">
            <w:pPr>
              <w:jc w:val="left"/>
              <w:rPr>
                <w:b/>
                <w:bCs/>
                <w:sz w:val="20"/>
                <w:szCs w:val="20"/>
              </w:rPr>
            </w:pPr>
            <w:r w:rsidRPr="00B363AA">
              <w:rPr>
                <w:b/>
                <w:bCs/>
                <w:sz w:val="20"/>
                <w:szCs w:val="20"/>
              </w:rPr>
              <w:t>Accueil végétation diversifiée</w:t>
            </w:r>
          </w:p>
        </w:tc>
        <w:tc>
          <w:tcPr>
            <w:tcW w:w="1239" w:type="dxa"/>
            <w:tcBorders>
              <w:top w:val="single" w:sz="18" w:space="0" w:color="auto"/>
              <w:bottom w:val="single" w:sz="18" w:space="0" w:color="auto"/>
            </w:tcBorders>
            <w:shd w:val="clear" w:color="auto" w:fill="F2F2F2" w:themeFill="background1" w:themeFillShade="F2"/>
            <w:vAlign w:val="center"/>
          </w:tcPr>
          <w:p w14:paraId="32E213E6" w14:textId="77777777" w:rsidR="009E01DA" w:rsidRPr="00B363AA" w:rsidRDefault="009E01DA" w:rsidP="003F3F11">
            <w:pPr>
              <w:jc w:val="left"/>
              <w:rPr>
                <w:sz w:val="20"/>
                <w:szCs w:val="20"/>
              </w:rPr>
            </w:pPr>
            <w:r w:rsidRPr="00B363AA">
              <w:rPr>
                <w:sz w:val="20"/>
                <w:szCs w:val="20"/>
              </w:rPr>
              <w:t>Diversité réseaux trophiques</w:t>
            </w:r>
          </w:p>
        </w:tc>
        <w:tc>
          <w:tcPr>
            <w:tcW w:w="748" w:type="dxa"/>
            <w:tcBorders>
              <w:top w:val="single" w:sz="18" w:space="0" w:color="auto"/>
              <w:bottom w:val="single" w:sz="18" w:space="0" w:color="auto"/>
            </w:tcBorders>
            <w:vAlign w:val="center"/>
          </w:tcPr>
          <w:p w14:paraId="26222D62"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2ACD5824" wp14:editId="22BB2E87">
                      <wp:extent cx="94615" cy="153035"/>
                      <wp:effectExtent l="0" t="0" r="76835" b="56515"/>
                      <wp:docPr id="1715849515" name="Connecteur droit avec flèche 1"/>
                      <wp:cNvGraphicFramePr/>
                      <a:graphic xmlns:a="http://schemas.openxmlformats.org/drawingml/2006/main">
                        <a:graphicData uri="http://schemas.microsoft.com/office/word/2010/wordprocessingShape">
                          <wps:wsp>
                            <wps:cNvCnPr/>
                            <wps:spPr>
                              <a:xfrm>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21767BF4" id="Connecteur droit avec flèche 1" o:spid="_x0000_s1026" type="#_x0000_t32" style="width:7.45pt;height:12.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" strokecolor="#0e2841 [3215]" strokeweight="1pt">
                      <v:stroke endarrow="block" joinstyle="miter"/>
                      <w10:anchorlock/>
                    </v:shape>
                  </w:pict>
                </mc:Fallback>
              </mc:AlternateContent>
            </w:r>
          </w:p>
        </w:tc>
        <w:tc>
          <w:tcPr>
            <w:tcW w:w="1628" w:type="dxa"/>
            <w:tcBorders>
              <w:top w:val="single" w:sz="18" w:space="0" w:color="auto"/>
              <w:bottom w:val="single" w:sz="18" w:space="0" w:color="auto"/>
            </w:tcBorders>
            <w:shd w:val="clear" w:color="auto" w:fill="F2F9EB"/>
            <w:vAlign w:val="center"/>
          </w:tcPr>
          <w:p w14:paraId="0833BF61" w14:textId="77777777" w:rsidR="009E01DA" w:rsidRPr="00B363AA" w:rsidRDefault="009E01DA" w:rsidP="003F3F11">
            <w:pPr>
              <w:jc w:val="left"/>
              <w:rPr>
                <w:sz w:val="20"/>
                <w:szCs w:val="20"/>
              </w:rPr>
            </w:pPr>
            <w:proofErr w:type="spellStart"/>
            <w:r w:rsidRPr="00B363AA">
              <w:rPr>
                <w:sz w:val="20"/>
                <w:szCs w:val="20"/>
              </w:rPr>
              <w:t>P</w:t>
            </w:r>
            <w:r w:rsidRPr="00B363AA">
              <w:rPr>
                <w:sz w:val="20"/>
                <w:szCs w:val="20"/>
                <w:vertAlign w:val="subscript"/>
              </w:rPr>
              <w:t>qualité</w:t>
            </w:r>
            <w:proofErr w:type="spellEnd"/>
          </w:p>
        </w:tc>
        <w:tc>
          <w:tcPr>
            <w:tcW w:w="4252" w:type="dxa"/>
            <w:tcBorders>
              <w:top w:val="single" w:sz="18" w:space="0" w:color="auto"/>
              <w:bottom w:val="single" w:sz="18" w:space="0" w:color="auto"/>
            </w:tcBorders>
            <w:shd w:val="clear" w:color="auto" w:fill="F2F9EB"/>
            <w:vAlign w:val="center"/>
          </w:tcPr>
          <w:p w14:paraId="4441973F" w14:textId="77777777" w:rsidR="009E01DA" w:rsidRPr="00B363AA" w:rsidRDefault="009E01DA" w:rsidP="003F3F11">
            <w:pPr>
              <w:jc w:val="left"/>
              <w:rPr>
                <w:sz w:val="20"/>
                <w:szCs w:val="20"/>
              </w:rPr>
            </w:pPr>
            <w:r w:rsidRPr="00B363AA">
              <w:rPr>
                <w:sz w:val="20"/>
                <w:szCs w:val="20"/>
              </w:rPr>
              <w:t xml:space="preserve">Seuil à partir duquel la diversité végétale des écosystèmes chute drastiquement </w:t>
            </w:r>
            <w:r w:rsidRPr="00B363AA">
              <w:rPr>
                <w:sz w:val="20"/>
                <w:szCs w:val="20"/>
              </w:rPr>
              <w:fldChar w:fldCharType="begin"/>
            </w:r>
            <w:r w:rsidRPr="00B363AA">
              <w:rPr>
                <w:sz w:val="20"/>
                <w:szCs w:val="20"/>
              </w:rPr>
              <w:instrText xml:space="preserve"> ADDIN ZOTERO_ITEM CSL_CITATION {"citationID":"blyoNLJo","properties":{"unsorted":false,"formattedCitation":"(Janssens &amp; Peeters, 1999)","plainCitation":"(Janssens &amp; Peeters, 1999)","noteIndex":0},"citationItems":[{"id":124,"uris":["http://zotero.org/groups/5684833/items/6FFL6DXR"],"itemData":{"id":124,"type":"article-journal","language":"fr","source":"dial.uclouvain.be","title":"Talus et pré fleuris : mode d'emploi. Un guide pour l'aménagement écologique d'espaces verts","title-short":"Talus et pré fleuris","URL":"https://dial.uclouvain.be/pr/boreal/object/boreal:84530","author":[{"family":"Janssens","given":"Frédéric"},{"family":"Peeters","given":"Alain"}],"accessed":{"date-parts":[["2025",7,30]]},"issued":{"date-parts":[["1999"]]}}}],"schema":"https://github.com/citation-style-language/schema/raw/master/csl-citation.json"} </w:instrText>
            </w:r>
            <w:r w:rsidRPr="00B363AA">
              <w:rPr>
                <w:sz w:val="20"/>
                <w:szCs w:val="20"/>
              </w:rPr>
              <w:fldChar w:fldCharType="separate"/>
            </w:r>
            <w:r w:rsidRPr="00B363AA">
              <w:rPr>
                <w:rFonts w:cs="Calibri"/>
                <w:sz w:val="20"/>
              </w:rPr>
              <w:t>(Janssens &amp; Peeters, 1999)</w:t>
            </w:r>
            <w:r w:rsidRPr="00B363AA">
              <w:rPr>
                <w:sz w:val="20"/>
                <w:szCs w:val="20"/>
              </w:rPr>
              <w:fldChar w:fldCharType="end"/>
            </w:r>
          </w:p>
        </w:tc>
      </w:tr>
      <w:tr w:rsidR="009E01DA" w:rsidRPr="00B363AA" w14:paraId="3F7CBC4F" w14:textId="77777777" w:rsidTr="003F3F11">
        <w:tc>
          <w:tcPr>
            <w:tcW w:w="1200" w:type="dxa"/>
            <w:vMerge w:val="restart"/>
            <w:tcBorders>
              <w:top w:val="single" w:sz="18" w:space="0" w:color="auto"/>
            </w:tcBorders>
            <w:shd w:val="clear" w:color="auto" w:fill="D1D1D1" w:themeFill="background2" w:themeFillShade="E6"/>
            <w:vAlign w:val="center"/>
          </w:tcPr>
          <w:p w14:paraId="6FB950E9" w14:textId="77777777" w:rsidR="009E01DA" w:rsidRPr="00B363AA" w:rsidRDefault="009E01DA" w:rsidP="003F3F11">
            <w:pPr>
              <w:jc w:val="left"/>
              <w:rPr>
                <w:b/>
                <w:bCs/>
                <w:sz w:val="20"/>
                <w:szCs w:val="20"/>
              </w:rPr>
            </w:pPr>
            <w:r w:rsidRPr="00B363AA">
              <w:rPr>
                <w:b/>
                <w:bCs/>
                <w:sz w:val="20"/>
                <w:szCs w:val="20"/>
              </w:rPr>
              <w:t>Biodiversité du sol</w:t>
            </w:r>
          </w:p>
        </w:tc>
        <w:tc>
          <w:tcPr>
            <w:tcW w:w="1239" w:type="dxa"/>
            <w:vMerge w:val="restart"/>
            <w:tcBorders>
              <w:top w:val="single" w:sz="18" w:space="0" w:color="auto"/>
            </w:tcBorders>
            <w:shd w:val="clear" w:color="auto" w:fill="F2F2F2" w:themeFill="background1" w:themeFillShade="F2"/>
            <w:vAlign w:val="center"/>
          </w:tcPr>
          <w:p w14:paraId="3361EB43" w14:textId="77777777" w:rsidR="009E01DA" w:rsidRPr="00B363AA" w:rsidRDefault="009E01DA" w:rsidP="003F3F11">
            <w:pPr>
              <w:jc w:val="left"/>
              <w:rPr>
                <w:sz w:val="20"/>
                <w:szCs w:val="20"/>
              </w:rPr>
            </w:pPr>
            <w:r w:rsidRPr="00B363AA">
              <w:rPr>
                <w:sz w:val="20"/>
                <w:szCs w:val="20"/>
              </w:rPr>
              <w:t>Abondance microbienne</w:t>
            </w:r>
          </w:p>
        </w:tc>
        <w:tc>
          <w:tcPr>
            <w:tcW w:w="748" w:type="dxa"/>
            <w:vMerge w:val="restart"/>
            <w:tcBorders>
              <w:top w:val="single" w:sz="18" w:space="0" w:color="auto"/>
            </w:tcBorders>
            <w:vAlign w:val="center"/>
          </w:tcPr>
          <w:p w14:paraId="4E8B437A"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01F4B588" wp14:editId="23E4D6A2">
                      <wp:extent cx="94615" cy="153035"/>
                      <wp:effectExtent l="0" t="38100" r="57785" b="18415"/>
                      <wp:docPr id="211993507"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80881F0"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tcBorders>
              <w:top w:val="single" w:sz="18" w:space="0" w:color="auto"/>
            </w:tcBorders>
            <w:shd w:val="clear" w:color="auto" w:fill="F2F9EB"/>
            <w:vAlign w:val="center"/>
          </w:tcPr>
          <w:p w14:paraId="4FA88CDD" w14:textId="77777777" w:rsidR="009E01DA" w:rsidRPr="00B363AA" w:rsidRDefault="009E01DA" w:rsidP="003F3F11">
            <w:pPr>
              <w:jc w:val="left"/>
              <w:rPr>
                <w:sz w:val="20"/>
                <w:szCs w:val="20"/>
              </w:rPr>
            </w:pPr>
            <w:proofErr w:type="spellStart"/>
            <w:r w:rsidRPr="00B363AA">
              <w:rPr>
                <w:sz w:val="20"/>
                <w:szCs w:val="20"/>
              </w:rPr>
              <w:t>C</w:t>
            </w:r>
            <w:r w:rsidRPr="00B363AA">
              <w:rPr>
                <w:sz w:val="20"/>
                <w:szCs w:val="20"/>
                <w:vertAlign w:val="subscript"/>
              </w:rPr>
              <w:t>mic</w:t>
            </w:r>
            <w:proofErr w:type="spellEnd"/>
            <w:r w:rsidRPr="00B363AA">
              <w:rPr>
                <w:sz w:val="20"/>
                <w:szCs w:val="20"/>
                <w:vertAlign w:val="subscript"/>
              </w:rPr>
              <w:t xml:space="preserve"> qualité</w:t>
            </w:r>
          </w:p>
        </w:tc>
        <w:tc>
          <w:tcPr>
            <w:tcW w:w="4252" w:type="dxa"/>
            <w:vMerge w:val="restart"/>
            <w:tcBorders>
              <w:top w:val="single" w:sz="18" w:space="0" w:color="auto"/>
            </w:tcBorders>
            <w:vAlign w:val="center"/>
          </w:tcPr>
          <w:p w14:paraId="1030E98F" w14:textId="77777777" w:rsidR="009E01DA" w:rsidRPr="00B363AA" w:rsidRDefault="009E01DA" w:rsidP="003F3F11">
            <w:pPr>
              <w:jc w:val="left"/>
              <w:rPr>
                <w:sz w:val="20"/>
                <w:szCs w:val="20"/>
              </w:rPr>
            </w:pPr>
            <w:r w:rsidRPr="00B363AA">
              <w:rPr>
                <w:sz w:val="20"/>
                <w:szCs w:val="20"/>
              </w:rPr>
              <w:t xml:space="preserve">Distribution des valeurs mesurées sur des sols agricoles RW </w:t>
            </w:r>
            <w:r w:rsidRPr="00B363AA">
              <w:rPr>
                <w:sz w:val="20"/>
                <w:szCs w:val="20"/>
              </w:rPr>
              <w:fldChar w:fldCharType="begin"/>
            </w:r>
            <w:r w:rsidRPr="00B363AA">
              <w:rPr>
                <w:sz w:val="20"/>
                <w:szCs w:val="20"/>
              </w:rPr>
              <w:instrText xml:space="preserve"> ADDIN ZOTERO_ITEM CSL_CITATION {"citationID":"E8l1SzRE","properties":{"unsorted":false,"formattedCitation":"(Chartin et al., 2015)","plainCitation":"(Chartin et al., 2015)","noteIndex":0},"citationItems":[{"id":91,"uris":["http://zotero.org/groups/5684833/items/X3Q8CCBC"],"itemData":{"id":91,"type":"article-journal","language":"fr","source":"Zotero","title":"« Carbone organique, biomasse et activité microbienne des sols : vers un indicateur de la qualité des sols en Wallonie »","author":[{"family":"Chartin","given":"Caroline"},{"family":"Kruger","given":"Inken"},{"family":"Stevens","given":"Antoine"},{"family":"Wesemael","given":"Bas Van"},{"family":"Carnol","given":"Monique"}],"issued":{"date-parts":[["2015"]]}}}],"schema":"https://github.com/citation-style-language/schema/raw/master/csl-citation.json"} </w:instrText>
            </w:r>
            <w:r w:rsidRPr="00B363AA">
              <w:rPr>
                <w:sz w:val="20"/>
                <w:szCs w:val="20"/>
              </w:rPr>
              <w:fldChar w:fldCharType="separate"/>
            </w:r>
            <w:r w:rsidRPr="00B363AA">
              <w:rPr>
                <w:rFonts w:cs="Calibri"/>
                <w:sz w:val="20"/>
              </w:rPr>
              <w:t>(Chartin et al., 2015)</w:t>
            </w:r>
            <w:r w:rsidRPr="00B363AA">
              <w:rPr>
                <w:sz w:val="20"/>
                <w:szCs w:val="20"/>
              </w:rPr>
              <w:fldChar w:fldCharType="end"/>
            </w:r>
          </w:p>
        </w:tc>
      </w:tr>
      <w:tr w:rsidR="009E01DA" w:rsidRPr="00B363AA" w14:paraId="4AEAA40A" w14:textId="77777777" w:rsidTr="003F3F11">
        <w:tc>
          <w:tcPr>
            <w:tcW w:w="1200" w:type="dxa"/>
            <w:vMerge/>
            <w:shd w:val="clear" w:color="auto" w:fill="D1D1D1" w:themeFill="background2" w:themeFillShade="E6"/>
            <w:vAlign w:val="center"/>
          </w:tcPr>
          <w:p w14:paraId="2F5106BB"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527BFA37" w14:textId="77777777" w:rsidR="009E01DA" w:rsidRPr="00B363AA" w:rsidRDefault="009E01DA" w:rsidP="003F3F11">
            <w:pPr>
              <w:jc w:val="left"/>
              <w:rPr>
                <w:sz w:val="20"/>
                <w:szCs w:val="20"/>
              </w:rPr>
            </w:pPr>
          </w:p>
        </w:tc>
        <w:tc>
          <w:tcPr>
            <w:tcW w:w="748" w:type="dxa"/>
            <w:vMerge/>
            <w:vAlign w:val="center"/>
          </w:tcPr>
          <w:p w14:paraId="793AF85A" w14:textId="77777777" w:rsidR="009E01DA" w:rsidRPr="00B363AA" w:rsidRDefault="009E01DA" w:rsidP="003F3F11">
            <w:pPr>
              <w:jc w:val="center"/>
              <w:rPr>
                <w:sz w:val="20"/>
                <w:szCs w:val="20"/>
              </w:rPr>
            </w:pPr>
          </w:p>
        </w:tc>
        <w:tc>
          <w:tcPr>
            <w:tcW w:w="1628" w:type="dxa"/>
            <w:shd w:val="clear" w:color="auto" w:fill="EFF5FB"/>
            <w:vAlign w:val="center"/>
          </w:tcPr>
          <w:p w14:paraId="665695DF" w14:textId="77777777" w:rsidR="009E01DA" w:rsidRPr="00B363AA" w:rsidRDefault="009E01DA" w:rsidP="003F3F11">
            <w:pPr>
              <w:jc w:val="left"/>
              <w:rPr>
                <w:sz w:val="20"/>
                <w:szCs w:val="20"/>
              </w:rPr>
            </w:pPr>
            <w:proofErr w:type="spellStart"/>
            <w:r w:rsidRPr="00B363AA">
              <w:rPr>
                <w:sz w:val="20"/>
                <w:szCs w:val="20"/>
              </w:rPr>
              <w:t>C</w:t>
            </w:r>
            <w:r w:rsidRPr="00B363AA">
              <w:rPr>
                <w:sz w:val="20"/>
                <w:szCs w:val="20"/>
                <w:vertAlign w:val="subscript"/>
              </w:rPr>
              <w:t>mic</w:t>
            </w:r>
            <w:proofErr w:type="spellEnd"/>
            <w:r w:rsidRPr="00B363AA">
              <w:rPr>
                <w:sz w:val="20"/>
                <w:szCs w:val="20"/>
                <w:vertAlign w:val="subscript"/>
              </w:rPr>
              <w:t xml:space="preserve"> santé</w:t>
            </w:r>
          </w:p>
        </w:tc>
        <w:tc>
          <w:tcPr>
            <w:tcW w:w="4252" w:type="dxa"/>
            <w:vMerge/>
            <w:vAlign w:val="center"/>
          </w:tcPr>
          <w:p w14:paraId="22C06B8C" w14:textId="77777777" w:rsidR="009E01DA" w:rsidRPr="00B363AA" w:rsidRDefault="009E01DA" w:rsidP="003F3F11">
            <w:pPr>
              <w:jc w:val="left"/>
              <w:rPr>
                <w:sz w:val="20"/>
                <w:szCs w:val="20"/>
              </w:rPr>
            </w:pPr>
          </w:p>
        </w:tc>
      </w:tr>
      <w:tr w:rsidR="009E01DA" w:rsidRPr="00B363AA" w14:paraId="21176E35" w14:textId="77777777" w:rsidTr="003F3F11">
        <w:tc>
          <w:tcPr>
            <w:tcW w:w="1200" w:type="dxa"/>
            <w:vMerge/>
            <w:shd w:val="clear" w:color="auto" w:fill="D1D1D1" w:themeFill="background2" w:themeFillShade="E6"/>
            <w:vAlign w:val="center"/>
          </w:tcPr>
          <w:p w14:paraId="26A3E6BB" w14:textId="77777777" w:rsidR="009E01DA" w:rsidRPr="00B363AA" w:rsidRDefault="009E01DA" w:rsidP="003F3F11">
            <w:pPr>
              <w:jc w:val="left"/>
              <w:rPr>
                <w:b/>
                <w:bCs/>
                <w:sz w:val="20"/>
                <w:szCs w:val="20"/>
              </w:rPr>
            </w:pPr>
          </w:p>
        </w:tc>
        <w:tc>
          <w:tcPr>
            <w:tcW w:w="1239" w:type="dxa"/>
            <w:vMerge w:val="restart"/>
            <w:shd w:val="clear" w:color="auto" w:fill="F2F2F2" w:themeFill="background1" w:themeFillShade="F2"/>
            <w:vAlign w:val="center"/>
          </w:tcPr>
          <w:p w14:paraId="78D75844" w14:textId="77777777" w:rsidR="009E01DA" w:rsidRPr="00B363AA" w:rsidRDefault="009E01DA" w:rsidP="003F3F11">
            <w:pPr>
              <w:jc w:val="left"/>
              <w:rPr>
                <w:sz w:val="20"/>
                <w:szCs w:val="20"/>
              </w:rPr>
            </w:pPr>
            <w:r w:rsidRPr="00B363AA">
              <w:rPr>
                <w:sz w:val="20"/>
                <w:szCs w:val="20"/>
              </w:rPr>
              <w:t>Diversité nématodes</w:t>
            </w:r>
          </w:p>
        </w:tc>
        <w:tc>
          <w:tcPr>
            <w:tcW w:w="748" w:type="dxa"/>
            <w:vMerge w:val="restart"/>
            <w:vAlign w:val="center"/>
          </w:tcPr>
          <w:p w14:paraId="78621BB7"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1D0ACF7C" wp14:editId="42C68F3B">
                      <wp:extent cx="94615" cy="153035"/>
                      <wp:effectExtent l="0" t="38100" r="57785" b="18415"/>
                      <wp:docPr id="1600443032"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62564A7"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66CE34CA" w14:textId="77777777" w:rsidR="009E01DA" w:rsidRPr="00B363AA" w:rsidRDefault="009E01DA" w:rsidP="003F3F11">
            <w:pPr>
              <w:jc w:val="left"/>
              <w:rPr>
                <w:sz w:val="20"/>
                <w:szCs w:val="20"/>
              </w:rPr>
            </w:pPr>
            <w:proofErr w:type="spellStart"/>
            <w:r w:rsidRPr="00B363AA">
              <w:rPr>
                <w:sz w:val="20"/>
                <w:szCs w:val="20"/>
              </w:rPr>
              <w:t>SI</w:t>
            </w:r>
            <w:r w:rsidRPr="00B363AA">
              <w:rPr>
                <w:sz w:val="20"/>
                <w:szCs w:val="20"/>
                <w:vertAlign w:val="subscript"/>
              </w:rPr>
              <w:t>ném</w:t>
            </w:r>
            <w:proofErr w:type="spellEnd"/>
            <w:r w:rsidRPr="00B363AA">
              <w:rPr>
                <w:sz w:val="20"/>
                <w:szCs w:val="20"/>
                <w:vertAlign w:val="subscript"/>
              </w:rPr>
              <w:t xml:space="preserve"> qualité</w:t>
            </w:r>
          </w:p>
        </w:tc>
        <w:tc>
          <w:tcPr>
            <w:tcW w:w="4252" w:type="dxa"/>
            <w:vMerge w:val="restart"/>
            <w:vAlign w:val="center"/>
          </w:tcPr>
          <w:p w14:paraId="0FCC0639" w14:textId="77777777" w:rsidR="009E01DA" w:rsidRPr="00B363AA" w:rsidRDefault="009E01DA" w:rsidP="003F3F11">
            <w:pPr>
              <w:jc w:val="left"/>
              <w:rPr>
                <w:sz w:val="20"/>
                <w:szCs w:val="20"/>
              </w:rPr>
            </w:pPr>
            <w:r w:rsidRPr="00B363AA">
              <w:rPr>
                <w:sz w:val="20"/>
                <w:szCs w:val="20"/>
              </w:rPr>
              <w:t xml:space="preserve">Gammes optimales </w:t>
            </w:r>
            <w:r w:rsidRPr="00B363AA">
              <w:rPr>
                <w:sz w:val="20"/>
                <w:szCs w:val="20"/>
              </w:rPr>
              <w:fldChar w:fldCharType="begin"/>
            </w:r>
            <w:r w:rsidRPr="00B363AA">
              <w:rPr>
                <w:sz w:val="20"/>
                <w:szCs w:val="20"/>
              </w:rPr>
              <w:instrText xml:space="preserve"> ADDIN ZOTERO_ITEM CSL_CITATION {"citationID":"lYO4Z45l","properties":{"unsorted":true,"formattedCitation":"(Le Guedard et al., 2017; Chauvin, 2025)","plainCitation":"(Le Guedard et al., 2017; Chauvin, 2025)","noteIndex":0},"citationItems":[{"id":477,"uris":["http://zotero.org/groups/5684833/items/Z5X6SQPP"],"itemData":{"id":477,"type":"report","number":"010216","title":"La librairie ADEME - Bio-indicateurs de l'état des sols (Les)","URL":"https://librairie.ademe.fr/urbanisme-territoires-et-sols/1971-bio-indicateurs-de-l-etat-des-sols-les-9791029708244.html","author":[{"family":"Le Guedard","given":"Marina"},{"family":"Bessoule","given":"Jean-Jacques"},{"family":"Faure","given":"Olivier"},{"family":"Fayolle","given":"Gérald"},{"family":"Nau","given":"Jean-François"},{"family":"Villenave","given":"Cécile"},{"family":"Ceremonie","given":"Hélène"},{"family":"Pauget","given":"Benjamin"},{"family":"Peres","given":"Guénola"}],"editor":[{"literal":"ADERA"},{"literal":"LEB Aquitaine Transfert"},{"literal":"CNRS BORDEAUX"},{"literal":"ECOLE NATIONALE SUPERIEURE DES MINES DE SAINT-ETIENNE"},{"literal":"EODD Ingénieurs Conseils"},{"literal":"AGROCAMPUS OUEST"}],"accessed":{"date-parts":[["2026",3,10]]},"issued":{"date-parts":[["2017"]]}}},{"id":592,"uris":["http://zotero.org/groups/5684833/items/6H4ESTD4"],"itemData":{"id":592,"type":"speech","event-place":"Parc du Verdon","title":"La nématofaune: un bio-indicateur pour suivre et évaluer le fonctionnement biologique des sols","URL":"https://www.parcduverdon.fr/wp-content/uploads/2025/10/202509_JT_REGAIN_3.Qualite_biologique_nematodes_ELISOL.pdf","author":[{"family":"Chauvin","given":"Camille"}],"issued":{"date-parts":[["2025"]]}}}],"schema":"https://github.com/citation-style-language/schema/raw/master/csl-citation.json"} </w:instrText>
            </w:r>
            <w:r w:rsidRPr="00B363AA">
              <w:rPr>
                <w:sz w:val="20"/>
                <w:szCs w:val="20"/>
              </w:rPr>
              <w:fldChar w:fldCharType="separate"/>
            </w:r>
            <w:r w:rsidRPr="00B363AA">
              <w:rPr>
                <w:rFonts w:cs="Calibri"/>
                <w:sz w:val="20"/>
              </w:rPr>
              <w:t>(Le Guedard et al., 2017; Chauvin, 2025)</w:t>
            </w:r>
            <w:r w:rsidRPr="00B363AA">
              <w:rPr>
                <w:sz w:val="20"/>
                <w:szCs w:val="20"/>
              </w:rPr>
              <w:fldChar w:fldCharType="end"/>
            </w:r>
          </w:p>
        </w:tc>
      </w:tr>
      <w:tr w:rsidR="009E01DA" w:rsidRPr="00B363AA" w14:paraId="12A3CCC0" w14:textId="77777777" w:rsidTr="003F3F11">
        <w:tc>
          <w:tcPr>
            <w:tcW w:w="1200" w:type="dxa"/>
            <w:vMerge/>
            <w:shd w:val="clear" w:color="auto" w:fill="D1D1D1" w:themeFill="background2" w:themeFillShade="E6"/>
            <w:vAlign w:val="center"/>
          </w:tcPr>
          <w:p w14:paraId="1AEBB542"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5F955BD3" w14:textId="77777777" w:rsidR="009E01DA" w:rsidRPr="00B363AA" w:rsidRDefault="009E01DA" w:rsidP="003F3F11">
            <w:pPr>
              <w:jc w:val="left"/>
              <w:rPr>
                <w:sz w:val="20"/>
                <w:szCs w:val="20"/>
              </w:rPr>
            </w:pPr>
          </w:p>
        </w:tc>
        <w:tc>
          <w:tcPr>
            <w:tcW w:w="748" w:type="dxa"/>
            <w:vMerge/>
            <w:vAlign w:val="center"/>
          </w:tcPr>
          <w:p w14:paraId="7FF085FD" w14:textId="77777777" w:rsidR="009E01DA" w:rsidRPr="00B363AA" w:rsidRDefault="009E01DA" w:rsidP="003F3F11">
            <w:pPr>
              <w:jc w:val="center"/>
              <w:rPr>
                <w:sz w:val="20"/>
                <w:szCs w:val="20"/>
              </w:rPr>
            </w:pPr>
          </w:p>
        </w:tc>
        <w:tc>
          <w:tcPr>
            <w:tcW w:w="1628" w:type="dxa"/>
            <w:shd w:val="clear" w:color="auto" w:fill="EFF5FB"/>
            <w:vAlign w:val="center"/>
          </w:tcPr>
          <w:p w14:paraId="49514108" w14:textId="77777777" w:rsidR="009E01DA" w:rsidRPr="00B363AA" w:rsidRDefault="009E01DA" w:rsidP="003F3F11">
            <w:pPr>
              <w:jc w:val="left"/>
              <w:rPr>
                <w:sz w:val="20"/>
                <w:szCs w:val="20"/>
              </w:rPr>
            </w:pPr>
            <w:proofErr w:type="spellStart"/>
            <w:r w:rsidRPr="00B363AA">
              <w:rPr>
                <w:sz w:val="20"/>
                <w:szCs w:val="20"/>
              </w:rPr>
              <w:t>SI</w:t>
            </w:r>
            <w:r w:rsidRPr="00B363AA">
              <w:rPr>
                <w:sz w:val="20"/>
                <w:szCs w:val="20"/>
                <w:vertAlign w:val="subscript"/>
              </w:rPr>
              <w:t>ném</w:t>
            </w:r>
            <w:proofErr w:type="spellEnd"/>
            <w:r w:rsidRPr="00B363AA">
              <w:rPr>
                <w:sz w:val="20"/>
                <w:szCs w:val="20"/>
                <w:vertAlign w:val="subscript"/>
              </w:rPr>
              <w:t xml:space="preserve"> santé</w:t>
            </w:r>
          </w:p>
        </w:tc>
        <w:tc>
          <w:tcPr>
            <w:tcW w:w="4252" w:type="dxa"/>
            <w:vMerge/>
            <w:vAlign w:val="center"/>
          </w:tcPr>
          <w:p w14:paraId="4D38AF24" w14:textId="77777777" w:rsidR="009E01DA" w:rsidRPr="00B363AA" w:rsidRDefault="009E01DA" w:rsidP="003F3F11">
            <w:pPr>
              <w:jc w:val="left"/>
              <w:rPr>
                <w:sz w:val="20"/>
                <w:szCs w:val="20"/>
              </w:rPr>
            </w:pPr>
          </w:p>
        </w:tc>
      </w:tr>
      <w:tr w:rsidR="009E01DA" w:rsidRPr="00B363AA" w14:paraId="3EE0AD8A" w14:textId="77777777" w:rsidTr="003F3F11">
        <w:tc>
          <w:tcPr>
            <w:tcW w:w="1200" w:type="dxa"/>
            <w:vMerge/>
            <w:shd w:val="clear" w:color="auto" w:fill="D1D1D1" w:themeFill="background2" w:themeFillShade="E6"/>
            <w:vAlign w:val="center"/>
          </w:tcPr>
          <w:p w14:paraId="30F29EF8"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66C952EE" w14:textId="77777777" w:rsidR="009E01DA" w:rsidRPr="00B363AA" w:rsidRDefault="009E01DA" w:rsidP="003F3F11">
            <w:pPr>
              <w:jc w:val="left"/>
              <w:rPr>
                <w:sz w:val="20"/>
                <w:szCs w:val="20"/>
              </w:rPr>
            </w:pPr>
          </w:p>
        </w:tc>
        <w:tc>
          <w:tcPr>
            <w:tcW w:w="748" w:type="dxa"/>
            <w:vMerge w:val="restart"/>
            <w:vAlign w:val="center"/>
          </w:tcPr>
          <w:p w14:paraId="547F4F33"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56719356" wp14:editId="5E2E4054">
                      <wp:extent cx="94615" cy="153035"/>
                      <wp:effectExtent l="0" t="38100" r="57785" b="18415"/>
                      <wp:docPr id="630603330"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50F8F90A"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330E3018" w14:textId="77777777" w:rsidR="009E01DA" w:rsidRPr="00B363AA" w:rsidRDefault="009E01DA" w:rsidP="003F3F11">
            <w:pPr>
              <w:jc w:val="left"/>
              <w:rPr>
                <w:sz w:val="20"/>
                <w:szCs w:val="20"/>
              </w:rPr>
            </w:pPr>
            <w:proofErr w:type="spellStart"/>
            <w:r w:rsidRPr="00B363AA">
              <w:rPr>
                <w:sz w:val="20"/>
                <w:szCs w:val="20"/>
              </w:rPr>
              <w:t>Shannon</w:t>
            </w:r>
            <w:r w:rsidRPr="00B363AA">
              <w:rPr>
                <w:sz w:val="20"/>
                <w:szCs w:val="20"/>
                <w:vertAlign w:val="subscript"/>
              </w:rPr>
              <w:t>ném</w:t>
            </w:r>
            <w:proofErr w:type="spellEnd"/>
            <w:r w:rsidRPr="00B363AA">
              <w:rPr>
                <w:sz w:val="20"/>
                <w:szCs w:val="20"/>
                <w:vertAlign w:val="subscript"/>
              </w:rPr>
              <w:t xml:space="preserve"> qualité</w:t>
            </w:r>
          </w:p>
        </w:tc>
        <w:tc>
          <w:tcPr>
            <w:tcW w:w="4252" w:type="dxa"/>
            <w:vMerge w:val="restart"/>
            <w:vAlign w:val="center"/>
          </w:tcPr>
          <w:p w14:paraId="4257D705" w14:textId="77777777" w:rsidR="009E01DA" w:rsidRPr="00B363AA" w:rsidRDefault="009E01DA" w:rsidP="003F3F11">
            <w:pPr>
              <w:jc w:val="left"/>
              <w:rPr>
                <w:sz w:val="20"/>
                <w:szCs w:val="20"/>
              </w:rPr>
            </w:pPr>
            <w:r w:rsidRPr="00B363AA">
              <w:rPr>
                <w:sz w:val="20"/>
                <w:szCs w:val="20"/>
              </w:rPr>
              <w:t xml:space="preserve">Valeur cible </w:t>
            </w:r>
            <w:r w:rsidRPr="00B363AA">
              <w:rPr>
                <w:sz w:val="20"/>
                <w:szCs w:val="20"/>
              </w:rPr>
              <w:fldChar w:fldCharType="begin"/>
            </w:r>
            <w:r w:rsidRPr="00B363AA">
              <w:rPr>
                <w:sz w:val="20"/>
                <w:szCs w:val="20"/>
              </w:rPr>
              <w:instrText xml:space="preserve"> ADDIN ZOTERO_ITEM CSL_CITATION {"citationID":"DQKwYcXs","properties":{"unsorted":false,"formattedCitation":"(Chauvin, 2025)","plainCitation":"(Chauvin, 2025)","noteIndex":0},"citationItems":[{"id":592,"uris":["http://zotero.org/groups/5684833/items/6H4ESTD4"],"itemData":{"id":592,"type":"speech","event-place":"Parc du Verdon","title":"La nématofaune: un bio-indicateur pour suivre et évaluer le fonctionnement biologique des sols","URL":"https://www.parcduverdon.fr/wp-content/uploads/2025/10/202509_JT_REGAIN_3.Qualite_biologique_nematodes_ELISOL.pdf","author":[{"family":"Chauvin","given":"Camille"}],"issued":{"date-parts":[["2025"]]}}}],"schema":"https://github.com/citation-style-language/schema/raw/master/csl-citation.json"} </w:instrText>
            </w:r>
            <w:r w:rsidRPr="00B363AA">
              <w:rPr>
                <w:sz w:val="20"/>
                <w:szCs w:val="20"/>
              </w:rPr>
              <w:fldChar w:fldCharType="separate"/>
            </w:r>
            <w:r w:rsidRPr="00B363AA">
              <w:rPr>
                <w:rFonts w:cs="Calibri"/>
                <w:sz w:val="20"/>
              </w:rPr>
              <w:t>(Chauvin, 2025)</w:t>
            </w:r>
            <w:r w:rsidRPr="00B363AA">
              <w:rPr>
                <w:sz w:val="20"/>
                <w:szCs w:val="20"/>
              </w:rPr>
              <w:fldChar w:fldCharType="end"/>
            </w:r>
          </w:p>
        </w:tc>
      </w:tr>
      <w:tr w:rsidR="009E01DA" w:rsidRPr="00B363AA" w14:paraId="7121DDFA" w14:textId="77777777" w:rsidTr="003F3F11">
        <w:tc>
          <w:tcPr>
            <w:tcW w:w="1200" w:type="dxa"/>
            <w:vMerge/>
            <w:tcBorders>
              <w:bottom w:val="single" w:sz="18" w:space="0" w:color="auto"/>
            </w:tcBorders>
            <w:shd w:val="clear" w:color="auto" w:fill="D1D1D1" w:themeFill="background2" w:themeFillShade="E6"/>
            <w:vAlign w:val="center"/>
          </w:tcPr>
          <w:p w14:paraId="4C6E4EFD" w14:textId="77777777" w:rsidR="009E01DA" w:rsidRPr="00B363AA" w:rsidRDefault="009E01DA" w:rsidP="003F3F11">
            <w:pPr>
              <w:jc w:val="left"/>
              <w:rPr>
                <w:b/>
                <w:bCs/>
                <w:sz w:val="20"/>
                <w:szCs w:val="20"/>
              </w:rPr>
            </w:pPr>
          </w:p>
        </w:tc>
        <w:tc>
          <w:tcPr>
            <w:tcW w:w="1239" w:type="dxa"/>
            <w:vMerge/>
            <w:tcBorders>
              <w:bottom w:val="single" w:sz="18" w:space="0" w:color="auto"/>
            </w:tcBorders>
            <w:shd w:val="clear" w:color="auto" w:fill="F2F2F2" w:themeFill="background1" w:themeFillShade="F2"/>
            <w:vAlign w:val="center"/>
          </w:tcPr>
          <w:p w14:paraId="3ED9212B" w14:textId="77777777" w:rsidR="009E01DA" w:rsidRPr="00B363AA" w:rsidRDefault="009E01DA" w:rsidP="003F3F11">
            <w:pPr>
              <w:jc w:val="left"/>
              <w:rPr>
                <w:sz w:val="20"/>
                <w:szCs w:val="20"/>
              </w:rPr>
            </w:pPr>
          </w:p>
        </w:tc>
        <w:tc>
          <w:tcPr>
            <w:tcW w:w="748" w:type="dxa"/>
            <w:vMerge/>
            <w:tcBorders>
              <w:bottom w:val="single" w:sz="18" w:space="0" w:color="auto"/>
            </w:tcBorders>
            <w:vAlign w:val="center"/>
          </w:tcPr>
          <w:p w14:paraId="2ADA3F9F" w14:textId="77777777" w:rsidR="009E01DA" w:rsidRPr="00B363AA" w:rsidRDefault="009E01DA" w:rsidP="003F3F11">
            <w:pPr>
              <w:jc w:val="center"/>
              <w:rPr>
                <w:sz w:val="20"/>
                <w:szCs w:val="20"/>
              </w:rPr>
            </w:pPr>
          </w:p>
        </w:tc>
        <w:tc>
          <w:tcPr>
            <w:tcW w:w="1628" w:type="dxa"/>
            <w:tcBorders>
              <w:bottom w:val="single" w:sz="18" w:space="0" w:color="auto"/>
            </w:tcBorders>
            <w:shd w:val="clear" w:color="auto" w:fill="EFF5FB"/>
            <w:vAlign w:val="center"/>
          </w:tcPr>
          <w:p w14:paraId="11C777CD" w14:textId="77777777" w:rsidR="009E01DA" w:rsidRPr="00B363AA" w:rsidRDefault="009E01DA" w:rsidP="003F3F11">
            <w:pPr>
              <w:jc w:val="left"/>
              <w:rPr>
                <w:sz w:val="20"/>
                <w:szCs w:val="20"/>
              </w:rPr>
            </w:pPr>
            <w:proofErr w:type="spellStart"/>
            <w:r w:rsidRPr="00B363AA">
              <w:rPr>
                <w:sz w:val="20"/>
                <w:szCs w:val="20"/>
              </w:rPr>
              <w:t>Shannon</w:t>
            </w:r>
            <w:r w:rsidRPr="00B363AA">
              <w:rPr>
                <w:sz w:val="20"/>
                <w:szCs w:val="20"/>
                <w:vertAlign w:val="subscript"/>
              </w:rPr>
              <w:t>ném</w:t>
            </w:r>
            <w:proofErr w:type="spellEnd"/>
            <w:r w:rsidRPr="00B363AA">
              <w:rPr>
                <w:sz w:val="20"/>
                <w:szCs w:val="20"/>
                <w:vertAlign w:val="subscript"/>
              </w:rPr>
              <w:t xml:space="preserve"> santé</w:t>
            </w:r>
          </w:p>
        </w:tc>
        <w:tc>
          <w:tcPr>
            <w:tcW w:w="4252" w:type="dxa"/>
            <w:vMerge/>
            <w:tcBorders>
              <w:bottom w:val="single" w:sz="18" w:space="0" w:color="auto"/>
            </w:tcBorders>
            <w:vAlign w:val="center"/>
          </w:tcPr>
          <w:p w14:paraId="2C4BC06D" w14:textId="77777777" w:rsidR="009E01DA" w:rsidRPr="00B363AA" w:rsidRDefault="009E01DA" w:rsidP="003F3F11">
            <w:pPr>
              <w:jc w:val="left"/>
              <w:rPr>
                <w:sz w:val="20"/>
                <w:szCs w:val="20"/>
              </w:rPr>
            </w:pPr>
          </w:p>
        </w:tc>
      </w:tr>
      <w:tr w:rsidR="009E01DA" w:rsidRPr="00B363AA" w14:paraId="709C5D90" w14:textId="77777777" w:rsidTr="003F3F11">
        <w:tc>
          <w:tcPr>
            <w:tcW w:w="1200" w:type="dxa"/>
            <w:vMerge w:val="restart"/>
            <w:tcBorders>
              <w:top w:val="single" w:sz="18" w:space="0" w:color="auto"/>
            </w:tcBorders>
            <w:shd w:val="clear" w:color="auto" w:fill="D1D1D1" w:themeFill="background2" w:themeFillShade="E6"/>
            <w:vAlign w:val="center"/>
          </w:tcPr>
          <w:p w14:paraId="3B4DAB7E" w14:textId="77777777" w:rsidR="009E01DA" w:rsidRPr="00B363AA" w:rsidRDefault="009E01DA" w:rsidP="003F3F11">
            <w:pPr>
              <w:jc w:val="left"/>
              <w:rPr>
                <w:b/>
                <w:bCs/>
                <w:sz w:val="20"/>
                <w:szCs w:val="20"/>
              </w:rPr>
            </w:pPr>
            <w:r w:rsidRPr="00B363AA">
              <w:rPr>
                <w:b/>
                <w:bCs/>
                <w:sz w:val="20"/>
                <w:szCs w:val="20"/>
              </w:rPr>
              <w:t>Stockage C</w:t>
            </w:r>
          </w:p>
        </w:tc>
        <w:tc>
          <w:tcPr>
            <w:tcW w:w="1239" w:type="dxa"/>
            <w:vMerge w:val="restart"/>
            <w:tcBorders>
              <w:top w:val="single" w:sz="18" w:space="0" w:color="auto"/>
            </w:tcBorders>
            <w:shd w:val="clear" w:color="auto" w:fill="F2F2F2" w:themeFill="background1" w:themeFillShade="F2"/>
            <w:vAlign w:val="center"/>
          </w:tcPr>
          <w:p w14:paraId="2DB8DB5D" w14:textId="77777777" w:rsidR="009E01DA" w:rsidRPr="00B363AA" w:rsidRDefault="009E01DA" w:rsidP="003F3F11">
            <w:pPr>
              <w:jc w:val="left"/>
              <w:rPr>
                <w:sz w:val="20"/>
                <w:szCs w:val="20"/>
              </w:rPr>
            </w:pPr>
            <w:r w:rsidRPr="00B363AA">
              <w:rPr>
                <w:sz w:val="20"/>
                <w:szCs w:val="20"/>
              </w:rPr>
              <w:t>Stockage</w:t>
            </w:r>
          </w:p>
        </w:tc>
        <w:tc>
          <w:tcPr>
            <w:tcW w:w="748" w:type="dxa"/>
            <w:vMerge w:val="restart"/>
            <w:tcBorders>
              <w:top w:val="single" w:sz="18" w:space="0" w:color="auto"/>
            </w:tcBorders>
            <w:vAlign w:val="center"/>
          </w:tcPr>
          <w:p w14:paraId="27C4496A"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2F66BA8C" wp14:editId="130F5325">
                      <wp:extent cx="94615" cy="153035"/>
                      <wp:effectExtent l="0" t="38100" r="57785" b="18415"/>
                      <wp:docPr id="1356976655"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7C27254F"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tcBorders>
              <w:top w:val="single" w:sz="18" w:space="0" w:color="auto"/>
            </w:tcBorders>
            <w:shd w:val="clear" w:color="auto" w:fill="F2F9EB"/>
            <w:vAlign w:val="center"/>
          </w:tcPr>
          <w:p w14:paraId="30413E0D" w14:textId="77777777" w:rsidR="009E01DA" w:rsidRPr="00B363AA" w:rsidRDefault="009E01DA" w:rsidP="003F3F11">
            <w:pPr>
              <w:jc w:val="left"/>
              <w:rPr>
                <w:sz w:val="20"/>
                <w:szCs w:val="20"/>
              </w:rPr>
            </w:pPr>
            <w:r w:rsidRPr="00B363AA">
              <w:rPr>
                <w:sz w:val="20"/>
                <w:szCs w:val="20"/>
              </w:rPr>
              <w:t xml:space="preserve">Stock </w:t>
            </w:r>
            <w:proofErr w:type="spellStart"/>
            <w:r w:rsidRPr="00B363AA">
              <w:rPr>
                <w:sz w:val="20"/>
                <w:szCs w:val="20"/>
              </w:rPr>
              <w:t>C</w:t>
            </w:r>
            <w:r w:rsidRPr="00B363AA">
              <w:rPr>
                <w:sz w:val="20"/>
                <w:szCs w:val="20"/>
                <w:vertAlign w:val="subscript"/>
              </w:rPr>
              <w:t>qualité</w:t>
            </w:r>
            <w:proofErr w:type="spellEnd"/>
          </w:p>
        </w:tc>
        <w:tc>
          <w:tcPr>
            <w:tcW w:w="4252" w:type="dxa"/>
            <w:tcBorders>
              <w:top w:val="single" w:sz="18" w:space="0" w:color="auto"/>
            </w:tcBorders>
            <w:shd w:val="clear" w:color="auto" w:fill="F2F9EB"/>
            <w:vAlign w:val="center"/>
          </w:tcPr>
          <w:p w14:paraId="51F64AB2" w14:textId="77777777" w:rsidR="009E01DA" w:rsidRPr="00B363AA" w:rsidRDefault="009E01DA" w:rsidP="003F3F11">
            <w:pPr>
              <w:jc w:val="left"/>
              <w:rPr>
                <w:sz w:val="20"/>
                <w:szCs w:val="20"/>
              </w:rPr>
            </w:pPr>
            <w:r w:rsidRPr="00B363AA">
              <w:rPr>
                <w:sz w:val="20"/>
                <w:szCs w:val="20"/>
              </w:rPr>
              <w:t xml:space="preserve">Valeurs minimales pour un stockage considéré suffisant </w:t>
            </w:r>
            <w:r w:rsidRPr="00B363AA">
              <w:rPr>
                <w:sz w:val="20"/>
                <w:szCs w:val="20"/>
              </w:rPr>
              <w:fldChar w:fldCharType="begin"/>
            </w:r>
            <w:r w:rsidRPr="00B363AA">
              <w:rPr>
                <w:sz w:val="20"/>
                <w:szCs w:val="20"/>
              </w:rPr>
              <w:instrText xml:space="preserve"> ADDIN ZOTERO_ITEM CSL_CITATION {"citationID":"G7mGH8er","properties":{"unsorted":false,"formattedCitation":"(Mukherjee &amp; Lal, 2014)","plainCitation":"(Mukherjee &amp; Lal, 2014)","noteIndex":0},"citationItems":[{"id":99,"uris":["http://zotero.org/groups/5684833/items/KAYA7WNR"],"itemData":{"id":99,"type":"article-journal","abstract":"Assessment of management-induced changes in soil quality is important to sustaining high crop yield. A large diversity of cultivated soils necessitate identification development of an appropriate soil quality index (SQI) based on relative soil properties and crop yield. Whereas numerous attempts have been made to estimate SQI for major soils across the World, there is no standard method established and thus, a strong need exists for developing a user-friendly and credible SQI through comparison of various available methods. Therefore, the objective of this article is to compare three widely used methods to estimate SQI using the data collected from 72 soil samples from three on-farm study sites in Ohio. Additionally, challenge lies in establishing a correlation between crop yield versus SQI calculated either depth wise or in combination of soil layers as standard methodology is not yet available and was not given much attention to date. Predominant soils of the study included one organic (Mc), and two mineral (CrB, Ko) soils. Three methods used to estimate SQI were: (i) simple additive SQI (SQI-1), (ii) weighted additive SQI (SQI-2), and (iii) statistically modeled SQI (SQI-3) based on principal component analysis (PCA). The SQI varied between treatments and soil types and ranged between 0–0.9 (1 being the maximum SQI). In general, SQIs did not significantly differ at depths under any method suggesting that soil quality did not significantly differ for different depths at the studied sites. Additionally, data indicate that SQI-3 was most strongly correlated with crop yield, the correlation coefficient ranged between 0.74–0.78. All three SQIs were significantly correlated (r = 0.92–0.97) to each other and with crop yield (r = 0.65–0.79). Separate analyses by crop variety revealed that correlation was low indicating that some key aspects of soil quality related to crop response are important requirements for estimating SQI.","container-title":"PLOS ONE","DOI":"10.1371/journal.pone.0105981","ISSN":"1932-6203","issue":"8","journalAbbreviation":"PLOS ONE","language":"en","page":"e105981","publisher":"Public Library of Science","source":"PLoS Journals","title":"Comparison of Soil Quality Index Using Three Methods","volume":"9","author":[{"family":"Mukherjee","given":"Atanu"},{"family":"Lal","given":"Rattan"}],"issued":{"date-parts":[["2014",8,22]]}}}],"schema":"https://github.com/citation-style-language/schema/raw/master/csl-citation.json"} </w:instrText>
            </w:r>
            <w:r w:rsidRPr="00B363AA">
              <w:rPr>
                <w:sz w:val="20"/>
                <w:szCs w:val="20"/>
              </w:rPr>
              <w:fldChar w:fldCharType="separate"/>
            </w:r>
            <w:r w:rsidRPr="00B363AA">
              <w:rPr>
                <w:rFonts w:cs="Calibri"/>
                <w:sz w:val="20"/>
                <w:szCs w:val="20"/>
              </w:rPr>
              <w:t>(Mukherjee &amp; Lal, 2014)</w:t>
            </w:r>
            <w:r w:rsidRPr="00B363AA">
              <w:rPr>
                <w:sz w:val="20"/>
                <w:szCs w:val="20"/>
              </w:rPr>
              <w:fldChar w:fldCharType="end"/>
            </w:r>
          </w:p>
        </w:tc>
      </w:tr>
      <w:tr w:rsidR="009E01DA" w:rsidRPr="00B363AA" w14:paraId="2531764B" w14:textId="77777777" w:rsidTr="003F3F11">
        <w:tc>
          <w:tcPr>
            <w:tcW w:w="1200" w:type="dxa"/>
            <w:vMerge/>
            <w:shd w:val="clear" w:color="auto" w:fill="D1D1D1" w:themeFill="background2" w:themeFillShade="E6"/>
            <w:vAlign w:val="center"/>
          </w:tcPr>
          <w:p w14:paraId="39BE416B"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52E0731F" w14:textId="77777777" w:rsidR="009E01DA" w:rsidRPr="00B363AA" w:rsidRDefault="009E01DA" w:rsidP="003F3F11">
            <w:pPr>
              <w:jc w:val="left"/>
              <w:rPr>
                <w:sz w:val="20"/>
                <w:szCs w:val="20"/>
              </w:rPr>
            </w:pPr>
          </w:p>
        </w:tc>
        <w:tc>
          <w:tcPr>
            <w:tcW w:w="748" w:type="dxa"/>
            <w:vMerge/>
            <w:vAlign w:val="center"/>
          </w:tcPr>
          <w:p w14:paraId="07AD5085" w14:textId="77777777" w:rsidR="009E01DA" w:rsidRPr="00B363AA" w:rsidRDefault="009E01DA" w:rsidP="003F3F11">
            <w:pPr>
              <w:jc w:val="center"/>
              <w:rPr>
                <w:sz w:val="20"/>
                <w:szCs w:val="20"/>
              </w:rPr>
            </w:pPr>
          </w:p>
        </w:tc>
        <w:tc>
          <w:tcPr>
            <w:tcW w:w="1628" w:type="dxa"/>
            <w:shd w:val="clear" w:color="auto" w:fill="EFF5FB"/>
            <w:vAlign w:val="center"/>
          </w:tcPr>
          <w:p w14:paraId="1EF6B325" w14:textId="77777777" w:rsidR="009E01DA" w:rsidRPr="00B363AA" w:rsidRDefault="009E01DA" w:rsidP="003F3F11">
            <w:pPr>
              <w:jc w:val="left"/>
              <w:rPr>
                <w:sz w:val="20"/>
                <w:szCs w:val="20"/>
                <w:vertAlign w:val="subscript"/>
              </w:rPr>
            </w:pPr>
            <w:r w:rsidRPr="00B363AA">
              <w:rPr>
                <w:sz w:val="20"/>
                <w:szCs w:val="20"/>
              </w:rPr>
              <w:t xml:space="preserve">Stock </w:t>
            </w:r>
            <w:proofErr w:type="spellStart"/>
            <w:r w:rsidRPr="00B363AA">
              <w:rPr>
                <w:sz w:val="20"/>
                <w:szCs w:val="20"/>
              </w:rPr>
              <w:t>C</w:t>
            </w:r>
            <w:r w:rsidRPr="00B363AA">
              <w:rPr>
                <w:sz w:val="20"/>
                <w:szCs w:val="20"/>
                <w:vertAlign w:val="subscript"/>
              </w:rPr>
              <w:t>santé</w:t>
            </w:r>
            <w:proofErr w:type="spellEnd"/>
          </w:p>
        </w:tc>
        <w:tc>
          <w:tcPr>
            <w:tcW w:w="4252" w:type="dxa"/>
            <w:shd w:val="clear" w:color="auto" w:fill="EFF5FB"/>
            <w:vAlign w:val="center"/>
          </w:tcPr>
          <w:p w14:paraId="79434816" w14:textId="77777777" w:rsidR="009E01DA" w:rsidRPr="00B363AA" w:rsidRDefault="009E01DA" w:rsidP="003F3F11">
            <w:pPr>
              <w:jc w:val="left"/>
              <w:rPr>
                <w:sz w:val="20"/>
                <w:szCs w:val="20"/>
              </w:rPr>
            </w:pPr>
            <w:r w:rsidRPr="00B363AA">
              <w:rPr>
                <w:sz w:val="20"/>
                <w:szCs w:val="20"/>
              </w:rPr>
              <w:t>Comparaison à la valeur optimale en fonction de la classe texturale (sur base de MO potentielle)</w:t>
            </w:r>
          </w:p>
        </w:tc>
      </w:tr>
      <w:tr w:rsidR="009E01DA" w:rsidRPr="00B363AA" w14:paraId="774DE8D6" w14:textId="77777777" w:rsidTr="003F3F11">
        <w:tc>
          <w:tcPr>
            <w:tcW w:w="1200" w:type="dxa"/>
            <w:vMerge/>
            <w:shd w:val="clear" w:color="auto" w:fill="D1D1D1" w:themeFill="background2" w:themeFillShade="E6"/>
            <w:vAlign w:val="center"/>
          </w:tcPr>
          <w:p w14:paraId="7593F049" w14:textId="77777777" w:rsidR="009E01DA" w:rsidRPr="00B363AA" w:rsidRDefault="009E01DA" w:rsidP="003F3F11">
            <w:pPr>
              <w:jc w:val="left"/>
              <w:rPr>
                <w:b/>
                <w:bCs/>
                <w:sz w:val="20"/>
                <w:szCs w:val="20"/>
              </w:rPr>
            </w:pPr>
          </w:p>
        </w:tc>
        <w:tc>
          <w:tcPr>
            <w:tcW w:w="1239" w:type="dxa"/>
            <w:vMerge w:val="restart"/>
            <w:shd w:val="clear" w:color="auto" w:fill="F2F2F2" w:themeFill="background1" w:themeFillShade="F2"/>
            <w:vAlign w:val="center"/>
          </w:tcPr>
          <w:p w14:paraId="477626F1" w14:textId="77777777" w:rsidR="009E01DA" w:rsidRPr="00B363AA" w:rsidRDefault="009E01DA" w:rsidP="003F3F11">
            <w:pPr>
              <w:jc w:val="left"/>
              <w:rPr>
                <w:sz w:val="20"/>
                <w:szCs w:val="20"/>
              </w:rPr>
            </w:pPr>
            <w:r w:rsidRPr="00B363AA">
              <w:rPr>
                <w:sz w:val="20"/>
                <w:szCs w:val="20"/>
              </w:rPr>
              <w:t>Stockage</w:t>
            </w:r>
          </w:p>
        </w:tc>
        <w:tc>
          <w:tcPr>
            <w:tcW w:w="748" w:type="dxa"/>
            <w:vMerge w:val="restart"/>
            <w:vAlign w:val="center"/>
          </w:tcPr>
          <w:p w14:paraId="1AC0C04C" w14:textId="77777777" w:rsidR="009E01DA" w:rsidRPr="00B363AA" w:rsidRDefault="009E01DA" w:rsidP="003F3F11">
            <w:pPr>
              <w:jc w:val="center"/>
              <w:rPr>
                <w:sz w:val="20"/>
                <w:szCs w:val="20"/>
              </w:rPr>
            </w:pPr>
            <w:r w:rsidRPr="00B363AA">
              <w:rPr>
                <w:noProof/>
                <w:sz w:val="20"/>
                <w:szCs w:val="20"/>
              </w:rPr>
              <mc:AlternateContent>
                <mc:Choice Requires="wps">
                  <w:drawing>
                    <wp:inline distT="0" distB="0" distL="0" distR="0" wp14:anchorId="4DF57474" wp14:editId="5C8160F4">
                      <wp:extent cx="94615" cy="153035"/>
                      <wp:effectExtent l="0" t="38100" r="57785" b="18415"/>
                      <wp:docPr id="435011218" name="Connecteur droit avec flèche 1"/>
                      <wp:cNvGraphicFramePr/>
                      <a:graphic xmlns:a="http://schemas.openxmlformats.org/drawingml/2006/main">
                        <a:graphicData uri="http://schemas.microsoft.com/office/word/2010/wordprocessingShape">
                          <wps:wsp>
                            <wps:cNvCnPr/>
                            <wps:spPr>
                              <a:xfrm flipV="1">
                                <a:off x="0" y="0"/>
                                <a:ext cx="94615" cy="153035"/>
                              </a:xfrm>
                              <a:prstGeom prst="straightConnector1">
                                <a:avLst/>
                              </a:prstGeom>
                              <a:ln w="12700">
                                <a:solidFill>
                                  <a:schemeClr val="tx2"/>
                                </a:solidFill>
                                <a:headEnd type="none" w="med" len="med"/>
                                <a:tailEnd type="triangle" w="med" len="med"/>
                              </a:ln>
                            </wps:spPr>
                            <wps:style>
                              <a:lnRef idx="2">
                                <a:schemeClr val="dk1"/>
                              </a:lnRef>
                              <a:fillRef idx="0">
                                <a:schemeClr val="dk1"/>
                              </a:fillRef>
                              <a:effectRef idx="1">
                                <a:schemeClr val="dk1"/>
                              </a:effectRef>
                              <a:fontRef idx="minor">
                                <a:schemeClr val="tx1"/>
                              </a:fontRef>
                            </wps:style>
                            <wps:bodyPr/>
                          </wps:wsp>
                        </a:graphicData>
                      </a:graphic>
                    </wp:inline>
                  </w:drawing>
                </mc:Choice>
                <mc:Fallback>
                  <w:pict>
                    <v:shape w14:anchorId="1CD00B9A" id="Connecteur droit avec flèche 1" o:spid="_x0000_s1026" type="#_x0000_t32" style="width:7.45pt;height:12.0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" strokecolor="#0e2841 [3215]" strokeweight="1pt">
                      <v:stroke endarrow="block" joinstyle="miter"/>
                      <w10:anchorlock/>
                    </v:shape>
                  </w:pict>
                </mc:Fallback>
              </mc:AlternateContent>
            </w:r>
          </w:p>
        </w:tc>
        <w:tc>
          <w:tcPr>
            <w:tcW w:w="1628" w:type="dxa"/>
            <w:shd w:val="clear" w:color="auto" w:fill="F2F9EB"/>
            <w:vAlign w:val="center"/>
          </w:tcPr>
          <w:p w14:paraId="6F9DE7CB" w14:textId="77777777" w:rsidR="009E01DA" w:rsidRPr="00B363AA" w:rsidRDefault="009E01DA" w:rsidP="003F3F11">
            <w:pPr>
              <w:jc w:val="left"/>
              <w:rPr>
                <w:sz w:val="20"/>
                <w:szCs w:val="20"/>
              </w:rPr>
            </w:pPr>
            <w:proofErr w:type="spellStart"/>
            <w:r w:rsidRPr="00B363AA">
              <w:rPr>
                <w:sz w:val="20"/>
                <w:szCs w:val="20"/>
              </w:rPr>
              <w:t>C</w:t>
            </w:r>
            <w:r w:rsidRPr="00B363AA">
              <w:rPr>
                <w:sz w:val="20"/>
                <w:szCs w:val="20"/>
                <w:vertAlign w:val="subscript"/>
              </w:rPr>
              <w:t>org</w:t>
            </w:r>
            <w:proofErr w:type="spellEnd"/>
            <w:r w:rsidRPr="00B363AA">
              <w:rPr>
                <w:sz w:val="20"/>
                <w:szCs w:val="20"/>
              </w:rPr>
              <w:t>/</w:t>
            </w:r>
            <w:proofErr w:type="spellStart"/>
            <w:r w:rsidRPr="00B363AA">
              <w:rPr>
                <w:sz w:val="20"/>
                <w:szCs w:val="20"/>
              </w:rPr>
              <w:t>argile</w:t>
            </w:r>
            <w:r w:rsidRPr="00B363AA">
              <w:rPr>
                <w:sz w:val="20"/>
                <w:szCs w:val="20"/>
                <w:vertAlign w:val="subscript"/>
              </w:rPr>
              <w:t>qualité</w:t>
            </w:r>
            <w:proofErr w:type="spellEnd"/>
          </w:p>
        </w:tc>
        <w:tc>
          <w:tcPr>
            <w:tcW w:w="4252" w:type="dxa"/>
            <w:shd w:val="clear" w:color="auto" w:fill="F2F9EB"/>
            <w:vAlign w:val="center"/>
          </w:tcPr>
          <w:p w14:paraId="17D23BD4" w14:textId="77777777" w:rsidR="009E01DA" w:rsidRPr="00B363AA" w:rsidRDefault="009E01DA" w:rsidP="003F3F11">
            <w:pPr>
              <w:jc w:val="left"/>
              <w:rPr>
                <w:sz w:val="20"/>
                <w:szCs w:val="20"/>
              </w:rPr>
            </w:pPr>
            <w:r w:rsidRPr="00B363AA">
              <w:rPr>
                <w:sz w:val="20"/>
                <w:szCs w:val="20"/>
              </w:rPr>
              <w:t xml:space="preserve">Seuil mentionné dans la directive - perte de carbone organique du sol </w:t>
            </w:r>
            <w:r w:rsidRPr="00B363AA">
              <w:rPr>
                <w:sz w:val="20"/>
                <w:szCs w:val="20"/>
              </w:rPr>
              <w:fldChar w:fldCharType="begin"/>
            </w:r>
            <w:r w:rsidRPr="00B363AA">
              <w:rPr>
                <w:sz w:val="20"/>
                <w:szCs w:val="20"/>
              </w:rPr>
              <w:instrText xml:space="preserve"> ADDIN ZOTERO_ITEM CSL_CITATION {"citationID":"HK670IHy","properties":{"unsorted":false,"formattedCitation":"(UE 2025/2360, 2025)","plainCitation":"(UE 2025/2360, 2025)","noteIndex":0},"citationItems":[{"id":540,"uris":["http://zotero.org/groups/5684833/items/YXXNAEQQ"],"itemData":{"id":540,"type":"document","note":"OJ L, 2025/2360, 26.11.2025","title":"Directive (UE) 2025/2360 du Parlement européen et du Conseil du 12 novembre 2025 relative à la surveillance et à la résilience des sols (directive sur la surveillance des sols)","URL":"https://eur-lex.europa.eu/eli/dir/2025/2360/oj?eliuri=eli%3Adir%3A2025%3A2360%3Aoj&amp;locale=fr","author":[{"family":"UE 2025/2360","given":""}],"accessed":{"date-parts":[["2026",5,14]]},"issued":{"date-parts":[["2025"]]}}}],"schema":"https://github.com/citation-style-language/schema/raw/master/csl-citation.json"} </w:instrText>
            </w:r>
            <w:r w:rsidRPr="00B363AA">
              <w:rPr>
                <w:sz w:val="20"/>
                <w:szCs w:val="20"/>
              </w:rPr>
              <w:fldChar w:fldCharType="separate"/>
            </w:r>
            <w:r w:rsidRPr="00B363AA">
              <w:rPr>
                <w:rFonts w:cs="Calibri"/>
                <w:sz w:val="20"/>
              </w:rPr>
              <w:t>(UE 2025/2360, 2025)</w:t>
            </w:r>
            <w:r w:rsidRPr="00B363AA">
              <w:rPr>
                <w:sz w:val="20"/>
                <w:szCs w:val="20"/>
              </w:rPr>
              <w:fldChar w:fldCharType="end"/>
            </w:r>
          </w:p>
        </w:tc>
      </w:tr>
      <w:tr w:rsidR="009E01DA" w:rsidRPr="00B363AA" w14:paraId="1F2ACC87" w14:textId="77777777" w:rsidTr="003F3F11">
        <w:tc>
          <w:tcPr>
            <w:tcW w:w="1200" w:type="dxa"/>
            <w:vMerge/>
            <w:shd w:val="clear" w:color="auto" w:fill="D1D1D1" w:themeFill="background2" w:themeFillShade="E6"/>
            <w:vAlign w:val="center"/>
          </w:tcPr>
          <w:p w14:paraId="02EA5C1F" w14:textId="77777777" w:rsidR="009E01DA" w:rsidRPr="00B363AA" w:rsidRDefault="009E01DA" w:rsidP="003F3F11">
            <w:pPr>
              <w:jc w:val="left"/>
              <w:rPr>
                <w:b/>
                <w:bCs/>
                <w:sz w:val="20"/>
                <w:szCs w:val="20"/>
              </w:rPr>
            </w:pPr>
          </w:p>
        </w:tc>
        <w:tc>
          <w:tcPr>
            <w:tcW w:w="1239" w:type="dxa"/>
            <w:vMerge/>
            <w:shd w:val="clear" w:color="auto" w:fill="F2F2F2" w:themeFill="background1" w:themeFillShade="F2"/>
            <w:vAlign w:val="center"/>
          </w:tcPr>
          <w:p w14:paraId="73DCC6D5" w14:textId="77777777" w:rsidR="009E01DA" w:rsidRPr="00B363AA" w:rsidRDefault="009E01DA" w:rsidP="003F3F11">
            <w:pPr>
              <w:jc w:val="left"/>
              <w:rPr>
                <w:sz w:val="20"/>
                <w:szCs w:val="20"/>
              </w:rPr>
            </w:pPr>
          </w:p>
        </w:tc>
        <w:tc>
          <w:tcPr>
            <w:tcW w:w="748" w:type="dxa"/>
            <w:vMerge/>
            <w:vAlign w:val="center"/>
          </w:tcPr>
          <w:p w14:paraId="77C4D4B6" w14:textId="77777777" w:rsidR="009E01DA" w:rsidRPr="00B363AA" w:rsidRDefault="009E01DA" w:rsidP="003F3F11">
            <w:pPr>
              <w:jc w:val="center"/>
              <w:rPr>
                <w:sz w:val="20"/>
                <w:szCs w:val="20"/>
              </w:rPr>
            </w:pPr>
          </w:p>
        </w:tc>
        <w:tc>
          <w:tcPr>
            <w:tcW w:w="1628" w:type="dxa"/>
            <w:shd w:val="clear" w:color="auto" w:fill="EFF5FB"/>
            <w:vAlign w:val="center"/>
          </w:tcPr>
          <w:p w14:paraId="55213A49" w14:textId="77777777" w:rsidR="009E01DA" w:rsidRPr="00B363AA" w:rsidRDefault="009E01DA" w:rsidP="003F3F11">
            <w:pPr>
              <w:jc w:val="left"/>
              <w:rPr>
                <w:sz w:val="20"/>
                <w:szCs w:val="20"/>
              </w:rPr>
            </w:pPr>
            <w:proofErr w:type="spellStart"/>
            <w:r w:rsidRPr="00B363AA">
              <w:rPr>
                <w:sz w:val="20"/>
                <w:szCs w:val="20"/>
              </w:rPr>
              <w:t>C</w:t>
            </w:r>
            <w:r w:rsidRPr="00B363AA">
              <w:rPr>
                <w:sz w:val="20"/>
                <w:szCs w:val="20"/>
                <w:vertAlign w:val="subscript"/>
              </w:rPr>
              <w:t>org</w:t>
            </w:r>
            <w:proofErr w:type="spellEnd"/>
            <w:r w:rsidRPr="00B363AA">
              <w:rPr>
                <w:sz w:val="20"/>
                <w:szCs w:val="20"/>
              </w:rPr>
              <w:t>/</w:t>
            </w:r>
            <w:proofErr w:type="spellStart"/>
            <w:r w:rsidRPr="00B363AA">
              <w:rPr>
                <w:sz w:val="20"/>
                <w:szCs w:val="20"/>
              </w:rPr>
              <w:t>argile</w:t>
            </w:r>
            <w:r w:rsidRPr="00B363AA">
              <w:rPr>
                <w:sz w:val="20"/>
                <w:szCs w:val="20"/>
                <w:vertAlign w:val="subscript"/>
              </w:rPr>
              <w:t>santé</w:t>
            </w:r>
            <w:proofErr w:type="spellEnd"/>
          </w:p>
        </w:tc>
        <w:tc>
          <w:tcPr>
            <w:tcW w:w="4252" w:type="dxa"/>
            <w:shd w:val="clear" w:color="auto" w:fill="EFF5FB"/>
            <w:vAlign w:val="center"/>
          </w:tcPr>
          <w:p w14:paraId="76C5D935" w14:textId="77777777" w:rsidR="009E01DA" w:rsidRPr="00B363AA" w:rsidRDefault="009E01DA" w:rsidP="003F3F11">
            <w:pPr>
              <w:jc w:val="left"/>
              <w:rPr>
                <w:sz w:val="20"/>
                <w:szCs w:val="20"/>
              </w:rPr>
            </w:pPr>
            <w:r w:rsidRPr="00B363AA">
              <w:rPr>
                <w:sz w:val="20"/>
                <w:szCs w:val="20"/>
              </w:rPr>
              <w:t>Comparaison à la valeur potentielle atteignable en fonction de la classe texturale (sur base de MO potentielle)</w:t>
            </w:r>
          </w:p>
        </w:tc>
      </w:tr>
    </w:tbl>
    <w:p w14:paraId="08A321B2" w14:textId="77777777" w:rsidR="00F75F65" w:rsidRPr="00B363AA" w:rsidRDefault="00F75F65" w:rsidP="00F75F65"/>
    <w:p w14:paraId="25F58111" w14:textId="06BF7820" w:rsidR="00F75F65" w:rsidRPr="00B363AA" w:rsidRDefault="000A4712" w:rsidP="00F75F65">
      <w:pPr>
        <w:pStyle w:val="Titre3"/>
        <w:numPr>
          <w:ilvl w:val="2"/>
          <w:numId w:val="12"/>
        </w:numPr>
      </w:pPr>
      <w:bookmarkStart w:id="154" w:name="_Ref241228068"/>
      <w:bookmarkStart w:id="155" w:name="_Ref241228839"/>
      <w:bookmarkStart w:id="156" w:name="_Toc241242999"/>
      <w:r w:rsidRPr="00B363AA">
        <w:t>Agrégation des indicateurs</w:t>
      </w:r>
      <w:bookmarkEnd w:id="154"/>
      <w:bookmarkEnd w:id="155"/>
      <w:bookmarkEnd w:id="156"/>
    </w:p>
    <w:p w14:paraId="32FBDBB3" w14:textId="1AC6F2C3" w:rsidR="00784AB6" w:rsidRPr="00B363AA" w:rsidRDefault="00784AB6" w:rsidP="00784AB6">
      <w:r w:rsidRPr="00B363AA">
        <w:t xml:space="preserve">Le </w:t>
      </w:r>
      <w:r w:rsidRPr="00B363AA">
        <w:fldChar w:fldCharType="begin"/>
      </w:r>
      <w:r w:rsidRPr="00B363AA">
        <w:instrText xml:space="preserve"> REF _Ref233115132 \h  \* MERGEFORMAT </w:instrText>
      </w:r>
      <w:r w:rsidRPr="00B363AA">
        <w:fldChar w:fldCharType="separate"/>
      </w:r>
      <w:r w:rsidR="003D7F8A" w:rsidRPr="00B363AA">
        <w:t>Tableau 4</w:t>
      </w:r>
      <w:r w:rsidRPr="00B363AA">
        <w:fldChar w:fldCharType="end"/>
      </w:r>
      <w:r w:rsidRPr="00B363AA">
        <w:t xml:space="preserve"> reprend les différentes équations d’agrégation</w:t>
      </w:r>
      <w:r w:rsidR="00FA0F8D" w:rsidRPr="00B363AA">
        <w:t xml:space="preserve"> des scores d’indicateurs en scores de fonction, et des scores de fonctions en scores de services écosystémiques.</w:t>
      </w:r>
    </w:p>
    <w:p w14:paraId="5C89F2A9" w14:textId="2B1E195A" w:rsidR="000A0208" w:rsidRPr="00B363AA" w:rsidRDefault="000A0208" w:rsidP="000A0208">
      <w:pPr>
        <w:pStyle w:val="Lgende"/>
        <w:keepNext/>
        <w:jc w:val="center"/>
        <w:rPr>
          <w:i w:val="0"/>
          <w:iCs w:val="0"/>
        </w:rPr>
      </w:pPr>
      <w:bookmarkStart w:id="157" w:name="_Ref233115132"/>
      <w:bookmarkStart w:id="158" w:name="_Toc233122654"/>
      <w:r w:rsidRPr="00B363AA">
        <w:rPr>
          <w:i w:val="0"/>
          <w:iCs w:val="0"/>
        </w:rPr>
        <w:lastRenderedPageBreak/>
        <w:t xml:space="preserve">Tableau </w:t>
      </w:r>
      <w:r w:rsidRPr="00B363AA">
        <w:rPr>
          <w:i w:val="0"/>
          <w:iCs w:val="0"/>
        </w:rPr>
        <w:fldChar w:fldCharType="begin"/>
      </w:r>
      <w:r w:rsidRPr="00B363AA">
        <w:rPr>
          <w:i w:val="0"/>
          <w:iCs w:val="0"/>
        </w:rPr>
        <w:instrText xml:space="preserve"> SEQ Tableau \* ARABIC </w:instrText>
      </w:r>
      <w:r w:rsidRPr="00B363AA">
        <w:rPr>
          <w:i w:val="0"/>
          <w:iCs w:val="0"/>
        </w:rPr>
        <w:fldChar w:fldCharType="separate"/>
      </w:r>
      <w:r w:rsidR="003D7F8A" w:rsidRPr="00B363AA">
        <w:rPr>
          <w:i w:val="0"/>
          <w:iCs w:val="0"/>
        </w:rPr>
        <w:t>4</w:t>
      </w:r>
      <w:r w:rsidRPr="00B363AA">
        <w:rPr>
          <w:i w:val="0"/>
          <w:iCs w:val="0"/>
        </w:rPr>
        <w:fldChar w:fldCharType="end"/>
      </w:r>
      <w:bookmarkEnd w:id="157"/>
      <w:r w:rsidRPr="00B363AA">
        <w:rPr>
          <w:i w:val="0"/>
          <w:iCs w:val="0"/>
        </w:rPr>
        <w:t xml:space="preserve"> : Équations d'agrégation et application des coefficients de contrainte, le cas échéant.</w:t>
      </w:r>
      <w:bookmarkEnd w:id="158"/>
    </w:p>
    <w:tbl>
      <w:tblPr>
        <w:tblStyle w:val="Grilledutableau"/>
        <w:tblW w:w="9067" w:type="dxa"/>
        <w:tblLayout w:type="fixed"/>
        <w:tblCellMar>
          <w:top w:w="85" w:type="dxa"/>
          <w:bottom w:w="85" w:type="dxa"/>
        </w:tblCellMar>
        <w:tblLook w:val="04A0" w:firstRow="1" w:lastRow="0" w:firstColumn="1" w:lastColumn="0" w:noHBand="0" w:noVBand="1"/>
      </w:tblPr>
      <w:tblGrid>
        <w:gridCol w:w="1413"/>
        <w:gridCol w:w="425"/>
        <w:gridCol w:w="6804"/>
        <w:gridCol w:w="425"/>
      </w:tblGrid>
      <w:tr w:rsidR="000A0208" w:rsidRPr="00B363AA" w14:paraId="39E063C5" w14:textId="77777777" w:rsidTr="004306AE">
        <w:trPr>
          <w:trHeight w:val="278"/>
        </w:trPr>
        <w:tc>
          <w:tcPr>
            <w:tcW w:w="8642" w:type="dxa"/>
            <w:gridSpan w:val="3"/>
            <w:tcBorders>
              <w:right w:val="nil"/>
            </w:tcBorders>
            <w:shd w:val="clear" w:color="auto" w:fill="0E2841" w:themeFill="text2"/>
            <w:vAlign w:val="center"/>
          </w:tcPr>
          <w:p w14:paraId="332F1C2E" w14:textId="4C253276" w:rsidR="000A0208" w:rsidRPr="00B363AA" w:rsidRDefault="000A0208" w:rsidP="004306AE">
            <w:pPr>
              <w:tabs>
                <w:tab w:val="left" w:pos="496"/>
              </w:tabs>
              <w:jc w:val="left"/>
              <w:rPr>
                <w:rFonts w:ascii="Cambria Math" w:hAnsi="Cambria Math" w:cs="Calibri"/>
                <w:sz w:val="24"/>
              </w:rPr>
            </w:pPr>
            <w:r w:rsidRPr="00B363AA">
              <w:rPr>
                <w:rFonts w:ascii="Cambria Math" w:hAnsi="Cambria Math" w:cs="Calibri"/>
                <w:sz w:val="24"/>
              </w:rPr>
              <w:t>Production</w:t>
            </w:r>
          </w:p>
        </w:tc>
        <w:tc>
          <w:tcPr>
            <w:tcW w:w="425" w:type="dxa"/>
            <w:tcBorders>
              <w:left w:val="nil"/>
              <w:right w:val="single" w:sz="12" w:space="0" w:color="auto"/>
            </w:tcBorders>
            <w:shd w:val="clear" w:color="auto" w:fill="0E2841" w:themeFill="text2"/>
            <w:vAlign w:val="center"/>
          </w:tcPr>
          <w:p w14:paraId="3158E1EF" w14:textId="77777777" w:rsidR="000A0208" w:rsidRPr="00B363AA" w:rsidRDefault="000A0208" w:rsidP="004306AE">
            <w:pPr>
              <w:tabs>
                <w:tab w:val="left" w:pos="496"/>
              </w:tabs>
              <w:jc w:val="center"/>
              <w:rPr>
                <w:rFonts w:cs="Calibri"/>
                <w:sz w:val="16"/>
                <w:szCs w:val="16"/>
              </w:rPr>
            </w:pPr>
          </w:p>
        </w:tc>
      </w:tr>
      <w:tr w:rsidR="000A0208" w:rsidRPr="00B363AA" w14:paraId="0629C775" w14:textId="77777777" w:rsidTr="004306AE">
        <w:trPr>
          <w:trHeight w:val="450"/>
        </w:trPr>
        <w:tc>
          <w:tcPr>
            <w:tcW w:w="8642" w:type="dxa"/>
            <w:gridSpan w:val="3"/>
            <w:tcBorders>
              <w:right w:val="nil"/>
            </w:tcBorders>
            <w:shd w:val="clear" w:color="auto" w:fill="F9F9F9"/>
            <w:vAlign w:val="center"/>
          </w:tcPr>
          <w:p w14:paraId="70603D27" w14:textId="77777777" w:rsidR="000A0208" w:rsidRPr="00B363AA" w:rsidRDefault="00000000" w:rsidP="004306AE">
            <w:pPr>
              <w:tabs>
                <w:tab w:val="left" w:pos="496"/>
              </w:tabs>
              <w:jc w:val="left"/>
              <w:rPr>
                <w:rFonts w:ascii="Cambria Math" w:eastAsia="Aptos" w:hAnsi="Cambria Math" w:cs="Calibri"/>
                <w:b/>
                <w:bCs/>
                <w:color w:val="0E2841" w:themeColor="text2"/>
                <w:szCs w:val="22"/>
              </w:rPr>
            </w:pPr>
            <m:oMathPara>
              <m:oMathParaPr>
                <m:jc m:val="left"/>
              </m:oMathParaPr>
              <m:oMath>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Production</m:t>
                    </m:r>
                  </m:sub>
                </m:sSub>
                <m:r>
                  <m:rPr>
                    <m:sty m:val="b"/>
                  </m:rPr>
                  <w:rPr>
                    <w:rFonts w:ascii="Cambria Math" w:hAnsi="Cambria Math" w:cs="Calibri"/>
                    <w:color w:val="0E2841" w:themeColor="text2"/>
                    <w:szCs w:val="22"/>
                  </w:rPr>
                  <m:t>[0;5]=</m:t>
                </m:r>
                <m:nary>
                  <m:naryPr>
                    <m:chr m:val="∏"/>
                    <m:limLoc m:val="undOvr"/>
                    <m:subHide m:val="1"/>
                    <m:supHide m:val="1"/>
                    <m:ctrlPr>
                      <w:rPr>
                        <w:rFonts w:ascii="Cambria Math" w:hAnsi="Cambria Math" w:cs="Calibri"/>
                        <w:b/>
                        <w:bCs/>
                        <w:color w:val="0E2841" w:themeColor="text2"/>
                        <w:szCs w:val="22"/>
                      </w:rPr>
                    </m:ctrlPr>
                  </m:naryPr>
                  <m:sub/>
                  <m:sup/>
                  <m:e>
                    <m:r>
                      <m:rPr>
                        <m:sty m:val="bi"/>
                      </m:rPr>
                      <w:rPr>
                        <w:rFonts w:ascii="Cambria Math" w:hAnsi="Cambria Math" w:cs="Calibri"/>
                        <w:color w:val="0E2841" w:themeColor="text2"/>
                        <w:szCs w:val="22"/>
                      </w:rPr>
                      <m:t>(</m:t>
                    </m:r>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nutrition</m:t>
                        </m:r>
                      </m:sub>
                    </m:sSub>
                  </m:e>
                </m:nary>
                <m:r>
                  <m:rPr>
                    <m:sty m:val="bi"/>
                  </m:rPr>
                  <w:rPr>
                    <w:rFonts w:ascii="Cambria Math" w:hAnsi="Cambria Math" w:cs="Calibri"/>
                    <w:color w:val="0E2841" w:themeColor="text2"/>
                    <w:szCs w:val="22"/>
                  </w:rPr>
                  <m:t xml:space="preserve">; </m:t>
                </m:r>
                <m:sSub>
                  <m:sSubPr>
                    <m:ctrlPr>
                      <w:rPr>
                        <w:rFonts w:ascii="Cambria Math" w:hAnsi="Cambria Math" w:cs="Calibri"/>
                        <w:b/>
                        <w:bCs/>
                        <w:i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structure</m:t>
                    </m:r>
                  </m:sub>
                </m:sSub>
                <m:r>
                  <m:rPr>
                    <m:sty m:val="bi"/>
                  </m:rPr>
                  <w:rPr>
                    <w:rFonts w:ascii="Cambria Math" w:hAnsi="Cambria Math" w:cs="Calibri"/>
                    <w:color w:val="0E2841" w:themeColor="text2"/>
                    <w:szCs w:val="22"/>
                  </w:rPr>
                  <m:t xml:space="preserve"> ; </m:t>
                </m:r>
                <m:sSub>
                  <m:sSubPr>
                    <m:ctrlPr>
                      <w:rPr>
                        <w:rFonts w:ascii="Cambria Math" w:hAnsi="Cambria Math" w:cs="Calibri"/>
                        <w:b/>
                        <w:bCs/>
                        <w:i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fourniture eau</m:t>
                    </m:r>
                  </m:sub>
                </m:sSub>
                <m:r>
                  <m:rPr>
                    <m:sty m:val="bi"/>
                  </m:rPr>
                  <w:rPr>
                    <w:rFonts w:ascii="Cambria Math" w:hAnsi="Cambria Math" w:cs="Calibri"/>
                    <w:color w:val="0E2841" w:themeColor="text2"/>
                    <w:szCs w:val="22"/>
                  </w:rPr>
                  <m:t xml:space="preserve">) </m:t>
                </m:r>
                <m:r>
                  <m:rPr>
                    <m:sty m:val="b"/>
                  </m:rPr>
                  <w:rPr>
                    <w:rFonts w:ascii="Cambria Math" w:hAnsi="Cambria Math" w:cs="Calibri"/>
                    <w:color w:val="0E2841" w:themeColor="text2"/>
                    <w:szCs w:val="22"/>
                  </w:rPr>
                  <m:t>[0;5]</m:t>
                </m:r>
                <m:r>
                  <m:rPr>
                    <m:sty m:val="bi"/>
                  </m:rPr>
                  <w:rPr>
                    <w:rFonts w:ascii="Cambria Math" w:hAnsi="Cambria Math" w:cs="Calibri"/>
                    <w:color w:val="0E2841" w:themeColor="text2"/>
                    <w:szCs w:val="22"/>
                  </w:rPr>
                  <m:t xml:space="preserve">∙ </m:t>
                </m:r>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(1-C</m:t>
                    </m:r>
                  </m:e>
                  <m:sub>
                    <m:r>
                      <m:rPr>
                        <m:sty m:val="b"/>
                      </m:rPr>
                      <w:rPr>
                        <w:rFonts w:ascii="Cambria Math" w:hAnsi="Cambria Math" w:cs="Calibri"/>
                        <w:color w:val="0E2841" w:themeColor="text2"/>
                        <w:szCs w:val="22"/>
                      </w:rPr>
                      <m:t>contrainte</m:t>
                    </m:r>
                  </m:sub>
                </m:sSub>
                <m:r>
                  <m:rPr>
                    <m:sty m:val="bi"/>
                  </m:rPr>
                  <w:rPr>
                    <w:rFonts w:ascii="Cambria Math" w:hAnsi="Cambria Math" w:cs="Calibri"/>
                    <w:color w:val="0E2841" w:themeColor="text2"/>
                    <w:szCs w:val="22"/>
                  </w:rPr>
                  <m:t xml:space="preserve"> </m:t>
                </m:r>
                <m:r>
                  <m:rPr>
                    <m:sty m:val="b"/>
                  </m:rPr>
                  <w:rPr>
                    <w:rFonts w:ascii="Cambria Math" w:hAnsi="Cambria Math" w:cs="Calibri"/>
                    <w:color w:val="0E2841" w:themeColor="text2"/>
                    <w:szCs w:val="22"/>
                  </w:rPr>
                  <m:t>[0;1])</m:t>
                </m:r>
              </m:oMath>
            </m:oMathPara>
          </w:p>
        </w:tc>
        <w:tc>
          <w:tcPr>
            <w:tcW w:w="425" w:type="dxa"/>
            <w:tcBorders>
              <w:left w:val="nil"/>
              <w:right w:val="single" w:sz="12" w:space="0" w:color="auto"/>
            </w:tcBorders>
            <w:shd w:val="clear" w:color="auto" w:fill="F9F9F9"/>
            <w:vAlign w:val="center"/>
          </w:tcPr>
          <w:p w14:paraId="3716F109" w14:textId="4F0A1634" w:rsidR="000A0208" w:rsidRPr="00B363AA" w:rsidRDefault="000A0208" w:rsidP="004306AE">
            <w:pPr>
              <w:tabs>
                <w:tab w:val="left" w:pos="496"/>
              </w:tabs>
              <w:jc w:val="center"/>
              <w:rPr>
                <w:rFonts w:eastAsia="Times New Roman" w:cs="Calibri"/>
                <w:color w:val="0E2841" w:themeColor="text2"/>
                <w:sz w:val="16"/>
                <w:szCs w:val="16"/>
              </w:rPr>
            </w:pPr>
          </w:p>
        </w:tc>
      </w:tr>
      <w:tr w:rsidR="000A0208" w:rsidRPr="00B363AA" w14:paraId="2FC7DBB8" w14:textId="77777777" w:rsidTr="004306AE">
        <w:trPr>
          <w:trHeight w:val="553"/>
        </w:trPr>
        <w:tc>
          <w:tcPr>
            <w:tcW w:w="1413" w:type="dxa"/>
            <w:shd w:val="clear" w:color="auto" w:fill="F9F9F9"/>
            <w:vAlign w:val="center"/>
          </w:tcPr>
          <w:p w14:paraId="0BD5772C" w14:textId="110C767E" w:rsidR="000A0208" w:rsidRPr="00B363AA" w:rsidRDefault="00A21E2F" w:rsidP="004306AE">
            <w:pPr>
              <w:tabs>
                <w:tab w:val="left" w:pos="496"/>
              </w:tabs>
              <w:jc w:val="left"/>
              <w:rPr>
                <w:rFonts w:ascii="Cambria Math" w:eastAsia="Aptos" w:hAnsi="Cambria Math" w:cs="Calibri"/>
                <w:b/>
                <w:bCs/>
                <w:sz w:val="20"/>
                <w:szCs w:val="20"/>
              </w:rPr>
            </w:pPr>
            <w:r w:rsidRPr="00B363AA">
              <w:rPr>
                <w:rFonts w:ascii="Cambria Math" w:hAnsi="Cambria Math" w:cs="Calibri"/>
                <w:b/>
                <w:bCs/>
                <w:color w:val="0E2841" w:themeColor="text2"/>
                <w:sz w:val="20"/>
                <w:szCs w:val="20"/>
              </w:rPr>
              <w:t>Fourniture en nutriments</w:t>
            </w:r>
          </w:p>
        </w:tc>
        <w:tc>
          <w:tcPr>
            <w:tcW w:w="7229" w:type="dxa"/>
            <w:gridSpan w:val="2"/>
            <w:tcBorders>
              <w:right w:val="nil"/>
            </w:tcBorders>
            <w:shd w:val="clear" w:color="auto" w:fill="F9F9F9"/>
            <w:vAlign w:val="center"/>
          </w:tcPr>
          <w:p w14:paraId="17499825" w14:textId="0629566A" w:rsidR="000A0208" w:rsidRPr="00B363AA" w:rsidRDefault="00000000" w:rsidP="004306AE">
            <w:pPr>
              <w:tabs>
                <w:tab w:val="left" w:pos="496"/>
              </w:tabs>
              <w:jc w:val="left"/>
              <w:rPr>
                <w:rFonts w:ascii="Cambria Math" w:eastAsia="Aptos" w:hAnsi="Cambria Math" w:cs="Calibri"/>
                <w:b/>
                <w:bCs/>
                <w:sz w:val="18"/>
                <w:szCs w:val="18"/>
              </w:rPr>
            </w:pPr>
            <m:oMath>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S</m:t>
                  </m:r>
                </m:e>
                <m:sub>
                  <m:r>
                    <m:rPr>
                      <m:sty m:val="b"/>
                    </m:rPr>
                    <w:rPr>
                      <w:rFonts w:ascii="Cambria Math" w:hAnsi="Cambria Math" w:cs="Calibri"/>
                      <w:color w:val="0E2841" w:themeColor="text2"/>
                      <w:sz w:val="18"/>
                      <w:szCs w:val="18"/>
                    </w:rPr>
                    <m:t>nutrition</m:t>
                  </m:r>
                </m:sub>
              </m:sSub>
              <m:r>
                <m:rPr>
                  <m:sty m:val="b"/>
                </m:rPr>
                <w:rPr>
                  <w:rFonts w:ascii="Cambria Math" w:hAnsi="Cambria Math" w:cs="Calibri"/>
                  <w:color w:val="0E2841" w:themeColor="text2"/>
                  <w:sz w:val="18"/>
                  <w:szCs w:val="18"/>
                </w:rPr>
                <m:t>=μ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Q</m:t>
                      </m:r>
                    </m:e>
                    <m:sub>
                      <m:r>
                        <m:rPr>
                          <m:sty m:val="b"/>
                        </m:rPr>
                        <w:rPr>
                          <w:rFonts w:ascii="Cambria Math" w:eastAsia="Aptos" w:hAnsi="Cambria Math" w:cs="Calibri"/>
                          <w:color w:val="0E2841" w:themeColor="text2"/>
                          <w:sz w:val="18"/>
                          <w:szCs w:val="18"/>
                        </w:rPr>
                        <m:t>P</m:t>
                      </m:r>
                    </m:sub>
                  </m:sSub>
                </m:sub>
              </m:sSub>
              <m:r>
                <m:rPr>
                  <m:sty m:val="b"/>
                </m:rPr>
                <w:rPr>
                  <w:rFonts w:ascii="Cambria Math" w:hAnsi="Cambria Math" w:cs="Calibri"/>
                  <w:color w:val="0E2841" w:themeColor="text2"/>
                  <w:sz w:val="18"/>
                  <w:szCs w:val="18"/>
                </w:rPr>
                <m:t xml:space="preserve"> ;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Q</m:t>
                      </m:r>
                    </m:e>
                    <m:sub>
                      <m:r>
                        <m:rPr>
                          <m:sty m:val="b"/>
                        </m:rPr>
                        <w:rPr>
                          <w:rFonts w:ascii="Cambria Math" w:eastAsia="Aptos" w:hAnsi="Cambria Math" w:cs="Calibri"/>
                          <w:color w:val="0E2841" w:themeColor="text2"/>
                          <w:sz w:val="18"/>
                          <w:szCs w:val="18"/>
                        </w:rPr>
                        <m:t>K</m:t>
                      </m:r>
                    </m:sub>
                  </m:sSub>
                  <m:r>
                    <m:rPr>
                      <m:sty m:val="bi"/>
                    </m:rPr>
                    <w:rPr>
                      <w:rFonts w:ascii="Cambria Math" w:eastAsia="Aptos" w:hAnsi="Cambria Math" w:cs="Calibri"/>
                      <w:color w:val="0E2841" w:themeColor="text2"/>
                      <w:sz w:val="18"/>
                      <w:szCs w:val="18"/>
                    </w:rPr>
                    <m:t xml:space="preserve"> </m:t>
                  </m:r>
                </m:sub>
              </m:sSub>
              <m:r>
                <m:rPr>
                  <m:sty m:val="b"/>
                </m:rPr>
                <w:rPr>
                  <w:rFonts w:ascii="Cambria Math" w:hAnsi="Cambria Math" w:cs="Calibri"/>
                  <w:color w:val="0E2841" w:themeColor="text2"/>
                  <w:sz w:val="18"/>
                  <w:szCs w:val="18"/>
                </w:rPr>
                <m:t xml:space="preserve">;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Q</m:t>
                      </m:r>
                    </m:e>
                    <m:sub>
                      <m:r>
                        <m:rPr>
                          <m:sty m:val="b"/>
                        </m:rPr>
                        <w:rPr>
                          <w:rFonts w:ascii="Cambria Math" w:eastAsia="Aptos" w:hAnsi="Cambria Math" w:cs="Calibri"/>
                          <w:color w:val="0E2841" w:themeColor="text2"/>
                          <w:sz w:val="18"/>
                          <w:szCs w:val="18"/>
                        </w:rPr>
                        <m:t>Mg</m:t>
                      </m:r>
                    </m:sub>
                  </m:sSub>
                  <m:r>
                    <m:rPr>
                      <m:sty m:val="bi"/>
                    </m:rPr>
                    <w:rPr>
                      <w:rFonts w:ascii="Cambria Math" w:eastAsia="Aptos" w:hAnsi="Cambria Math" w:cs="Calibri"/>
                      <w:color w:val="0E2841" w:themeColor="text2"/>
                      <w:sz w:val="18"/>
                      <w:szCs w:val="18"/>
                    </w:rPr>
                    <m:t xml:space="preserve"> </m:t>
                  </m:r>
                </m:sub>
              </m:sSub>
              <m:r>
                <m:rPr>
                  <m:sty m:val="b"/>
                </m:rPr>
                <w:rPr>
                  <w:rFonts w:ascii="Cambria Math" w:hAnsi="Cambria Math" w:cs="Calibri"/>
                  <w:color w:val="0E2841" w:themeColor="text2"/>
                  <w:sz w:val="18"/>
                  <w:szCs w:val="18"/>
                </w:rPr>
                <m:t xml:space="preserve">;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Q</m:t>
                      </m:r>
                    </m:e>
                    <m:sub>
                      <m:r>
                        <m:rPr>
                          <m:sty m:val="b"/>
                        </m:rPr>
                        <w:rPr>
                          <w:rFonts w:ascii="Cambria Math" w:eastAsia="Aptos" w:hAnsi="Cambria Math" w:cs="Calibri"/>
                          <w:color w:val="0E2841" w:themeColor="text2"/>
                          <w:sz w:val="18"/>
                          <w:szCs w:val="18"/>
                        </w:rPr>
                        <m:t>Ca</m:t>
                      </m:r>
                    </m:sub>
                  </m:sSub>
                  <m:r>
                    <m:rPr>
                      <m:sty m:val="bi"/>
                    </m:rPr>
                    <w:rPr>
                      <w:rFonts w:ascii="Cambria Math" w:eastAsia="Aptos" w:hAnsi="Cambria Math" w:cs="Calibri"/>
                      <w:color w:val="0E2841" w:themeColor="text2"/>
                      <w:sz w:val="18"/>
                      <w:szCs w:val="18"/>
                    </w:rPr>
                    <m:t xml:space="preserve"> </m:t>
                  </m:r>
                </m:sub>
              </m:sSub>
              <m:r>
                <m:rPr>
                  <m:sty m:val="b"/>
                </m:rPr>
                <w:rPr>
                  <w:rFonts w:ascii="Cambria Math" w:hAnsi="Cambria Math" w:cs="Calibri"/>
                  <w:color w:val="0E2841" w:themeColor="text2"/>
                  <w:sz w:val="18"/>
                  <w:szCs w:val="18"/>
                </w:rPr>
                <m:t xml:space="preserve">;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Q</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C</m:t>
                          </m:r>
                        </m:e>
                        <m:sub>
                          <m:r>
                            <m:rPr>
                              <m:sty m:val="b"/>
                            </m:rPr>
                            <w:rPr>
                              <w:rFonts w:ascii="Cambria Math" w:eastAsia="Aptos" w:hAnsi="Cambria Math" w:cs="Calibri"/>
                              <w:color w:val="0E2841" w:themeColor="text2"/>
                              <w:sz w:val="18"/>
                              <w:szCs w:val="18"/>
                            </w:rPr>
                            <m:t>org</m:t>
                          </m:r>
                        </m:sub>
                      </m:sSub>
                    </m:sub>
                  </m:sSub>
                </m:sub>
              </m:sSub>
              <m:r>
                <m:rPr>
                  <m:sty m:val="b"/>
                </m:rPr>
                <w:rPr>
                  <w:rFonts w:ascii="Cambria Math" w:hAnsi="Cambria Math" w:cs="Calibri"/>
                  <w:color w:val="0E2841" w:themeColor="text2"/>
                  <w:sz w:val="18"/>
                  <w:szCs w:val="18"/>
                </w:rPr>
                <m:t xml:space="preserve"> ;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Q</m:t>
                      </m:r>
                    </m:e>
                    <m:sub>
                      <m:r>
                        <m:rPr>
                          <m:sty m:val="b"/>
                        </m:rPr>
                        <w:rPr>
                          <w:rFonts w:ascii="Cambria Math" w:eastAsia="Aptos" w:hAnsi="Cambria Math" w:cs="Calibri"/>
                          <w:color w:val="0E2841" w:themeColor="text2"/>
                          <w:sz w:val="18"/>
                          <w:szCs w:val="18"/>
                        </w:rPr>
                        <m:t>CEC</m:t>
                      </m:r>
                    </m:sub>
                  </m:sSub>
                </m:sub>
              </m:sSub>
              <m:r>
                <m:rPr>
                  <m:sty m:val="b"/>
                </m:rPr>
                <w:rPr>
                  <w:rFonts w:ascii="Cambria Math" w:hAnsi="Cambria Math" w:cs="Calibri"/>
                  <w:color w:val="0E2841" w:themeColor="text2"/>
                  <w:sz w:val="18"/>
                  <w:szCs w:val="18"/>
                </w:rPr>
                <m:t xml:space="preserve"> ; </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Score</m:t>
                  </m:r>
                </m:e>
                <m:sub>
                  <m:f>
                    <m:fPr>
                      <m:ctrlPr>
                        <w:rPr>
                          <w:rFonts w:ascii="Cambria Math" w:hAnsi="Cambria Math" w:cs="Calibri"/>
                          <w:b/>
                          <w:bCs/>
                          <w:color w:val="0E2841" w:themeColor="text2"/>
                          <w:sz w:val="18"/>
                          <w:szCs w:val="18"/>
                        </w:rPr>
                      </m:ctrlPr>
                    </m:fPr>
                    <m:num>
                      <m:r>
                        <m:rPr>
                          <m:sty m:val="b"/>
                        </m:rPr>
                        <w:rPr>
                          <w:rFonts w:ascii="Cambria Math" w:hAnsi="Cambria Math" w:cs="Calibri"/>
                          <w:color w:val="0E2841" w:themeColor="text2"/>
                          <w:sz w:val="18"/>
                          <w:szCs w:val="18"/>
                        </w:rPr>
                        <m:t>K</m:t>
                      </m:r>
                    </m:num>
                    <m:den>
                      <m:r>
                        <m:rPr>
                          <m:sty m:val="b"/>
                        </m:rPr>
                        <w:rPr>
                          <w:rFonts w:ascii="Cambria Math" w:hAnsi="Cambria Math" w:cs="Calibri"/>
                          <w:color w:val="0E2841" w:themeColor="text2"/>
                          <w:sz w:val="18"/>
                          <w:szCs w:val="18"/>
                        </w:rPr>
                        <m:t>Mg</m:t>
                      </m:r>
                    </m:den>
                  </m:f>
                </m:sub>
              </m:sSub>
              <m:r>
                <m:rPr>
                  <m:sty m:val="b"/>
                </m:rPr>
                <w:rPr>
                  <w:rFonts w:ascii="Cambria Math" w:hAnsi="Cambria Math" w:cs="Calibri"/>
                  <w:color w:val="0E2841" w:themeColor="text2"/>
                  <w:sz w:val="18"/>
                  <w:szCs w:val="18"/>
                </w:rPr>
                <m:t>;</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Score</m:t>
                  </m:r>
                </m:e>
                <m:sub>
                  <m:r>
                    <m:rPr>
                      <m:sty m:val="b"/>
                    </m:rPr>
                    <w:rPr>
                      <w:rFonts w:ascii="Cambria Math" w:hAnsi="Cambria Math" w:cs="Calibri"/>
                      <w:color w:val="0E2841" w:themeColor="text2"/>
                      <w:sz w:val="18"/>
                      <w:szCs w:val="18"/>
                    </w:rPr>
                    <m:t>pH</m:t>
                  </m:r>
                </m:sub>
              </m:sSub>
              <m:r>
                <m:rPr>
                  <m:sty m:val="b"/>
                </m:rPr>
                <w:rPr>
                  <w:rFonts w:ascii="Cambria Math" w:hAnsi="Cambria Math" w:cs="Calibri"/>
                  <w:color w:val="0E2841" w:themeColor="text2"/>
                  <w:sz w:val="18"/>
                  <w:szCs w:val="18"/>
                </w:rPr>
                <m:t xml:space="preserve"> )</m:t>
              </m:r>
            </m:oMath>
            <w:r w:rsidR="000A0208" w:rsidRPr="00B363AA">
              <w:rPr>
                <w:rFonts w:ascii="Cambria Math" w:eastAsia="Aptos" w:hAnsi="Cambria Math" w:cs="Calibri"/>
                <w:b/>
                <w:bCs/>
                <w:sz w:val="18"/>
                <w:szCs w:val="18"/>
              </w:rPr>
              <w:t xml:space="preserve"> </w:t>
            </w:r>
          </w:p>
        </w:tc>
        <w:tc>
          <w:tcPr>
            <w:tcW w:w="425" w:type="dxa"/>
            <w:tcBorders>
              <w:left w:val="nil"/>
              <w:right w:val="single" w:sz="12" w:space="0" w:color="auto"/>
            </w:tcBorders>
            <w:shd w:val="clear" w:color="auto" w:fill="F9F9F9"/>
            <w:vAlign w:val="center"/>
          </w:tcPr>
          <w:p w14:paraId="7D5E9004" w14:textId="621404CD" w:rsidR="000A0208" w:rsidRPr="00B363AA" w:rsidRDefault="000A0208" w:rsidP="008A3F34">
            <w:pPr>
              <w:tabs>
                <w:tab w:val="left" w:pos="496"/>
              </w:tabs>
              <w:rPr>
                <w:rFonts w:eastAsia="Aptos" w:cs="Calibri"/>
                <w:color w:val="0E2841" w:themeColor="text2"/>
                <w:sz w:val="16"/>
                <w:szCs w:val="16"/>
              </w:rPr>
            </w:pPr>
          </w:p>
        </w:tc>
      </w:tr>
      <w:tr w:rsidR="000A0208" w:rsidRPr="00B363AA" w14:paraId="4D8DC041" w14:textId="77777777" w:rsidTr="004306AE">
        <w:trPr>
          <w:trHeight w:val="321"/>
        </w:trPr>
        <w:tc>
          <w:tcPr>
            <w:tcW w:w="1413" w:type="dxa"/>
            <w:vMerge w:val="restart"/>
            <w:vAlign w:val="center"/>
          </w:tcPr>
          <w:p w14:paraId="2144FBD6" w14:textId="77777777" w:rsidR="000A0208" w:rsidRPr="00B363AA" w:rsidRDefault="000A0208" w:rsidP="004306AE">
            <w:pPr>
              <w:tabs>
                <w:tab w:val="left" w:pos="496"/>
              </w:tabs>
              <w:jc w:val="left"/>
              <w:rPr>
                <w:rFonts w:ascii="Cambria Math" w:hAnsi="Cambria Math" w:cs="Calibri"/>
                <w:color w:val="CE4289"/>
                <w:sz w:val="20"/>
                <w:szCs w:val="20"/>
              </w:rPr>
            </w:pPr>
          </w:p>
        </w:tc>
        <w:tc>
          <w:tcPr>
            <w:tcW w:w="425" w:type="dxa"/>
            <w:tcBorders>
              <w:bottom w:val="dashSmallGap" w:sz="4" w:space="0" w:color="0E2841" w:themeColor="text2"/>
              <w:right w:val="nil"/>
            </w:tcBorders>
            <w:vAlign w:val="center"/>
          </w:tcPr>
          <w:p w14:paraId="6E7DF9FC" w14:textId="77777777" w:rsidR="000A0208" w:rsidRPr="00B363AA" w:rsidRDefault="000A0208" w:rsidP="004306AE">
            <w:pPr>
              <w:tabs>
                <w:tab w:val="left" w:pos="496"/>
              </w:tabs>
              <w:jc w:val="left"/>
              <w:rPr>
                <w:rFonts w:ascii="Cambria Math" w:eastAsia="Aptos" w:hAnsi="Cambria Math" w:cs="Calibri"/>
                <w:sz w:val="18"/>
                <w:szCs w:val="18"/>
              </w:rPr>
            </w:pPr>
          </w:p>
        </w:tc>
        <w:tc>
          <w:tcPr>
            <w:tcW w:w="6804" w:type="dxa"/>
            <w:tcBorders>
              <w:left w:val="nil"/>
              <w:bottom w:val="dashSmallGap" w:sz="4" w:space="0" w:color="auto"/>
              <w:right w:val="nil"/>
            </w:tcBorders>
            <w:vAlign w:val="center"/>
          </w:tcPr>
          <w:p w14:paraId="71EC300E" w14:textId="77777777" w:rsidR="000A0208" w:rsidRPr="00B363AA" w:rsidRDefault="00000000" w:rsidP="004306AE">
            <w:pPr>
              <w:tabs>
                <w:tab w:val="left" w:pos="496"/>
              </w:tabs>
              <w:jc w:val="left"/>
              <w:rPr>
                <w:rFonts w:ascii="Cambria Math" w:eastAsia="Aptos" w:hAnsi="Cambria Math" w:cs="Calibri"/>
                <w:sz w:val="18"/>
                <w:szCs w:val="18"/>
              </w:rPr>
            </w:pPr>
            <m:oMathPara>
              <m:oMathParaPr>
                <m:jc m:val="left"/>
              </m:oMathParaPr>
              <m:oMath>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Score</m:t>
                    </m:r>
                  </m:e>
                  <m:sub>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Q</m:t>
                        </m:r>
                      </m:e>
                      <m:sub>
                        <m:r>
                          <m:rPr>
                            <m:sty m:val="p"/>
                          </m:rPr>
                          <w:rPr>
                            <w:rFonts w:ascii="Cambria Math" w:eastAsia="Aptos" w:hAnsi="Cambria Math" w:cs="Calibri"/>
                            <w:sz w:val="18"/>
                            <w:szCs w:val="18"/>
                          </w:rPr>
                          <m:t>P,  K, Mg, Ca</m:t>
                        </m:r>
                      </m:sub>
                    </m:sSub>
                  </m:sub>
                </m:sSub>
                <m:r>
                  <m:rPr>
                    <m:sty m:val="p"/>
                  </m:rPr>
                  <w:rPr>
                    <w:rFonts w:ascii="Cambria Math" w:eastAsia="Cambria Math" w:hAnsi="Cambria Math" w:cs="Calibri"/>
                    <w:sz w:val="18"/>
                    <w:szCs w:val="18"/>
                  </w:rPr>
                  <m:t xml:space="preserve">= </m:t>
                </m:r>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Score</m:t>
                    </m:r>
                  </m:e>
                  <m:sub>
                    <m:r>
                      <m:rPr>
                        <m:sty m:val="p"/>
                      </m:rPr>
                      <w:rPr>
                        <w:rFonts w:ascii="Cambria Math" w:eastAsia="Cambria Math" w:hAnsi="Cambria Math" w:cs="Calibri"/>
                        <w:sz w:val="18"/>
                        <w:szCs w:val="18"/>
                      </w:rPr>
                      <m:t>P, K, Mg, Ca ∙</m:t>
                    </m:r>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 xml:space="preserve"> C</m:t>
                        </m:r>
                      </m:e>
                      <m:sub>
                        <m:r>
                          <m:rPr>
                            <m:sty m:val="p"/>
                          </m:rPr>
                          <w:rPr>
                            <w:rFonts w:ascii="Cambria Math" w:eastAsia="Cambria Math" w:hAnsi="Cambria Math" w:cs="Calibri"/>
                            <w:sz w:val="18"/>
                            <w:szCs w:val="18"/>
                          </w:rPr>
                          <m:t>sol utile</m:t>
                        </m:r>
                      </m:sub>
                    </m:sSub>
                  </m:sub>
                </m:sSub>
              </m:oMath>
            </m:oMathPara>
          </w:p>
        </w:tc>
        <w:tc>
          <w:tcPr>
            <w:tcW w:w="425" w:type="dxa"/>
            <w:tcBorders>
              <w:left w:val="nil"/>
              <w:bottom w:val="dashSmallGap" w:sz="4" w:space="0" w:color="auto"/>
              <w:right w:val="single" w:sz="12" w:space="0" w:color="auto"/>
            </w:tcBorders>
            <w:vAlign w:val="center"/>
          </w:tcPr>
          <w:p w14:paraId="0CFC7E81" w14:textId="77777777" w:rsidR="000A0208" w:rsidRPr="00B363AA" w:rsidRDefault="000A0208" w:rsidP="004306AE">
            <w:pPr>
              <w:tabs>
                <w:tab w:val="left" w:pos="496"/>
              </w:tabs>
              <w:jc w:val="center"/>
              <w:rPr>
                <w:rFonts w:eastAsia="Times New Roman" w:cs="Calibri"/>
                <w:sz w:val="16"/>
                <w:szCs w:val="16"/>
              </w:rPr>
            </w:pPr>
          </w:p>
        </w:tc>
      </w:tr>
      <w:tr w:rsidR="000A0208" w:rsidRPr="00B363AA" w14:paraId="34E87492" w14:textId="77777777" w:rsidTr="004306AE">
        <w:trPr>
          <w:trHeight w:val="143"/>
        </w:trPr>
        <w:tc>
          <w:tcPr>
            <w:tcW w:w="1413" w:type="dxa"/>
            <w:vMerge/>
            <w:vAlign w:val="center"/>
          </w:tcPr>
          <w:p w14:paraId="1A48C1B5" w14:textId="77777777" w:rsidR="000A0208" w:rsidRPr="00B363AA" w:rsidRDefault="000A0208" w:rsidP="004306AE">
            <w:pPr>
              <w:tabs>
                <w:tab w:val="left" w:pos="496"/>
              </w:tabs>
              <w:jc w:val="left"/>
              <w:rPr>
                <w:rFonts w:ascii="Cambria Math" w:hAnsi="Cambria Math" w:cs="Calibri"/>
                <w:sz w:val="20"/>
                <w:szCs w:val="20"/>
              </w:rPr>
            </w:pPr>
          </w:p>
        </w:tc>
        <w:tc>
          <w:tcPr>
            <w:tcW w:w="425" w:type="dxa"/>
            <w:tcBorders>
              <w:top w:val="dashSmallGap" w:sz="4" w:space="0" w:color="0E2841" w:themeColor="text2"/>
              <w:bottom w:val="dashSmallGap" w:sz="4" w:space="0" w:color="0E2841" w:themeColor="text2"/>
              <w:right w:val="nil"/>
            </w:tcBorders>
            <w:vAlign w:val="center"/>
          </w:tcPr>
          <w:p w14:paraId="743BF612" w14:textId="77777777" w:rsidR="000A0208" w:rsidRPr="00B363AA" w:rsidRDefault="000A0208" w:rsidP="004306AE">
            <w:pPr>
              <w:tabs>
                <w:tab w:val="left" w:pos="496"/>
              </w:tabs>
              <w:jc w:val="left"/>
              <w:rPr>
                <w:rFonts w:ascii="Cambria Math" w:eastAsia="Aptos" w:hAnsi="Cambria Math" w:cs="Calibri"/>
                <w:sz w:val="18"/>
                <w:szCs w:val="18"/>
              </w:rPr>
            </w:pPr>
          </w:p>
        </w:tc>
        <w:tc>
          <w:tcPr>
            <w:tcW w:w="6804" w:type="dxa"/>
            <w:tcBorders>
              <w:top w:val="dashSmallGap" w:sz="4" w:space="0" w:color="auto"/>
              <w:left w:val="nil"/>
              <w:bottom w:val="dashSmallGap" w:sz="4" w:space="0" w:color="auto"/>
              <w:right w:val="nil"/>
            </w:tcBorders>
            <w:vAlign w:val="center"/>
          </w:tcPr>
          <w:p w14:paraId="3B5C0F05" w14:textId="77777777" w:rsidR="000A0208" w:rsidRPr="00B363AA" w:rsidRDefault="00000000" w:rsidP="004306AE">
            <w:pPr>
              <w:tabs>
                <w:tab w:val="left" w:pos="496"/>
              </w:tabs>
              <w:jc w:val="left"/>
              <w:rPr>
                <w:rFonts w:ascii="Cambria Math" w:eastAsia="Aptos" w:hAnsi="Cambria Math" w:cs="Calibri"/>
                <w:sz w:val="18"/>
                <w:szCs w:val="18"/>
              </w:rPr>
            </w:pPr>
            <m:oMathPara>
              <m:oMathParaPr>
                <m:jc m:val="left"/>
              </m:oMathParaPr>
              <m:oMath>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Score</m:t>
                    </m:r>
                  </m:e>
                  <m:sub>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Q</m:t>
                        </m:r>
                      </m:e>
                      <m:sub>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C</m:t>
                            </m:r>
                          </m:e>
                          <m:sub>
                            <m:r>
                              <m:rPr>
                                <m:sty m:val="p"/>
                              </m:rPr>
                              <w:rPr>
                                <w:rFonts w:ascii="Cambria Math" w:eastAsia="Aptos" w:hAnsi="Cambria Math" w:cs="Calibri"/>
                                <w:sz w:val="18"/>
                                <w:szCs w:val="18"/>
                              </w:rPr>
                              <m:t>org</m:t>
                            </m:r>
                          </m:sub>
                        </m:sSub>
                      </m:sub>
                    </m:sSub>
                  </m:sub>
                </m:sSub>
                <m:r>
                  <m:rPr>
                    <m:sty m:val="p"/>
                  </m:rPr>
                  <w:rPr>
                    <w:rFonts w:ascii="Cambria Math" w:eastAsia="Cambria Math" w:hAnsi="Cambria Math" w:cs="Calibri"/>
                    <w:sz w:val="18"/>
                    <w:szCs w:val="18"/>
                  </w:rPr>
                  <m:t xml:space="preserve">= </m:t>
                </m:r>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Score</m:t>
                    </m:r>
                  </m:e>
                  <m:sub>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org</m:t>
                        </m:r>
                      </m:sub>
                    </m:sSub>
                    <m:r>
                      <m:rPr>
                        <m:sty m:val="p"/>
                      </m:rPr>
                      <w:rPr>
                        <w:rFonts w:ascii="Cambria Math" w:eastAsia="Cambria Math" w:hAnsi="Cambria Math" w:cs="Calibri"/>
                        <w:sz w:val="18"/>
                        <w:szCs w:val="18"/>
                      </w:rPr>
                      <m:t>∙</m:t>
                    </m:r>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sol utile</m:t>
                        </m:r>
                      </m:sub>
                    </m:sSub>
                  </m:sub>
                </m:sSub>
              </m:oMath>
            </m:oMathPara>
          </w:p>
        </w:tc>
        <w:tc>
          <w:tcPr>
            <w:tcW w:w="425" w:type="dxa"/>
            <w:tcBorders>
              <w:top w:val="dashSmallGap" w:sz="4" w:space="0" w:color="auto"/>
              <w:left w:val="nil"/>
              <w:bottom w:val="dashSmallGap" w:sz="4" w:space="0" w:color="auto"/>
              <w:right w:val="single" w:sz="12" w:space="0" w:color="auto"/>
            </w:tcBorders>
            <w:vAlign w:val="center"/>
          </w:tcPr>
          <w:p w14:paraId="55B8FDAB" w14:textId="77777777" w:rsidR="000A0208" w:rsidRPr="00B363AA" w:rsidRDefault="000A0208" w:rsidP="004306AE">
            <w:pPr>
              <w:tabs>
                <w:tab w:val="left" w:pos="496"/>
              </w:tabs>
              <w:jc w:val="center"/>
              <w:rPr>
                <w:rFonts w:eastAsia="Aptos" w:cs="Calibri"/>
                <w:sz w:val="16"/>
                <w:szCs w:val="16"/>
              </w:rPr>
            </w:pPr>
          </w:p>
        </w:tc>
      </w:tr>
      <w:tr w:rsidR="000A0208" w:rsidRPr="00B363AA" w14:paraId="303FA5C3" w14:textId="77777777" w:rsidTr="008A3F34">
        <w:trPr>
          <w:trHeight w:val="143"/>
        </w:trPr>
        <w:tc>
          <w:tcPr>
            <w:tcW w:w="1413" w:type="dxa"/>
            <w:vMerge/>
            <w:vAlign w:val="center"/>
          </w:tcPr>
          <w:p w14:paraId="54CCCAA6" w14:textId="77777777" w:rsidR="000A0208" w:rsidRPr="00B363AA" w:rsidRDefault="000A0208" w:rsidP="004306AE">
            <w:pPr>
              <w:tabs>
                <w:tab w:val="left" w:pos="496"/>
              </w:tabs>
              <w:jc w:val="left"/>
              <w:rPr>
                <w:rFonts w:ascii="Cambria Math" w:hAnsi="Cambria Math" w:cs="Calibri"/>
                <w:sz w:val="20"/>
                <w:szCs w:val="20"/>
              </w:rPr>
            </w:pPr>
          </w:p>
        </w:tc>
        <w:tc>
          <w:tcPr>
            <w:tcW w:w="425" w:type="dxa"/>
            <w:tcBorders>
              <w:top w:val="dashSmallGap" w:sz="4" w:space="0" w:color="0E2841" w:themeColor="text2"/>
              <w:bottom w:val="single" w:sz="18" w:space="0" w:color="auto"/>
              <w:right w:val="nil"/>
            </w:tcBorders>
            <w:vAlign w:val="center"/>
          </w:tcPr>
          <w:p w14:paraId="4F871254" w14:textId="77777777" w:rsidR="000A0208" w:rsidRPr="00B363AA" w:rsidRDefault="000A0208" w:rsidP="004306AE">
            <w:pPr>
              <w:tabs>
                <w:tab w:val="left" w:pos="496"/>
              </w:tabs>
              <w:jc w:val="left"/>
              <w:rPr>
                <w:rFonts w:ascii="Cambria Math" w:eastAsia="Aptos" w:hAnsi="Cambria Math" w:cs="Calibri"/>
                <w:sz w:val="18"/>
                <w:szCs w:val="18"/>
              </w:rPr>
            </w:pPr>
          </w:p>
        </w:tc>
        <w:tc>
          <w:tcPr>
            <w:tcW w:w="6804" w:type="dxa"/>
            <w:tcBorders>
              <w:top w:val="dashSmallGap" w:sz="4" w:space="0" w:color="auto"/>
              <w:left w:val="nil"/>
              <w:bottom w:val="single" w:sz="18" w:space="0" w:color="auto"/>
              <w:right w:val="nil"/>
            </w:tcBorders>
            <w:vAlign w:val="center"/>
          </w:tcPr>
          <w:p w14:paraId="0BD6FA0F" w14:textId="77777777" w:rsidR="000A0208" w:rsidRPr="00B363AA" w:rsidRDefault="00000000" w:rsidP="004306AE">
            <w:pPr>
              <w:tabs>
                <w:tab w:val="left" w:pos="496"/>
              </w:tabs>
              <w:jc w:val="left"/>
              <w:rPr>
                <w:rFonts w:ascii="Cambria Math" w:eastAsia="Aptos" w:hAnsi="Cambria Math" w:cs="Calibri"/>
                <w:sz w:val="18"/>
                <w:szCs w:val="18"/>
              </w:rPr>
            </w:pPr>
            <m:oMathPara>
              <m:oMathParaPr>
                <m:jc m:val="left"/>
              </m:oMathParaPr>
              <m:oMath>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Score</m:t>
                    </m:r>
                  </m:e>
                  <m:sub>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Q</m:t>
                        </m:r>
                      </m:e>
                      <m:sub>
                        <m:r>
                          <m:rPr>
                            <m:sty m:val="p"/>
                          </m:rPr>
                          <w:rPr>
                            <w:rFonts w:ascii="Cambria Math" w:eastAsia="Aptos" w:hAnsi="Cambria Math" w:cs="Calibri"/>
                            <w:sz w:val="18"/>
                            <w:szCs w:val="18"/>
                          </w:rPr>
                          <m:t>CEC</m:t>
                        </m:r>
                      </m:sub>
                    </m:sSub>
                  </m:sub>
                </m:sSub>
                <m:r>
                  <m:rPr>
                    <m:sty m:val="p"/>
                  </m:rPr>
                  <w:rPr>
                    <w:rFonts w:ascii="Cambria Math" w:eastAsia="Cambria Math" w:hAnsi="Cambria Math" w:cs="Calibri"/>
                    <w:sz w:val="18"/>
                    <w:szCs w:val="18"/>
                  </w:rPr>
                  <m:t xml:space="preserve">= </m:t>
                </m:r>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Score</m:t>
                    </m:r>
                  </m:e>
                  <m:sub>
                    <m:r>
                      <m:rPr>
                        <m:sty m:val="p"/>
                      </m:rPr>
                      <w:rPr>
                        <w:rFonts w:ascii="Cambria Math" w:eastAsia="Cambria Math" w:hAnsi="Cambria Math" w:cs="Calibri"/>
                        <w:sz w:val="18"/>
                        <w:szCs w:val="18"/>
                      </w:rPr>
                      <m:t>CEC ∙</m:t>
                    </m:r>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sol utile</m:t>
                        </m:r>
                      </m:sub>
                    </m:sSub>
                  </m:sub>
                </m:sSub>
              </m:oMath>
            </m:oMathPara>
          </w:p>
        </w:tc>
        <w:tc>
          <w:tcPr>
            <w:tcW w:w="425" w:type="dxa"/>
            <w:tcBorders>
              <w:top w:val="dashSmallGap" w:sz="4" w:space="0" w:color="auto"/>
              <w:left w:val="nil"/>
              <w:bottom w:val="dashSmallGap" w:sz="4" w:space="0" w:color="auto"/>
              <w:right w:val="single" w:sz="12" w:space="0" w:color="auto"/>
            </w:tcBorders>
            <w:vAlign w:val="center"/>
          </w:tcPr>
          <w:p w14:paraId="5143C73F" w14:textId="77777777" w:rsidR="000A0208" w:rsidRPr="00B363AA" w:rsidRDefault="000A0208" w:rsidP="004306AE">
            <w:pPr>
              <w:tabs>
                <w:tab w:val="left" w:pos="496"/>
              </w:tabs>
              <w:jc w:val="center"/>
              <w:rPr>
                <w:rFonts w:eastAsia="Aptos" w:cs="Calibri"/>
                <w:sz w:val="16"/>
                <w:szCs w:val="16"/>
              </w:rPr>
            </w:pPr>
          </w:p>
        </w:tc>
      </w:tr>
      <w:tr w:rsidR="000A0208" w:rsidRPr="00B363AA" w14:paraId="1C518DFA" w14:textId="77777777" w:rsidTr="004306AE">
        <w:trPr>
          <w:trHeight w:val="536"/>
        </w:trPr>
        <w:tc>
          <w:tcPr>
            <w:tcW w:w="1413" w:type="dxa"/>
            <w:tcBorders>
              <w:top w:val="single" w:sz="18" w:space="0" w:color="0E2841" w:themeColor="text2"/>
              <w:bottom w:val="single" w:sz="18" w:space="0" w:color="0E2841" w:themeColor="text2"/>
            </w:tcBorders>
            <w:shd w:val="clear" w:color="auto" w:fill="F9F9F9"/>
            <w:vAlign w:val="center"/>
          </w:tcPr>
          <w:p w14:paraId="70AA6876" w14:textId="77777777" w:rsidR="000A0208" w:rsidRPr="00B363AA" w:rsidRDefault="000A0208" w:rsidP="004306AE">
            <w:pPr>
              <w:tabs>
                <w:tab w:val="left" w:pos="496"/>
              </w:tabs>
              <w:jc w:val="left"/>
              <w:rPr>
                <w:rFonts w:ascii="Cambria Math" w:eastAsia="Aptos" w:hAnsi="Cambria Math" w:cs="Calibri"/>
                <w:iCs/>
                <w:color w:val="0E2841" w:themeColor="text2"/>
                <w:sz w:val="20"/>
                <w:szCs w:val="20"/>
              </w:rPr>
            </w:pPr>
            <w:r w:rsidRPr="00B363AA">
              <w:rPr>
                <w:rFonts w:ascii="Cambria Math" w:hAnsi="Cambria Math" w:cs="Calibri"/>
                <w:b/>
                <w:bCs/>
                <w:color w:val="0E2841" w:themeColor="text2"/>
                <w:sz w:val="20"/>
                <w:szCs w:val="20"/>
              </w:rPr>
              <w:t>Structure</w:t>
            </w:r>
          </w:p>
        </w:tc>
        <w:tc>
          <w:tcPr>
            <w:tcW w:w="7229" w:type="dxa"/>
            <w:gridSpan w:val="2"/>
            <w:tcBorders>
              <w:top w:val="single" w:sz="18" w:space="0" w:color="0E2841" w:themeColor="text2"/>
              <w:bottom w:val="single" w:sz="18" w:space="0" w:color="0E2841" w:themeColor="text2"/>
              <w:right w:val="nil"/>
            </w:tcBorders>
            <w:shd w:val="clear" w:color="auto" w:fill="F9F9F9"/>
            <w:vAlign w:val="center"/>
          </w:tcPr>
          <w:p w14:paraId="54766935" w14:textId="77777777" w:rsidR="000A0208" w:rsidRPr="00B363AA" w:rsidRDefault="00000000" w:rsidP="004306AE">
            <w:pPr>
              <w:tabs>
                <w:tab w:val="left" w:pos="496"/>
              </w:tabs>
              <w:jc w:val="left"/>
              <w:rPr>
                <w:rFonts w:ascii="Cambria Math" w:hAnsi="Cambria Math" w:cs="Calibri"/>
                <w:b/>
                <w:bCs/>
                <w:iCs/>
                <w:color w:val="0E2841" w:themeColor="text2"/>
                <w:sz w:val="18"/>
                <w:szCs w:val="18"/>
              </w:rPr>
            </w:pPr>
            <m:oMathPara>
              <m:oMathParaPr>
                <m:jc m:val="left"/>
              </m:oMathParaPr>
              <m:oMath>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S</m:t>
                    </m:r>
                  </m:e>
                  <m:sub>
                    <m:r>
                      <m:rPr>
                        <m:sty m:val="b"/>
                      </m:rPr>
                      <w:rPr>
                        <w:rFonts w:ascii="Cambria Math" w:hAnsi="Cambria Math" w:cs="Calibri"/>
                        <w:color w:val="0E2841" w:themeColor="text2"/>
                        <w:sz w:val="18"/>
                        <w:szCs w:val="18"/>
                      </w:rPr>
                      <m:t>structure</m:t>
                    </m:r>
                  </m:sub>
                </m:sSub>
                <m:r>
                  <m:rPr>
                    <m:sty m:val="b"/>
                  </m:rPr>
                  <w:rPr>
                    <w:rFonts w:ascii="Cambria Math" w:hAnsi="Cambria Math" w:cs="Calibri"/>
                    <w:color w:val="0E2841" w:themeColor="text2"/>
                    <w:sz w:val="18"/>
                    <w:szCs w:val="18"/>
                  </w:rPr>
                  <m:t>=μ (</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Score</m:t>
                    </m:r>
                  </m:e>
                  <m:sub>
                    <m:r>
                      <m:rPr>
                        <m:sty m:val="b"/>
                      </m:rPr>
                      <w:rPr>
                        <w:rFonts w:ascii="Cambria Math" w:hAnsi="Cambria Math" w:cs="Calibri"/>
                        <w:color w:val="0E2841" w:themeColor="text2"/>
                        <w:sz w:val="18"/>
                        <w:szCs w:val="18"/>
                      </w:rPr>
                      <m:t>VESS</m:t>
                    </m:r>
                  </m:sub>
                </m:sSub>
                <m:r>
                  <m:rPr>
                    <m:sty m:val="b"/>
                  </m:rPr>
                  <w:rPr>
                    <w:rFonts w:ascii="Cambria Math" w:hAnsi="Cambria Math" w:cs="Calibri"/>
                    <w:color w:val="0E2841" w:themeColor="text2"/>
                    <w:sz w:val="18"/>
                    <w:szCs w:val="18"/>
                  </w:rPr>
                  <m:t xml:space="preserve"> ; </m:t>
                </m:r>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Score</m:t>
                    </m:r>
                  </m:e>
                  <m:sub>
                    <m:sSub>
                      <m:sSubPr>
                        <m:ctrlPr>
                          <w:rPr>
                            <w:rFonts w:ascii="Cambria Math" w:eastAsia="Aptos" w:hAnsi="Cambria Math" w:cs="Calibri"/>
                            <w:b/>
                            <w:bCs/>
                            <w:color w:val="0E2841" w:themeColor="text2"/>
                            <w:sz w:val="18"/>
                            <w:szCs w:val="18"/>
                          </w:rPr>
                        </m:ctrlPr>
                      </m:sSubPr>
                      <m:e>
                        <m:r>
                          <m:rPr>
                            <m:sty m:val="b"/>
                          </m:rPr>
                          <w:rPr>
                            <w:rFonts w:ascii="Cambria Math" w:eastAsia="Aptos" w:hAnsi="Cambria Math" w:cs="Calibri"/>
                            <w:color w:val="0E2841" w:themeColor="text2"/>
                            <w:sz w:val="18"/>
                            <w:szCs w:val="18"/>
                          </w:rPr>
                          <m:t>ρ</m:t>
                        </m:r>
                      </m:e>
                      <m:sub>
                        <m:r>
                          <m:rPr>
                            <m:sty m:val="b"/>
                          </m:rPr>
                          <w:rPr>
                            <w:rFonts w:ascii="Cambria Math" w:eastAsia="Aptos" w:hAnsi="Cambria Math" w:cs="Calibri"/>
                            <w:color w:val="0E2841" w:themeColor="text2"/>
                            <w:sz w:val="18"/>
                            <w:szCs w:val="18"/>
                          </w:rPr>
                          <m:t>f</m:t>
                        </m:r>
                      </m:sub>
                    </m:sSub>
                  </m:sub>
                </m:sSub>
                <m:r>
                  <m:rPr>
                    <m:sty m:val="bi"/>
                  </m:rPr>
                  <w:rPr>
                    <w:rFonts w:ascii="Cambria Math" w:eastAsia="Aptos" w:hAnsi="Cambria Math" w:cs="Calibri"/>
                    <w:color w:val="0E2841" w:themeColor="text2"/>
                    <w:sz w:val="18"/>
                    <w:szCs w:val="18"/>
                  </w:rPr>
                  <m:t xml:space="preserve"> </m:t>
                </m:r>
                <m:r>
                  <m:rPr>
                    <m:sty m:val="b"/>
                  </m:rPr>
                  <w:rPr>
                    <w:rFonts w:ascii="Cambria Math" w:hAnsi="Cambria Math" w:cs="Calibri"/>
                    <w:color w:val="0E2841" w:themeColor="text2"/>
                    <w:sz w:val="18"/>
                    <w:szCs w:val="18"/>
                  </w:rPr>
                  <m:t xml:space="preserve">; </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Score</m:t>
                    </m:r>
                  </m:e>
                  <m:sub>
                    <m:f>
                      <m:fPr>
                        <m:ctrlPr>
                          <w:rPr>
                            <w:rFonts w:ascii="Cambria Math" w:hAnsi="Cambria Math" w:cs="Calibri"/>
                            <w:b/>
                            <w:bCs/>
                            <w:color w:val="0E2841" w:themeColor="text2"/>
                            <w:sz w:val="18"/>
                            <w:szCs w:val="18"/>
                          </w:rPr>
                        </m:ctrlPr>
                      </m:fPr>
                      <m:num>
                        <m:sSub>
                          <m:sSubPr>
                            <m:ctrlPr>
                              <w:rPr>
                                <w:rFonts w:ascii="Cambria Math" w:hAnsi="Cambria Math" w:cs="Calibri"/>
                                <w:b/>
                                <w:bCs/>
                                <w:color w:val="0E2841" w:themeColor="text2"/>
                                <w:sz w:val="18"/>
                                <w:szCs w:val="18"/>
                              </w:rPr>
                            </m:ctrlPr>
                          </m:sSubPr>
                          <m:e>
                            <m:r>
                              <m:rPr>
                                <m:sty m:val="bi"/>
                              </m:rPr>
                              <w:rPr>
                                <w:rFonts w:ascii="Cambria Math" w:hAnsi="Cambria Math" w:cs="Calibri"/>
                                <w:color w:val="0E2841" w:themeColor="text2"/>
                                <w:sz w:val="18"/>
                                <w:szCs w:val="18"/>
                              </w:rPr>
                              <m:t>C</m:t>
                            </m:r>
                          </m:e>
                          <m:sub>
                            <m:r>
                              <m:rPr>
                                <m:sty m:val="bi"/>
                              </m:rPr>
                              <w:rPr>
                                <w:rFonts w:ascii="Cambria Math" w:hAnsi="Cambria Math" w:cs="Calibri"/>
                                <w:color w:val="0E2841" w:themeColor="text2"/>
                                <w:sz w:val="18"/>
                                <w:szCs w:val="18"/>
                              </w:rPr>
                              <m:t>org</m:t>
                            </m:r>
                          </m:sub>
                        </m:sSub>
                      </m:num>
                      <m:den>
                        <m:r>
                          <m:rPr>
                            <m:sty m:val="b"/>
                          </m:rPr>
                          <w:rPr>
                            <w:rFonts w:ascii="Cambria Math" w:hAnsi="Cambria Math" w:cs="Calibri"/>
                            <w:color w:val="0E2841" w:themeColor="text2"/>
                            <w:sz w:val="18"/>
                            <w:szCs w:val="18"/>
                          </w:rPr>
                          <m:t>argile</m:t>
                        </m:r>
                      </m:den>
                    </m:f>
                  </m:sub>
                </m:sSub>
                <m:r>
                  <m:rPr>
                    <m:sty m:val="b"/>
                  </m:rPr>
                  <w:rPr>
                    <w:rFonts w:ascii="Cambria Math" w:hAnsi="Cambria Math" w:cs="Calibri"/>
                    <w:color w:val="0E2841" w:themeColor="text2"/>
                    <w:sz w:val="18"/>
                    <w:szCs w:val="18"/>
                  </w:rPr>
                  <m:t xml:space="preserve"> ;</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Score</m:t>
                    </m:r>
                  </m:e>
                  <m:sub>
                    <m:r>
                      <m:rPr>
                        <m:sty m:val="b"/>
                      </m:rPr>
                      <w:rPr>
                        <w:rFonts w:ascii="Cambria Math" w:hAnsi="Cambria Math" w:cs="Calibri"/>
                        <w:color w:val="0E2841" w:themeColor="text2"/>
                        <w:sz w:val="18"/>
                        <w:szCs w:val="18"/>
                      </w:rPr>
                      <m:t>hydromorphie (0-100)</m:t>
                    </m:r>
                  </m:sub>
                </m:sSub>
                <m:r>
                  <m:rPr>
                    <m:sty m:val="b"/>
                  </m:rPr>
                  <w:rPr>
                    <w:rFonts w:ascii="Cambria Math" w:hAnsi="Cambria Math" w:cs="Calibri"/>
                    <w:color w:val="0E2841" w:themeColor="text2"/>
                    <w:sz w:val="18"/>
                    <w:szCs w:val="18"/>
                  </w:rPr>
                  <m:t xml:space="preserve"> )</m:t>
                </m:r>
              </m:oMath>
            </m:oMathPara>
          </w:p>
        </w:tc>
        <w:tc>
          <w:tcPr>
            <w:tcW w:w="425" w:type="dxa"/>
            <w:tcBorders>
              <w:top w:val="single" w:sz="18" w:space="0" w:color="0E2841" w:themeColor="text2"/>
              <w:left w:val="nil"/>
              <w:bottom w:val="single" w:sz="18" w:space="0" w:color="0E2841" w:themeColor="text2"/>
              <w:right w:val="single" w:sz="12" w:space="0" w:color="auto"/>
            </w:tcBorders>
            <w:shd w:val="clear" w:color="auto" w:fill="F9F9F9"/>
            <w:vAlign w:val="center"/>
          </w:tcPr>
          <w:p w14:paraId="5DAEF749" w14:textId="77777777" w:rsidR="000A0208" w:rsidRPr="00B363AA" w:rsidRDefault="000A0208" w:rsidP="004306AE">
            <w:pPr>
              <w:tabs>
                <w:tab w:val="left" w:pos="496"/>
              </w:tabs>
              <w:jc w:val="center"/>
              <w:rPr>
                <w:rFonts w:eastAsia="Aptos" w:cs="Calibri"/>
                <w:iCs/>
                <w:color w:val="0E2841" w:themeColor="text2"/>
                <w:sz w:val="16"/>
                <w:szCs w:val="16"/>
              </w:rPr>
            </w:pPr>
          </w:p>
        </w:tc>
      </w:tr>
      <w:tr w:rsidR="000A0208" w:rsidRPr="00B363AA" w14:paraId="7F4AF23D" w14:textId="77777777" w:rsidTr="004306AE">
        <w:trPr>
          <w:trHeight w:val="235"/>
        </w:trPr>
        <w:tc>
          <w:tcPr>
            <w:tcW w:w="1413" w:type="dxa"/>
            <w:tcBorders>
              <w:top w:val="single" w:sz="18" w:space="0" w:color="0E2841" w:themeColor="text2"/>
            </w:tcBorders>
            <w:shd w:val="clear" w:color="auto" w:fill="F9F9F9"/>
            <w:vAlign w:val="center"/>
          </w:tcPr>
          <w:p w14:paraId="7FC07D38" w14:textId="77777777" w:rsidR="000A0208" w:rsidRPr="00B363AA" w:rsidRDefault="000A0208" w:rsidP="004306AE">
            <w:pPr>
              <w:tabs>
                <w:tab w:val="left" w:pos="496"/>
              </w:tabs>
              <w:jc w:val="left"/>
              <w:rPr>
                <w:rFonts w:ascii="Cambria Math" w:eastAsia="Aptos" w:hAnsi="Cambria Math" w:cs="Calibri"/>
                <w:b/>
                <w:bCs/>
                <w:sz w:val="20"/>
                <w:szCs w:val="20"/>
              </w:rPr>
            </w:pPr>
            <w:r w:rsidRPr="00B363AA">
              <w:rPr>
                <w:rFonts w:ascii="Cambria Math" w:hAnsi="Cambria Math" w:cs="Calibri"/>
                <w:b/>
                <w:bCs/>
                <w:color w:val="0E2841" w:themeColor="text2"/>
                <w:sz w:val="20"/>
                <w:szCs w:val="20"/>
              </w:rPr>
              <w:t>Fourniture eau</w:t>
            </w:r>
          </w:p>
        </w:tc>
        <w:tc>
          <w:tcPr>
            <w:tcW w:w="7229" w:type="dxa"/>
            <w:gridSpan w:val="2"/>
            <w:tcBorders>
              <w:top w:val="single" w:sz="18" w:space="0" w:color="0E2841" w:themeColor="text2"/>
              <w:right w:val="nil"/>
            </w:tcBorders>
            <w:shd w:val="clear" w:color="auto" w:fill="F9F9F9"/>
            <w:vAlign w:val="center"/>
          </w:tcPr>
          <w:p w14:paraId="1690BF8A" w14:textId="77777777" w:rsidR="000A0208" w:rsidRPr="00B363AA" w:rsidRDefault="00000000" w:rsidP="004306AE">
            <w:pPr>
              <w:tabs>
                <w:tab w:val="left" w:pos="496"/>
              </w:tabs>
              <w:jc w:val="left"/>
              <w:rPr>
                <w:rFonts w:ascii="Cambria Math" w:eastAsia="Aptos" w:hAnsi="Cambria Math" w:cs="Calibri"/>
                <w:b/>
                <w:bCs/>
                <w:sz w:val="18"/>
                <w:szCs w:val="18"/>
              </w:rPr>
            </w:pPr>
            <m:oMathPara>
              <m:oMathParaPr>
                <m:jc m:val="left"/>
              </m:oMathParaPr>
              <m:oMath>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S</m:t>
                    </m:r>
                  </m:e>
                  <m:sub>
                    <m:r>
                      <m:rPr>
                        <m:sty m:val="b"/>
                      </m:rPr>
                      <w:rPr>
                        <w:rFonts w:ascii="Cambria Math" w:hAnsi="Cambria Math" w:cs="Calibri"/>
                        <w:color w:val="0E2841" w:themeColor="text2"/>
                        <w:sz w:val="18"/>
                        <w:szCs w:val="18"/>
                      </w:rPr>
                      <m:t>fourniture eau</m:t>
                    </m:r>
                  </m:sub>
                </m:sSub>
                <m:r>
                  <m:rPr>
                    <m:sty m:val="b"/>
                  </m:rPr>
                  <w:rPr>
                    <w:rFonts w:ascii="Cambria Math" w:hAnsi="Cambria Math" w:cs="Calibri"/>
                    <w:color w:val="0E2841" w:themeColor="text2"/>
                    <w:sz w:val="18"/>
                    <w:szCs w:val="18"/>
                  </w:rPr>
                  <m:t xml:space="preserve">=0,3∙ </m:t>
                </m:r>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Score</m:t>
                    </m:r>
                  </m:e>
                  <m:sub>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REU</m:t>
                        </m:r>
                      </m:e>
                      <m:sub>
                        <m:r>
                          <m:rPr>
                            <m:sty m:val="b"/>
                          </m:rPr>
                          <w:rPr>
                            <w:rFonts w:ascii="Cambria Math" w:hAnsi="Cambria Math" w:cs="Calibri"/>
                            <w:color w:val="0E2841" w:themeColor="text2"/>
                            <w:sz w:val="18"/>
                            <w:szCs w:val="18"/>
                          </w:rPr>
                          <m:t>0-30</m:t>
                        </m:r>
                      </m:sub>
                    </m:sSub>
                  </m:sub>
                </m:sSub>
                <m:r>
                  <m:rPr>
                    <m:sty m:val="b"/>
                  </m:rPr>
                  <w:rPr>
                    <w:rFonts w:ascii="Cambria Math" w:hAnsi="Cambria Math" w:cs="Calibri"/>
                    <w:color w:val="0E2841" w:themeColor="text2"/>
                    <w:sz w:val="18"/>
                    <w:szCs w:val="18"/>
                  </w:rPr>
                  <m:t xml:space="preserve">+0,7∙ </m:t>
                </m:r>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Score</m:t>
                    </m:r>
                  </m:e>
                  <m:sub>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REU</m:t>
                        </m:r>
                      </m:e>
                      <m:sub>
                        <m:r>
                          <m:rPr>
                            <m:sty m:val="b"/>
                          </m:rPr>
                          <w:rPr>
                            <w:rFonts w:ascii="Cambria Math" w:hAnsi="Cambria Math" w:cs="Calibri"/>
                            <w:color w:val="0E2841" w:themeColor="text2"/>
                            <w:sz w:val="18"/>
                            <w:szCs w:val="18"/>
                          </w:rPr>
                          <m:t>30-100</m:t>
                        </m:r>
                      </m:sub>
                    </m:sSub>
                  </m:sub>
                </m:sSub>
              </m:oMath>
            </m:oMathPara>
          </w:p>
        </w:tc>
        <w:tc>
          <w:tcPr>
            <w:tcW w:w="425" w:type="dxa"/>
            <w:tcBorders>
              <w:top w:val="single" w:sz="18" w:space="0" w:color="0E2841" w:themeColor="text2"/>
              <w:left w:val="nil"/>
              <w:right w:val="single" w:sz="12" w:space="0" w:color="auto"/>
            </w:tcBorders>
            <w:shd w:val="clear" w:color="auto" w:fill="F9F9F9"/>
            <w:vAlign w:val="center"/>
          </w:tcPr>
          <w:p w14:paraId="4A10BDB7" w14:textId="77777777" w:rsidR="000A0208" w:rsidRPr="00B363AA" w:rsidRDefault="000A0208" w:rsidP="004306AE">
            <w:pPr>
              <w:tabs>
                <w:tab w:val="left" w:pos="496"/>
              </w:tabs>
              <w:jc w:val="center"/>
              <w:rPr>
                <w:rFonts w:eastAsia="Aptos" w:cs="Calibri"/>
                <w:iCs/>
                <w:color w:val="0E2841" w:themeColor="text2"/>
                <w:sz w:val="16"/>
                <w:szCs w:val="16"/>
              </w:rPr>
            </w:pPr>
          </w:p>
        </w:tc>
      </w:tr>
      <w:tr w:rsidR="000A0208" w:rsidRPr="00B363AA" w14:paraId="66D5C7CB" w14:textId="77777777" w:rsidTr="004306AE">
        <w:trPr>
          <w:trHeight w:val="214"/>
        </w:trPr>
        <w:tc>
          <w:tcPr>
            <w:tcW w:w="1413" w:type="dxa"/>
            <w:vMerge w:val="restart"/>
            <w:tcBorders>
              <w:top w:val="single" w:sz="18" w:space="0" w:color="0E2841" w:themeColor="text2"/>
            </w:tcBorders>
            <w:shd w:val="clear" w:color="auto" w:fill="F9F9F9"/>
            <w:vAlign w:val="center"/>
          </w:tcPr>
          <w:p w14:paraId="793C096A" w14:textId="77777777" w:rsidR="000A0208" w:rsidRPr="00B363AA" w:rsidRDefault="000A0208" w:rsidP="004306AE">
            <w:pPr>
              <w:tabs>
                <w:tab w:val="left" w:pos="496"/>
              </w:tabs>
              <w:jc w:val="left"/>
              <w:rPr>
                <w:rFonts w:ascii="Cambria Math" w:hAnsi="Cambria Math" w:cs="Calibri"/>
                <w:b/>
                <w:bCs/>
                <w:color w:val="0E2841" w:themeColor="text2"/>
                <w:sz w:val="20"/>
                <w:szCs w:val="20"/>
              </w:rPr>
            </w:pPr>
            <w:r w:rsidRPr="00B363AA">
              <w:rPr>
                <w:rFonts w:ascii="Cambria Math" w:hAnsi="Cambria Math" w:cs="Calibri"/>
                <w:b/>
                <w:bCs/>
                <w:color w:val="0E2841" w:themeColor="text2"/>
                <w:sz w:val="20"/>
                <w:szCs w:val="20"/>
              </w:rPr>
              <w:t>Contrainte</w:t>
            </w:r>
          </w:p>
        </w:tc>
        <w:tc>
          <w:tcPr>
            <w:tcW w:w="7229" w:type="dxa"/>
            <w:gridSpan w:val="2"/>
            <w:tcBorders>
              <w:top w:val="single" w:sz="18" w:space="0" w:color="0E2841" w:themeColor="text2"/>
              <w:right w:val="nil"/>
            </w:tcBorders>
            <w:shd w:val="clear" w:color="auto" w:fill="F9F9F9"/>
            <w:vAlign w:val="center"/>
          </w:tcPr>
          <w:p w14:paraId="0F422012" w14:textId="77777777" w:rsidR="000A0208" w:rsidRPr="00B363AA" w:rsidRDefault="00000000" w:rsidP="006C2A59">
            <w:pPr>
              <w:tabs>
                <w:tab w:val="left" w:pos="496"/>
              </w:tabs>
              <w:jc w:val="left"/>
              <w:rPr>
                <w:rFonts w:ascii="Cambria Math" w:hAnsi="Cambria Math" w:cs="Calibri"/>
                <w:b/>
                <w:color w:val="0E2841" w:themeColor="text2"/>
              </w:rPr>
            </w:pPr>
            <m:oMathPara>
              <m:oMath>
                <m:sSub>
                  <m:sSubPr>
                    <m:ctrlPr>
                      <w:rPr>
                        <w:rFonts w:ascii="Cambria Math" w:hAnsi="Cambria Math" w:cs="Calibri"/>
                        <w:b/>
                        <w:bCs/>
                        <w:iCs/>
                        <w:color w:val="0E2841" w:themeColor="text2"/>
                        <w:sz w:val="18"/>
                        <w:szCs w:val="18"/>
                      </w:rPr>
                    </m:ctrlPr>
                  </m:sSubPr>
                  <m:e>
                    <m:r>
                      <m:rPr>
                        <m:sty m:val="b"/>
                      </m:rPr>
                      <w:rPr>
                        <w:rFonts w:ascii="Cambria Math" w:hAnsi="Cambria Math" w:cs="Calibri"/>
                        <w:color w:val="0E2841" w:themeColor="text2"/>
                        <w:sz w:val="18"/>
                        <w:szCs w:val="18"/>
                      </w:rPr>
                      <m:t>C</m:t>
                    </m:r>
                  </m:e>
                  <m:sub>
                    <m:r>
                      <m:rPr>
                        <m:sty m:val="b"/>
                      </m:rPr>
                      <w:rPr>
                        <w:rFonts w:ascii="Cambria Math" w:hAnsi="Cambria Math" w:cs="Calibri"/>
                        <w:color w:val="0E2841" w:themeColor="text2"/>
                        <w:sz w:val="18"/>
                        <w:szCs w:val="18"/>
                      </w:rPr>
                      <m:t>contrainte</m:t>
                    </m:r>
                  </m:sub>
                </m:sSub>
                <m:r>
                  <m:rPr>
                    <m:sty m:val="b"/>
                  </m:rPr>
                  <w:rPr>
                    <w:rFonts w:ascii="Cambria Math" w:hAnsi="Cambria Math" w:cs="Calibri"/>
                    <w:color w:val="0E2841" w:themeColor="text2"/>
                    <w:sz w:val="18"/>
                    <w:szCs w:val="18"/>
                  </w:rPr>
                  <m:t>=min (</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C</m:t>
                    </m:r>
                  </m:e>
                  <m:sub>
                    <m:r>
                      <m:rPr>
                        <m:sty m:val="b"/>
                      </m:rPr>
                      <w:rPr>
                        <w:rFonts w:ascii="Cambria Math" w:hAnsi="Cambria Math" w:cs="Calibri"/>
                        <w:color w:val="0E2841" w:themeColor="text2"/>
                        <w:sz w:val="18"/>
                        <w:szCs w:val="18"/>
                      </w:rPr>
                      <m:t>pollution</m:t>
                    </m:r>
                  </m:sub>
                </m:sSub>
                <m:r>
                  <m:rPr>
                    <m:sty m:val="b"/>
                  </m:rPr>
                  <w:rPr>
                    <w:rFonts w:ascii="Cambria Math" w:hAnsi="Cambria Math" w:cs="Calibri"/>
                    <w:color w:val="0E2841" w:themeColor="text2"/>
                    <w:sz w:val="18"/>
                    <w:szCs w:val="18"/>
                  </w:rPr>
                  <m:t xml:space="preserve"> ; </m:t>
                </m:r>
                <m:sSub>
                  <m:sSubPr>
                    <m:ctrlPr>
                      <w:rPr>
                        <w:rFonts w:ascii="Cambria Math" w:hAnsi="Cambria Math" w:cs="Calibri"/>
                        <w:b/>
                        <w:bCs/>
                        <w:color w:val="0E2841" w:themeColor="text2"/>
                        <w:sz w:val="18"/>
                        <w:szCs w:val="18"/>
                      </w:rPr>
                    </m:ctrlPr>
                  </m:sSubPr>
                  <m:e>
                    <m:r>
                      <m:rPr>
                        <m:sty m:val="b"/>
                      </m:rPr>
                      <w:rPr>
                        <w:rFonts w:ascii="Cambria Math" w:hAnsi="Cambria Math" w:cs="Calibri"/>
                        <w:color w:val="0E2841" w:themeColor="text2"/>
                        <w:sz w:val="18"/>
                        <w:szCs w:val="18"/>
                      </w:rPr>
                      <m:t>C</m:t>
                    </m:r>
                  </m:e>
                  <m:sub>
                    <m:r>
                      <m:rPr>
                        <m:sty m:val="b"/>
                      </m:rPr>
                      <w:rPr>
                        <w:rFonts w:ascii="Cambria Math" w:hAnsi="Cambria Math" w:cs="Calibri"/>
                        <w:color w:val="0E2841" w:themeColor="text2"/>
                        <w:sz w:val="18"/>
                        <w:szCs w:val="18"/>
                      </w:rPr>
                      <m:t>EEE</m:t>
                    </m:r>
                  </m:sub>
                </m:sSub>
                <m:r>
                  <m:rPr>
                    <m:sty m:val="b"/>
                  </m:rPr>
                  <w:rPr>
                    <w:rFonts w:ascii="Cambria Math" w:hAnsi="Cambria Math" w:cs="Calibri"/>
                    <w:color w:val="0E2841" w:themeColor="text2"/>
                    <w:sz w:val="18"/>
                    <w:szCs w:val="18"/>
                  </w:rPr>
                  <m:t>)</m:t>
                </m:r>
              </m:oMath>
            </m:oMathPara>
          </w:p>
        </w:tc>
        <w:tc>
          <w:tcPr>
            <w:tcW w:w="425" w:type="dxa"/>
            <w:tcBorders>
              <w:top w:val="single" w:sz="18" w:space="0" w:color="0E2841" w:themeColor="text2"/>
              <w:left w:val="nil"/>
              <w:right w:val="single" w:sz="12" w:space="0" w:color="auto"/>
            </w:tcBorders>
            <w:shd w:val="clear" w:color="auto" w:fill="F9F9F9"/>
            <w:vAlign w:val="center"/>
          </w:tcPr>
          <w:p w14:paraId="76D5100D" w14:textId="77777777" w:rsidR="000A0208" w:rsidRPr="00B363AA" w:rsidRDefault="000A0208" w:rsidP="004306AE">
            <w:pPr>
              <w:tabs>
                <w:tab w:val="left" w:pos="496"/>
              </w:tabs>
              <w:jc w:val="center"/>
              <w:rPr>
                <w:rFonts w:eastAsia="Aptos" w:cs="Calibri"/>
                <w:iCs/>
                <w:color w:val="0E2841" w:themeColor="text2"/>
                <w:sz w:val="16"/>
                <w:szCs w:val="16"/>
              </w:rPr>
            </w:pPr>
          </w:p>
        </w:tc>
      </w:tr>
      <w:tr w:rsidR="000A0208" w:rsidRPr="00B363AA" w14:paraId="18775348" w14:textId="77777777" w:rsidTr="004306AE">
        <w:trPr>
          <w:trHeight w:val="257"/>
        </w:trPr>
        <w:tc>
          <w:tcPr>
            <w:tcW w:w="1413" w:type="dxa"/>
            <w:vMerge/>
            <w:vAlign w:val="center"/>
          </w:tcPr>
          <w:p w14:paraId="325EA75D" w14:textId="77777777" w:rsidR="000A0208" w:rsidRPr="00B363AA" w:rsidRDefault="000A0208" w:rsidP="004306AE">
            <w:pPr>
              <w:tabs>
                <w:tab w:val="left" w:pos="496"/>
              </w:tabs>
              <w:jc w:val="left"/>
              <w:rPr>
                <w:rFonts w:ascii="Cambria Math" w:hAnsi="Cambria Math" w:cs="Calibri"/>
                <w:color w:val="0E2841" w:themeColor="text2"/>
                <w:szCs w:val="22"/>
              </w:rPr>
            </w:pPr>
          </w:p>
        </w:tc>
        <w:tc>
          <w:tcPr>
            <w:tcW w:w="425" w:type="dxa"/>
            <w:tcBorders>
              <w:bottom w:val="dashSmallGap" w:sz="4" w:space="0" w:color="0E2841" w:themeColor="text2"/>
              <w:right w:val="nil"/>
            </w:tcBorders>
            <w:vAlign w:val="center"/>
          </w:tcPr>
          <w:p w14:paraId="744774D9" w14:textId="77777777" w:rsidR="000A0208" w:rsidRPr="00B363AA" w:rsidRDefault="000A0208" w:rsidP="004306AE">
            <w:pPr>
              <w:tabs>
                <w:tab w:val="left" w:pos="496"/>
              </w:tabs>
              <w:jc w:val="left"/>
              <w:rPr>
                <w:rFonts w:ascii="Cambria Math" w:eastAsia="Aptos" w:hAnsi="Cambria Math" w:cs="Calibri"/>
                <w:iCs/>
                <w:color w:val="0E2841" w:themeColor="text2"/>
                <w:sz w:val="18"/>
                <w:szCs w:val="18"/>
              </w:rPr>
            </w:pPr>
          </w:p>
        </w:tc>
        <w:tc>
          <w:tcPr>
            <w:tcW w:w="6804" w:type="dxa"/>
            <w:tcBorders>
              <w:left w:val="nil"/>
              <w:bottom w:val="dashSmallGap" w:sz="4" w:space="0" w:color="0E2841" w:themeColor="text2"/>
              <w:right w:val="nil"/>
            </w:tcBorders>
            <w:vAlign w:val="center"/>
          </w:tcPr>
          <w:p w14:paraId="745A8F68" w14:textId="77777777" w:rsidR="000A0208" w:rsidRPr="00B363AA" w:rsidRDefault="00000000" w:rsidP="006C2A59">
            <w:pPr>
              <w:tabs>
                <w:tab w:val="left" w:pos="496"/>
              </w:tabs>
              <w:jc w:val="left"/>
              <w:rPr>
                <w:rFonts w:ascii="Cambria Math" w:hAnsi="Cambria Math" w:cs="Calibri"/>
                <w:color w:val="0E2841" w:themeColor="text2"/>
                <w:sz w:val="18"/>
                <w:szCs w:val="18"/>
              </w:rPr>
            </w:pPr>
            <m:oMathPara>
              <m:oMath>
                <m:sSub>
                  <m:sSubPr>
                    <m:ctrlPr>
                      <w:rPr>
                        <w:rFonts w:ascii="Cambria Math" w:hAnsi="Cambria Math" w:cs="Calibri"/>
                        <w:iCs/>
                        <w:sz w:val="18"/>
                        <w:szCs w:val="18"/>
                      </w:rPr>
                    </m:ctrlPr>
                  </m:sSubPr>
                  <m:e>
                    <m:r>
                      <m:rPr>
                        <m:sty m:val="p"/>
                      </m:rPr>
                      <w:rPr>
                        <w:rFonts w:ascii="Cambria Math" w:hAnsi="Cambria Math" w:cs="Calibri"/>
                        <w:sz w:val="18"/>
                        <w:szCs w:val="18"/>
                      </w:rPr>
                      <m:t>C</m:t>
                    </m:r>
                  </m:e>
                  <m:sub>
                    <m:r>
                      <m:rPr>
                        <m:sty m:val="p"/>
                      </m:rPr>
                      <w:rPr>
                        <w:rFonts w:ascii="Cambria Math" w:hAnsi="Cambria Math" w:cs="Calibri"/>
                        <w:sz w:val="18"/>
                        <w:szCs w:val="18"/>
                      </w:rPr>
                      <m:t>pollution</m:t>
                    </m:r>
                  </m:sub>
                </m:sSub>
                <m:r>
                  <m:rPr>
                    <m:sty m:val="p"/>
                  </m:rPr>
                  <w:rPr>
                    <w:rFonts w:ascii="Cambria Math" w:hAnsi="Cambria Math" w:cs="Calibri"/>
                    <w:sz w:val="18"/>
                    <w:szCs w:val="18"/>
                  </w:rPr>
                  <m:t>=</m:t>
                </m:r>
                <m:func>
                  <m:funcPr>
                    <m:ctrlPr>
                      <w:rPr>
                        <w:rFonts w:ascii="Cambria Math" w:hAnsi="Cambria Math" w:cs="Calibri"/>
                        <w:iCs/>
                        <w:sz w:val="18"/>
                        <w:szCs w:val="18"/>
                      </w:rPr>
                    </m:ctrlPr>
                  </m:funcPr>
                  <m:fName>
                    <m:r>
                      <m:rPr>
                        <m:sty m:val="p"/>
                      </m:rPr>
                      <w:rPr>
                        <w:rFonts w:ascii="Cambria Math" w:hAnsi="Cambria Math" w:cs="Calibri"/>
                        <w:sz w:val="18"/>
                        <w:szCs w:val="18"/>
                      </w:rPr>
                      <m:t>min</m:t>
                    </m:r>
                  </m:fName>
                  <m:e>
                    <m:r>
                      <m:rPr>
                        <m:sty m:val="p"/>
                      </m:rPr>
                      <w:rPr>
                        <w:rFonts w:ascii="Cambria Math" w:hAnsi="Cambria Math" w:cs="Calibri"/>
                        <w:sz w:val="18"/>
                        <w:szCs w:val="18"/>
                      </w:rPr>
                      <m:t>(</m:t>
                    </m:r>
                    <m:sSub>
                      <m:sSubPr>
                        <m:ctrlPr>
                          <w:rPr>
                            <w:rFonts w:ascii="Cambria Math" w:hAnsi="Cambria Math" w:cs="Calibri"/>
                            <w:iCs/>
                            <w:sz w:val="18"/>
                            <w:szCs w:val="18"/>
                          </w:rPr>
                        </m:ctrlPr>
                      </m:sSubPr>
                      <m:e>
                        <m:r>
                          <m:rPr>
                            <m:sty m:val="p"/>
                          </m:rPr>
                          <w:rPr>
                            <w:rFonts w:ascii="Cambria Math" w:hAnsi="Cambria Math" w:cs="Calibri"/>
                            <w:sz w:val="18"/>
                            <w:szCs w:val="18"/>
                          </w:rPr>
                          <m:t>Score</m:t>
                        </m:r>
                      </m:e>
                      <m:sub>
                        <m:r>
                          <m:rPr>
                            <m:sty m:val="p"/>
                          </m:rPr>
                          <w:rPr>
                            <w:rFonts w:ascii="Cambria Math" w:hAnsi="Cambria Math" w:cs="Calibri"/>
                            <w:sz w:val="18"/>
                            <w:szCs w:val="18"/>
                          </w:rPr>
                          <m:t>polluants  f(VSH)</m:t>
                        </m:r>
                      </m:sub>
                    </m:sSub>
                  </m:e>
                </m:func>
                <m:r>
                  <m:rPr>
                    <m:sty m:val="p"/>
                  </m:rPr>
                  <w:rPr>
                    <w:rFonts w:ascii="Cambria Math" w:hAnsi="Cambria Math" w:cs="Calibri"/>
                    <w:sz w:val="18"/>
                    <w:szCs w:val="18"/>
                  </w:rPr>
                  <m:t>)</m:t>
                </m:r>
              </m:oMath>
            </m:oMathPara>
          </w:p>
        </w:tc>
        <w:tc>
          <w:tcPr>
            <w:tcW w:w="425" w:type="dxa"/>
            <w:tcBorders>
              <w:left w:val="nil"/>
              <w:bottom w:val="dashSmallGap" w:sz="4" w:space="0" w:color="0E2841" w:themeColor="text2"/>
              <w:right w:val="single" w:sz="12" w:space="0" w:color="auto"/>
            </w:tcBorders>
            <w:vAlign w:val="center"/>
          </w:tcPr>
          <w:p w14:paraId="513C7C3F" w14:textId="77777777" w:rsidR="000A0208" w:rsidRPr="00B363AA" w:rsidRDefault="000A0208" w:rsidP="004306AE">
            <w:pPr>
              <w:tabs>
                <w:tab w:val="left" w:pos="496"/>
              </w:tabs>
              <w:jc w:val="center"/>
              <w:rPr>
                <w:rFonts w:eastAsia="Times New Roman" w:cs="Calibri"/>
                <w:iCs/>
                <w:sz w:val="16"/>
                <w:szCs w:val="16"/>
              </w:rPr>
            </w:pPr>
          </w:p>
        </w:tc>
      </w:tr>
      <w:tr w:rsidR="000A0208" w:rsidRPr="00B363AA" w14:paraId="27DAD3E8" w14:textId="77777777" w:rsidTr="004306AE">
        <w:trPr>
          <w:trHeight w:val="257"/>
        </w:trPr>
        <w:tc>
          <w:tcPr>
            <w:tcW w:w="8642" w:type="dxa"/>
            <w:gridSpan w:val="3"/>
            <w:tcBorders>
              <w:right w:val="nil"/>
            </w:tcBorders>
            <w:shd w:val="clear" w:color="auto" w:fill="0E2841" w:themeFill="text2"/>
            <w:vAlign w:val="center"/>
          </w:tcPr>
          <w:p w14:paraId="34C2B531" w14:textId="77777777" w:rsidR="000A0208" w:rsidRPr="00B363AA" w:rsidRDefault="000A0208" w:rsidP="004306AE">
            <w:pPr>
              <w:tabs>
                <w:tab w:val="left" w:pos="496"/>
              </w:tabs>
              <w:jc w:val="left"/>
              <w:rPr>
                <w:rFonts w:ascii="Cambria Math" w:hAnsi="Cambria Math" w:cs="Calibri"/>
                <w:sz w:val="24"/>
              </w:rPr>
            </w:pPr>
            <w:r w:rsidRPr="00B363AA">
              <w:rPr>
                <w:rFonts w:ascii="Cambria Math" w:hAnsi="Cambria Math" w:cs="Calibri"/>
                <w:sz w:val="24"/>
              </w:rPr>
              <w:t>Infiltration</w:t>
            </w:r>
          </w:p>
        </w:tc>
        <w:tc>
          <w:tcPr>
            <w:tcW w:w="425" w:type="dxa"/>
            <w:tcBorders>
              <w:left w:val="nil"/>
              <w:right w:val="single" w:sz="12" w:space="0" w:color="auto"/>
            </w:tcBorders>
            <w:shd w:val="clear" w:color="auto" w:fill="0E2841" w:themeFill="text2"/>
            <w:vAlign w:val="center"/>
          </w:tcPr>
          <w:p w14:paraId="2CADEFF2" w14:textId="77777777" w:rsidR="000A0208" w:rsidRPr="00B363AA" w:rsidRDefault="000A0208" w:rsidP="004306AE">
            <w:pPr>
              <w:tabs>
                <w:tab w:val="left" w:pos="496"/>
              </w:tabs>
              <w:jc w:val="center"/>
              <w:rPr>
                <w:rFonts w:cs="Calibri"/>
                <w:sz w:val="16"/>
                <w:szCs w:val="16"/>
              </w:rPr>
            </w:pPr>
          </w:p>
        </w:tc>
      </w:tr>
      <w:tr w:rsidR="000A0208" w:rsidRPr="00B363AA" w14:paraId="2ED9194E" w14:textId="77777777" w:rsidTr="004306AE">
        <w:trPr>
          <w:trHeight w:val="363"/>
        </w:trPr>
        <w:tc>
          <w:tcPr>
            <w:tcW w:w="8642" w:type="dxa"/>
            <w:gridSpan w:val="3"/>
            <w:tcBorders>
              <w:right w:val="nil"/>
            </w:tcBorders>
            <w:shd w:val="clear" w:color="auto" w:fill="F9F9F9"/>
            <w:vAlign w:val="center"/>
          </w:tcPr>
          <w:p w14:paraId="11003F94" w14:textId="77777777" w:rsidR="000A0208" w:rsidRPr="00B363AA" w:rsidRDefault="00000000" w:rsidP="004306AE">
            <w:pPr>
              <w:tabs>
                <w:tab w:val="left" w:pos="496"/>
              </w:tabs>
              <w:jc w:val="left"/>
              <w:rPr>
                <w:rFonts w:ascii="Cambria Math" w:eastAsia="Aptos" w:hAnsi="Cambria Math" w:cs="Calibri"/>
                <w:b/>
                <w:bCs/>
                <w:szCs w:val="22"/>
              </w:rPr>
            </w:pPr>
            <m:oMathPara>
              <m:oMathParaPr>
                <m:jc m:val="left"/>
              </m:oMathParaPr>
              <m:oMath>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Infiltration</m:t>
                    </m:r>
                  </m:sub>
                </m:sSub>
                <m:d>
                  <m:dPr>
                    <m:begChr m:val="["/>
                    <m:endChr m:val="]"/>
                    <m:ctrlPr>
                      <w:rPr>
                        <w:rFonts w:ascii="Cambria Math" w:hAnsi="Cambria Math" w:cs="Calibri"/>
                        <w:b/>
                        <w:bCs/>
                        <w:color w:val="0E2841" w:themeColor="text2"/>
                        <w:szCs w:val="22"/>
                      </w:rPr>
                    </m:ctrlPr>
                  </m:dPr>
                  <m:e>
                    <m:r>
                      <m:rPr>
                        <m:sty m:val="b"/>
                      </m:rPr>
                      <w:rPr>
                        <w:rFonts w:ascii="Cambria Math" w:hAnsi="Cambria Math" w:cs="Calibri"/>
                        <w:color w:val="0E2841" w:themeColor="text2"/>
                        <w:szCs w:val="22"/>
                      </w:rPr>
                      <m:t>0;5</m:t>
                    </m:r>
                  </m:e>
                </m:d>
                <m:r>
                  <m:rPr>
                    <m:sty m:val="b"/>
                  </m:rPr>
                  <w:rPr>
                    <w:rFonts w:ascii="Cambria Math" w:hAnsi="Cambria Math" w:cs="Calibri"/>
                    <w:color w:val="0E2841" w:themeColor="text2"/>
                    <w:szCs w:val="22"/>
                  </w:rPr>
                  <m:t>=</m:t>
                </m:r>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infiltration</m:t>
                    </m:r>
                  </m:sub>
                </m:sSub>
                <m:r>
                  <m:rPr>
                    <m:sty m:val="b"/>
                  </m:rPr>
                  <w:rPr>
                    <w:rFonts w:ascii="Cambria Math" w:hAnsi="Cambria Math" w:cs="Calibri"/>
                    <w:color w:val="0E2841" w:themeColor="text2"/>
                    <w:szCs w:val="22"/>
                  </w:rPr>
                  <m:t xml:space="preserve"> </m:t>
                </m:r>
              </m:oMath>
            </m:oMathPara>
          </w:p>
        </w:tc>
        <w:tc>
          <w:tcPr>
            <w:tcW w:w="425" w:type="dxa"/>
            <w:tcBorders>
              <w:left w:val="nil"/>
              <w:right w:val="single" w:sz="12" w:space="0" w:color="auto"/>
            </w:tcBorders>
            <w:shd w:val="clear" w:color="auto" w:fill="F9F9F9"/>
            <w:vAlign w:val="center"/>
          </w:tcPr>
          <w:p w14:paraId="5193D181" w14:textId="77777777" w:rsidR="000A0208" w:rsidRPr="00B363AA" w:rsidRDefault="000A0208" w:rsidP="004306AE">
            <w:pPr>
              <w:tabs>
                <w:tab w:val="left" w:pos="496"/>
              </w:tabs>
              <w:jc w:val="center"/>
              <w:rPr>
                <w:rFonts w:eastAsia="Aptos" w:cs="Calibri"/>
                <w:color w:val="0E2841" w:themeColor="text2"/>
                <w:sz w:val="16"/>
                <w:szCs w:val="16"/>
              </w:rPr>
            </w:pPr>
          </w:p>
        </w:tc>
      </w:tr>
      <w:tr w:rsidR="000A0208" w:rsidRPr="00B363AA" w14:paraId="28426DA4" w14:textId="77777777" w:rsidTr="004306AE">
        <w:trPr>
          <w:trHeight w:val="300"/>
        </w:trPr>
        <w:tc>
          <w:tcPr>
            <w:tcW w:w="1413" w:type="dxa"/>
            <w:vAlign w:val="center"/>
          </w:tcPr>
          <w:p w14:paraId="59AC9E33" w14:textId="77777777" w:rsidR="000A0208" w:rsidRPr="00B363AA" w:rsidRDefault="000A0208" w:rsidP="004306AE">
            <w:pPr>
              <w:tabs>
                <w:tab w:val="left" w:pos="496"/>
              </w:tabs>
              <w:jc w:val="left"/>
              <w:rPr>
                <w:rFonts w:ascii="Cambria Math" w:hAnsi="Cambria Math" w:cs="Calibri"/>
                <w:b/>
                <w:bCs/>
                <w:color w:val="0E2841" w:themeColor="text2"/>
                <w:szCs w:val="22"/>
              </w:rPr>
            </w:pPr>
            <w:r w:rsidRPr="00B363AA">
              <w:rPr>
                <w:rFonts w:ascii="Cambria Math" w:hAnsi="Cambria Math" w:cs="Calibri"/>
                <w:b/>
                <w:bCs/>
                <w:color w:val="0E2841" w:themeColor="text2"/>
                <w:szCs w:val="22"/>
              </w:rPr>
              <w:t>Infiltration</w:t>
            </w:r>
          </w:p>
        </w:tc>
        <w:tc>
          <w:tcPr>
            <w:tcW w:w="425" w:type="dxa"/>
            <w:tcBorders>
              <w:bottom w:val="dashSmallGap" w:sz="4" w:space="0" w:color="auto"/>
              <w:right w:val="nil"/>
            </w:tcBorders>
            <w:vAlign w:val="center"/>
          </w:tcPr>
          <w:p w14:paraId="4E3DF4B3" w14:textId="77777777" w:rsidR="000A0208" w:rsidRPr="00B363AA" w:rsidRDefault="000A0208" w:rsidP="004306AE">
            <w:pPr>
              <w:tabs>
                <w:tab w:val="left" w:pos="496"/>
              </w:tabs>
              <w:jc w:val="left"/>
              <w:rPr>
                <w:rFonts w:ascii="Cambria Math" w:eastAsia="Aptos" w:hAnsi="Cambria Math" w:cs="Calibri"/>
                <w:iCs/>
                <w:color w:val="0E2841" w:themeColor="text2"/>
                <w:sz w:val="18"/>
                <w:szCs w:val="18"/>
              </w:rPr>
            </w:pPr>
          </w:p>
        </w:tc>
        <w:tc>
          <w:tcPr>
            <w:tcW w:w="6804" w:type="dxa"/>
            <w:tcBorders>
              <w:left w:val="nil"/>
              <w:bottom w:val="dashSmallGap" w:sz="4" w:space="0" w:color="auto"/>
              <w:right w:val="nil"/>
            </w:tcBorders>
            <w:vAlign w:val="center"/>
          </w:tcPr>
          <w:p w14:paraId="39E15FA1" w14:textId="77777777" w:rsidR="000A0208" w:rsidRPr="00B363AA" w:rsidRDefault="00000000" w:rsidP="004306AE">
            <w:pPr>
              <w:tabs>
                <w:tab w:val="left" w:pos="496"/>
              </w:tabs>
              <w:jc w:val="left"/>
              <w:rPr>
                <w:rFonts w:ascii="Cambria Math" w:eastAsia="Aptos" w:hAnsi="Cambria Math" w:cs="Calibri"/>
                <w:sz w:val="18"/>
                <w:szCs w:val="18"/>
              </w:rPr>
            </w:pPr>
            <m:oMathPara>
              <m:oMathParaPr>
                <m:jc m:val="left"/>
              </m:oMathParaPr>
              <m:oMath>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infiltration</m:t>
                    </m:r>
                  </m:sub>
                </m:sSub>
                <m:r>
                  <m:rPr>
                    <m:sty m:val="p"/>
                  </m:rPr>
                  <w:rPr>
                    <w:rFonts w:ascii="Cambria Math" w:hAnsi="Cambria Math" w:cs="Calibri"/>
                    <w:sz w:val="18"/>
                    <w:szCs w:val="18"/>
                  </w:rPr>
                  <m:t>=0,75∙</m:t>
                </m:r>
                <m:sSub>
                  <m:sSubPr>
                    <m:ctrlPr>
                      <w:rPr>
                        <w:rFonts w:ascii="Cambria Math" w:eastAsia="Aptos" w:hAnsi="Cambria Math" w:cs="Calibri"/>
                        <w:iCs/>
                        <w:sz w:val="18"/>
                        <w:szCs w:val="18"/>
                      </w:rPr>
                    </m:ctrlPr>
                  </m:sSubPr>
                  <m:e>
                    <m:r>
                      <m:rPr>
                        <m:sty m:val="p"/>
                      </m:rPr>
                      <w:rPr>
                        <w:rFonts w:ascii="Cambria Math" w:eastAsia="Aptos" w:hAnsi="Cambria Math" w:cs="Calibri"/>
                        <w:sz w:val="18"/>
                        <w:szCs w:val="18"/>
                      </w:rPr>
                      <m:t>Score</m:t>
                    </m:r>
                  </m:e>
                  <m:sub>
                    <m:r>
                      <m:rPr>
                        <m:sty m:val="p"/>
                      </m:rPr>
                      <w:rPr>
                        <w:rFonts w:ascii="Cambria Math" w:eastAsia="Aptos" w:hAnsi="Cambria Math" w:cs="Calibri"/>
                        <w:sz w:val="18"/>
                        <w:szCs w:val="18"/>
                      </w:rPr>
                      <m:t>Ksat</m:t>
                    </m:r>
                  </m:sub>
                </m:sSub>
                <m:r>
                  <m:rPr>
                    <m:sty m:val="p"/>
                  </m:rPr>
                  <w:rPr>
                    <w:rFonts w:ascii="Cambria Math" w:hAnsi="Cambria Math" w:cs="Calibri"/>
                    <w:sz w:val="18"/>
                    <w:szCs w:val="18"/>
                  </w:rPr>
                  <m:t xml:space="preserve">+0,25∙ </m:t>
                </m:r>
                <m:sSub>
                  <m:sSubPr>
                    <m:ctrlPr>
                      <w:rPr>
                        <w:rFonts w:ascii="Cambria Math" w:hAnsi="Cambria Math" w:cs="Calibri"/>
                        <w:iCs/>
                        <w:sz w:val="18"/>
                        <w:szCs w:val="18"/>
                      </w:rPr>
                    </m:ctrlPr>
                  </m:sSubPr>
                  <m:e>
                    <m:r>
                      <m:rPr>
                        <m:sty m:val="p"/>
                      </m:rPr>
                      <w:rPr>
                        <w:rFonts w:ascii="Cambria Math" w:hAnsi="Cambria Math" w:cs="Calibri"/>
                        <w:sz w:val="18"/>
                        <w:szCs w:val="18"/>
                      </w:rPr>
                      <m:t>Score</m:t>
                    </m:r>
                  </m:e>
                  <m:sub>
                    <m:r>
                      <m:rPr>
                        <m:sty m:val="p"/>
                      </m:rPr>
                      <w:rPr>
                        <w:rFonts w:ascii="Cambria Math" w:hAnsi="Cambria Math" w:cs="Calibri"/>
                        <w:sz w:val="18"/>
                        <w:szCs w:val="18"/>
                      </w:rPr>
                      <m:t>hydromorphie</m:t>
                    </m:r>
                  </m:sub>
                </m:sSub>
              </m:oMath>
            </m:oMathPara>
          </w:p>
        </w:tc>
        <w:tc>
          <w:tcPr>
            <w:tcW w:w="425" w:type="dxa"/>
            <w:tcBorders>
              <w:left w:val="nil"/>
              <w:bottom w:val="dashSmallGap" w:sz="4" w:space="0" w:color="auto"/>
              <w:right w:val="single" w:sz="12" w:space="0" w:color="auto"/>
            </w:tcBorders>
            <w:vAlign w:val="center"/>
          </w:tcPr>
          <w:p w14:paraId="161E6CD9" w14:textId="77777777" w:rsidR="000A0208" w:rsidRPr="00B363AA" w:rsidRDefault="000A0208" w:rsidP="004306AE">
            <w:pPr>
              <w:tabs>
                <w:tab w:val="left" w:pos="496"/>
              </w:tabs>
              <w:jc w:val="center"/>
              <w:rPr>
                <w:rFonts w:eastAsia="Aptos" w:cs="Calibri"/>
                <w:sz w:val="16"/>
                <w:szCs w:val="16"/>
              </w:rPr>
            </w:pPr>
          </w:p>
        </w:tc>
      </w:tr>
      <w:tr w:rsidR="000A0208" w:rsidRPr="00B363AA" w14:paraId="6410D5AC" w14:textId="77777777" w:rsidTr="004306AE">
        <w:trPr>
          <w:trHeight w:val="257"/>
        </w:trPr>
        <w:tc>
          <w:tcPr>
            <w:tcW w:w="8642" w:type="dxa"/>
            <w:gridSpan w:val="3"/>
            <w:tcBorders>
              <w:right w:val="nil"/>
            </w:tcBorders>
            <w:shd w:val="clear" w:color="auto" w:fill="0E2841" w:themeFill="text2"/>
            <w:vAlign w:val="center"/>
          </w:tcPr>
          <w:p w14:paraId="1DEE0FFA" w14:textId="77777777" w:rsidR="000A0208" w:rsidRPr="00B363AA" w:rsidRDefault="000A0208" w:rsidP="004306AE">
            <w:pPr>
              <w:tabs>
                <w:tab w:val="left" w:pos="496"/>
              </w:tabs>
              <w:jc w:val="left"/>
              <w:rPr>
                <w:rFonts w:ascii="Cambria Math" w:hAnsi="Cambria Math" w:cs="Calibri"/>
                <w:sz w:val="24"/>
              </w:rPr>
            </w:pPr>
            <w:r w:rsidRPr="00B363AA">
              <w:rPr>
                <w:rFonts w:ascii="Cambria Math" w:hAnsi="Cambria Math" w:cs="Calibri"/>
                <w:sz w:val="24"/>
              </w:rPr>
              <w:t>Protection des nappes</w:t>
            </w:r>
          </w:p>
        </w:tc>
        <w:tc>
          <w:tcPr>
            <w:tcW w:w="425" w:type="dxa"/>
            <w:tcBorders>
              <w:left w:val="nil"/>
              <w:right w:val="single" w:sz="12" w:space="0" w:color="auto"/>
            </w:tcBorders>
            <w:shd w:val="clear" w:color="auto" w:fill="0E2841" w:themeFill="text2"/>
            <w:vAlign w:val="center"/>
          </w:tcPr>
          <w:p w14:paraId="50E7B4D3" w14:textId="77777777" w:rsidR="000A0208" w:rsidRPr="00B363AA" w:rsidRDefault="000A0208" w:rsidP="004306AE">
            <w:pPr>
              <w:tabs>
                <w:tab w:val="left" w:pos="496"/>
              </w:tabs>
              <w:jc w:val="center"/>
              <w:rPr>
                <w:rFonts w:cs="Calibri"/>
                <w:sz w:val="16"/>
                <w:szCs w:val="16"/>
              </w:rPr>
            </w:pPr>
          </w:p>
        </w:tc>
      </w:tr>
      <w:tr w:rsidR="000A0208" w:rsidRPr="00B363AA" w14:paraId="6E7D77C2" w14:textId="77777777" w:rsidTr="004306AE">
        <w:trPr>
          <w:trHeight w:val="278"/>
        </w:trPr>
        <w:tc>
          <w:tcPr>
            <w:tcW w:w="8642" w:type="dxa"/>
            <w:gridSpan w:val="3"/>
            <w:tcBorders>
              <w:right w:val="nil"/>
            </w:tcBorders>
            <w:shd w:val="clear" w:color="auto" w:fill="F9F9F9"/>
            <w:vAlign w:val="center"/>
          </w:tcPr>
          <w:p w14:paraId="74E20B36" w14:textId="77777777" w:rsidR="000A0208" w:rsidRPr="00B363AA" w:rsidRDefault="00000000" w:rsidP="004306AE">
            <w:pPr>
              <w:tabs>
                <w:tab w:val="left" w:pos="496"/>
              </w:tabs>
              <w:jc w:val="left"/>
              <w:rPr>
                <w:rFonts w:ascii="Cambria Math" w:eastAsia="Aptos" w:hAnsi="Cambria Math" w:cs="Calibri"/>
                <w:b/>
                <w:bCs/>
                <w:iCs/>
                <w:szCs w:val="22"/>
              </w:rPr>
            </w:pPr>
            <m:oMathPara>
              <m:oMathParaPr>
                <m:jc m:val="left"/>
              </m:oMathParaPr>
              <m:oMath>
                <m:sSub>
                  <m:sSubPr>
                    <m:ctrlPr>
                      <w:rPr>
                        <w:rFonts w:ascii="Cambria Math" w:hAnsi="Cambria Math" w:cs="Calibri"/>
                        <w:b/>
                        <w:bCs/>
                        <w:i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Protection des Nappes</m:t>
                    </m:r>
                  </m:sub>
                </m:sSub>
                <m:d>
                  <m:dPr>
                    <m:begChr m:val="["/>
                    <m:endChr m:val="]"/>
                    <m:ctrlPr>
                      <w:rPr>
                        <w:rFonts w:ascii="Cambria Math" w:hAnsi="Cambria Math" w:cs="Calibri"/>
                        <w:b/>
                        <w:bCs/>
                        <w:iCs/>
                        <w:color w:val="0E2841" w:themeColor="text2"/>
                        <w:szCs w:val="22"/>
                      </w:rPr>
                    </m:ctrlPr>
                  </m:dPr>
                  <m:e>
                    <m:r>
                      <m:rPr>
                        <m:sty m:val="b"/>
                      </m:rPr>
                      <w:rPr>
                        <w:rFonts w:ascii="Cambria Math" w:hAnsi="Cambria Math" w:cs="Calibri"/>
                        <w:color w:val="0E2841" w:themeColor="text2"/>
                        <w:szCs w:val="22"/>
                      </w:rPr>
                      <m:t>0;5</m:t>
                    </m:r>
                  </m:e>
                </m:d>
                <m:r>
                  <m:rPr>
                    <m:sty m:val="b"/>
                  </m:rPr>
                  <w:rPr>
                    <w:rFonts w:ascii="Cambria Math" w:hAnsi="Cambria Math" w:cs="Calibri"/>
                    <w:color w:val="0E2841" w:themeColor="text2"/>
                    <w:szCs w:val="22"/>
                  </w:rPr>
                  <m:t>=</m:t>
                </m:r>
                <m:sSub>
                  <m:sSubPr>
                    <m:ctrlPr>
                      <w:rPr>
                        <w:rFonts w:ascii="Cambria Math" w:eastAsia="Aptos" w:hAnsi="Cambria Math" w:cs="Calibri"/>
                        <w:b/>
                        <w:bCs/>
                        <w:iCs/>
                        <w:color w:val="0E2841" w:themeColor="text2"/>
                        <w:szCs w:val="22"/>
                      </w:rPr>
                    </m:ctrlPr>
                  </m:sSubPr>
                  <m:e>
                    <m:r>
                      <m:rPr>
                        <m:sty m:val="b"/>
                      </m:rPr>
                      <w:rPr>
                        <w:rFonts w:ascii="Cambria Math" w:eastAsia="Aptos" w:hAnsi="Cambria Math" w:cs="Calibri"/>
                        <w:color w:val="0E2841" w:themeColor="text2"/>
                        <w:szCs w:val="22"/>
                      </w:rPr>
                      <m:t>S</m:t>
                    </m:r>
                  </m:e>
                  <m:sub>
                    <m:r>
                      <m:rPr>
                        <m:sty m:val="b"/>
                      </m:rPr>
                      <w:rPr>
                        <w:rFonts w:ascii="Cambria Math" w:eastAsia="Aptos" w:hAnsi="Cambria Math" w:cs="Calibri"/>
                        <w:color w:val="0E2841" w:themeColor="text2"/>
                        <w:szCs w:val="22"/>
                      </w:rPr>
                      <m:t>rétention</m:t>
                    </m:r>
                  </m:sub>
                </m:sSub>
                <m:d>
                  <m:dPr>
                    <m:begChr m:val="["/>
                    <m:endChr m:val="]"/>
                    <m:ctrlPr>
                      <w:rPr>
                        <w:rFonts w:ascii="Cambria Math" w:hAnsi="Cambria Math" w:cs="Calibri"/>
                        <w:b/>
                        <w:bCs/>
                        <w:iCs/>
                        <w:color w:val="0E2841" w:themeColor="text2"/>
                        <w:szCs w:val="22"/>
                      </w:rPr>
                    </m:ctrlPr>
                  </m:dPr>
                  <m:e>
                    <m:r>
                      <m:rPr>
                        <m:sty m:val="b"/>
                      </m:rPr>
                      <w:rPr>
                        <w:rFonts w:ascii="Cambria Math" w:hAnsi="Cambria Math" w:cs="Calibri"/>
                        <w:color w:val="0E2841" w:themeColor="text2"/>
                        <w:szCs w:val="22"/>
                      </w:rPr>
                      <m:t>0;5</m:t>
                    </m:r>
                  </m:e>
                </m:d>
                <m:r>
                  <m:rPr>
                    <m:sty m:val="b"/>
                  </m:rPr>
                  <w:rPr>
                    <w:rFonts w:ascii="Cambria Math" w:hAnsi="Cambria Math" w:cs="Calibri"/>
                    <w:color w:val="0E2841" w:themeColor="text2"/>
                    <w:szCs w:val="22"/>
                  </w:rPr>
                  <m:t>∙</m:t>
                </m:r>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(1-C</m:t>
                    </m:r>
                  </m:e>
                  <m:sub>
                    <m:r>
                      <m:rPr>
                        <m:sty m:val="b"/>
                      </m:rPr>
                      <w:rPr>
                        <w:rFonts w:ascii="Cambria Math" w:hAnsi="Cambria Math" w:cs="Calibri"/>
                        <w:color w:val="0E2841" w:themeColor="text2"/>
                        <w:szCs w:val="22"/>
                      </w:rPr>
                      <m:t>contrainte</m:t>
                    </m:r>
                  </m:sub>
                </m:sSub>
                <m:r>
                  <m:rPr>
                    <m:sty m:val="bi"/>
                  </m:rPr>
                  <w:rPr>
                    <w:rFonts w:ascii="Cambria Math" w:hAnsi="Cambria Math" w:cs="Calibri"/>
                    <w:color w:val="0E2841" w:themeColor="text2"/>
                    <w:szCs w:val="22"/>
                  </w:rPr>
                  <m:t xml:space="preserve"> </m:t>
                </m:r>
                <m:r>
                  <m:rPr>
                    <m:sty m:val="b"/>
                  </m:rPr>
                  <w:rPr>
                    <w:rFonts w:ascii="Cambria Math" w:hAnsi="Cambria Math" w:cs="Calibri"/>
                    <w:color w:val="0E2841" w:themeColor="text2"/>
                    <w:szCs w:val="22"/>
                  </w:rPr>
                  <m:t>[0;1])</m:t>
                </m:r>
              </m:oMath>
            </m:oMathPara>
          </w:p>
        </w:tc>
        <w:tc>
          <w:tcPr>
            <w:tcW w:w="425" w:type="dxa"/>
            <w:tcBorders>
              <w:left w:val="nil"/>
              <w:right w:val="single" w:sz="12" w:space="0" w:color="auto"/>
            </w:tcBorders>
            <w:shd w:val="clear" w:color="auto" w:fill="F9F9F9"/>
            <w:vAlign w:val="center"/>
          </w:tcPr>
          <w:p w14:paraId="1ED50DC1" w14:textId="77777777" w:rsidR="000A0208" w:rsidRPr="00B363AA" w:rsidRDefault="000A0208" w:rsidP="004306AE">
            <w:pPr>
              <w:tabs>
                <w:tab w:val="left" w:pos="496"/>
              </w:tabs>
              <w:jc w:val="center"/>
              <w:rPr>
                <w:rFonts w:eastAsia="Aptos" w:cs="Calibri"/>
                <w:iCs/>
                <w:color w:val="0E2841" w:themeColor="text2"/>
                <w:sz w:val="16"/>
                <w:szCs w:val="16"/>
              </w:rPr>
            </w:pPr>
          </w:p>
        </w:tc>
      </w:tr>
      <w:tr w:rsidR="000A0208" w:rsidRPr="00B363AA" w14:paraId="6EDD3648" w14:textId="77777777" w:rsidTr="004306AE">
        <w:trPr>
          <w:trHeight w:val="300"/>
        </w:trPr>
        <w:tc>
          <w:tcPr>
            <w:tcW w:w="1413" w:type="dxa"/>
            <w:vMerge w:val="restart"/>
            <w:vAlign w:val="center"/>
          </w:tcPr>
          <w:p w14:paraId="5E6834BA" w14:textId="77777777" w:rsidR="000A0208" w:rsidRPr="00B363AA" w:rsidRDefault="000A0208" w:rsidP="004306AE">
            <w:pPr>
              <w:tabs>
                <w:tab w:val="left" w:pos="496"/>
              </w:tabs>
              <w:jc w:val="left"/>
              <w:rPr>
                <w:rFonts w:ascii="Cambria Math" w:hAnsi="Cambria Math" w:cs="Calibri"/>
                <w:b/>
                <w:bCs/>
                <w:color w:val="0E2841" w:themeColor="text2"/>
                <w:sz w:val="20"/>
                <w:szCs w:val="20"/>
              </w:rPr>
            </w:pPr>
            <w:r w:rsidRPr="00B363AA">
              <w:rPr>
                <w:rFonts w:ascii="Cambria Math" w:hAnsi="Cambria Math" w:cs="Calibri"/>
                <w:b/>
                <w:bCs/>
                <w:color w:val="0E2841" w:themeColor="text2"/>
                <w:sz w:val="20"/>
                <w:szCs w:val="20"/>
              </w:rPr>
              <w:t>Rétention</w:t>
            </w:r>
          </w:p>
        </w:tc>
        <w:tc>
          <w:tcPr>
            <w:tcW w:w="425" w:type="dxa"/>
            <w:tcBorders>
              <w:bottom w:val="dashSmallGap" w:sz="4" w:space="0" w:color="0E2841" w:themeColor="text2"/>
              <w:right w:val="nil"/>
            </w:tcBorders>
            <w:vAlign w:val="center"/>
          </w:tcPr>
          <w:p w14:paraId="5EBBA919" w14:textId="77777777" w:rsidR="000A0208" w:rsidRPr="00B363AA" w:rsidRDefault="000A0208" w:rsidP="004306AE">
            <w:pPr>
              <w:tabs>
                <w:tab w:val="left" w:pos="496"/>
              </w:tabs>
              <w:jc w:val="left"/>
              <w:rPr>
                <w:rFonts w:ascii="Cambria Math" w:eastAsia="Aptos" w:hAnsi="Cambria Math" w:cs="Calibri"/>
                <w:iCs/>
                <w:color w:val="0E2841" w:themeColor="text2"/>
                <w:sz w:val="18"/>
                <w:szCs w:val="18"/>
              </w:rPr>
            </w:pPr>
          </w:p>
        </w:tc>
        <w:tc>
          <w:tcPr>
            <w:tcW w:w="6804" w:type="dxa"/>
            <w:tcBorders>
              <w:left w:val="nil"/>
              <w:bottom w:val="dashSmallGap" w:sz="4" w:space="0" w:color="0E2841" w:themeColor="text2"/>
              <w:right w:val="nil"/>
            </w:tcBorders>
            <w:vAlign w:val="center"/>
          </w:tcPr>
          <w:p w14:paraId="605302A4" w14:textId="77777777" w:rsidR="000A0208" w:rsidRPr="00B363AA" w:rsidRDefault="00000000" w:rsidP="004306AE">
            <w:pPr>
              <w:tabs>
                <w:tab w:val="left" w:pos="496"/>
              </w:tabs>
              <w:jc w:val="left"/>
              <w:rPr>
                <w:rFonts w:ascii="Cambria Math" w:eastAsia="Aptos" w:hAnsi="Cambria Math" w:cs="Calibri"/>
                <w:sz w:val="18"/>
                <w:szCs w:val="18"/>
              </w:rPr>
            </w:pPr>
            <m:oMathPara>
              <m:oMath>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PI, POHNI, POHI</m:t>
                    </m:r>
                  </m:sub>
                </m:sSub>
                <m:r>
                  <m:rPr>
                    <m:sty m:val="p"/>
                  </m:rPr>
                  <w:rPr>
                    <w:rFonts w:ascii="Cambria Math" w:hAnsi="Cambria Math" w:cs="Calibri"/>
                    <w:sz w:val="18"/>
                    <w:szCs w:val="18"/>
                  </w:rPr>
                  <m:t>=</m:t>
                </m:r>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min⁡(Score</m:t>
                    </m:r>
                  </m:e>
                  <m:sub>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 xml:space="preserve">PI, </m:t>
                        </m:r>
                        <m:r>
                          <m:rPr>
                            <m:sty m:val="p"/>
                          </m:rPr>
                          <w:rPr>
                            <w:rFonts w:ascii="Cambria Math" w:hAnsi="Cambria Math" w:cs="Calibri"/>
                            <w:sz w:val="18"/>
                            <w:szCs w:val="18"/>
                          </w:rPr>
                          <m:t>POHNI, POHI</m:t>
                        </m:r>
                        <m:r>
                          <m:rPr>
                            <m:sty m:val="p"/>
                          </m:rPr>
                          <w:rPr>
                            <w:rFonts w:ascii="Cambria Math" w:eastAsia="Aptos" w:hAnsi="Cambria Math" w:cs="Calibri"/>
                            <w:sz w:val="18"/>
                            <w:szCs w:val="18"/>
                          </w:rPr>
                          <m:t xml:space="preserve"> f(VSN</m:t>
                        </m:r>
                      </m:e>
                      <m:sub>
                        <m:r>
                          <m:rPr>
                            <m:sty m:val="p"/>
                          </m:rPr>
                          <w:rPr>
                            <w:rFonts w:ascii="Cambria Math" w:eastAsia="Aptos" w:hAnsi="Cambria Math" w:cs="Calibri"/>
                            <w:sz w:val="18"/>
                            <w:szCs w:val="18"/>
                          </w:rPr>
                          <m:t>ajustée</m:t>
                        </m:r>
                      </m:sub>
                    </m:sSub>
                    <m:r>
                      <w:rPr>
                        <w:rFonts w:ascii="Cambria Math" w:eastAsia="Aptos" w:hAnsi="Cambria Math" w:cs="Calibri"/>
                        <w:sz w:val="18"/>
                        <w:szCs w:val="18"/>
                      </w:rPr>
                      <m:t>)</m:t>
                    </m:r>
                  </m:sub>
                </m:sSub>
                <m:r>
                  <w:rPr>
                    <w:rFonts w:ascii="Cambria Math" w:eastAsia="Aptos" w:hAnsi="Cambria Math" w:cs="Calibri"/>
                    <w:sz w:val="18"/>
                    <w:szCs w:val="18"/>
                  </w:rPr>
                  <m:t>)</m:t>
                </m:r>
              </m:oMath>
            </m:oMathPara>
          </w:p>
        </w:tc>
        <w:tc>
          <w:tcPr>
            <w:tcW w:w="425" w:type="dxa"/>
            <w:tcBorders>
              <w:left w:val="nil"/>
              <w:bottom w:val="dashSmallGap" w:sz="4" w:space="0" w:color="0E2841" w:themeColor="text2"/>
              <w:right w:val="single" w:sz="12" w:space="0" w:color="auto"/>
            </w:tcBorders>
            <w:vAlign w:val="center"/>
          </w:tcPr>
          <w:p w14:paraId="6B993042" w14:textId="77777777" w:rsidR="000A0208" w:rsidRPr="00B363AA" w:rsidRDefault="000A0208" w:rsidP="004306AE">
            <w:pPr>
              <w:tabs>
                <w:tab w:val="left" w:pos="496"/>
              </w:tabs>
              <w:jc w:val="center"/>
              <w:rPr>
                <w:rFonts w:eastAsia="Aptos" w:cs="Calibri"/>
                <w:sz w:val="16"/>
                <w:szCs w:val="16"/>
              </w:rPr>
            </w:pPr>
          </w:p>
        </w:tc>
      </w:tr>
      <w:tr w:rsidR="000A0208" w:rsidRPr="00B363AA" w14:paraId="1B42B420" w14:textId="77777777" w:rsidTr="004306AE">
        <w:trPr>
          <w:trHeight w:val="143"/>
        </w:trPr>
        <w:tc>
          <w:tcPr>
            <w:tcW w:w="1413" w:type="dxa"/>
            <w:vMerge/>
            <w:vAlign w:val="center"/>
          </w:tcPr>
          <w:p w14:paraId="37784DFC" w14:textId="77777777" w:rsidR="000A0208" w:rsidRPr="00B363AA" w:rsidRDefault="000A0208" w:rsidP="004306AE">
            <w:pPr>
              <w:tabs>
                <w:tab w:val="left" w:pos="496"/>
              </w:tabs>
              <w:jc w:val="left"/>
              <w:rPr>
                <w:rFonts w:ascii="Cambria Math" w:hAnsi="Cambria Math" w:cs="Calibri"/>
                <w:b/>
                <w:bCs/>
                <w:color w:val="0E2841" w:themeColor="text2"/>
                <w:sz w:val="20"/>
                <w:szCs w:val="20"/>
              </w:rPr>
            </w:pPr>
          </w:p>
        </w:tc>
        <w:tc>
          <w:tcPr>
            <w:tcW w:w="425" w:type="dxa"/>
            <w:tcBorders>
              <w:bottom w:val="dashSmallGap" w:sz="4" w:space="0" w:color="0E2841" w:themeColor="text2"/>
              <w:right w:val="nil"/>
            </w:tcBorders>
            <w:vAlign w:val="center"/>
          </w:tcPr>
          <w:p w14:paraId="1D5490B2" w14:textId="77777777" w:rsidR="000A0208" w:rsidRPr="00B363AA" w:rsidRDefault="000A0208" w:rsidP="004306AE">
            <w:pPr>
              <w:tabs>
                <w:tab w:val="left" w:pos="496"/>
              </w:tabs>
              <w:jc w:val="left"/>
              <w:rPr>
                <w:rFonts w:ascii="Cambria Math" w:eastAsia="Aptos" w:hAnsi="Cambria Math" w:cs="Calibri"/>
                <w:iCs/>
                <w:color w:val="0E2841" w:themeColor="text2"/>
                <w:sz w:val="18"/>
                <w:szCs w:val="18"/>
              </w:rPr>
            </w:pPr>
          </w:p>
        </w:tc>
        <w:tc>
          <w:tcPr>
            <w:tcW w:w="6804" w:type="dxa"/>
            <w:tcBorders>
              <w:left w:val="nil"/>
              <w:bottom w:val="dashSmallGap" w:sz="4" w:space="0" w:color="0E2841" w:themeColor="text2"/>
              <w:right w:val="nil"/>
            </w:tcBorders>
            <w:vAlign w:val="center"/>
          </w:tcPr>
          <w:p w14:paraId="503FAF77" w14:textId="77777777" w:rsidR="000A0208" w:rsidRPr="00B363AA" w:rsidRDefault="00000000" w:rsidP="004306AE">
            <w:pPr>
              <w:tabs>
                <w:tab w:val="left" w:pos="496"/>
              </w:tabs>
              <w:jc w:val="left"/>
              <w:rPr>
                <w:rFonts w:ascii="Cambria Math" w:hAnsi="Cambria Math" w:cs="Calibri"/>
                <w:color w:val="0E2841" w:themeColor="text2"/>
                <w:sz w:val="18"/>
                <w:szCs w:val="18"/>
              </w:rPr>
            </w:pPr>
            <m:oMathPara>
              <m:oMathParaPr>
                <m:jc m:val="left"/>
              </m:oMathParaPr>
              <m:oMath>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rétention</m:t>
                    </m:r>
                  </m:sub>
                </m:sSub>
                <m:r>
                  <m:rPr>
                    <m:sty m:val="p"/>
                  </m:rPr>
                  <w:rPr>
                    <w:rFonts w:ascii="Cambria Math" w:hAnsi="Cambria Math" w:cs="Calibri"/>
                    <w:sz w:val="18"/>
                    <w:szCs w:val="18"/>
                  </w:rPr>
                  <m:t>=</m:t>
                </m:r>
                <m:r>
                  <m:rPr>
                    <m:sty m:val="p"/>
                  </m:rPr>
                  <w:rPr>
                    <w:rFonts w:ascii="Cambria Math" w:eastAsia="Aptos" w:hAnsi="Cambria Math" w:cs="Calibri"/>
                    <w:sz w:val="18"/>
                    <w:szCs w:val="18"/>
                  </w:rPr>
                  <m:t xml:space="preserve"> </m:t>
                </m:r>
                <m:nary>
                  <m:naryPr>
                    <m:chr m:val="∏"/>
                    <m:limLoc m:val="undOvr"/>
                    <m:subHide m:val="1"/>
                    <m:supHide m:val="1"/>
                    <m:ctrlPr>
                      <w:rPr>
                        <w:rFonts w:ascii="Cambria Math" w:hAnsi="Cambria Math" w:cs="Calibri"/>
                        <w:sz w:val="18"/>
                        <w:szCs w:val="18"/>
                      </w:rPr>
                    </m:ctrlPr>
                  </m:naryPr>
                  <m:sub/>
                  <m:sup/>
                  <m:e>
                    <m:r>
                      <w:rPr>
                        <w:rFonts w:ascii="Cambria Math" w:hAnsi="Cambria Math" w:cs="Calibri"/>
                        <w:sz w:val="18"/>
                        <w:szCs w:val="18"/>
                      </w:rPr>
                      <m:t>(</m:t>
                    </m:r>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PI</m:t>
                        </m:r>
                      </m:sub>
                    </m:sSub>
                    <m:r>
                      <w:rPr>
                        <w:rFonts w:ascii="Cambria Math" w:hAnsi="Cambria Math" w:cs="Calibri"/>
                        <w:sz w:val="18"/>
                        <w:szCs w:val="18"/>
                      </w:rPr>
                      <m:t xml:space="preserve"> ; </m:t>
                    </m:r>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POHNI</m:t>
                        </m:r>
                      </m:sub>
                    </m:sSub>
                    <m:r>
                      <w:rPr>
                        <w:rFonts w:ascii="Cambria Math" w:hAnsi="Cambria Math" w:cs="Calibri"/>
                        <w:sz w:val="18"/>
                        <w:szCs w:val="18"/>
                      </w:rPr>
                      <m:t xml:space="preserve"> ; </m:t>
                    </m:r>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POHI</m:t>
                        </m:r>
                      </m:sub>
                    </m:sSub>
                    <m:r>
                      <w:rPr>
                        <w:rFonts w:ascii="Cambria Math" w:hAnsi="Cambria Math" w:cs="Calibri"/>
                        <w:sz w:val="18"/>
                        <w:szCs w:val="18"/>
                      </w:rPr>
                      <m:t xml:space="preserve">) </m:t>
                    </m:r>
                  </m:e>
                </m:nary>
              </m:oMath>
            </m:oMathPara>
          </w:p>
        </w:tc>
        <w:tc>
          <w:tcPr>
            <w:tcW w:w="425" w:type="dxa"/>
            <w:tcBorders>
              <w:left w:val="nil"/>
              <w:bottom w:val="dashSmallGap" w:sz="4" w:space="0" w:color="0E2841" w:themeColor="text2"/>
              <w:right w:val="single" w:sz="12" w:space="0" w:color="auto"/>
            </w:tcBorders>
            <w:vAlign w:val="center"/>
          </w:tcPr>
          <w:p w14:paraId="363B47EA" w14:textId="77777777" w:rsidR="000A0208" w:rsidRPr="00B363AA" w:rsidRDefault="000A0208" w:rsidP="004306AE">
            <w:pPr>
              <w:tabs>
                <w:tab w:val="left" w:pos="496"/>
              </w:tabs>
              <w:jc w:val="center"/>
              <w:rPr>
                <w:rFonts w:eastAsia="Aptos" w:cs="Calibri"/>
                <w:sz w:val="16"/>
                <w:szCs w:val="16"/>
              </w:rPr>
            </w:pPr>
          </w:p>
        </w:tc>
      </w:tr>
      <w:tr w:rsidR="000A0208" w:rsidRPr="00B363AA" w14:paraId="48FA87EC" w14:textId="77777777" w:rsidTr="004306AE">
        <w:trPr>
          <w:trHeight w:val="257"/>
        </w:trPr>
        <w:tc>
          <w:tcPr>
            <w:tcW w:w="1413" w:type="dxa"/>
            <w:vAlign w:val="center"/>
          </w:tcPr>
          <w:p w14:paraId="6904FA7A" w14:textId="77777777" w:rsidR="000A0208" w:rsidRPr="00B363AA" w:rsidRDefault="000A0208" w:rsidP="004306AE">
            <w:pPr>
              <w:tabs>
                <w:tab w:val="left" w:pos="496"/>
              </w:tabs>
              <w:jc w:val="left"/>
              <w:rPr>
                <w:rFonts w:ascii="Cambria Math" w:hAnsi="Cambria Math" w:cs="Calibri"/>
                <w:b/>
                <w:bCs/>
                <w:color w:val="0E2841" w:themeColor="text2"/>
                <w:sz w:val="20"/>
                <w:szCs w:val="20"/>
              </w:rPr>
            </w:pPr>
            <w:r w:rsidRPr="00B363AA">
              <w:rPr>
                <w:rFonts w:ascii="Cambria Math" w:hAnsi="Cambria Math" w:cs="Calibri"/>
                <w:b/>
                <w:bCs/>
                <w:color w:val="0E2841" w:themeColor="text2"/>
                <w:sz w:val="20"/>
                <w:szCs w:val="20"/>
              </w:rPr>
              <w:t>Contrainte</w:t>
            </w:r>
          </w:p>
        </w:tc>
        <w:tc>
          <w:tcPr>
            <w:tcW w:w="425" w:type="dxa"/>
            <w:tcBorders>
              <w:top w:val="dashSmallGap" w:sz="4" w:space="0" w:color="0E2841" w:themeColor="text2"/>
              <w:bottom w:val="dashSmallGap" w:sz="4" w:space="0" w:color="0E2841" w:themeColor="text2"/>
              <w:right w:val="nil"/>
            </w:tcBorders>
            <w:vAlign w:val="center"/>
          </w:tcPr>
          <w:p w14:paraId="7F0A05C4" w14:textId="77777777" w:rsidR="000A0208" w:rsidRPr="00B363AA" w:rsidRDefault="000A0208" w:rsidP="004306AE">
            <w:pPr>
              <w:tabs>
                <w:tab w:val="left" w:pos="496"/>
              </w:tabs>
              <w:jc w:val="left"/>
              <w:rPr>
                <w:rFonts w:ascii="Cambria Math" w:hAnsi="Cambria Math" w:cs="Calibri"/>
                <w:color w:val="0E2841" w:themeColor="text2"/>
                <w:szCs w:val="22"/>
              </w:rPr>
            </w:pPr>
          </w:p>
        </w:tc>
        <w:tc>
          <w:tcPr>
            <w:tcW w:w="6804" w:type="dxa"/>
            <w:tcBorders>
              <w:top w:val="dashSmallGap" w:sz="4" w:space="0" w:color="0E2841" w:themeColor="text2"/>
              <w:left w:val="nil"/>
              <w:bottom w:val="dashSmallGap" w:sz="4" w:space="0" w:color="0E2841" w:themeColor="text2"/>
              <w:right w:val="nil"/>
            </w:tcBorders>
            <w:vAlign w:val="center"/>
          </w:tcPr>
          <w:p w14:paraId="3E8C1C2D" w14:textId="77777777" w:rsidR="000A0208" w:rsidRPr="00B363AA" w:rsidRDefault="00000000" w:rsidP="004306AE">
            <w:pPr>
              <w:tabs>
                <w:tab w:val="left" w:pos="496"/>
              </w:tabs>
              <w:jc w:val="left"/>
              <w:rPr>
                <w:rFonts w:ascii="Cambria Math" w:hAnsi="Cambria Math" w:cs="Calibri"/>
                <w:color w:val="0E2841" w:themeColor="text2"/>
              </w:rPr>
            </w:pPr>
            <m:oMathPara>
              <m:oMath>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C</m:t>
                    </m:r>
                  </m:e>
                  <m:sub>
                    <m:r>
                      <m:rPr>
                        <m:sty m:val="p"/>
                      </m:rPr>
                      <w:rPr>
                        <w:rFonts w:ascii="Cambria Math" w:eastAsia="Aptos" w:hAnsi="Cambria Math" w:cs="Calibri"/>
                        <w:sz w:val="18"/>
                        <w:szCs w:val="18"/>
                      </w:rPr>
                      <m:t>contrainte</m:t>
                    </m:r>
                  </m:sub>
                </m:sSub>
                <m:r>
                  <m:rPr>
                    <m:sty m:val="p"/>
                  </m:rPr>
                  <w:rPr>
                    <w:rFonts w:ascii="Cambria Math" w:eastAsia="Cambria Math" w:hAnsi="Cambria Math" w:cs="Calibri"/>
                    <w:sz w:val="18"/>
                    <w:szCs w:val="18"/>
                  </w:rPr>
                  <m:t>=</m:t>
                </m:r>
                <m:sSub>
                  <m:sSubPr>
                    <m:ctrlPr>
                      <w:rPr>
                        <w:rFonts w:ascii="Cambria Math" w:hAnsi="Cambria Math" w:cs="Calibri"/>
                        <w:sz w:val="18"/>
                        <w:szCs w:val="18"/>
                      </w:rPr>
                    </m:ctrlPr>
                  </m:sSubPr>
                  <m:e>
                    <m:r>
                      <m:rPr>
                        <m:sty m:val="p"/>
                      </m:rPr>
                      <w:rPr>
                        <w:rFonts w:ascii="Cambria Math" w:hAnsi="Cambria Math" w:cs="Calibri"/>
                        <w:sz w:val="18"/>
                        <w:szCs w:val="18"/>
                      </w:rPr>
                      <m:t>C</m:t>
                    </m:r>
                  </m:e>
                  <m:sub>
                    <m:r>
                      <m:rPr>
                        <m:sty m:val="p"/>
                      </m:rPr>
                      <w:rPr>
                        <w:rFonts w:ascii="Cambria Math" w:hAnsi="Cambria Math" w:cs="Calibri"/>
                        <w:sz w:val="18"/>
                        <w:szCs w:val="18"/>
                      </w:rPr>
                      <m:t>pollution</m:t>
                    </m:r>
                  </m:sub>
                </m:sSub>
                <m:r>
                  <m:rPr>
                    <m:sty m:val="p"/>
                  </m:rPr>
                  <w:rPr>
                    <w:rFonts w:ascii="Cambria Math" w:hAnsi="Cambria Math" w:cs="Calibri"/>
                    <w:sz w:val="18"/>
                    <w:szCs w:val="18"/>
                  </w:rPr>
                  <m:t>=</m:t>
                </m:r>
                <m:func>
                  <m:funcPr>
                    <m:ctrlPr>
                      <w:rPr>
                        <w:rFonts w:ascii="Cambria Math" w:hAnsi="Cambria Math" w:cs="Calibri"/>
                        <w:sz w:val="18"/>
                        <w:szCs w:val="18"/>
                      </w:rPr>
                    </m:ctrlPr>
                  </m:funcPr>
                  <m:fName>
                    <m:r>
                      <m:rPr>
                        <m:sty m:val="p"/>
                      </m:rPr>
                      <w:rPr>
                        <w:rFonts w:ascii="Cambria Math" w:hAnsi="Cambria Math" w:cs="Calibri"/>
                        <w:sz w:val="18"/>
                        <w:szCs w:val="18"/>
                      </w:rPr>
                      <m:t>min</m:t>
                    </m:r>
                  </m:fName>
                  <m:e>
                    <m:r>
                      <m:rPr>
                        <m:sty m:val="p"/>
                      </m:rPr>
                      <w:rPr>
                        <w:rFonts w:ascii="Cambria Math" w:hAnsi="Cambria Math" w:cs="Calibri"/>
                        <w:sz w:val="18"/>
                        <w:szCs w:val="18"/>
                      </w:rPr>
                      <m:t>(</m:t>
                    </m:r>
                    <m:sSub>
                      <m:sSubPr>
                        <m:ctrlPr>
                          <w:rPr>
                            <w:rFonts w:ascii="Cambria Math" w:hAnsi="Cambria Math" w:cs="Calibri"/>
                            <w:sz w:val="18"/>
                            <w:szCs w:val="18"/>
                          </w:rPr>
                        </m:ctrlPr>
                      </m:sSubPr>
                      <m:e>
                        <m:r>
                          <m:rPr>
                            <m:sty m:val="p"/>
                          </m:rPr>
                          <w:rPr>
                            <w:rFonts w:ascii="Cambria Math" w:hAnsi="Cambria Math" w:cs="Calibri"/>
                            <w:sz w:val="18"/>
                            <w:szCs w:val="18"/>
                          </w:rPr>
                          <m:t>Score</m:t>
                        </m:r>
                      </m:e>
                      <m:sub>
                        <m:r>
                          <m:rPr>
                            <m:sty m:val="p"/>
                          </m:rPr>
                          <w:rPr>
                            <w:rFonts w:ascii="Cambria Math" w:hAnsi="Cambria Math" w:cs="Calibri"/>
                            <w:sz w:val="18"/>
                            <w:szCs w:val="18"/>
                          </w:rPr>
                          <m:t>polluants  f(</m:t>
                        </m:r>
                        <m:sSub>
                          <m:sSubPr>
                            <m:ctrlPr>
                              <w:rPr>
                                <w:rFonts w:ascii="Cambria Math" w:hAnsi="Cambria Math" w:cs="Calibri"/>
                                <w:sz w:val="18"/>
                                <w:szCs w:val="18"/>
                              </w:rPr>
                            </m:ctrlPr>
                          </m:sSubPr>
                          <m:e>
                            <m:r>
                              <m:rPr>
                                <m:sty m:val="p"/>
                              </m:rPr>
                              <w:rPr>
                                <w:rFonts w:ascii="Cambria Math" w:hAnsi="Cambria Math" w:cs="Calibri"/>
                                <w:sz w:val="18"/>
                                <w:szCs w:val="18"/>
                              </w:rPr>
                              <m:t>VSN</m:t>
                            </m:r>
                          </m:e>
                          <m:sub>
                            <m:r>
                              <m:rPr>
                                <m:sty m:val="p"/>
                              </m:rPr>
                              <w:rPr>
                                <w:rFonts w:ascii="Cambria Math" w:hAnsi="Cambria Math" w:cs="Calibri"/>
                                <w:sz w:val="18"/>
                                <w:szCs w:val="18"/>
                              </w:rPr>
                              <m:t>ajustée</m:t>
                            </m:r>
                          </m:sub>
                        </m:sSub>
                        <m:r>
                          <m:rPr>
                            <m:sty m:val="p"/>
                          </m:rPr>
                          <w:rPr>
                            <w:rFonts w:ascii="Cambria Math" w:hAnsi="Cambria Math" w:cs="Calibri"/>
                            <w:sz w:val="18"/>
                            <w:szCs w:val="18"/>
                          </w:rPr>
                          <m:t>)</m:t>
                        </m:r>
                      </m:sub>
                    </m:sSub>
                  </m:e>
                </m:func>
                <m:r>
                  <m:rPr>
                    <m:sty m:val="p"/>
                  </m:rPr>
                  <w:rPr>
                    <w:rFonts w:ascii="Cambria Math" w:hAnsi="Cambria Math" w:cs="Calibri"/>
                    <w:sz w:val="18"/>
                    <w:szCs w:val="18"/>
                  </w:rPr>
                  <m:t>)</m:t>
                </m:r>
              </m:oMath>
            </m:oMathPara>
          </w:p>
        </w:tc>
        <w:tc>
          <w:tcPr>
            <w:tcW w:w="425" w:type="dxa"/>
            <w:tcBorders>
              <w:top w:val="dashSmallGap" w:sz="4" w:space="0" w:color="0E2841" w:themeColor="text2"/>
              <w:left w:val="nil"/>
              <w:bottom w:val="dashSmallGap" w:sz="4" w:space="0" w:color="0E2841" w:themeColor="text2"/>
              <w:right w:val="single" w:sz="12" w:space="0" w:color="auto"/>
            </w:tcBorders>
            <w:vAlign w:val="center"/>
          </w:tcPr>
          <w:p w14:paraId="2021BA73" w14:textId="77777777" w:rsidR="000A0208" w:rsidRPr="00B363AA" w:rsidRDefault="000A0208" w:rsidP="004306AE">
            <w:pPr>
              <w:tabs>
                <w:tab w:val="left" w:pos="496"/>
              </w:tabs>
              <w:jc w:val="center"/>
              <w:rPr>
                <w:rFonts w:eastAsia="Aptos" w:cs="Calibri"/>
                <w:sz w:val="16"/>
                <w:szCs w:val="16"/>
              </w:rPr>
            </w:pPr>
          </w:p>
        </w:tc>
      </w:tr>
      <w:tr w:rsidR="000A0208" w:rsidRPr="00B363AA" w14:paraId="778F8A0C" w14:textId="77777777" w:rsidTr="004306AE">
        <w:trPr>
          <w:trHeight w:val="235"/>
        </w:trPr>
        <w:tc>
          <w:tcPr>
            <w:tcW w:w="8642" w:type="dxa"/>
            <w:gridSpan w:val="3"/>
            <w:tcBorders>
              <w:right w:val="nil"/>
            </w:tcBorders>
            <w:shd w:val="clear" w:color="auto" w:fill="0E2841" w:themeFill="text2"/>
            <w:vAlign w:val="center"/>
          </w:tcPr>
          <w:p w14:paraId="124A4558" w14:textId="77777777" w:rsidR="000A0208" w:rsidRPr="00B363AA" w:rsidRDefault="000A0208" w:rsidP="004306AE">
            <w:pPr>
              <w:tabs>
                <w:tab w:val="left" w:pos="496"/>
              </w:tabs>
              <w:jc w:val="left"/>
              <w:rPr>
                <w:rFonts w:ascii="Cambria Math" w:hAnsi="Cambria Math" w:cs="Calibri"/>
                <w:sz w:val="24"/>
              </w:rPr>
            </w:pPr>
            <w:r w:rsidRPr="00B363AA">
              <w:rPr>
                <w:rFonts w:ascii="Cambria Math" w:hAnsi="Cambria Math" w:cs="Calibri"/>
                <w:sz w:val="24"/>
              </w:rPr>
              <w:t>Potentiel d’accueil pour une végétation diversifiée</w:t>
            </w:r>
          </w:p>
        </w:tc>
        <w:tc>
          <w:tcPr>
            <w:tcW w:w="425" w:type="dxa"/>
            <w:tcBorders>
              <w:left w:val="nil"/>
              <w:right w:val="single" w:sz="12" w:space="0" w:color="auto"/>
            </w:tcBorders>
            <w:shd w:val="clear" w:color="auto" w:fill="0E2841" w:themeFill="text2"/>
            <w:vAlign w:val="center"/>
          </w:tcPr>
          <w:p w14:paraId="4652F50B" w14:textId="77777777" w:rsidR="000A0208" w:rsidRPr="00B363AA" w:rsidRDefault="000A0208" w:rsidP="004306AE">
            <w:pPr>
              <w:tabs>
                <w:tab w:val="left" w:pos="496"/>
              </w:tabs>
              <w:jc w:val="center"/>
              <w:rPr>
                <w:rFonts w:cs="Calibri"/>
                <w:sz w:val="16"/>
                <w:szCs w:val="16"/>
              </w:rPr>
            </w:pPr>
          </w:p>
        </w:tc>
      </w:tr>
      <w:tr w:rsidR="000A0208" w:rsidRPr="00B363AA" w14:paraId="16B15898" w14:textId="77777777" w:rsidTr="004306AE">
        <w:trPr>
          <w:trHeight w:val="300"/>
        </w:trPr>
        <w:tc>
          <w:tcPr>
            <w:tcW w:w="8642" w:type="dxa"/>
            <w:gridSpan w:val="3"/>
            <w:tcBorders>
              <w:right w:val="nil"/>
            </w:tcBorders>
            <w:shd w:val="clear" w:color="auto" w:fill="F9F9F9"/>
            <w:vAlign w:val="center"/>
          </w:tcPr>
          <w:p w14:paraId="58AFF381" w14:textId="77777777" w:rsidR="000A0208" w:rsidRPr="00B363AA" w:rsidRDefault="00000000" w:rsidP="004306AE">
            <w:pPr>
              <w:tabs>
                <w:tab w:val="left" w:pos="496"/>
              </w:tabs>
              <w:jc w:val="left"/>
              <w:rPr>
                <w:rFonts w:ascii="Cambria Math" w:eastAsia="Aptos" w:hAnsi="Cambria Math" w:cs="Calibri"/>
                <w:b/>
                <w:bCs/>
                <w:color w:val="0E2841" w:themeColor="text2"/>
                <w:szCs w:val="22"/>
              </w:rPr>
            </w:pPr>
            <m:oMathPara>
              <m:oMathParaPr>
                <m:jc m:val="left"/>
              </m:oMathParaPr>
              <m:oMath>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Accueil vg div</m:t>
                    </m:r>
                  </m:sub>
                </m:sSub>
                <m:d>
                  <m:dPr>
                    <m:begChr m:val="["/>
                    <m:endChr m:val="]"/>
                    <m:ctrlPr>
                      <w:rPr>
                        <w:rFonts w:ascii="Cambria Math" w:hAnsi="Cambria Math" w:cs="Calibri"/>
                        <w:b/>
                        <w:color w:val="0E2841" w:themeColor="text2"/>
                        <w:szCs w:val="22"/>
                      </w:rPr>
                    </m:ctrlPr>
                  </m:dPr>
                  <m:e>
                    <m:r>
                      <m:rPr>
                        <m:sty m:val="b"/>
                      </m:rPr>
                      <w:rPr>
                        <w:rFonts w:ascii="Cambria Math" w:hAnsi="Cambria Math" w:cs="Calibri"/>
                        <w:color w:val="0E2841" w:themeColor="text2"/>
                        <w:szCs w:val="22"/>
                      </w:rPr>
                      <m:t>0;5</m:t>
                    </m:r>
                  </m:e>
                </m:d>
                <m:r>
                  <m:rPr>
                    <m:sty m:val="b"/>
                  </m:rPr>
                  <w:rPr>
                    <w:rFonts w:ascii="Cambria Math" w:hAnsi="Cambria Math" w:cs="Calibri"/>
                    <w:color w:val="0E2841" w:themeColor="text2"/>
                    <w:szCs w:val="22"/>
                  </w:rPr>
                  <m:t>=</m:t>
                </m:r>
                <m:sSub>
                  <m:sSubPr>
                    <m:ctrlPr>
                      <w:rPr>
                        <w:rFonts w:ascii="Cambria Math" w:eastAsia="Aptos" w:hAnsi="Cambria Math" w:cs="Calibri"/>
                        <w:b/>
                        <w:bCs/>
                        <w:iCs/>
                        <w:color w:val="0E2841" w:themeColor="text2"/>
                        <w:szCs w:val="22"/>
                      </w:rPr>
                    </m:ctrlPr>
                  </m:sSubPr>
                  <m:e>
                    <m:r>
                      <m:rPr>
                        <m:sty m:val="b"/>
                      </m:rPr>
                      <w:rPr>
                        <w:rFonts w:ascii="Cambria Math" w:eastAsia="Aptos" w:hAnsi="Cambria Math" w:cs="Calibri"/>
                        <w:color w:val="0E2841" w:themeColor="text2"/>
                        <w:szCs w:val="22"/>
                      </w:rPr>
                      <m:t>S</m:t>
                    </m:r>
                  </m:e>
                  <m:sub>
                    <m:r>
                      <m:rPr>
                        <m:sty m:val="b"/>
                      </m:rPr>
                      <w:rPr>
                        <w:rFonts w:ascii="Cambria Math" w:eastAsia="Aptos" w:hAnsi="Cambria Math" w:cs="Calibri"/>
                        <w:color w:val="0E2841" w:themeColor="text2"/>
                        <w:szCs w:val="22"/>
                      </w:rPr>
                      <m:t>diversité</m:t>
                    </m:r>
                  </m:sub>
                </m:sSub>
                <m:d>
                  <m:dPr>
                    <m:begChr m:val="["/>
                    <m:endChr m:val="]"/>
                    <m:ctrlPr>
                      <w:rPr>
                        <w:rFonts w:ascii="Cambria Math" w:hAnsi="Cambria Math" w:cs="Calibri"/>
                        <w:b/>
                        <w:bCs/>
                        <w:iCs/>
                        <w:color w:val="0E2841" w:themeColor="text2"/>
                        <w:szCs w:val="22"/>
                      </w:rPr>
                    </m:ctrlPr>
                  </m:dPr>
                  <m:e>
                    <m:r>
                      <m:rPr>
                        <m:sty m:val="b"/>
                      </m:rPr>
                      <w:rPr>
                        <w:rFonts w:ascii="Cambria Math" w:hAnsi="Cambria Math" w:cs="Calibri"/>
                        <w:color w:val="0E2841" w:themeColor="text2"/>
                        <w:szCs w:val="22"/>
                      </w:rPr>
                      <m:t>0;5</m:t>
                    </m:r>
                  </m:e>
                </m:d>
                <m:sSub>
                  <m:sSubPr>
                    <m:ctrlPr>
                      <w:rPr>
                        <w:rFonts w:ascii="Cambria Math" w:hAnsi="Cambria Math" w:cs="Calibri"/>
                        <w:b/>
                        <w:bCs/>
                        <w:iCs/>
                        <w:color w:val="0E2841" w:themeColor="text2"/>
                        <w:szCs w:val="22"/>
                      </w:rPr>
                    </m:ctrlPr>
                  </m:sSubPr>
                  <m:e>
                    <m:r>
                      <m:rPr>
                        <m:sty m:val="b"/>
                      </m:rPr>
                      <w:rPr>
                        <w:rFonts w:ascii="Cambria Math" w:hAnsi="Cambria Math" w:cs="Calibri"/>
                        <w:color w:val="0E2841" w:themeColor="text2"/>
                        <w:szCs w:val="22"/>
                      </w:rPr>
                      <m:t>∙(1-C</m:t>
                    </m:r>
                  </m:e>
                  <m:sub>
                    <m:r>
                      <m:rPr>
                        <m:sty m:val="b"/>
                      </m:rPr>
                      <w:rPr>
                        <w:rFonts w:ascii="Cambria Math" w:hAnsi="Cambria Math" w:cs="Calibri"/>
                        <w:color w:val="0E2841" w:themeColor="text2"/>
                        <w:szCs w:val="22"/>
                      </w:rPr>
                      <m:t>contrainte</m:t>
                    </m:r>
                  </m:sub>
                </m:sSub>
                <m:r>
                  <m:rPr>
                    <m:sty m:val="b"/>
                  </m:rPr>
                  <w:rPr>
                    <w:rFonts w:ascii="Cambria Math" w:hAnsi="Cambria Math" w:cs="Calibri"/>
                    <w:color w:val="0E2841" w:themeColor="text2"/>
                    <w:szCs w:val="22"/>
                  </w:rPr>
                  <m:t xml:space="preserve"> </m:t>
                </m:r>
                <m:d>
                  <m:dPr>
                    <m:begChr m:val="["/>
                    <m:endChr m:val="]"/>
                    <m:ctrlPr>
                      <w:rPr>
                        <w:rFonts w:ascii="Cambria Math" w:hAnsi="Cambria Math" w:cs="Calibri"/>
                        <w:b/>
                        <w:bCs/>
                        <w:iCs/>
                        <w:color w:val="0E2841" w:themeColor="text2"/>
                        <w:szCs w:val="22"/>
                      </w:rPr>
                    </m:ctrlPr>
                  </m:dPr>
                  <m:e>
                    <m:r>
                      <m:rPr>
                        <m:sty m:val="b"/>
                      </m:rPr>
                      <w:rPr>
                        <w:rFonts w:ascii="Cambria Math" w:hAnsi="Cambria Math" w:cs="Calibri"/>
                        <w:color w:val="0E2841" w:themeColor="text2"/>
                        <w:szCs w:val="22"/>
                      </w:rPr>
                      <m:t>0;1</m:t>
                    </m:r>
                  </m:e>
                </m:d>
                <m:r>
                  <m:rPr>
                    <m:sty m:val="b"/>
                  </m:rPr>
                  <w:rPr>
                    <w:rFonts w:ascii="Cambria Math" w:hAnsi="Cambria Math" w:cs="Calibri"/>
                    <w:color w:val="0E2841" w:themeColor="text2"/>
                    <w:szCs w:val="22"/>
                  </w:rPr>
                  <m:t xml:space="preserve">) </m:t>
                </m:r>
              </m:oMath>
            </m:oMathPara>
          </w:p>
        </w:tc>
        <w:tc>
          <w:tcPr>
            <w:tcW w:w="425" w:type="dxa"/>
            <w:tcBorders>
              <w:left w:val="nil"/>
              <w:right w:val="single" w:sz="12" w:space="0" w:color="auto"/>
            </w:tcBorders>
            <w:shd w:val="clear" w:color="auto" w:fill="F9F9F9"/>
            <w:vAlign w:val="center"/>
          </w:tcPr>
          <w:p w14:paraId="711D9385" w14:textId="77777777" w:rsidR="000A0208" w:rsidRPr="00B363AA" w:rsidRDefault="000A0208" w:rsidP="004306AE">
            <w:pPr>
              <w:tabs>
                <w:tab w:val="left" w:pos="496"/>
              </w:tabs>
              <w:jc w:val="center"/>
              <w:rPr>
                <w:rFonts w:eastAsia="Aptos" w:cs="Calibri"/>
                <w:color w:val="0E2841" w:themeColor="text2"/>
                <w:sz w:val="16"/>
                <w:szCs w:val="16"/>
              </w:rPr>
            </w:pPr>
          </w:p>
        </w:tc>
      </w:tr>
      <w:tr w:rsidR="000A0208" w:rsidRPr="00B363AA" w14:paraId="181C844D" w14:textId="77777777" w:rsidTr="004306AE">
        <w:trPr>
          <w:trHeight w:val="214"/>
        </w:trPr>
        <w:tc>
          <w:tcPr>
            <w:tcW w:w="1413" w:type="dxa"/>
            <w:vAlign w:val="center"/>
          </w:tcPr>
          <w:p w14:paraId="2CA07BB0" w14:textId="77777777" w:rsidR="000A0208" w:rsidRPr="00B363AA" w:rsidRDefault="000A0208" w:rsidP="004306AE">
            <w:pPr>
              <w:tabs>
                <w:tab w:val="left" w:pos="496"/>
              </w:tabs>
              <w:jc w:val="left"/>
              <w:rPr>
                <w:rFonts w:ascii="Cambria Math" w:hAnsi="Cambria Math" w:cs="Calibri"/>
                <w:b/>
                <w:bCs/>
                <w:color w:val="0E2841" w:themeColor="text2"/>
                <w:sz w:val="20"/>
                <w:szCs w:val="20"/>
              </w:rPr>
            </w:pPr>
            <w:r w:rsidRPr="00B363AA">
              <w:rPr>
                <w:rFonts w:ascii="Cambria Math" w:hAnsi="Cambria Math" w:cs="Calibri"/>
                <w:b/>
                <w:bCs/>
                <w:color w:val="0E2841" w:themeColor="text2"/>
                <w:sz w:val="20"/>
                <w:szCs w:val="20"/>
              </w:rPr>
              <w:t>Rétention</w:t>
            </w:r>
          </w:p>
        </w:tc>
        <w:tc>
          <w:tcPr>
            <w:tcW w:w="425" w:type="dxa"/>
            <w:tcBorders>
              <w:bottom w:val="dashSmallGap" w:sz="4" w:space="0" w:color="0E2841" w:themeColor="text2"/>
              <w:right w:val="nil"/>
            </w:tcBorders>
            <w:vAlign w:val="center"/>
          </w:tcPr>
          <w:p w14:paraId="23B5D8D2" w14:textId="77777777" w:rsidR="000A0208" w:rsidRPr="00B363AA" w:rsidRDefault="000A0208" w:rsidP="004306AE">
            <w:pPr>
              <w:tabs>
                <w:tab w:val="left" w:pos="496"/>
              </w:tabs>
              <w:jc w:val="left"/>
              <w:rPr>
                <w:rFonts w:ascii="Cambria Math" w:eastAsia="Aptos" w:hAnsi="Cambria Math" w:cs="Calibri"/>
                <w:iCs/>
                <w:color w:val="0E2841" w:themeColor="text2"/>
                <w:sz w:val="18"/>
                <w:szCs w:val="18"/>
              </w:rPr>
            </w:pPr>
          </w:p>
        </w:tc>
        <w:tc>
          <w:tcPr>
            <w:tcW w:w="6804" w:type="dxa"/>
            <w:tcBorders>
              <w:left w:val="nil"/>
              <w:bottom w:val="dashSmallGap" w:sz="4" w:space="0" w:color="0E2841" w:themeColor="text2"/>
              <w:right w:val="nil"/>
            </w:tcBorders>
            <w:vAlign w:val="center"/>
          </w:tcPr>
          <w:p w14:paraId="124BA784" w14:textId="77777777" w:rsidR="000A0208" w:rsidRPr="00B363AA" w:rsidRDefault="00000000" w:rsidP="004306AE">
            <w:pPr>
              <w:tabs>
                <w:tab w:val="left" w:pos="496"/>
              </w:tabs>
              <w:jc w:val="left"/>
              <w:rPr>
                <w:rFonts w:ascii="Cambria Math" w:hAnsi="Cambria Math" w:cs="Calibri"/>
                <w:iCs/>
                <w:color w:val="0E2841" w:themeColor="text2"/>
                <w:sz w:val="18"/>
                <w:szCs w:val="18"/>
              </w:rPr>
            </w:pPr>
            <m:oMathPara>
              <m:oMathParaPr>
                <m:jc m:val="left"/>
              </m:oMathParaPr>
              <m:oMath>
                <m:sSub>
                  <m:sSubPr>
                    <m:ctrlPr>
                      <w:rPr>
                        <w:rFonts w:ascii="Cambria Math" w:hAnsi="Cambria Math" w:cs="Calibri"/>
                        <w:iCs/>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diversité</m:t>
                    </m:r>
                  </m:sub>
                </m:sSub>
                <m:r>
                  <m:rPr>
                    <m:sty m:val="p"/>
                  </m:rPr>
                  <w:rPr>
                    <w:rFonts w:ascii="Cambria Math" w:hAnsi="Cambria Math" w:cs="Calibri"/>
                    <w:sz w:val="18"/>
                    <w:szCs w:val="18"/>
                  </w:rPr>
                  <m:t>=</m:t>
                </m:r>
                <m:sSub>
                  <m:sSubPr>
                    <m:ctrlPr>
                      <w:rPr>
                        <w:rFonts w:ascii="Cambria Math" w:eastAsia="Aptos" w:hAnsi="Cambria Math" w:cs="Calibri"/>
                        <w:iCs/>
                        <w:sz w:val="18"/>
                        <w:szCs w:val="18"/>
                      </w:rPr>
                    </m:ctrlPr>
                  </m:sSubPr>
                  <m:e>
                    <m:r>
                      <m:rPr>
                        <m:sty m:val="p"/>
                      </m:rPr>
                      <w:rPr>
                        <w:rFonts w:ascii="Cambria Math" w:eastAsia="Aptos" w:hAnsi="Cambria Math" w:cs="Calibri"/>
                        <w:sz w:val="18"/>
                        <w:szCs w:val="18"/>
                      </w:rPr>
                      <m:t>Score</m:t>
                    </m:r>
                  </m:e>
                  <m:sub>
                    <m:r>
                      <m:rPr>
                        <m:sty m:val="p"/>
                      </m:rPr>
                      <w:rPr>
                        <w:rFonts w:ascii="Cambria Math" w:eastAsia="Aptos" w:hAnsi="Cambria Math" w:cs="Calibri"/>
                        <w:sz w:val="18"/>
                        <w:szCs w:val="18"/>
                      </w:rPr>
                      <m:t>P</m:t>
                    </m:r>
                  </m:sub>
                </m:sSub>
              </m:oMath>
            </m:oMathPara>
          </w:p>
        </w:tc>
        <w:tc>
          <w:tcPr>
            <w:tcW w:w="425" w:type="dxa"/>
            <w:tcBorders>
              <w:left w:val="nil"/>
              <w:bottom w:val="dashSmallGap" w:sz="4" w:space="0" w:color="0E2841" w:themeColor="text2"/>
              <w:right w:val="single" w:sz="12" w:space="0" w:color="auto"/>
            </w:tcBorders>
            <w:vAlign w:val="center"/>
          </w:tcPr>
          <w:p w14:paraId="7B662168" w14:textId="77777777" w:rsidR="000A0208" w:rsidRPr="00B363AA" w:rsidRDefault="000A0208" w:rsidP="004306AE">
            <w:pPr>
              <w:tabs>
                <w:tab w:val="left" w:pos="496"/>
              </w:tabs>
              <w:jc w:val="center"/>
              <w:rPr>
                <w:rFonts w:eastAsia="Aptos" w:cs="Calibri"/>
                <w:iCs/>
                <w:sz w:val="16"/>
                <w:szCs w:val="16"/>
              </w:rPr>
            </w:pPr>
          </w:p>
        </w:tc>
      </w:tr>
      <w:tr w:rsidR="000A0208" w:rsidRPr="00B363AA" w14:paraId="275EB603" w14:textId="77777777" w:rsidTr="004306AE">
        <w:trPr>
          <w:trHeight w:val="257"/>
        </w:trPr>
        <w:tc>
          <w:tcPr>
            <w:tcW w:w="1413" w:type="dxa"/>
            <w:vAlign w:val="center"/>
          </w:tcPr>
          <w:p w14:paraId="190C38A5" w14:textId="77777777" w:rsidR="000A0208" w:rsidRPr="00B363AA" w:rsidRDefault="000A0208" w:rsidP="004306AE">
            <w:pPr>
              <w:tabs>
                <w:tab w:val="left" w:pos="496"/>
              </w:tabs>
              <w:jc w:val="left"/>
              <w:rPr>
                <w:rFonts w:ascii="Cambria Math" w:hAnsi="Cambria Math" w:cs="Calibri"/>
                <w:b/>
                <w:bCs/>
                <w:color w:val="0E2841" w:themeColor="text2"/>
                <w:sz w:val="20"/>
                <w:szCs w:val="20"/>
              </w:rPr>
            </w:pPr>
            <w:r w:rsidRPr="00B363AA">
              <w:rPr>
                <w:rFonts w:ascii="Cambria Math" w:hAnsi="Cambria Math" w:cs="Calibri"/>
                <w:b/>
                <w:bCs/>
                <w:color w:val="0E2841" w:themeColor="text2"/>
                <w:sz w:val="20"/>
                <w:szCs w:val="20"/>
              </w:rPr>
              <w:t>Contrainte</w:t>
            </w:r>
          </w:p>
        </w:tc>
        <w:tc>
          <w:tcPr>
            <w:tcW w:w="425" w:type="dxa"/>
            <w:tcBorders>
              <w:top w:val="dashSmallGap" w:sz="4" w:space="0" w:color="0E2841" w:themeColor="text2"/>
              <w:bottom w:val="dashSmallGap" w:sz="4" w:space="0" w:color="0E2841" w:themeColor="text2"/>
              <w:right w:val="nil"/>
            </w:tcBorders>
            <w:vAlign w:val="center"/>
          </w:tcPr>
          <w:p w14:paraId="04E5CE0A" w14:textId="77777777" w:rsidR="000A0208" w:rsidRPr="00B363AA" w:rsidRDefault="000A0208" w:rsidP="004306AE">
            <w:pPr>
              <w:tabs>
                <w:tab w:val="left" w:pos="496"/>
              </w:tabs>
              <w:jc w:val="left"/>
              <w:rPr>
                <w:rFonts w:ascii="Cambria Math" w:hAnsi="Cambria Math" w:cs="Calibri"/>
                <w:color w:val="0E2841" w:themeColor="text2"/>
                <w:szCs w:val="22"/>
              </w:rPr>
            </w:pPr>
          </w:p>
        </w:tc>
        <w:tc>
          <w:tcPr>
            <w:tcW w:w="6804" w:type="dxa"/>
            <w:tcBorders>
              <w:top w:val="dashSmallGap" w:sz="4" w:space="0" w:color="0E2841" w:themeColor="text2"/>
              <w:left w:val="nil"/>
              <w:bottom w:val="dashSmallGap" w:sz="4" w:space="0" w:color="0E2841" w:themeColor="text2"/>
              <w:right w:val="nil"/>
            </w:tcBorders>
            <w:vAlign w:val="center"/>
          </w:tcPr>
          <w:p w14:paraId="7F1DFCAB" w14:textId="77777777" w:rsidR="000A0208" w:rsidRPr="00B363AA" w:rsidRDefault="00000000" w:rsidP="004306AE">
            <w:pPr>
              <w:tabs>
                <w:tab w:val="left" w:pos="496"/>
              </w:tabs>
              <w:jc w:val="left"/>
              <w:rPr>
                <w:rFonts w:ascii="Cambria Math" w:hAnsi="Cambria Math" w:cs="Calibri"/>
                <w:color w:val="0E2841" w:themeColor="text2"/>
                <w:szCs w:val="22"/>
              </w:rPr>
            </w:pPr>
            <m:oMathPara>
              <m:oMathParaPr>
                <m:jc m:val="left"/>
              </m:oMathParaPr>
              <m:oMath>
                <m:sSub>
                  <m:sSubPr>
                    <m:ctrlPr>
                      <w:rPr>
                        <w:rFonts w:ascii="Cambria Math" w:eastAsia="Cambria Math" w:hAnsi="Cambria Math" w:cs="Calibri"/>
                        <w:sz w:val="18"/>
                        <w:szCs w:val="18"/>
                      </w:rPr>
                    </m:ctrlPr>
                  </m:sSubPr>
                  <m:e>
                    <m:sSub>
                      <m:sSubPr>
                        <m:ctrlPr>
                          <w:rPr>
                            <w:rFonts w:ascii="Cambria Math" w:eastAsia="Cambria Math" w:hAnsi="Cambria Math" w:cs="Calibri"/>
                            <w:sz w:val="18"/>
                            <w:szCs w:val="18"/>
                          </w:rPr>
                        </m:ctrlPr>
                      </m:sSubPr>
                      <m:e>
                        <m:r>
                          <m:rPr>
                            <m:sty m:val="p"/>
                          </m:rPr>
                          <w:rPr>
                            <w:rFonts w:ascii="Cambria Math" w:eastAsia="Cambria Math" w:hAnsi="Cambria Math" w:cs="Calibri"/>
                            <w:sz w:val="18"/>
                            <w:szCs w:val="18"/>
                          </w:rPr>
                          <m:t>C</m:t>
                        </m:r>
                      </m:e>
                      <m:sub>
                        <m:r>
                          <m:rPr>
                            <m:sty m:val="p"/>
                          </m:rPr>
                          <w:rPr>
                            <w:rFonts w:ascii="Cambria Math" w:eastAsia="Cambria Math" w:hAnsi="Cambria Math" w:cs="Calibri"/>
                            <w:sz w:val="18"/>
                            <w:szCs w:val="18"/>
                          </w:rPr>
                          <m:t>contrainte</m:t>
                        </m:r>
                      </m:sub>
                    </m:sSub>
                    <m:r>
                      <m:rPr>
                        <m:sty m:val="p"/>
                      </m:rPr>
                      <w:rPr>
                        <w:rFonts w:ascii="Cambria Math" w:eastAsia="Cambria Math" w:hAnsi="Cambria Math" w:cs="Calibri"/>
                        <w:sz w:val="18"/>
                        <w:szCs w:val="18"/>
                      </w:rPr>
                      <m:t xml:space="preserve"> = C</m:t>
                    </m:r>
                  </m:e>
                  <m:sub>
                    <m:r>
                      <m:rPr>
                        <m:sty m:val="p"/>
                      </m:rPr>
                      <w:rPr>
                        <w:rFonts w:ascii="Cambria Math" w:eastAsia="Cambria Math" w:hAnsi="Cambria Math" w:cs="Calibri"/>
                        <w:sz w:val="18"/>
                        <w:szCs w:val="18"/>
                      </w:rPr>
                      <m:t>EEE</m:t>
                    </m:r>
                  </m:sub>
                </m:sSub>
              </m:oMath>
            </m:oMathPara>
          </w:p>
        </w:tc>
        <w:tc>
          <w:tcPr>
            <w:tcW w:w="425" w:type="dxa"/>
            <w:tcBorders>
              <w:top w:val="dashSmallGap" w:sz="4" w:space="0" w:color="0E2841" w:themeColor="text2"/>
              <w:left w:val="nil"/>
              <w:bottom w:val="dashSmallGap" w:sz="4" w:space="0" w:color="0E2841" w:themeColor="text2"/>
              <w:right w:val="single" w:sz="12" w:space="0" w:color="auto"/>
            </w:tcBorders>
            <w:vAlign w:val="center"/>
          </w:tcPr>
          <w:p w14:paraId="3C731E50" w14:textId="77777777" w:rsidR="000A0208" w:rsidRPr="00B363AA" w:rsidRDefault="000A0208" w:rsidP="004306AE">
            <w:pPr>
              <w:tabs>
                <w:tab w:val="left" w:pos="496"/>
              </w:tabs>
              <w:jc w:val="center"/>
              <w:rPr>
                <w:rFonts w:eastAsia="Aptos" w:cs="Calibri"/>
                <w:sz w:val="16"/>
                <w:szCs w:val="16"/>
              </w:rPr>
            </w:pPr>
          </w:p>
        </w:tc>
      </w:tr>
      <w:tr w:rsidR="000A0208" w:rsidRPr="00B363AA" w14:paraId="4425A5A9" w14:textId="77777777" w:rsidTr="004306AE">
        <w:trPr>
          <w:trHeight w:val="257"/>
        </w:trPr>
        <w:tc>
          <w:tcPr>
            <w:tcW w:w="8642" w:type="dxa"/>
            <w:gridSpan w:val="3"/>
            <w:tcBorders>
              <w:right w:val="nil"/>
            </w:tcBorders>
            <w:shd w:val="clear" w:color="auto" w:fill="0E2841" w:themeFill="text2"/>
            <w:vAlign w:val="center"/>
          </w:tcPr>
          <w:p w14:paraId="00DEC4F8" w14:textId="77777777" w:rsidR="000A0208" w:rsidRPr="00B363AA" w:rsidRDefault="000A0208" w:rsidP="004306AE">
            <w:pPr>
              <w:tabs>
                <w:tab w:val="left" w:pos="496"/>
              </w:tabs>
              <w:jc w:val="left"/>
              <w:rPr>
                <w:rFonts w:ascii="Cambria Math" w:hAnsi="Cambria Math" w:cs="Calibri"/>
                <w:sz w:val="24"/>
              </w:rPr>
            </w:pPr>
            <w:r w:rsidRPr="00B363AA">
              <w:rPr>
                <w:rFonts w:ascii="Cambria Math" w:hAnsi="Cambria Math" w:cs="Calibri"/>
                <w:sz w:val="24"/>
              </w:rPr>
              <w:t>Habitat pour la biodiversité du sol</w:t>
            </w:r>
          </w:p>
        </w:tc>
        <w:tc>
          <w:tcPr>
            <w:tcW w:w="425" w:type="dxa"/>
            <w:tcBorders>
              <w:left w:val="nil"/>
              <w:right w:val="single" w:sz="12" w:space="0" w:color="auto"/>
            </w:tcBorders>
            <w:shd w:val="clear" w:color="auto" w:fill="0E2841" w:themeFill="text2"/>
            <w:vAlign w:val="center"/>
          </w:tcPr>
          <w:p w14:paraId="7D370E1F" w14:textId="77777777" w:rsidR="000A0208" w:rsidRPr="00B363AA" w:rsidRDefault="000A0208" w:rsidP="004306AE">
            <w:pPr>
              <w:tabs>
                <w:tab w:val="left" w:pos="496"/>
              </w:tabs>
              <w:jc w:val="center"/>
              <w:rPr>
                <w:rFonts w:cs="Calibri"/>
                <w:sz w:val="16"/>
                <w:szCs w:val="16"/>
              </w:rPr>
            </w:pPr>
          </w:p>
        </w:tc>
      </w:tr>
      <w:tr w:rsidR="000A0208" w:rsidRPr="00B363AA" w14:paraId="53106515" w14:textId="77777777" w:rsidTr="004306AE">
        <w:trPr>
          <w:trHeight w:val="278"/>
        </w:trPr>
        <w:tc>
          <w:tcPr>
            <w:tcW w:w="8642" w:type="dxa"/>
            <w:gridSpan w:val="3"/>
            <w:tcBorders>
              <w:right w:val="nil"/>
            </w:tcBorders>
            <w:shd w:val="clear" w:color="auto" w:fill="F9F9F9"/>
            <w:vAlign w:val="center"/>
          </w:tcPr>
          <w:p w14:paraId="73512713" w14:textId="77777777" w:rsidR="000A0208" w:rsidRPr="00B363AA" w:rsidRDefault="00000000" w:rsidP="004306AE">
            <w:pPr>
              <w:tabs>
                <w:tab w:val="left" w:pos="496"/>
              </w:tabs>
              <w:jc w:val="left"/>
              <w:rPr>
                <w:rFonts w:ascii="Cambria Math" w:eastAsia="Aptos" w:hAnsi="Cambria Math" w:cs="Calibri"/>
                <w:b/>
                <w:color w:val="0E2841" w:themeColor="text2"/>
              </w:rPr>
            </w:pPr>
            <m:oMath>
              <m:sSub>
                <m:sSubPr>
                  <m:ctrlPr>
                    <w:rPr>
                      <w:rFonts w:ascii="Cambria Math" w:hAnsi="Cambria Math" w:cs="Calibri"/>
                      <w:b/>
                      <w:bCs/>
                      <w:i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Biodiversité sol</m:t>
                  </m:r>
                </m:sub>
              </m:sSub>
              <m:d>
                <m:dPr>
                  <m:begChr m:val="["/>
                  <m:endChr m:val="]"/>
                  <m:ctrlPr>
                    <w:rPr>
                      <w:rFonts w:ascii="Cambria Math" w:hAnsi="Cambria Math" w:cs="Calibri"/>
                      <w:b/>
                      <w:bCs/>
                      <w:iCs/>
                      <w:color w:val="0E2841" w:themeColor="text2"/>
                      <w:szCs w:val="22"/>
                    </w:rPr>
                  </m:ctrlPr>
                </m:dPr>
                <m:e>
                  <m:r>
                    <m:rPr>
                      <m:sty m:val="b"/>
                    </m:rPr>
                    <w:rPr>
                      <w:rFonts w:ascii="Cambria Math" w:hAnsi="Cambria Math" w:cs="Calibri"/>
                      <w:color w:val="0E2841" w:themeColor="text2"/>
                      <w:szCs w:val="22"/>
                    </w:rPr>
                    <m:t>0;5</m:t>
                  </m:r>
                </m:e>
              </m:d>
              <m:r>
                <m:rPr>
                  <m:sty m:val="b"/>
                </m:rPr>
                <w:rPr>
                  <w:rFonts w:ascii="Cambria Math" w:hAnsi="Cambria Math" w:cs="Calibri"/>
                  <w:color w:val="0E2841" w:themeColor="text2"/>
                  <w:szCs w:val="22"/>
                </w:rPr>
                <m:t>=</m:t>
              </m:r>
              <m:sSub>
                <m:sSubPr>
                  <m:ctrlPr>
                    <w:rPr>
                      <w:rFonts w:ascii="Cambria Math" w:eastAsia="Aptos" w:hAnsi="Cambria Math" w:cs="Calibri"/>
                      <w:b/>
                      <w:bCs/>
                      <w:iCs/>
                      <w:color w:val="0E2841" w:themeColor="text2"/>
                      <w:szCs w:val="22"/>
                    </w:rPr>
                  </m:ctrlPr>
                </m:sSubPr>
                <m:e>
                  <m:sSub>
                    <m:sSubPr>
                      <m:ctrlPr>
                        <w:rPr>
                          <w:rFonts w:ascii="Cambria Math" w:eastAsia="Aptos" w:hAnsi="Cambria Math" w:cs="Calibri"/>
                          <w:b/>
                          <w:bCs/>
                          <w:iCs/>
                          <w:color w:val="0E2841" w:themeColor="text2"/>
                          <w:szCs w:val="22"/>
                        </w:rPr>
                      </m:ctrlPr>
                    </m:sSubPr>
                    <m:e>
                      <m:r>
                        <m:rPr>
                          <m:sty m:val="b"/>
                        </m:rPr>
                        <w:rPr>
                          <w:rFonts w:ascii="Cambria Math" w:eastAsia="Aptos" w:hAnsi="Cambria Math" w:cs="Calibri"/>
                          <w:color w:val="0E2841" w:themeColor="text2"/>
                          <w:szCs w:val="22"/>
                        </w:rPr>
                        <m:t>S</m:t>
                      </m:r>
                    </m:e>
                    <m:sub>
                      <m:r>
                        <m:rPr>
                          <m:sty m:val="b"/>
                        </m:rPr>
                        <w:rPr>
                          <w:rFonts w:ascii="Cambria Math" w:eastAsia="Aptos" w:hAnsi="Cambria Math" w:cs="Calibri"/>
                          <w:color w:val="0E2841" w:themeColor="text2"/>
                          <w:szCs w:val="22"/>
                        </w:rPr>
                        <m:t>abondance mic</m:t>
                      </m:r>
                    </m:sub>
                  </m:sSub>
                  <m:r>
                    <m:rPr>
                      <m:sty m:val="b"/>
                    </m:rPr>
                    <w:rPr>
                      <w:rFonts w:ascii="Cambria Math" w:eastAsia="Aptos" w:hAnsi="Cambria Math" w:cs="Calibri"/>
                      <w:color w:val="0E2841" w:themeColor="text2"/>
                      <w:szCs w:val="22"/>
                    </w:rPr>
                    <m:t>+2∙S</m:t>
                  </m:r>
                </m:e>
                <m:sub>
                  <m:r>
                    <m:rPr>
                      <m:sty m:val="b"/>
                    </m:rPr>
                    <w:rPr>
                      <w:rFonts w:ascii="Cambria Math" w:eastAsia="Aptos" w:hAnsi="Cambria Math" w:cs="Calibri"/>
                      <w:color w:val="0E2841" w:themeColor="text2"/>
                      <w:szCs w:val="22"/>
                    </w:rPr>
                    <m:t>diversité ném</m:t>
                  </m:r>
                </m:sub>
              </m:sSub>
              <m:r>
                <m:rPr>
                  <m:sty m:val="b"/>
                </m:rPr>
                <w:rPr>
                  <w:rFonts w:ascii="Cambria Math" w:eastAsia="Aptos" w:hAnsi="Cambria Math" w:cs="Calibri"/>
                  <w:color w:val="0E2841" w:themeColor="text2"/>
                  <w:szCs w:val="22"/>
                </w:rPr>
                <m:t xml:space="preserve"> </m:t>
              </m:r>
            </m:oMath>
            <w:r w:rsidR="000A0208" w:rsidRPr="00B363AA">
              <w:rPr>
                <w:rFonts w:ascii="Cambria Math" w:eastAsia="Aptos" w:hAnsi="Cambria Math" w:cs="Calibri"/>
                <w:b/>
                <w:color w:val="0E2841" w:themeColor="text2"/>
              </w:rPr>
              <w:t xml:space="preserve"> </w:t>
            </w:r>
          </w:p>
        </w:tc>
        <w:tc>
          <w:tcPr>
            <w:tcW w:w="425" w:type="dxa"/>
            <w:tcBorders>
              <w:left w:val="nil"/>
              <w:right w:val="single" w:sz="12" w:space="0" w:color="auto"/>
            </w:tcBorders>
            <w:shd w:val="clear" w:color="auto" w:fill="F9F9F9"/>
            <w:vAlign w:val="center"/>
          </w:tcPr>
          <w:p w14:paraId="0B54E636" w14:textId="77777777" w:rsidR="000A0208" w:rsidRPr="00B363AA" w:rsidRDefault="000A0208" w:rsidP="004306AE">
            <w:pPr>
              <w:tabs>
                <w:tab w:val="left" w:pos="496"/>
              </w:tabs>
              <w:jc w:val="center"/>
              <w:rPr>
                <w:rFonts w:eastAsia="Aptos" w:cs="Calibri"/>
                <w:iCs/>
                <w:color w:val="0E2841" w:themeColor="text2"/>
                <w:sz w:val="16"/>
                <w:szCs w:val="16"/>
              </w:rPr>
            </w:pPr>
          </w:p>
        </w:tc>
      </w:tr>
      <w:tr w:rsidR="000A0208" w:rsidRPr="00B363AA" w14:paraId="2B25E141" w14:textId="77777777" w:rsidTr="004306AE">
        <w:trPr>
          <w:trHeight w:val="235"/>
        </w:trPr>
        <w:tc>
          <w:tcPr>
            <w:tcW w:w="1413" w:type="dxa"/>
            <w:vAlign w:val="center"/>
          </w:tcPr>
          <w:p w14:paraId="3702AAB3" w14:textId="77777777" w:rsidR="000A0208" w:rsidRPr="00B363AA" w:rsidRDefault="000A0208" w:rsidP="004306AE">
            <w:pPr>
              <w:tabs>
                <w:tab w:val="left" w:pos="496"/>
              </w:tabs>
              <w:jc w:val="left"/>
              <w:rPr>
                <w:rFonts w:ascii="Cambria Math" w:hAnsi="Cambria Math" w:cs="Calibri"/>
                <w:b/>
                <w:bCs/>
                <w:color w:val="0E2841" w:themeColor="text2"/>
                <w:sz w:val="20"/>
                <w:szCs w:val="20"/>
              </w:rPr>
            </w:pPr>
            <w:r w:rsidRPr="00B363AA">
              <w:rPr>
                <w:rFonts w:ascii="Cambria Math" w:hAnsi="Cambria Math" w:cs="Calibri"/>
                <w:b/>
                <w:bCs/>
                <w:color w:val="0E2841" w:themeColor="text2"/>
                <w:sz w:val="20"/>
                <w:szCs w:val="20"/>
              </w:rPr>
              <w:t>Abondance</w:t>
            </w:r>
          </w:p>
        </w:tc>
        <w:tc>
          <w:tcPr>
            <w:tcW w:w="425" w:type="dxa"/>
            <w:tcBorders>
              <w:bottom w:val="dashSmallGap" w:sz="4" w:space="0" w:color="0E2841" w:themeColor="text2"/>
              <w:right w:val="nil"/>
            </w:tcBorders>
            <w:vAlign w:val="center"/>
          </w:tcPr>
          <w:p w14:paraId="7C5B6738" w14:textId="77777777" w:rsidR="000A0208" w:rsidRPr="00B363AA" w:rsidRDefault="000A0208" w:rsidP="004306AE">
            <w:pPr>
              <w:tabs>
                <w:tab w:val="left" w:pos="496"/>
              </w:tabs>
              <w:jc w:val="left"/>
              <w:rPr>
                <w:rFonts w:ascii="Cambria Math" w:eastAsia="Aptos" w:hAnsi="Cambria Math" w:cs="Calibri"/>
                <w:iCs/>
                <w:color w:val="0E2841" w:themeColor="text2"/>
                <w:sz w:val="18"/>
                <w:szCs w:val="18"/>
              </w:rPr>
            </w:pPr>
          </w:p>
        </w:tc>
        <w:tc>
          <w:tcPr>
            <w:tcW w:w="6804" w:type="dxa"/>
            <w:tcBorders>
              <w:left w:val="nil"/>
              <w:bottom w:val="dashSmallGap" w:sz="4" w:space="0" w:color="0E2841" w:themeColor="text2"/>
              <w:right w:val="nil"/>
            </w:tcBorders>
            <w:vAlign w:val="center"/>
          </w:tcPr>
          <w:p w14:paraId="5993D983" w14:textId="77777777" w:rsidR="000A0208" w:rsidRPr="00B363AA" w:rsidRDefault="00000000" w:rsidP="004306AE">
            <w:pPr>
              <w:tabs>
                <w:tab w:val="left" w:pos="496"/>
              </w:tabs>
              <w:jc w:val="left"/>
              <w:rPr>
                <w:rFonts w:ascii="Cambria Math" w:hAnsi="Cambria Math" w:cs="Calibri"/>
                <w:color w:val="0E2841" w:themeColor="text2"/>
                <w:sz w:val="18"/>
                <w:szCs w:val="18"/>
              </w:rPr>
            </w:pPr>
            <m:oMathPara>
              <m:oMathParaPr>
                <m:jc m:val="left"/>
              </m:oMathParaPr>
              <m:oMath>
                <m:sSub>
                  <m:sSubPr>
                    <m:ctrlPr>
                      <w:rPr>
                        <w:rFonts w:ascii="Cambria Math" w:hAnsi="Cambria Math" w:cs="Calibri"/>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abondance mic</m:t>
                    </m:r>
                  </m:sub>
                </m:sSub>
                <m:r>
                  <m:rPr>
                    <m:sty m:val="p"/>
                  </m:rPr>
                  <w:rPr>
                    <w:rFonts w:ascii="Cambria Math" w:hAnsi="Cambria Math" w:cs="Calibri"/>
                    <w:sz w:val="18"/>
                    <w:szCs w:val="18"/>
                  </w:rPr>
                  <m:t>=</m:t>
                </m:r>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μ (Score</m:t>
                    </m:r>
                  </m:e>
                  <m:sub>
                    <m:r>
                      <m:rPr>
                        <m:sty m:val="p"/>
                      </m:rPr>
                      <w:rPr>
                        <w:rFonts w:ascii="Cambria Math" w:eastAsia="Aptos" w:hAnsi="Cambria Math" w:cs="Calibri"/>
                        <w:sz w:val="18"/>
                        <w:szCs w:val="18"/>
                      </w:rPr>
                      <m:t>biomasse mic</m:t>
                    </m:r>
                  </m:sub>
                </m:sSub>
                <m:r>
                  <m:rPr>
                    <m:sty m:val="p"/>
                  </m:rPr>
                  <w:rPr>
                    <w:rFonts w:ascii="Cambria Math" w:eastAsia="Aptos" w:hAnsi="Cambria Math" w:cs="Calibri"/>
                    <w:sz w:val="18"/>
                    <w:szCs w:val="18"/>
                  </w:rPr>
                  <m:t xml:space="preserve"> ;</m:t>
                </m:r>
                <m:sSub>
                  <m:sSubPr>
                    <m:ctrlPr>
                      <w:rPr>
                        <w:rFonts w:ascii="Cambria Math" w:eastAsia="Aptos" w:hAnsi="Cambria Math" w:cs="Calibri"/>
                        <w:sz w:val="18"/>
                        <w:szCs w:val="18"/>
                      </w:rPr>
                    </m:ctrlPr>
                  </m:sSubPr>
                  <m:e>
                    <m:r>
                      <m:rPr>
                        <m:sty m:val="p"/>
                      </m:rPr>
                      <w:rPr>
                        <w:rFonts w:ascii="Cambria Math" w:eastAsia="Aptos" w:hAnsi="Cambria Math" w:cs="Calibri"/>
                        <w:sz w:val="18"/>
                        <w:szCs w:val="18"/>
                      </w:rPr>
                      <m:t>Score</m:t>
                    </m:r>
                  </m:e>
                  <m:sub>
                    <m:r>
                      <m:rPr>
                        <m:sty m:val="p"/>
                      </m:rPr>
                      <w:rPr>
                        <w:rFonts w:ascii="Cambria Math" w:eastAsia="Aptos" w:hAnsi="Cambria Math" w:cs="Calibri"/>
                        <w:sz w:val="18"/>
                        <w:szCs w:val="18"/>
                      </w:rPr>
                      <m:t>quotient mic</m:t>
                    </m:r>
                  </m:sub>
                </m:sSub>
                <m:r>
                  <w:rPr>
                    <w:rFonts w:ascii="Cambria Math" w:eastAsia="Aptos" w:hAnsi="Cambria Math" w:cs="Calibri"/>
                    <w:sz w:val="18"/>
                    <w:szCs w:val="18"/>
                  </w:rPr>
                  <m:t>)</m:t>
                </m:r>
              </m:oMath>
            </m:oMathPara>
          </w:p>
        </w:tc>
        <w:tc>
          <w:tcPr>
            <w:tcW w:w="425" w:type="dxa"/>
            <w:tcBorders>
              <w:left w:val="nil"/>
              <w:bottom w:val="dashSmallGap" w:sz="4" w:space="0" w:color="0E2841" w:themeColor="text2"/>
              <w:right w:val="single" w:sz="12" w:space="0" w:color="auto"/>
            </w:tcBorders>
            <w:vAlign w:val="center"/>
          </w:tcPr>
          <w:p w14:paraId="180C4E55" w14:textId="77777777" w:rsidR="000A0208" w:rsidRPr="00B363AA" w:rsidRDefault="000A0208" w:rsidP="004306AE">
            <w:pPr>
              <w:tabs>
                <w:tab w:val="left" w:pos="496"/>
              </w:tabs>
              <w:jc w:val="center"/>
              <w:rPr>
                <w:rFonts w:eastAsia="Aptos" w:cs="Calibri"/>
                <w:iCs/>
                <w:sz w:val="16"/>
                <w:szCs w:val="16"/>
              </w:rPr>
            </w:pPr>
          </w:p>
        </w:tc>
      </w:tr>
      <w:tr w:rsidR="000A0208" w:rsidRPr="00B363AA" w14:paraId="01413EAB" w14:textId="77777777" w:rsidTr="004306AE">
        <w:trPr>
          <w:trHeight w:val="235"/>
        </w:trPr>
        <w:tc>
          <w:tcPr>
            <w:tcW w:w="1413" w:type="dxa"/>
            <w:vAlign w:val="center"/>
          </w:tcPr>
          <w:p w14:paraId="673F544D" w14:textId="77777777" w:rsidR="000A0208" w:rsidRPr="00B363AA" w:rsidRDefault="000A0208" w:rsidP="004306AE">
            <w:pPr>
              <w:tabs>
                <w:tab w:val="left" w:pos="496"/>
              </w:tabs>
              <w:jc w:val="left"/>
              <w:rPr>
                <w:rFonts w:ascii="Cambria Math" w:hAnsi="Cambria Math" w:cs="Calibri"/>
                <w:b/>
                <w:bCs/>
                <w:color w:val="0E2841" w:themeColor="text2"/>
                <w:sz w:val="20"/>
                <w:szCs w:val="20"/>
              </w:rPr>
            </w:pPr>
            <w:r w:rsidRPr="00B363AA">
              <w:rPr>
                <w:rFonts w:ascii="Cambria Math" w:hAnsi="Cambria Math" w:cs="Calibri"/>
                <w:b/>
                <w:bCs/>
                <w:color w:val="0E2841" w:themeColor="text2"/>
                <w:sz w:val="20"/>
                <w:szCs w:val="20"/>
              </w:rPr>
              <w:t>Diversité</w:t>
            </w:r>
          </w:p>
        </w:tc>
        <w:tc>
          <w:tcPr>
            <w:tcW w:w="425" w:type="dxa"/>
            <w:tcBorders>
              <w:top w:val="dashSmallGap" w:sz="4" w:space="0" w:color="0E2841" w:themeColor="text2"/>
              <w:bottom w:val="dashSmallGap" w:sz="4" w:space="0" w:color="0E2841" w:themeColor="text2"/>
              <w:right w:val="nil"/>
            </w:tcBorders>
            <w:vAlign w:val="center"/>
          </w:tcPr>
          <w:p w14:paraId="0391F813" w14:textId="77777777" w:rsidR="000A0208" w:rsidRPr="00B363AA" w:rsidRDefault="000A0208" w:rsidP="004306AE">
            <w:pPr>
              <w:tabs>
                <w:tab w:val="left" w:pos="496"/>
              </w:tabs>
              <w:jc w:val="left"/>
              <w:rPr>
                <w:rFonts w:ascii="Cambria Math" w:hAnsi="Cambria Math" w:cs="Calibri"/>
                <w:color w:val="0E2841" w:themeColor="text2"/>
                <w:szCs w:val="22"/>
              </w:rPr>
            </w:pPr>
          </w:p>
        </w:tc>
        <w:tc>
          <w:tcPr>
            <w:tcW w:w="6804" w:type="dxa"/>
            <w:tcBorders>
              <w:top w:val="dashSmallGap" w:sz="4" w:space="0" w:color="0E2841" w:themeColor="text2"/>
              <w:left w:val="nil"/>
              <w:bottom w:val="dashSmallGap" w:sz="4" w:space="0" w:color="0E2841" w:themeColor="text2"/>
              <w:right w:val="nil"/>
            </w:tcBorders>
            <w:vAlign w:val="center"/>
          </w:tcPr>
          <w:p w14:paraId="11E6AC2C" w14:textId="77777777" w:rsidR="000A0208" w:rsidRPr="00B363AA" w:rsidRDefault="00000000" w:rsidP="004306AE">
            <w:pPr>
              <w:tabs>
                <w:tab w:val="left" w:pos="496"/>
              </w:tabs>
              <w:jc w:val="left"/>
              <w:rPr>
                <w:rFonts w:ascii="Cambria Math" w:hAnsi="Cambria Math" w:cs="Calibri"/>
                <w:iCs/>
                <w:color w:val="0E2841" w:themeColor="text2"/>
                <w:szCs w:val="22"/>
              </w:rPr>
            </w:pPr>
            <m:oMathPara>
              <m:oMathParaPr>
                <m:jc m:val="left"/>
              </m:oMathParaPr>
              <m:oMath>
                <m:sSub>
                  <m:sSubPr>
                    <m:ctrlPr>
                      <w:rPr>
                        <w:rFonts w:ascii="Cambria Math" w:eastAsia="Cambria Math" w:hAnsi="Cambria Math" w:cs="Calibri"/>
                        <w:iCs/>
                        <w:sz w:val="18"/>
                        <w:szCs w:val="18"/>
                      </w:rPr>
                    </m:ctrlPr>
                  </m:sSubPr>
                  <m:e>
                    <m:sSub>
                      <m:sSubPr>
                        <m:ctrlPr>
                          <w:rPr>
                            <w:rFonts w:ascii="Cambria Math" w:eastAsia="Cambria Math" w:hAnsi="Cambria Math" w:cs="Calibri"/>
                            <w:iCs/>
                            <w:sz w:val="18"/>
                            <w:szCs w:val="18"/>
                          </w:rPr>
                        </m:ctrlPr>
                      </m:sSubPr>
                      <m:e>
                        <m:r>
                          <m:rPr>
                            <m:sty m:val="p"/>
                          </m:rPr>
                          <w:rPr>
                            <w:rFonts w:ascii="Cambria Math" w:eastAsia="Cambria Math" w:hAnsi="Cambria Math" w:cs="Calibri"/>
                            <w:sz w:val="18"/>
                            <w:szCs w:val="18"/>
                          </w:rPr>
                          <m:t>S</m:t>
                        </m:r>
                      </m:e>
                      <m:sub>
                        <m:r>
                          <m:rPr>
                            <m:sty m:val="p"/>
                          </m:rPr>
                          <w:rPr>
                            <w:rFonts w:ascii="Cambria Math" w:eastAsia="Cambria Math" w:hAnsi="Cambria Math" w:cs="Calibri"/>
                            <w:sz w:val="18"/>
                            <w:szCs w:val="18"/>
                          </w:rPr>
                          <m:t>diversité ném</m:t>
                        </m:r>
                      </m:sub>
                    </m:sSub>
                    <m:r>
                      <m:rPr>
                        <m:sty m:val="p"/>
                      </m:rPr>
                      <w:rPr>
                        <w:rFonts w:ascii="Cambria Math" w:eastAsia="Cambria Math" w:hAnsi="Cambria Math" w:cs="Calibri"/>
                        <w:sz w:val="18"/>
                        <w:szCs w:val="18"/>
                      </w:rPr>
                      <m:t xml:space="preserve"> = </m:t>
                    </m:r>
                    <m:r>
                      <m:rPr>
                        <m:sty m:val="p"/>
                      </m:rPr>
                      <w:rPr>
                        <w:rFonts w:ascii="Cambria Math" w:eastAsia="Aptos" w:hAnsi="Cambria Math" w:cs="Calibri"/>
                        <w:sz w:val="18"/>
                        <w:szCs w:val="18"/>
                      </w:rPr>
                      <m:t xml:space="preserve">μ </m:t>
                    </m:r>
                    <m:r>
                      <m:rPr>
                        <m:sty m:val="p"/>
                      </m:rPr>
                      <w:rPr>
                        <w:rFonts w:ascii="Cambria Math" w:eastAsia="Cambria Math" w:hAnsi="Cambria Math" w:cs="Calibri"/>
                        <w:sz w:val="18"/>
                        <w:szCs w:val="18"/>
                      </w:rPr>
                      <m:t>(Score</m:t>
                    </m:r>
                  </m:e>
                  <m:sub>
                    <m:r>
                      <m:rPr>
                        <m:sty m:val="p"/>
                      </m:rPr>
                      <w:rPr>
                        <w:rFonts w:ascii="Cambria Math" w:eastAsia="Cambria Math" w:hAnsi="Cambria Math" w:cs="Calibri"/>
                        <w:sz w:val="18"/>
                        <w:szCs w:val="18"/>
                      </w:rPr>
                      <m:t>ném Shannon</m:t>
                    </m:r>
                  </m:sub>
                </m:sSub>
                <m:r>
                  <m:rPr>
                    <m:sty m:val="p"/>
                  </m:rPr>
                  <w:rPr>
                    <w:rFonts w:ascii="Cambria Math" w:eastAsia="Cambria Math" w:hAnsi="Cambria Math" w:cs="Calibri"/>
                    <w:sz w:val="18"/>
                    <w:szCs w:val="18"/>
                  </w:rPr>
                  <m:t xml:space="preserve"> ; </m:t>
                </m:r>
                <m:sSub>
                  <m:sSubPr>
                    <m:ctrlPr>
                      <w:rPr>
                        <w:rFonts w:ascii="Cambria Math" w:eastAsia="Cambria Math" w:hAnsi="Cambria Math" w:cs="Calibri"/>
                        <w:iCs/>
                        <w:sz w:val="18"/>
                        <w:szCs w:val="18"/>
                      </w:rPr>
                    </m:ctrlPr>
                  </m:sSubPr>
                  <m:e>
                    <m:r>
                      <m:rPr>
                        <m:sty m:val="p"/>
                      </m:rPr>
                      <w:rPr>
                        <w:rFonts w:ascii="Cambria Math" w:eastAsia="Cambria Math" w:hAnsi="Cambria Math" w:cs="Calibri"/>
                        <w:sz w:val="18"/>
                        <w:szCs w:val="18"/>
                      </w:rPr>
                      <m:t>Score</m:t>
                    </m:r>
                  </m:e>
                  <m:sub>
                    <m:r>
                      <m:rPr>
                        <m:sty m:val="p"/>
                      </m:rPr>
                      <w:rPr>
                        <w:rFonts w:ascii="Cambria Math" w:eastAsia="Cambria Math" w:hAnsi="Cambria Math" w:cs="Calibri"/>
                        <w:sz w:val="18"/>
                        <w:szCs w:val="18"/>
                      </w:rPr>
                      <m:t>ném SI</m:t>
                    </m:r>
                  </m:sub>
                </m:sSub>
                <m:r>
                  <m:rPr>
                    <m:sty m:val="p"/>
                  </m:rPr>
                  <w:rPr>
                    <w:rFonts w:ascii="Cambria Math" w:eastAsia="Cambria Math" w:hAnsi="Cambria Math" w:cs="Calibri"/>
                    <w:sz w:val="18"/>
                    <w:szCs w:val="18"/>
                  </w:rPr>
                  <m:t>)</m:t>
                </m:r>
              </m:oMath>
            </m:oMathPara>
          </w:p>
        </w:tc>
        <w:tc>
          <w:tcPr>
            <w:tcW w:w="425" w:type="dxa"/>
            <w:tcBorders>
              <w:top w:val="dashSmallGap" w:sz="4" w:space="0" w:color="0E2841" w:themeColor="text2"/>
              <w:left w:val="nil"/>
              <w:bottom w:val="dashSmallGap" w:sz="4" w:space="0" w:color="0E2841" w:themeColor="text2"/>
              <w:right w:val="single" w:sz="12" w:space="0" w:color="auto"/>
            </w:tcBorders>
            <w:vAlign w:val="center"/>
          </w:tcPr>
          <w:p w14:paraId="5967E176" w14:textId="77777777" w:rsidR="000A0208" w:rsidRPr="00B363AA" w:rsidRDefault="000A0208" w:rsidP="004306AE">
            <w:pPr>
              <w:tabs>
                <w:tab w:val="left" w:pos="496"/>
              </w:tabs>
              <w:jc w:val="center"/>
              <w:rPr>
                <w:rFonts w:eastAsia="Aptos" w:cs="Calibri"/>
                <w:iCs/>
                <w:sz w:val="16"/>
                <w:szCs w:val="16"/>
              </w:rPr>
            </w:pPr>
          </w:p>
        </w:tc>
      </w:tr>
      <w:tr w:rsidR="000A0208" w:rsidRPr="00B363AA" w14:paraId="44D6EEF2" w14:textId="77777777" w:rsidTr="004306AE">
        <w:trPr>
          <w:trHeight w:val="235"/>
        </w:trPr>
        <w:tc>
          <w:tcPr>
            <w:tcW w:w="8642" w:type="dxa"/>
            <w:gridSpan w:val="3"/>
            <w:tcBorders>
              <w:right w:val="nil"/>
            </w:tcBorders>
            <w:shd w:val="clear" w:color="auto" w:fill="0E2841" w:themeFill="text2"/>
            <w:vAlign w:val="center"/>
          </w:tcPr>
          <w:p w14:paraId="0DDC476E" w14:textId="77777777" w:rsidR="000A0208" w:rsidRPr="00B363AA" w:rsidRDefault="000A0208" w:rsidP="004306AE">
            <w:pPr>
              <w:tabs>
                <w:tab w:val="left" w:pos="496"/>
              </w:tabs>
              <w:jc w:val="left"/>
              <w:rPr>
                <w:rFonts w:ascii="Cambria Math" w:hAnsi="Cambria Math" w:cs="Calibri"/>
                <w:sz w:val="24"/>
              </w:rPr>
            </w:pPr>
            <w:r w:rsidRPr="00B363AA">
              <w:rPr>
                <w:rFonts w:ascii="Cambria Math" w:hAnsi="Cambria Math" w:cs="Calibri"/>
                <w:sz w:val="24"/>
              </w:rPr>
              <w:t>Stockage de carbone</w:t>
            </w:r>
          </w:p>
        </w:tc>
        <w:tc>
          <w:tcPr>
            <w:tcW w:w="425" w:type="dxa"/>
            <w:tcBorders>
              <w:left w:val="nil"/>
              <w:right w:val="single" w:sz="12" w:space="0" w:color="auto"/>
            </w:tcBorders>
            <w:shd w:val="clear" w:color="auto" w:fill="0E2841" w:themeFill="text2"/>
            <w:vAlign w:val="center"/>
          </w:tcPr>
          <w:p w14:paraId="56ACF8F0" w14:textId="77777777" w:rsidR="000A0208" w:rsidRPr="00B363AA" w:rsidRDefault="000A0208" w:rsidP="004306AE">
            <w:pPr>
              <w:tabs>
                <w:tab w:val="left" w:pos="496"/>
              </w:tabs>
              <w:jc w:val="center"/>
              <w:rPr>
                <w:rFonts w:cs="Calibri"/>
                <w:sz w:val="16"/>
                <w:szCs w:val="16"/>
              </w:rPr>
            </w:pPr>
          </w:p>
        </w:tc>
      </w:tr>
      <w:tr w:rsidR="000A0208" w:rsidRPr="00B363AA" w14:paraId="7DBF00C1" w14:textId="77777777" w:rsidTr="004306AE">
        <w:trPr>
          <w:trHeight w:val="278"/>
        </w:trPr>
        <w:tc>
          <w:tcPr>
            <w:tcW w:w="8642" w:type="dxa"/>
            <w:gridSpan w:val="3"/>
            <w:tcBorders>
              <w:right w:val="nil"/>
            </w:tcBorders>
            <w:shd w:val="clear" w:color="auto" w:fill="F9F9F9"/>
            <w:vAlign w:val="center"/>
          </w:tcPr>
          <w:p w14:paraId="04999901" w14:textId="77777777" w:rsidR="000A0208" w:rsidRPr="00B363AA" w:rsidRDefault="00000000" w:rsidP="004306AE">
            <w:pPr>
              <w:tabs>
                <w:tab w:val="left" w:pos="496"/>
              </w:tabs>
              <w:jc w:val="left"/>
              <w:rPr>
                <w:rFonts w:ascii="Cambria Math" w:eastAsia="Aptos" w:hAnsi="Cambria Math" w:cs="Calibri"/>
                <w:b/>
                <w:bCs/>
                <w:color w:val="0E2841" w:themeColor="text2"/>
                <w:szCs w:val="22"/>
              </w:rPr>
            </w:pPr>
            <m:oMathPara>
              <m:oMathParaPr>
                <m:jc m:val="left"/>
              </m:oMathParaPr>
              <m:oMath>
                <m:sSub>
                  <m:sSubPr>
                    <m:ctrlPr>
                      <w:rPr>
                        <w:rFonts w:ascii="Cambria Math" w:hAnsi="Cambria Math" w:cs="Calibri"/>
                        <w:b/>
                        <w:bCs/>
                        <w:color w:val="0E2841" w:themeColor="text2"/>
                        <w:szCs w:val="22"/>
                      </w:rPr>
                    </m:ctrlPr>
                  </m:sSubPr>
                  <m:e>
                    <m:r>
                      <m:rPr>
                        <m:sty m:val="b"/>
                      </m:rPr>
                      <w:rPr>
                        <w:rFonts w:ascii="Cambria Math" w:hAnsi="Cambria Math" w:cs="Calibri"/>
                        <w:color w:val="0E2841" w:themeColor="text2"/>
                        <w:szCs w:val="22"/>
                      </w:rPr>
                      <m:t>S</m:t>
                    </m:r>
                  </m:e>
                  <m:sub>
                    <m:r>
                      <m:rPr>
                        <m:sty m:val="b"/>
                      </m:rPr>
                      <w:rPr>
                        <w:rFonts w:ascii="Cambria Math" w:hAnsi="Cambria Math" w:cs="Calibri"/>
                        <w:color w:val="0E2841" w:themeColor="text2"/>
                        <w:szCs w:val="22"/>
                      </w:rPr>
                      <m:t>Stockage de C</m:t>
                    </m:r>
                  </m:sub>
                </m:sSub>
                <m:r>
                  <m:rPr>
                    <m:sty m:val="b"/>
                  </m:rPr>
                  <w:rPr>
                    <w:rFonts w:ascii="Cambria Math" w:hAnsi="Cambria Math" w:cs="Calibri"/>
                    <w:color w:val="0E2841" w:themeColor="text2"/>
                    <w:szCs w:val="22"/>
                  </w:rPr>
                  <m:t>[0;5]=</m:t>
                </m:r>
                <m:sSub>
                  <m:sSubPr>
                    <m:ctrlPr>
                      <w:rPr>
                        <w:rFonts w:ascii="Cambria Math" w:eastAsia="Aptos" w:hAnsi="Cambria Math" w:cs="Calibri"/>
                        <w:b/>
                        <w:bCs/>
                        <w:iCs/>
                        <w:color w:val="0E2841" w:themeColor="text2"/>
                        <w:szCs w:val="22"/>
                      </w:rPr>
                    </m:ctrlPr>
                  </m:sSubPr>
                  <m:e>
                    <m:r>
                      <m:rPr>
                        <m:sty m:val="b"/>
                      </m:rPr>
                      <w:rPr>
                        <w:rFonts w:ascii="Cambria Math" w:eastAsia="Aptos" w:hAnsi="Cambria Math" w:cs="Calibri"/>
                        <w:color w:val="0E2841" w:themeColor="text2"/>
                        <w:szCs w:val="22"/>
                      </w:rPr>
                      <m:t>S</m:t>
                    </m:r>
                  </m:e>
                  <m:sub>
                    <m:r>
                      <m:rPr>
                        <m:sty m:val="b"/>
                      </m:rPr>
                      <w:rPr>
                        <w:rFonts w:ascii="Cambria Math" w:eastAsia="Aptos" w:hAnsi="Cambria Math" w:cs="Calibri"/>
                        <w:color w:val="0E2841" w:themeColor="text2"/>
                        <w:szCs w:val="22"/>
                      </w:rPr>
                      <m:t>stockage</m:t>
                    </m:r>
                  </m:sub>
                </m:sSub>
              </m:oMath>
            </m:oMathPara>
          </w:p>
        </w:tc>
        <w:tc>
          <w:tcPr>
            <w:tcW w:w="425" w:type="dxa"/>
            <w:tcBorders>
              <w:left w:val="nil"/>
              <w:right w:val="single" w:sz="12" w:space="0" w:color="auto"/>
            </w:tcBorders>
            <w:shd w:val="clear" w:color="auto" w:fill="F9F9F9"/>
            <w:vAlign w:val="center"/>
          </w:tcPr>
          <w:p w14:paraId="138F5BBC" w14:textId="77777777" w:rsidR="000A0208" w:rsidRPr="00B363AA" w:rsidRDefault="000A0208" w:rsidP="004306AE">
            <w:pPr>
              <w:tabs>
                <w:tab w:val="left" w:pos="496"/>
              </w:tabs>
              <w:jc w:val="center"/>
              <w:rPr>
                <w:rFonts w:eastAsia="Aptos" w:cs="Calibri"/>
                <w:color w:val="0E2841" w:themeColor="text2"/>
                <w:sz w:val="16"/>
                <w:szCs w:val="16"/>
              </w:rPr>
            </w:pPr>
          </w:p>
        </w:tc>
      </w:tr>
      <w:tr w:rsidR="000A0208" w:rsidRPr="00B363AA" w14:paraId="75898400" w14:textId="77777777" w:rsidTr="004306AE">
        <w:trPr>
          <w:trHeight w:val="257"/>
        </w:trPr>
        <w:tc>
          <w:tcPr>
            <w:tcW w:w="1413" w:type="dxa"/>
            <w:vAlign w:val="center"/>
          </w:tcPr>
          <w:p w14:paraId="238CD491" w14:textId="77777777" w:rsidR="000A0208" w:rsidRPr="00B363AA" w:rsidRDefault="000A0208" w:rsidP="004306AE">
            <w:pPr>
              <w:tabs>
                <w:tab w:val="left" w:pos="496"/>
              </w:tabs>
              <w:jc w:val="left"/>
              <w:rPr>
                <w:rFonts w:ascii="Cambria Math" w:hAnsi="Cambria Math" w:cs="Calibri"/>
                <w:b/>
                <w:bCs/>
                <w:color w:val="0E2841" w:themeColor="text2"/>
                <w:sz w:val="20"/>
                <w:szCs w:val="20"/>
              </w:rPr>
            </w:pPr>
            <w:r w:rsidRPr="00B363AA">
              <w:rPr>
                <w:rFonts w:ascii="Cambria Math" w:hAnsi="Cambria Math" w:cs="Calibri"/>
                <w:b/>
                <w:bCs/>
                <w:color w:val="0E2841" w:themeColor="text2"/>
                <w:sz w:val="20"/>
                <w:szCs w:val="20"/>
              </w:rPr>
              <w:t>Stockage</w:t>
            </w:r>
          </w:p>
        </w:tc>
        <w:tc>
          <w:tcPr>
            <w:tcW w:w="425" w:type="dxa"/>
            <w:tcBorders>
              <w:bottom w:val="single" w:sz="4" w:space="0" w:color="auto"/>
              <w:right w:val="nil"/>
            </w:tcBorders>
            <w:vAlign w:val="center"/>
          </w:tcPr>
          <w:p w14:paraId="6CC37A3E" w14:textId="77777777" w:rsidR="000A0208" w:rsidRPr="00B363AA" w:rsidRDefault="000A0208" w:rsidP="004306AE">
            <w:pPr>
              <w:tabs>
                <w:tab w:val="left" w:pos="496"/>
              </w:tabs>
              <w:jc w:val="left"/>
              <w:rPr>
                <w:rFonts w:ascii="Cambria Math" w:eastAsia="Aptos" w:hAnsi="Cambria Math" w:cs="Calibri"/>
                <w:iCs/>
                <w:color w:val="0E2841" w:themeColor="text2"/>
                <w:sz w:val="18"/>
                <w:szCs w:val="18"/>
              </w:rPr>
            </w:pPr>
          </w:p>
        </w:tc>
        <w:tc>
          <w:tcPr>
            <w:tcW w:w="6804" w:type="dxa"/>
            <w:tcBorders>
              <w:left w:val="nil"/>
              <w:bottom w:val="single" w:sz="4" w:space="0" w:color="auto"/>
              <w:right w:val="nil"/>
            </w:tcBorders>
            <w:vAlign w:val="center"/>
          </w:tcPr>
          <w:p w14:paraId="223585E0" w14:textId="77777777" w:rsidR="000A0208" w:rsidRPr="00B363AA" w:rsidRDefault="00000000" w:rsidP="004306AE">
            <w:pPr>
              <w:tabs>
                <w:tab w:val="left" w:pos="496"/>
              </w:tabs>
              <w:jc w:val="left"/>
              <w:rPr>
                <w:rFonts w:ascii="Cambria Math" w:hAnsi="Cambria Math" w:cs="Calibri"/>
                <w:color w:val="0E2841" w:themeColor="text2"/>
                <w:sz w:val="18"/>
                <w:szCs w:val="18"/>
              </w:rPr>
            </w:pPr>
            <m:oMathPara>
              <m:oMath>
                <m:sSub>
                  <m:sSubPr>
                    <m:ctrlPr>
                      <w:rPr>
                        <w:rFonts w:ascii="Cambria Math" w:hAnsi="Cambria Math" w:cs="Calibri"/>
                        <w:iCs/>
                        <w:sz w:val="18"/>
                        <w:szCs w:val="18"/>
                      </w:rPr>
                    </m:ctrlPr>
                  </m:sSubPr>
                  <m:e>
                    <m:r>
                      <m:rPr>
                        <m:sty m:val="p"/>
                      </m:rPr>
                      <w:rPr>
                        <w:rFonts w:ascii="Cambria Math" w:hAnsi="Cambria Math" w:cs="Calibri"/>
                        <w:sz w:val="18"/>
                        <w:szCs w:val="18"/>
                      </w:rPr>
                      <m:t>S</m:t>
                    </m:r>
                  </m:e>
                  <m:sub>
                    <m:r>
                      <m:rPr>
                        <m:sty m:val="p"/>
                      </m:rPr>
                      <w:rPr>
                        <w:rFonts w:ascii="Cambria Math" w:hAnsi="Cambria Math" w:cs="Calibri"/>
                        <w:sz w:val="18"/>
                        <w:szCs w:val="18"/>
                      </w:rPr>
                      <m:t>stockage</m:t>
                    </m:r>
                  </m:sub>
                </m:sSub>
                <m:r>
                  <m:rPr>
                    <m:sty m:val="p"/>
                  </m:rPr>
                  <w:rPr>
                    <w:rFonts w:ascii="Cambria Math" w:hAnsi="Cambria Math" w:cs="Calibri"/>
                    <w:sz w:val="18"/>
                    <w:szCs w:val="18"/>
                  </w:rPr>
                  <m:t>=</m:t>
                </m:r>
                <m:sSub>
                  <m:sSubPr>
                    <m:ctrlPr>
                      <w:rPr>
                        <w:rFonts w:ascii="Cambria Math" w:eastAsia="Aptos" w:hAnsi="Cambria Math" w:cs="Calibri"/>
                        <w:iCs/>
                        <w:sz w:val="18"/>
                        <w:szCs w:val="18"/>
                      </w:rPr>
                    </m:ctrlPr>
                  </m:sSubPr>
                  <m:e>
                    <m:r>
                      <m:rPr>
                        <m:sty m:val="p"/>
                      </m:rPr>
                      <w:rPr>
                        <w:rFonts w:ascii="Cambria Math" w:eastAsia="Aptos" w:hAnsi="Cambria Math" w:cs="Calibri"/>
                        <w:sz w:val="18"/>
                        <w:szCs w:val="18"/>
                      </w:rPr>
                      <m:t>μ (Score</m:t>
                    </m:r>
                  </m:e>
                  <m:sub>
                    <m:r>
                      <m:rPr>
                        <m:sty m:val="p"/>
                      </m:rPr>
                      <w:rPr>
                        <w:rFonts w:ascii="Cambria Math" w:eastAsia="Aptos" w:hAnsi="Cambria Math" w:cs="Calibri"/>
                        <w:sz w:val="18"/>
                        <w:szCs w:val="18"/>
                      </w:rPr>
                      <m:t>stock C</m:t>
                    </m:r>
                  </m:sub>
                </m:sSub>
                <m:r>
                  <m:rPr>
                    <m:sty m:val="p"/>
                  </m:rPr>
                  <w:rPr>
                    <w:rFonts w:ascii="Cambria Math" w:eastAsia="Aptos" w:hAnsi="Cambria Math" w:cs="Calibri"/>
                    <w:sz w:val="18"/>
                    <w:szCs w:val="18"/>
                  </w:rPr>
                  <m:t xml:space="preserve"> ; </m:t>
                </m:r>
                <m:sSub>
                  <m:sSubPr>
                    <m:ctrlPr>
                      <w:rPr>
                        <w:rFonts w:ascii="Cambria Math" w:eastAsia="Aptos" w:hAnsi="Cambria Math" w:cs="Calibri"/>
                        <w:iCs/>
                        <w:sz w:val="18"/>
                        <w:szCs w:val="18"/>
                      </w:rPr>
                    </m:ctrlPr>
                  </m:sSubPr>
                  <m:e>
                    <m:r>
                      <m:rPr>
                        <m:sty m:val="p"/>
                      </m:rPr>
                      <w:rPr>
                        <w:rFonts w:ascii="Cambria Math" w:eastAsia="Aptos" w:hAnsi="Cambria Math" w:cs="Calibri"/>
                        <w:sz w:val="18"/>
                        <w:szCs w:val="18"/>
                      </w:rPr>
                      <m:t>Score</m:t>
                    </m:r>
                  </m:e>
                  <m:sub>
                    <m:f>
                      <m:fPr>
                        <m:ctrlPr>
                          <w:rPr>
                            <w:rFonts w:ascii="Cambria Math" w:eastAsia="Aptos" w:hAnsi="Cambria Math" w:cs="Calibri"/>
                            <w:iCs/>
                            <w:sz w:val="18"/>
                            <w:szCs w:val="18"/>
                          </w:rPr>
                        </m:ctrlPr>
                      </m:fPr>
                      <m:num>
                        <m:sSub>
                          <m:sSubPr>
                            <m:ctrlPr>
                              <w:rPr>
                                <w:rFonts w:ascii="Cambria Math" w:eastAsia="Aptos" w:hAnsi="Cambria Math" w:cs="Calibri"/>
                                <w:iCs/>
                                <w:sz w:val="18"/>
                                <w:szCs w:val="18"/>
                              </w:rPr>
                            </m:ctrlPr>
                          </m:sSubPr>
                          <m:e>
                            <m:r>
                              <m:rPr>
                                <m:sty m:val="p"/>
                              </m:rPr>
                              <w:rPr>
                                <w:rFonts w:ascii="Cambria Math" w:eastAsia="Aptos" w:hAnsi="Cambria Math" w:cs="Calibri"/>
                                <w:sz w:val="18"/>
                                <w:szCs w:val="18"/>
                              </w:rPr>
                              <m:t>C</m:t>
                            </m:r>
                          </m:e>
                          <m:sub>
                            <m:r>
                              <m:rPr>
                                <m:sty m:val="p"/>
                              </m:rPr>
                              <w:rPr>
                                <w:rFonts w:ascii="Cambria Math" w:eastAsia="Aptos" w:hAnsi="Cambria Math" w:cs="Calibri"/>
                                <w:sz w:val="18"/>
                                <w:szCs w:val="18"/>
                              </w:rPr>
                              <m:t>org</m:t>
                            </m:r>
                          </m:sub>
                        </m:sSub>
                      </m:num>
                      <m:den>
                        <m:r>
                          <m:rPr>
                            <m:sty m:val="p"/>
                          </m:rPr>
                          <w:rPr>
                            <w:rFonts w:ascii="Cambria Math" w:eastAsia="Aptos" w:hAnsi="Cambria Math" w:cs="Calibri"/>
                            <w:sz w:val="18"/>
                            <w:szCs w:val="18"/>
                          </w:rPr>
                          <m:t>argile</m:t>
                        </m:r>
                      </m:den>
                    </m:f>
                  </m:sub>
                </m:sSub>
                <m:r>
                  <m:rPr>
                    <m:sty m:val="p"/>
                  </m:rPr>
                  <w:rPr>
                    <w:rFonts w:ascii="Cambria Math" w:eastAsia="Aptos" w:hAnsi="Cambria Math" w:cs="Calibri"/>
                    <w:sz w:val="18"/>
                    <w:szCs w:val="18"/>
                  </w:rPr>
                  <m:t>)</m:t>
                </m:r>
              </m:oMath>
            </m:oMathPara>
          </w:p>
        </w:tc>
        <w:tc>
          <w:tcPr>
            <w:tcW w:w="425" w:type="dxa"/>
            <w:tcBorders>
              <w:left w:val="nil"/>
              <w:bottom w:val="single" w:sz="4" w:space="0" w:color="auto"/>
              <w:right w:val="single" w:sz="12" w:space="0" w:color="auto"/>
            </w:tcBorders>
            <w:vAlign w:val="center"/>
          </w:tcPr>
          <w:p w14:paraId="7A5DA4D5" w14:textId="77777777" w:rsidR="000A0208" w:rsidRPr="00B363AA" w:rsidRDefault="000A0208" w:rsidP="004306AE">
            <w:pPr>
              <w:tabs>
                <w:tab w:val="left" w:pos="496"/>
              </w:tabs>
              <w:jc w:val="center"/>
              <w:rPr>
                <w:rFonts w:eastAsia="Aptos" w:cs="Calibri"/>
                <w:sz w:val="16"/>
                <w:szCs w:val="16"/>
              </w:rPr>
            </w:pPr>
          </w:p>
        </w:tc>
      </w:tr>
    </w:tbl>
    <w:p w14:paraId="3799E152" w14:textId="77777777" w:rsidR="000A0208" w:rsidRPr="00B363AA" w:rsidRDefault="000A0208" w:rsidP="000A0208"/>
    <w:p w14:paraId="2565E13B" w14:textId="77777777" w:rsidR="000A0208" w:rsidRPr="00B363AA" w:rsidRDefault="000A0208" w:rsidP="000A0208">
      <w:pPr>
        <w:rPr>
          <w:rFonts w:ascii="Cambria Math" w:hAnsi="Cambria Math"/>
        </w:rPr>
      </w:pPr>
      <w:r w:rsidRPr="00B363AA">
        <w:rPr>
          <w:rFonts w:ascii="Cambria Math" w:hAnsi="Cambria Math"/>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1395"/>
        <w:gridCol w:w="7675"/>
      </w:tblGrid>
      <w:tr w:rsidR="000A0208" w:rsidRPr="00B363AA" w14:paraId="73BDE85D" w14:textId="77777777" w:rsidTr="0051081A">
        <w:trPr>
          <w:trHeight w:val="347"/>
        </w:trPr>
        <w:tc>
          <w:tcPr>
            <w:tcW w:w="1302" w:type="dxa"/>
            <w:vAlign w:val="center"/>
          </w:tcPr>
          <w:p w14:paraId="507E5120" w14:textId="77777777" w:rsidR="000A0208" w:rsidRPr="00B363AA" w:rsidRDefault="00000000" w:rsidP="004306AE">
            <w:pPr>
              <w:jc w:val="left"/>
              <w:rPr>
                <w:rFonts w:cs="Calibri"/>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S</m:t>
                    </m:r>
                  </m:e>
                  <m:sub>
                    <m:r>
                      <m:rPr>
                        <m:sty m:val="p"/>
                      </m:rPr>
                      <w:rPr>
                        <w:rFonts w:ascii="Cambria Math" w:hAnsi="Cambria Math" w:cs="Calibri"/>
                        <w:sz w:val="20"/>
                        <w:szCs w:val="20"/>
                      </w:rPr>
                      <m:t>SE</m:t>
                    </m:r>
                  </m:sub>
                </m:sSub>
              </m:oMath>
            </m:oMathPara>
          </w:p>
        </w:tc>
        <w:tc>
          <w:tcPr>
            <w:tcW w:w="7768" w:type="dxa"/>
            <w:vAlign w:val="center"/>
          </w:tcPr>
          <w:p w14:paraId="18FB1769" w14:textId="77777777" w:rsidR="000A0208" w:rsidRPr="00B363AA" w:rsidRDefault="000A0208" w:rsidP="004306AE">
            <w:pPr>
              <w:jc w:val="left"/>
              <w:rPr>
                <w:rFonts w:cs="Calibri"/>
                <w:sz w:val="20"/>
                <w:szCs w:val="20"/>
              </w:rPr>
            </w:pPr>
            <w:r w:rsidRPr="00B363AA">
              <w:rPr>
                <w:rFonts w:eastAsiaTheme="minorEastAsia" w:cs="Calibri"/>
                <w:sz w:val="20"/>
                <w:szCs w:val="20"/>
              </w:rPr>
              <w:t xml:space="preserve">Le score de service écosystémique (ex : </w:t>
            </w:r>
            <m:oMath>
              <m:sSub>
                <m:sSubPr>
                  <m:ctrlPr>
                    <w:rPr>
                      <w:rFonts w:ascii="Cambria Math" w:hAnsi="Cambria Math" w:cs="Calibri"/>
                      <w:sz w:val="20"/>
                      <w:szCs w:val="20"/>
                    </w:rPr>
                  </m:ctrlPr>
                </m:sSubPr>
                <m:e>
                  <m:r>
                    <m:rPr>
                      <m:sty m:val="p"/>
                    </m:rPr>
                    <w:rPr>
                      <w:rFonts w:ascii="Cambria Math" w:hAnsi="Cambria Math" w:cs="Calibri"/>
                      <w:sz w:val="20"/>
                      <w:szCs w:val="20"/>
                    </w:rPr>
                    <m:t>S</m:t>
                  </m:r>
                </m:e>
                <m:sub>
                  <m:r>
                    <m:rPr>
                      <m:sty m:val="p"/>
                    </m:rPr>
                    <w:rPr>
                      <w:rFonts w:ascii="Cambria Math" w:hAnsi="Cambria Math" w:cs="Calibri"/>
                      <w:sz w:val="20"/>
                      <w:szCs w:val="20"/>
                    </w:rPr>
                    <m:t>Production</m:t>
                  </m:r>
                </m:sub>
              </m:sSub>
            </m:oMath>
            <w:r w:rsidRPr="00B363AA">
              <w:rPr>
                <w:rFonts w:eastAsiaTheme="minorEastAsia" w:cs="Calibri"/>
                <w:sz w:val="20"/>
                <w:szCs w:val="20"/>
              </w:rPr>
              <w:t>) [0 ;5] ;</w:t>
            </w:r>
          </w:p>
        </w:tc>
      </w:tr>
      <w:tr w:rsidR="000A0208" w:rsidRPr="00B363AA" w14:paraId="7196A912" w14:textId="77777777" w:rsidTr="004306AE">
        <w:trPr>
          <w:trHeight w:val="340"/>
        </w:trPr>
        <w:tc>
          <w:tcPr>
            <w:tcW w:w="1302" w:type="dxa"/>
            <w:vAlign w:val="center"/>
          </w:tcPr>
          <w:p w14:paraId="57883417" w14:textId="77777777" w:rsidR="000A0208" w:rsidRPr="00B363AA" w:rsidRDefault="00000000" w:rsidP="004306AE">
            <w:pPr>
              <w:jc w:val="left"/>
              <w:rPr>
                <w:rFonts w:eastAsiaTheme="minorEastAsia" w:cs="Calibri"/>
                <w:sz w:val="20"/>
                <w:szCs w:val="20"/>
              </w:rPr>
            </w:pPr>
            <m:oMathPara>
              <m:oMathParaPr>
                <m:jc m:val="left"/>
              </m:oMathParaPr>
              <m:oMath>
                <m:sSub>
                  <m:sSubPr>
                    <m:ctrlPr>
                      <w:rPr>
                        <w:rFonts w:ascii="Cambria Math" w:eastAsiaTheme="minorEastAsia" w:hAnsi="Cambria Math" w:cs="Calibri"/>
                        <w:sz w:val="20"/>
                        <w:szCs w:val="20"/>
                      </w:rPr>
                    </m:ctrlPr>
                  </m:sSubPr>
                  <m:e>
                    <m:r>
                      <m:rPr>
                        <m:sty m:val="p"/>
                      </m:rPr>
                      <w:rPr>
                        <w:rFonts w:ascii="Cambria Math" w:eastAsiaTheme="minorEastAsia" w:hAnsi="Cambria Math" w:cs="Calibri"/>
                        <w:sz w:val="20"/>
                        <w:szCs w:val="20"/>
                      </w:rPr>
                      <m:t>S</m:t>
                    </m:r>
                  </m:e>
                  <m:sub>
                    <m:r>
                      <m:rPr>
                        <m:sty m:val="p"/>
                      </m:rPr>
                      <w:rPr>
                        <w:rFonts w:ascii="Cambria Math" w:eastAsiaTheme="minorEastAsia" w:hAnsi="Cambria Math" w:cs="Calibri"/>
                        <w:sz w:val="20"/>
                        <w:szCs w:val="20"/>
                      </w:rPr>
                      <m:t>fonction</m:t>
                    </m:r>
                  </m:sub>
                </m:sSub>
              </m:oMath>
            </m:oMathPara>
          </w:p>
        </w:tc>
        <w:tc>
          <w:tcPr>
            <w:tcW w:w="7768" w:type="dxa"/>
            <w:vAlign w:val="center"/>
          </w:tcPr>
          <w:p w14:paraId="1F433D62" w14:textId="764C34F5" w:rsidR="000A0208" w:rsidRPr="00B363AA" w:rsidRDefault="000A0208" w:rsidP="004306AE">
            <w:pPr>
              <w:jc w:val="left"/>
              <w:rPr>
                <w:rFonts w:eastAsiaTheme="minorEastAsia" w:cs="Calibri"/>
                <w:sz w:val="20"/>
                <w:szCs w:val="20"/>
              </w:rPr>
            </w:pPr>
            <w:r w:rsidRPr="00B363AA">
              <w:rPr>
                <w:rFonts w:eastAsiaTheme="minorEastAsia" w:cs="Calibri"/>
                <w:sz w:val="20"/>
                <w:szCs w:val="20"/>
              </w:rPr>
              <w:t xml:space="preserve">Le score de fonction (ex : </w:t>
            </w:r>
            <m:oMath>
              <m:sSub>
                <m:sSubPr>
                  <m:ctrlPr>
                    <w:rPr>
                      <w:rFonts w:ascii="Cambria Math" w:hAnsi="Cambria Math" w:cs="Calibri"/>
                      <w:sz w:val="20"/>
                      <w:szCs w:val="20"/>
                    </w:rPr>
                  </m:ctrlPr>
                </m:sSubPr>
                <m:e>
                  <m:r>
                    <m:rPr>
                      <m:sty m:val="p"/>
                    </m:rPr>
                    <w:rPr>
                      <w:rFonts w:ascii="Cambria Math" w:hAnsi="Cambria Math" w:cs="Calibri"/>
                      <w:sz w:val="20"/>
                      <w:szCs w:val="20"/>
                    </w:rPr>
                    <m:t>S</m:t>
                  </m:r>
                </m:e>
                <m:sub>
                  <m:r>
                    <m:rPr>
                      <m:sty m:val="p"/>
                    </m:rPr>
                    <w:rPr>
                      <w:rFonts w:ascii="Cambria Math" w:hAnsi="Cambria Math" w:cs="Calibri"/>
                      <w:sz w:val="20"/>
                      <w:szCs w:val="20"/>
                    </w:rPr>
                    <m:t>fourniture en nutriments</m:t>
                  </m:r>
                </m:sub>
              </m:sSub>
            </m:oMath>
            <w:r w:rsidRPr="00B363AA">
              <w:rPr>
                <w:rFonts w:eastAsiaTheme="minorEastAsia" w:cs="Calibri"/>
                <w:sz w:val="20"/>
                <w:szCs w:val="20"/>
              </w:rPr>
              <w:t>) [0 ;5] ;</w:t>
            </w:r>
          </w:p>
        </w:tc>
      </w:tr>
      <w:tr w:rsidR="000A0208" w:rsidRPr="00B363AA" w14:paraId="0C69B656" w14:textId="77777777" w:rsidTr="0051081A">
        <w:trPr>
          <w:trHeight w:val="447"/>
        </w:trPr>
        <w:tc>
          <w:tcPr>
            <w:tcW w:w="1302" w:type="dxa"/>
            <w:vAlign w:val="center"/>
          </w:tcPr>
          <w:p w14:paraId="3BE11AE4" w14:textId="77777777" w:rsidR="000A0208" w:rsidRPr="00B363AA" w:rsidRDefault="00000000" w:rsidP="004306AE">
            <w:pPr>
              <w:jc w:val="left"/>
              <w:rPr>
                <w:rFonts w:eastAsiaTheme="minorEastAsia" w:cs="Calibri"/>
                <w:sz w:val="20"/>
                <w:szCs w:val="20"/>
              </w:rPr>
            </w:pPr>
            <m:oMathPara>
              <m:oMathParaPr>
                <m:jc m:val="left"/>
              </m:oMathParaPr>
              <m:oMath>
                <m:sSub>
                  <m:sSubPr>
                    <m:ctrlPr>
                      <w:rPr>
                        <w:rFonts w:ascii="Cambria Math" w:eastAsiaTheme="minorEastAsia" w:hAnsi="Cambria Math" w:cs="Calibri"/>
                        <w:sz w:val="20"/>
                        <w:szCs w:val="20"/>
                      </w:rPr>
                    </m:ctrlPr>
                  </m:sSubPr>
                  <m:e>
                    <m:r>
                      <m:rPr>
                        <m:sty m:val="p"/>
                      </m:rPr>
                      <w:rPr>
                        <w:rFonts w:ascii="Cambria Math" w:eastAsiaTheme="minorEastAsia" w:hAnsi="Cambria Math" w:cs="Calibri"/>
                        <w:sz w:val="20"/>
                        <w:szCs w:val="20"/>
                      </w:rPr>
                      <m:t>C</m:t>
                    </m:r>
                  </m:e>
                  <m:sub>
                    <m:r>
                      <m:rPr>
                        <m:sty m:val="p"/>
                      </m:rPr>
                      <w:rPr>
                        <w:rFonts w:ascii="Cambria Math" w:eastAsiaTheme="minorEastAsia" w:hAnsi="Cambria Math" w:cs="Calibri"/>
                        <w:sz w:val="20"/>
                        <w:szCs w:val="20"/>
                      </w:rPr>
                      <m:t>contrainte</m:t>
                    </m:r>
                  </m:sub>
                </m:sSub>
              </m:oMath>
            </m:oMathPara>
          </w:p>
        </w:tc>
        <w:tc>
          <w:tcPr>
            <w:tcW w:w="7768" w:type="dxa"/>
            <w:vAlign w:val="center"/>
          </w:tcPr>
          <w:p w14:paraId="45D16057" w14:textId="77777777" w:rsidR="000A0208" w:rsidRPr="00B363AA" w:rsidRDefault="000A0208" w:rsidP="004306AE">
            <w:pPr>
              <w:jc w:val="left"/>
              <w:rPr>
                <w:rFonts w:eastAsiaTheme="minorEastAsia" w:cs="Calibri"/>
                <w:sz w:val="20"/>
                <w:szCs w:val="20"/>
              </w:rPr>
            </w:pPr>
            <w:r w:rsidRPr="00B363AA">
              <w:rPr>
                <w:rFonts w:eastAsiaTheme="minorEastAsia" w:cs="Calibri"/>
                <w:sz w:val="20"/>
                <w:szCs w:val="20"/>
              </w:rPr>
              <w:t xml:space="preserve">Le coefficient de contrainte [0 ;1], lié à </w:t>
            </w:r>
            <m:oMath>
              <m:sSub>
                <m:sSubPr>
                  <m:ctrlPr>
                    <w:rPr>
                      <w:rFonts w:ascii="Cambria Math" w:hAnsi="Cambria Math" w:cs="Calibri"/>
                      <w:sz w:val="20"/>
                      <w:szCs w:val="20"/>
                    </w:rPr>
                  </m:ctrlPr>
                </m:sSubPr>
                <m:e>
                  <m:r>
                    <m:rPr>
                      <m:sty m:val="p"/>
                    </m:rPr>
                    <w:rPr>
                      <w:rFonts w:ascii="Cambria Math" w:hAnsi="Cambria Math" w:cs="Calibri"/>
                      <w:sz w:val="20"/>
                      <w:szCs w:val="20"/>
                    </w:rPr>
                    <m:t>C</m:t>
                  </m:r>
                </m:e>
                <m:sub>
                  <m:r>
                    <m:rPr>
                      <m:sty m:val="p"/>
                    </m:rPr>
                    <w:rPr>
                      <w:rFonts w:ascii="Cambria Math" w:hAnsi="Cambria Math" w:cs="Calibri"/>
                      <w:sz w:val="20"/>
                      <w:szCs w:val="20"/>
                    </w:rPr>
                    <m:t>pollution</m:t>
                  </m:r>
                </m:sub>
              </m:sSub>
            </m:oMath>
            <w:r w:rsidRPr="00B363AA">
              <w:rPr>
                <w:rFonts w:eastAsiaTheme="minorEastAsia" w:cs="Calibri"/>
                <w:sz w:val="20"/>
                <w:szCs w:val="20"/>
              </w:rPr>
              <w:t xml:space="preserve"> (coefficient de pollution) et à </w:t>
            </w:r>
            <m:oMath>
              <m:sSub>
                <m:sSubPr>
                  <m:ctrlPr>
                    <w:rPr>
                      <w:rFonts w:ascii="Cambria Math" w:eastAsia="Cambria Math" w:hAnsi="Cambria Math" w:cs="Calibri"/>
                      <w:sz w:val="20"/>
                      <w:szCs w:val="20"/>
                    </w:rPr>
                  </m:ctrlPr>
                </m:sSubPr>
                <m:e>
                  <m:r>
                    <m:rPr>
                      <m:sty m:val="p"/>
                    </m:rPr>
                    <w:rPr>
                      <w:rFonts w:ascii="Cambria Math" w:eastAsia="Cambria Math" w:hAnsi="Cambria Math" w:cs="Calibri"/>
                      <w:sz w:val="20"/>
                      <w:szCs w:val="20"/>
                    </w:rPr>
                    <m:t>C</m:t>
                  </m:r>
                </m:e>
                <m:sub>
                  <m:r>
                    <m:rPr>
                      <m:sty m:val="p"/>
                    </m:rPr>
                    <w:rPr>
                      <w:rFonts w:ascii="Cambria Math" w:eastAsia="Cambria Math" w:hAnsi="Cambria Math" w:cs="Calibri"/>
                      <w:sz w:val="20"/>
                      <w:szCs w:val="20"/>
                    </w:rPr>
                    <m:t>EEE</m:t>
                  </m:r>
                </m:sub>
              </m:sSub>
              <m:r>
                <w:rPr>
                  <w:rFonts w:ascii="Cambria Math" w:eastAsia="Cambria Math" w:hAnsi="Cambria Math" w:cs="Calibri"/>
                  <w:sz w:val="20"/>
                  <w:szCs w:val="20"/>
                </w:rPr>
                <m:t xml:space="preserve"> </m:t>
              </m:r>
            </m:oMath>
            <w:r w:rsidRPr="00B363AA">
              <w:rPr>
                <w:rFonts w:eastAsiaTheme="minorEastAsia" w:cs="Calibri"/>
                <w:sz w:val="20"/>
                <w:szCs w:val="20"/>
              </w:rPr>
              <w:t>(coefficient EEE) ;</w:t>
            </w:r>
          </w:p>
        </w:tc>
      </w:tr>
      <w:tr w:rsidR="000A0208" w:rsidRPr="00B363AA" w14:paraId="62BA4957" w14:textId="77777777" w:rsidTr="0051081A">
        <w:trPr>
          <w:trHeight w:val="343"/>
        </w:trPr>
        <w:tc>
          <w:tcPr>
            <w:tcW w:w="1302" w:type="dxa"/>
            <w:vAlign w:val="center"/>
          </w:tcPr>
          <w:p w14:paraId="4E84B4B8" w14:textId="68A50269" w:rsidR="000A0208" w:rsidRPr="00B363AA" w:rsidRDefault="00000000" w:rsidP="004306AE">
            <w:pPr>
              <w:jc w:val="left"/>
              <w:rPr>
                <w:rFonts w:eastAsia="Times New Roman" w:cs="Calibri"/>
                <w:sz w:val="20"/>
                <w:szCs w:val="20"/>
              </w:rPr>
            </w:pPr>
            <m:oMathPara>
              <m:oMath>
                <m:sSub>
                  <m:sSubPr>
                    <m:ctrlPr>
                      <w:rPr>
                        <w:rFonts w:ascii="Cambria Math" w:eastAsiaTheme="minorEastAsia" w:hAnsi="Cambria Math" w:cs="Calibri"/>
                        <w:sz w:val="20"/>
                        <w:szCs w:val="20"/>
                      </w:rPr>
                    </m:ctrlPr>
                  </m:sSubPr>
                  <m:e>
                    <m:r>
                      <m:rPr>
                        <m:sty m:val="p"/>
                      </m:rPr>
                      <w:rPr>
                        <w:rFonts w:ascii="Cambria Math" w:eastAsiaTheme="minorEastAsia" w:hAnsi="Cambria Math" w:cs="Calibri"/>
                        <w:sz w:val="20"/>
                        <w:szCs w:val="20"/>
                      </w:rPr>
                      <m:t>Score</m:t>
                    </m:r>
                  </m:e>
                  <m:sub>
                    <m:r>
                      <m:rPr>
                        <m:sty m:val="p"/>
                      </m:rPr>
                      <w:rPr>
                        <w:rFonts w:ascii="Cambria Math" w:eastAsiaTheme="minorEastAsia" w:hAnsi="Cambria Math" w:cs="Calibri"/>
                        <w:sz w:val="20"/>
                        <w:szCs w:val="20"/>
                      </w:rPr>
                      <m:t>indicateur</m:t>
                    </m:r>
                  </m:sub>
                </m:sSub>
              </m:oMath>
            </m:oMathPara>
          </w:p>
        </w:tc>
        <w:tc>
          <w:tcPr>
            <w:tcW w:w="7768" w:type="dxa"/>
            <w:vAlign w:val="center"/>
          </w:tcPr>
          <w:p w14:paraId="5415C884" w14:textId="363A30DF" w:rsidR="000A0208" w:rsidRPr="00B363AA" w:rsidRDefault="000A0208" w:rsidP="004306AE">
            <w:pPr>
              <w:jc w:val="left"/>
              <w:rPr>
                <w:rFonts w:eastAsiaTheme="minorEastAsia" w:cs="Calibri"/>
                <w:sz w:val="20"/>
                <w:szCs w:val="20"/>
              </w:rPr>
            </w:pPr>
            <w:r w:rsidRPr="00B363AA">
              <w:rPr>
                <w:rFonts w:eastAsiaTheme="minorEastAsia" w:cs="Calibri"/>
                <w:sz w:val="20"/>
                <w:szCs w:val="20"/>
              </w:rPr>
              <w:t xml:space="preserve">Le score </w:t>
            </w:r>
            <w:r w:rsidR="7CD1F15C" w:rsidRPr="00B363AA">
              <w:rPr>
                <w:rFonts w:eastAsiaTheme="minorEastAsia" w:cs="Calibri"/>
                <w:sz w:val="20"/>
                <w:szCs w:val="20"/>
              </w:rPr>
              <w:t>d</w:t>
            </w:r>
            <w:r w:rsidR="008D7AFF" w:rsidRPr="00B363AA">
              <w:rPr>
                <w:rFonts w:eastAsiaTheme="minorEastAsia" w:cs="Calibri"/>
                <w:sz w:val="20"/>
                <w:szCs w:val="20"/>
              </w:rPr>
              <w:t>e l</w:t>
            </w:r>
            <w:r w:rsidR="7CD1F15C" w:rsidRPr="00B363AA">
              <w:rPr>
                <w:rFonts w:eastAsiaTheme="minorEastAsia" w:cs="Calibri"/>
                <w:sz w:val="20"/>
                <w:szCs w:val="20"/>
              </w:rPr>
              <w:t>’indicateur</w:t>
            </w:r>
            <w:r w:rsidRPr="00B363AA">
              <w:rPr>
                <w:rFonts w:eastAsiaTheme="minorEastAsia" w:cs="Calibri"/>
                <w:sz w:val="20"/>
                <w:szCs w:val="20"/>
              </w:rPr>
              <w:t xml:space="preserve"> (ex : </w:t>
            </w:r>
            <m:oMath>
              <m:sSub>
                <m:sSubPr>
                  <m:ctrlPr>
                    <w:rPr>
                      <w:rFonts w:ascii="Cambria Math" w:hAnsi="Cambria Math" w:cs="Calibri"/>
                      <w:sz w:val="20"/>
                      <w:szCs w:val="20"/>
                    </w:rPr>
                  </m:ctrlPr>
                </m:sSubPr>
                <m:e>
                  <m:r>
                    <m:rPr>
                      <m:sty m:val="p"/>
                    </m:rPr>
                    <w:rPr>
                      <w:rFonts w:ascii="Cambria Math" w:hAnsi="Cambria Math" w:cs="Calibri"/>
                      <w:sz w:val="20"/>
                      <w:szCs w:val="20"/>
                    </w:rPr>
                    <m:t>Score</m:t>
                  </m:r>
                </m:e>
                <m:sub>
                  <m:r>
                    <m:rPr>
                      <m:sty m:val="p"/>
                    </m:rPr>
                    <w:rPr>
                      <w:rFonts w:ascii="Cambria Math" w:hAnsi="Cambria Math" w:cs="Calibri"/>
                      <w:sz w:val="20"/>
                      <w:szCs w:val="20"/>
                    </w:rPr>
                    <m:t>pH</m:t>
                  </m:r>
                </m:sub>
              </m:sSub>
            </m:oMath>
            <w:r w:rsidRPr="00B363AA">
              <w:rPr>
                <w:rFonts w:eastAsiaTheme="minorEastAsia" w:cs="Calibri"/>
                <w:sz w:val="20"/>
                <w:szCs w:val="20"/>
              </w:rPr>
              <w:t>) [0 ;5] ;</w:t>
            </w:r>
          </w:p>
        </w:tc>
      </w:tr>
      <w:tr w:rsidR="000A0208" w:rsidRPr="00B363AA" w14:paraId="0FFE635A" w14:textId="77777777" w:rsidTr="004306AE">
        <w:trPr>
          <w:trHeight w:val="340"/>
        </w:trPr>
        <w:tc>
          <w:tcPr>
            <w:tcW w:w="1302" w:type="dxa"/>
            <w:vAlign w:val="center"/>
          </w:tcPr>
          <w:p w14:paraId="1F9C8332" w14:textId="77777777" w:rsidR="000A0208" w:rsidRPr="00B363AA" w:rsidRDefault="00000000" w:rsidP="004306AE">
            <w:pPr>
              <w:jc w:val="left"/>
              <w:rPr>
                <w:rFonts w:eastAsiaTheme="minorEastAsia" w:cs="Calibri"/>
                <w:sz w:val="20"/>
                <w:szCs w:val="20"/>
              </w:rPr>
            </w:pPr>
            <m:oMathPara>
              <m:oMathParaPr>
                <m:jc m:val="left"/>
              </m:oMathParaPr>
              <m:oMath>
                <m:sSub>
                  <m:sSubPr>
                    <m:ctrlPr>
                      <w:rPr>
                        <w:rFonts w:ascii="Cambria Math" w:eastAsiaTheme="minorEastAsia" w:hAnsi="Cambria Math" w:cs="Calibri"/>
                        <w:sz w:val="20"/>
                        <w:szCs w:val="20"/>
                      </w:rPr>
                    </m:ctrlPr>
                  </m:sSubPr>
                  <m:e>
                    <m:r>
                      <m:rPr>
                        <m:sty m:val="p"/>
                      </m:rPr>
                      <w:rPr>
                        <w:rFonts w:ascii="Cambria Math" w:eastAsiaTheme="minorEastAsia" w:hAnsi="Cambria Math" w:cs="Calibri"/>
                        <w:sz w:val="20"/>
                        <w:szCs w:val="20"/>
                      </w:rPr>
                      <m:t>C</m:t>
                    </m:r>
                  </m:e>
                  <m:sub>
                    <m:r>
                      <m:rPr>
                        <m:sty m:val="p"/>
                      </m:rPr>
                      <w:rPr>
                        <w:rFonts w:ascii="Cambria Math" w:eastAsiaTheme="minorEastAsia" w:hAnsi="Cambria Math" w:cs="Calibri"/>
                        <w:sz w:val="20"/>
                        <w:szCs w:val="20"/>
                      </w:rPr>
                      <m:t>sol utile</m:t>
                    </m:r>
                  </m:sub>
                </m:sSub>
              </m:oMath>
            </m:oMathPara>
          </w:p>
        </w:tc>
        <w:tc>
          <w:tcPr>
            <w:tcW w:w="7768" w:type="dxa"/>
            <w:vAlign w:val="center"/>
          </w:tcPr>
          <w:p w14:paraId="5261E0EA" w14:textId="77777777" w:rsidR="000A0208" w:rsidRPr="00B363AA" w:rsidRDefault="000A0208" w:rsidP="004306AE">
            <w:pPr>
              <w:jc w:val="left"/>
              <w:rPr>
                <w:rFonts w:eastAsiaTheme="minorEastAsia" w:cs="Calibri"/>
                <w:sz w:val="20"/>
                <w:szCs w:val="20"/>
              </w:rPr>
            </w:pPr>
            <w:r w:rsidRPr="00B363AA">
              <w:rPr>
                <w:rFonts w:eastAsiaTheme="minorEastAsia" w:cs="Calibri"/>
                <w:sz w:val="20"/>
                <w:szCs w:val="20"/>
              </w:rPr>
              <w:t>Le coefficient de sol utile [0 ;1].</w:t>
            </w:r>
          </w:p>
        </w:tc>
      </w:tr>
    </w:tbl>
    <w:p w14:paraId="2D362E37" w14:textId="77777777" w:rsidR="000A0208" w:rsidRPr="00B363AA" w:rsidRDefault="000A0208" w:rsidP="000A0208">
      <w:pPr>
        <w:rPr>
          <w:rFonts w:eastAsiaTheme="minorEastAsia"/>
          <w:sz w:val="18"/>
          <w:szCs w:val="18"/>
        </w:rPr>
      </w:pPr>
    </w:p>
    <w:p w14:paraId="1297C881" w14:textId="77777777" w:rsidR="000A0208" w:rsidRPr="00B363AA" w:rsidRDefault="000A0208" w:rsidP="000A0208">
      <w:r w:rsidRPr="00B363AA">
        <w:br w:type="page"/>
      </w:r>
    </w:p>
    <w:p w14:paraId="7638E800" w14:textId="462514E2" w:rsidR="000D59CF" w:rsidRPr="00B363AA" w:rsidRDefault="000D59CF">
      <w:pPr>
        <w:pStyle w:val="Titre2"/>
        <w:numPr>
          <w:ilvl w:val="1"/>
          <w:numId w:val="12"/>
        </w:numPr>
      </w:pPr>
      <w:bookmarkStart w:id="159" w:name="_Toc230267152"/>
      <w:bookmarkStart w:id="160" w:name="_Ref232206789"/>
      <w:bookmarkStart w:id="161" w:name="_Toc241243000"/>
      <w:r w:rsidRPr="00B363AA">
        <w:lastRenderedPageBreak/>
        <w:t>Agrégation en score IQSW-pro global</w:t>
      </w:r>
      <w:bookmarkEnd w:id="159"/>
      <w:bookmarkEnd w:id="160"/>
      <w:bookmarkEnd w:id="161"/>
    </w:p>
    <w:p w14:paraId="54C715C1" w14:textId="57D5707B" w:rsidR="0031708A" w:rsidRPr="00B363AA" w:rsidRDefault="0031708A" w:rsidP="0031708A">
      <w:r w:rsidRPr="00B363AA">
        <w:t xml:space="preserve">La dernière étape du calcul des scores IQSW-pro est l’agrégation des scores de services écosystémiques en un score IQSW-pro unique par usage. Bien qu’un tel indice </w:t>
      </w:r>
      <w:r w:rsidR="027E90A7" w:rsidRPr="00B363AA">
        <w:t>global</w:t>
      </w:r>
      <w:r w:rsidRPr="00B363AA">
        <w:t xml:space="preserve"> </w:t>
      </w:r>
      <w:r w:rsidR="65816218" w:rsidRPr="00B363AA">
        <w:t>n’a</w:t>
      </w:r>
      <w:r w:rsidR="1465C819" w:rsidRPr="00B363AA">
        <w:t>it</w:t>
      </w:r>
      <w:r w:rsidR="65816218" w:rsidRPr="00B363AA">
        <w:t xml:space="preserve"> pas </w:t>
      </w:r>
      <w:r w:rsidR="11ECDFC6" w:rsidRPr="00B363AA">
        <w:t xml:space="preserve">de </w:t>
      </w:r>
      <w:r w:rsidRPr="00B363AA">
        <w:t>sens pédologique (</w:t>
      </w:r>
      <w:r w:rsidR="00D244E2" w:rsidRPr="00B363AA">
        <w:t xml:space="preserve">voir </w:t>
      </w:r>
      <w:r w:rsidRPr="00B363AA">
        <w:t>partie</w:t>
      </w:r>
      <w:r w:rsidR="00D244E2" w:rsidRPr="00B363AA">
        <w:t xml:space="preserve"> </w:t>
      </w:r>
      <w:r w:rsidR="00D244E2" w:rsidRPr="00B363AA">
        <w:fldChar w:fldCharType="begin"/>
      </w:r>
      <w:r w:rsidR="00D244E2" w:rsidRPr="00B363AA">
        <w:instrText xml:space="preserve"> REF _Ref233110970 \r \h </w:instrText>
      </w:r>
      <w:r w:rsidR="00D244E2" w:rsidRPr="00B363AA">
        <w:fldChar w:fldCharType="separate"/>
      </w:r>
      <w:r w:rsidR="001A7BE1" w:rsidRPr="00B363AA">
        <w:t>4.1.1</w:t>
      </w:r>
      <w:r w:rsidR="00D244E2" w:rsidRPr="00B363AA">
        <w:fldChar w:fldCharType="end"/>
      </w:r>
      <w:r w:rsidRPr="00B363AA">
        <w:t xml:space="preserve">), </w:t>
      </w:r>
      <w:r w:rsidR="64D4DBCF" w:rsidRPr="00B363AA">
        <w:t>il</w:t>
      </w:r>
      <w:r w:rsidRPr="00B363AA">
        <w:t xml:space="preserve"> présente un </w:t>
      </w:r>
      <w:r w:rsidR="76C5362C" w:rsidRPr="00B363AA">
        <w:t>intérêt</w:t>
      </w:r>
      <w:r w:rsidRPr="00B363AA">
        <w:t xml:space="preserve"> opérationnel non-négligeable pour répondre aux besoins du secteur de l’aménagement du territoire.</w:t>
      </w:r>
    </w:p>
    <w:p w14:paraId="5F9791F4" w14:textId="110E79FE" w:rsidR="0031708A" w:rsidRPr="00B363AA" w:rsidRDefault="4D0AE0EE" w:rsidP="0031708A">
      <w:r w:rsidRPr="00B363AA">
        <w:t>C</w:t>
      </w:r>
      <w:r w:rsidR="0031708A" w:rsidRPr="00B363AA">
        <w:t xml:space="preserve">ette étape implique une hiérarchisation des services écosystémiques via une pondération des scores de </w:t>
      </w:r>
      <w:r w:rsidR="00D91119" w:rsidRPr="00B363AA">
        <w:t>service écosystémique</w:t>
      </w:r>
      <w:r w:rsidR="406A25C8" w:rsidRPr="00B363AA">
        <w:t xml:space="preserve"> pour un usage donné</w:t>
      </w:r>
      <w:r w:rsidR="0031708A" w:rsidRPr="00B363AA">
        <w:t>.</w:t>
      </w:r>
      <w:r w:rsidR="37CF0E85" w:rsidRPr="00B363AA">
        <w:t xml:space="preserve"> La pondération est établie sur base des priorités des parties prenantes telles qu’elles ont été identifiées dans la phase de consultation des secteurs.</w:t>
      </w:r>
      <w:r w:rsidR="0031708A" w:rsidRPr="00B363AA">
        <w:t xml:space="preserve"> </w:t>
      </w:r>
      <w:r w:rsidR="3BFE7A9A" w:rsidRPr="00B363AA">
        <w:t>L’IQSW-pro global correspond</w:t>
      </w:r>
      <w:r w:rsidR="3435F5D3" w:rsidRPr="00B363AA">
        <w:t>, en pratique,</w:t>
      </w:r>
      <w:r w:rsidR="11FB0385" w:rsidRPr="00B363AA">
        <w:t xml:space="preserve"> à la capacité du sol à rencontrer les </w:t>
      </w:r>
      <w:r w:rsidR="00D91119" w:rsidRPr="00B363AA">
        <w:t xml:space="preserve">services </w:t>
      </w:r>
      <w:r w:rsidR="11FB0385" w:rsidRPr="00B363AA">
        <w:t>jugés prioritaires pour l’usage considéré.</w:t>
      </w:r>
      <w:r w:rsidR="0031708A" w:rsidRPr="00B363AA">
        <w:t xml:space="preserve">  </w:t>
      </w:r>
    </w:p>
    <w:p w14:paraId="0C8E5FFD" w14:textId="1E5349AC" w:rsidR="0031708A" w:rsidRPr="00B363AA" w:rsidRDefault="0031708A">
      <w:pPr>
        <w:pStyle w:val="Titre3"/>
        <w:numPr>
          <w:ilvl w:val="2"/>
          <w:numId w:val="12"/>
        </w:numPr>
      </w:pPr>
      <w:bookmarkStart w:id="162" w:name="_Toc241243001"/>
      <w:r w:rsidRPr="00B363AA">
        <w:t>Délimitation des usages</w:t>
      </w:r>
      <w:bookmarkEnd w:id="162"/>
    </w:p>
    <w:p w14:paraId="641AAE58" w14:textId="77777777" w:rsidR="001D4E19" w:rsidRPr="00B363AA" w:rsidRDefault="001D4E19" w:rsidP="001D4E19">
      <w:r w:rsidRPr="00B363AA">
        <w:t>La définition d’un score IQSW-global par usage implique une délimitation des catégories d’usages en adéquation avec la réflexion sur la qualité du sol. En effet, il faut adopter une catégorisation en lien avec les objectifs opérationnels des gestionnaires concernant les zones « perméables » (non-scellées), les zones imperméables sortant du cadre d’évaluation de l’outil.</w:t>
      </w:r>
    </w:p>
    <w:p w14:paraId="0609FD79" w14:textId="332816DF" w:rsidR="002F0F27" w:rsidRPr="00B363AA" w:rsidRDefault="001D4E19" w:rsidP="001D4E19">
      <w:r w:rsidRPr="00B363AA">
        <w:t xml:space="preserve">Ainsi, des grandes « catégories d’usages IQSW » ont été définies, représentatives des scénarios type d’utilisation d’une zone perméable. La table de correspondance entre cette délimitation d’usage et les usages de droit (Plan de Secteur) et les usages de fait (tels que définis par le Décret sols) est présentée en Annexe </w:t>
      </w:r>
      <w:r w:rsidR="00177953" w:rsidRPr="00B363AA">
        <w:t>3</w:t>
      </w:r>
      <w:r w:rsidR="001A26A7" w:rsidRPr="00B363AA">
        <w:t xml:space="preserve"> – Tables de correspondance des usages</w:t>
      </w:r>
      <w:r w:rsidRPr="00B363AA">
        <w:t xml:space="preserve">. </w:t>
      </w:r>
      <w:r w:rsidR="005F6CC0" w:rsidRPr="00B363AA">
        <w:t xml:space="preserve">Les </w:t>
      </w:r>
      <w:r w:rsidR="009477F3" w:rsidRPr="00B363AA">
        <w:t>catégories d’usages</w:t>
      </w:r>
      <w:r w:rsidR="002F0F27" w:rsidRPr="00B363AA">
        <w:t xml:space="preserve"> IQSW</w:t>
      </w:r>
      <w:r w:rsidR="005F6CC0" w:rsidRPr="00B363AA">
        <w:t xml:space="preserve"> sont délimitées de la façon suivante :</w:t>
      </w:r>
    </w:p>
    <w:p w14:paraId="226391AF" w14:textId="0632FD7F" w:rsidR="002F0F27" w:rsidRPr="00B363AA" w:rsidRDefault="002F0F27">
      <w:pPr>
        <w:pStyle w:val="Paragraphedeliste"/>
        <w:numPr>
          <w:ilvl w:val="0"/>
          <w:numId w:val="25"/>
        </w:numPr>
      </w:pPr>
      <w:r w:rsidRPr="00B363AA">
        <w:rPr>
          <w:b/>
          <w:bCs/>
        </w:rPr>
        <w:t>Zone naturelle</w:t>
      </w:r>
      <w:r w:rsidR="0061532D" w:rsidRPr="00B363AA">
        <w:t> :</w:t>
      </w:r>
      <w:r w:rsidR="00FA7A9E" w:rsidRPr="00B363AA">
        <w:t xml:space="preserve"> </w:t>
      </w:r>
      <w:r w:rsidR="00DF010C" w:rsidRPr="00B363AA">
        <w:t>zone dont l’objectif premier est la préservation de la biodiversité</w:t>
      </w:r>
      <w:r w:rsidR="005451A5" w:rsidRPr="00B363AA">
        <w:t>, par exemple</w:t>
      </w:r>
      <w:r w:rsidR="00E338D5" w:rsidRPr="00B363AA">
        <w:t xml:space="preserve"> les forêts naturelles, </w:t>
      </w:r>
      <w:r w:rsidR="005451A5" w:rsidRPr="00B363AA">
        <w:t xml:space="preserve">les </w:t>
      </w:r>
      <w:r w:rsidR="00E338D5" w:rsidRPr="00B363AA">
        <w:t xml:space="preserve">zones humides, </w:t>
      </w:r>
      <w:r w:rsidR="005451A5" w:rsidRPr="00B363AA">
        <w:t xml:space="preserve">les </w:t>
      </w:r>
      <w:r w:rsidR="00E338D5" w:rsidRPr="00B363AA">
        <w:t>prairies naturelles etc.</w:t>
      </w:r>
      <w:r w:rsidR="00584CA2" w:rsidRPr="00B363AA">
        <w:t> ;</w:t>
      </w:r>
    </w:p>
    <w:p w14:paraId="017B4E4F" w14:textId="2F0DFEC2" w:rsidR="002F0F27" w:rsidRPr="00B363AA" w:rsidRDefault="002F0F27">
      <w:pPr>
        <w:pStyle w:val="Paragraphedeliste"/>
        <w:numPr>
          <w:ilvl w:val="0"/>
          <w:numId w:val="25"/>
        </w:numPr>
      </w:pPr>
      <w:r w:rsidRPr="00B363AA">
        <w:rPr>
          <w:b/>
          <w:bCs/>
        </w:rPr>
        <w:t>Zone cultivée</w:t>
      </w:r>
      <w:r w:rsidR="0061532D" w:rsidRPr="00B363AA">
        <w:t xml:space="preserve"> : zone </w:t>
      </w:r>
      <w:r w:rsidR="6883112A" w:rsidRPr="00B363AA">
        <w:t xml:space="preserve">exploitée </w:t>
      </w:r>
      <w:r w:rsidR="00DE28F1" w:rsidRPr="00B363AA">
        <w:t xml:space="preserve">à des fins </w:t>
      </w:r>
      <w:r w:rsidR="228B0521" w:rsidRPr="00B363AA">
        <w:t>de production de</w:t>
      </w:r>
      <w:r w:rsidR="00DE28F1" w:rsidRPr="00B363AA">
        <w:t xml:space="preserve"> biomasse</w:t>
      </w:r>
      <w:r w:rsidR="4AE1425E" w:rsidRPr="00B363AA">
        <w:t>,</w:t>
      </w:r>
      <w:r w:rsidR="009B5835" w:rsidRPr="00B363AA">
        <w:t xml:space="preserve"> </w:t>
      </w:r>
      <w:r w:rsidR="33A95BBE" w:rsidRPr="00B363AA">
        <w:t>alimentaire ou non</w:t>
      </w:r>
      <w:r w:rsidR="1E557537" w:rsidRPr="00B363AA">
        <w:t xml:space="preserve"> (ex</w:t>
      </w:r>
      <w:r w:rsidR="16CDB09A" w:rsidRPr="00B363AA">
        <w:t>.</w:t>
      </w:r>
      <w:r w:rsidR="1E557537" w:rsidRPr="00B363AA">
        <w:t xml:space="preserve"> </w:t>
      </w:r>
      <w:r w:rsidR="00DE28F1" w:rsidRPr="00B363AA">
        <w:t xml:space="preserve">les champs, les vergers, les aires de maraîchage, </w:t>
      </w:r>
      <w:r w:rsidR="003E3888" w:rsidRPr="00B363AA">
        <w:t>etc.</w:t>
      </w:r>
      <w:r w:rsidR="2F9B8F8F" w:rsidRPr="00B363AA">
        <w:t>), à l’exception des potagers</w:t>
      </w:r>
      <w:r w:rsidR="00584CA2" w:rsidRPr="00B363AA">
        <w:t> ;</w:t>
      </w:r>
    </w:p>
    <w:p w14:paraId="509581F5" w14:textId="6B06A253" w:rsidR="002F0F27" w:rsidRPr="00B363AA" w:rsidRDefault="002F0F27">
      <w:pPr>
        <w:pStyle w:val="Paragraphedeliste"/>
        <w:numPr>
          <w:ilvl w:val="0"/>
          <w:numId w:val="25"/>
        </w:numPr>
      </w:pPr>
      <w:r w:rsidRPr="00B363AA">
        <w:rPr>
          <w:b/>
          <w:bCs/>
        </w:rPr>
        <w:t>Prairie</w:t>
      </w:r>
      <w:r w:rsidR="003E3888" w:rsidRPr="00B363AA">
        <w:t xml:space="preserve"> : prairies permanentes ou temporaires, </w:t>
      </w:r>
      <w:r w:rsidR="00584CA2" w:rsidRPr="00B363AA">
        <w:t>dont l’usage est principalement agricole (pâturage, fourrage</w:t>
      </w:r>
      <w:r w:rsidR="6292BB69" w:rsidRPr="00B363AA">
        <w:t>,</w:t>
      </w:r>
      <w:r w:rsidR="00584CA2" w:rsidRPr="00B363AA">
        <w:t xml:space="preserve"> etc.)</w:t>
      </w:r>
      <w:r w:rsidR="2485788D" w:rsidRPr="00B363AA">
        <w:t>, par opposition aux prairies naturelles</w:t>
      </w:r>
      <w:r w:rsidR="00584CA2" w:rsidRPr="00B363AA">
        <w:t> ;</w:t>
      </w:r>
    </w:p>
    <w:p w14:paraId="57179EFC" w14:textId="3368203B" w:rsidR="002F0F27" w:rsidRPr="00B363AA" w:rsidRDefault="002F0F27">
      <w:pPr>
        <w:pStyle w:val="Paragraphedeliste"/>
        <w:numPr>
          <w:ilvl w:val="0"/>
          <w:numId w:val="25"/>
        </w:numPr>
      </w:pPr>
      <w:r w:rsidRPr="00B363AA">
        <w:rPr>
          <w:b/>
          <w:bCs/>
        </w:rPr>
        <w:t>Forêt productive</w:t>
      </w:r>
      <w:r w:rsidR="00584CA2" w:rsidRPr="00B363AA">
        <w:t xml:space="preserve"> : </w:t>
      </w:r>
      <w:r w:rsidR="00430704" w:rsidRPr="00B363AA">
        <w:t>peuplement forestier à visée de production de biomasse</w:t>
      </w:r>
      <w:r w:rsidR="009B5835" w:rsidRPr="00B363AA">
        <w:t xml:space="preserve"> (se distingue d’une forêt naturelle) ;</w:t>
      </w:r>
    </w:p>
    <w:p w14:paraId="46941F1F" w14:textId="1EBAF61E" w:rsidR="002F0F27" w:rsidRPr="00B363AA" w:rsidRDefault="002F0F27">
      <w:pPr>
        <w:pStyle w:val="Paragraphedeliste"/>
        <w:numPr>
          <w:ilvl w:val="0"/>
          <w:numId w:val="25"/>
        </w:numPr>
      </w:pPr>
      <w:r w:rsidRPr="00B363AA">
        <w:rPr>
          <w:b/>
          <w:bCs/>
        </w:rPr>
        <w:t>Potager</w:t>
      </w:r>
      <w:r w:rsidR="009B5835" w:rsidRPr="00B363AA">
        <w:t> : zone cultivée à des fins alimentaires dont les produits sont destinés à la consommation personnelle</w:t>
      </w:r>
      <w:r w:rsidR="00732E14" w:rsidRPr="00B363AA">
        <w:t xml:space="preserve"> (usage</w:t>
      </w:r>
      <w:r w:rsidR="00F10968" w:rsidRPr="00B363AA">
        <w:t>s</w:t>
      </w:r>
      <w:r w:rsidR="00732E14" w:rsidRPr="00B363AA">
        <w:t xml:space="preserve"> de type III</w:t>
      </w:r>
      <w:r w:rsidR="00CC726A" w:rsidRPr="00B363AA">
        <w:t xml:space="preserve"> Résidentiel au sens du Décret sols</w:t>
      </w:r>
      <w:r w:rsidR="00732E14" w:rsidRPr="00B363AA">
        <w:t>) ;</w:t>
      </w:r>
    </w:p>
    <w:p w14:paraId="5834FB23" w14:textId="79A5B508" w:rsidR="002B7BD1" w:rsidRPr="00B363AA" w:rsidRDefault="002B7BD1" w:rsidP="002B7BD1">
      <w:pPr>
        <w:pStyle w:val="Paragraphedeliste"/>
        <w:numPr>
          <w:ilvl w:val="0"/>
          <w:numId w:val="25"/>
        </w:numPr>
      </w:pPr>
      <w:r w:rsidRPr="00B363AA">
        <w:rPr>
          <w:b/>
          <w:bCs/>
        </w:rPr>
        <w:t xml:space="preserve">Résidentiel (hors potager) </w:t>
      </w:r>
      <w:r w:rsidRPr="00B363AA">
        <w:t>: toute zone correspondant à un usage</w:t>
      </w:r>
      <w:r w:rsidR="002F21B9" w:rsidRPr="00B363AA">
        <w:t xml:space="preserve"> de</w:t>
      </w:r>
      <w:r w:rsidRPr="00B363AA">
        <w:t xml:space="preserve"> type III au sens du Décret sols (notamment les zones d’habitat et espaces verts), à l’exception des potagers qui constituent une catégorie à part en raison des valeurs de risque employées (consommation de fruits et légumes impliquée) ;</w:t>
      </w:r>
    </w:p>
    <w:p w14:paraId="039340AA" w14:textId="687E810C" w:rsidR="002B7BD1" w:rsidRPr="00B363AA" w:rsidRDefault="002B7BD1" w:rsidP="002B7BD1">
      <w:pPr>
        <w:pStyle w:val="Paragraphedeliste"/>
        <w:numPr>
          <w:ilvl w:val="0"/>
          <w:numId w:val="25"/>
        </w:numPr>
        <w:rPr>
          <w:b/>
          <w:bCs/>
        </w:rPr>
      </w:pPr>
      <w:r w:rsidRPr="00B363AA">
        <w:rPr>
          <w:b/>
          <w:bCs/>
        </w:rPr>
        <w:t>Récréatif / commercial </w:t>
      </w:r>
      <w:r w:rsidRPr="00B363AA">
        <w:t xml:space="preserve">: toute zone correspondant à un usage </w:t>
      </w:r>
      <w:r w:rsidR="00F0118A" w:rsidRPr="00B363AA">
        <w:t xml:space="preserve">de </w:t>
      </w:r>
      <w:r w:rsidRPr="00B363AA">
        <w:t>type IV au sens du Décret sols (notamment les zones de loisirs et de parcs, zone d’activité économique, de services publics et communautaires etc.) ;</w:t>
      </w:r>
    </w:p>
    <w:p w14:paraId="43247028" w14:textId="614C00C8" w:rsidR="002B7BD1" w:rsidRPr="00B363AA" w:rsidRDefault="002B7BD1" w:rsidP="002B7BD1">
      <w:pPr>
        <w:pStyle w:val="Paragraphedeliste"/>
        <w:numPr>
          <w:ilvl w:val="0"/>
          <w:numId w:val="25"/>
        </w:numPr>
        <w:rPr>
          <w:b/>
          <w:bCs/>
        </w:rPr>
      </w:pPr>
      <w:r w:rsidRPr="00B363AA">
        <w:rPr>
          <w:b/>
          <w:bCs/>
        </w:rPr>
        <w:t xml:space="preserve">Industriel </w:t>
      </w:r>
      <w:r w:rsidRPr="00B363AA">
        <w:t>: toute zone correspondant à un usage</w:t>
      </w:r>
      <w:r w:rsidR="00F0118A" w:rsidRPr="00B363AA">
        <w:t xml:space="preserve"> de</w:t>
      </w:r>
      <w:r w:rsidRPr="00B363AA">
        <w:t xml:space="preserve"> type V au sens du Décret sols (notamment les zones d’activités économiques à caractère industriel).</w:t>
      </w:r>
    </w:p>
    <w:p w14:paraId="70314522" w14:textId="2BBE4B57" w:rsidR="00C22238" w:rsidRPr="00B363AA" w:rsidRDefault="316C7CA9" w:rsidP="000D59CF">
      <w:r w:rsidRPr="00B363AA">
        <w:lastRenderedPageBreak/>
        <w:t>Pour c</w:t>
      </w:r>
      <w:r w:rsidR="00F4574C" w:rsidRPr="00B363AA">
        <w:t>haque</w:t>
      </w:r>
      <w:r w:rsidR="00692FCD" w:rsidRPr="00B363AA">
        <w:t xml:space="preserve"> catégorie d’usage</w:t>
      </w:r>
      <w:r w:rsidR="00F4574C" w:rsidRPr="00B363AA">
        <w:t xml:space="preserve"> </w:t>
      </w:r>
      <w:r w:rsidR="6BF49A18" w:rsidRPr="00B363AA">
        <w:t xml:space="preserve">un score global est calculé sur </w:t>
      </w:r>
      <w:r w:rsidR="5F94E03A" w:rsidRPr="00B363AA">
        <w:t xml:space="preserve">base des scores </w:t>
      </w:r>
      <w:r w:rsidR="73A099B3" w:rsidRPr="00B363AA">
        <w:t xml:space="preserve">des </w:t>
      </w:r>
      <w:r w:rsidR="00D91119" w:rsidRPr="00B363AA">
        <w:t>service écosystémique</w:t>
      </w:r>
      <w:r w:rsidR="5F94E03A" w:rsidRPr="00B363AA">
        <w:t xml:space="preserve"> </w:t>
      </w:r>
      <w:r w:rsidR="5EAC7A6D" w:rsidRPr="00B363AA">
        <w:t>et de</w:t>
      </w:r>
      <w:r w:rsidR="00692FCD" w:rsidRPr="00B363AA">
        <w:t xml:space="preserve"> coefficient</w:t>
      </w:r>
      <w:r w:rsidR="308A2496" w:rsidRPr="00B363AA">
        <w:t>s</w:t>
      </w:r>
      <w:r w:rsidR="00692FCD" w:rsidRPr="00B363AA">
        <w:t xml:space="preserve"> de pondération associé</w:t>
      </w:r>
      <w:r w:rsidR="4D6D04C3" w:rsidRPr="00B363AA">
        <w:t>s</w:t>
      </w:r>
      <w:r w:rsidR="00692FCD" w:rsidRPr="00B363AA">
        <w:t xml:space="preserve"> à chaque </w:t>
      </w:r>
      <w:r w:rsidR="00D91119" w:rsidRPr="00B363AA">
        <w:t xml:space="preserve">service </w:t>
      </w:r>
      <w:r w:rsidR="00692FCD" w:rsidRPr="00B363AA">
        <w:t>en fonction de son importance pour l’usage considéré.</w:t>
      </w:r>
    </w:p>
    <w:p w14:paraId="71B2D1CE" w14:textId="69F7A6E4" w:rsidR="0031708A" w:rsidRPr="00B363AA" w:rsidRDefault="0031708A">
      <w:pPr>
        <w:pStyle w:val="Titre3"/>
        <w:numPr>
          <w:ilvl w:val="2"/>
          <w:numId w:val="12"/>
        </w:numPr>
      </w:pPr>
      <w:bookmarkStart w:id="163" w:name="_Toc241243002"/>
      <w:r w:rsidRPr="00B363AA">
        <w:t xml:space="preserve">Pondération des </w:t>
      </w:r>
      <w:r w:rsidR="00D91119" w:rsidRPr="00B363AA">
        <w:t>services</w:t>
      </w:r>
      <w:r w:rsidRPr="00B363AA">
        <w:t xml:space="preserve"> </w:t>
      </w:r>
      <w:r w:rsidR="00AC3D26" w:rsidRPr="00B363AA">
        <w:t>dans l’usage</w:t>
      </w:r>
      <w:bookmarkEnd w:id="163"/>
    </w:p>
    <w:p w14:paraId="36C91E3F" w14:textId="77777777" w:rsidR="00CD166D" w:rsidRPr="00B363AA" w:rsidRDefault="000D59CF" w:rsidP="000D59CF">
      <w:r w:rsidRPr="00B363AA">
        <w:t>La définition des coefficients de pondération</w:t>
      </w:r>
      <w:r w:rsidR="000760C6" w:rsidRPr="00B363AA">
        <w:t xml:space="preserve"> </w:t>
      </w:r>
      <w:r w:rsidR="00CD166D" w:rsidRPr="00B363AA">
        <w:t>se base sur la logique suivante :</w:t>
      </w:r>
    </w:p>
    <w:p w14:paraId="1DBA26B4" w14:textId="489C370B" w:rsidR="00E47416" w:rsidRPr="00B363AA" w:rsidRDefault="00CD166D">
      <w:pPr>
        <w:pStyle w:val="Paragraphedeliste"/>
        <w:numPr>
          <w:ilvl w:val="0"/>
          <w:numId w:val="13"/>
        </w:numPr>
      </w:pPr>
      <w:r w:rsidRPr="00B363AA">
        <w:t xml:space="preserve">Identification du (des) </w:t>
      </w:r>
      <w:r w:rsidR="00D91119" w:rsidRPr="00B363AA">
        <w:t>service(s)</w:t>
      </w:r>
      <w:r w:rsidRPr="00B363AA">
        <w:t xml:space="preserve"> prioritaire(s)</w:t>
      </w:r>
      <w:r w:rsidR="00E47416" w:rsidRPr="00B363AA">
        <w:t xml:space="preserve"> </w:t>
      </w:r>
      <w:r w:rsidR="00D55802" w:rsidRPr="00B363AA">
        <w:t xml:space="preserve">: chaque usage </w:t>
      </w:r>
      <w:r w:rsidR="00FF4395" w:rsidRPr="00B363AA">
        <w:t xml:space="preserve">est lié </w:t>
      </w:r>
      <w:r w:rsidR="006C3031" w:rsidRPr="00B363AA">
        <w:t xml:space="preserve">à un service écosystémique </w:t>
      </w:r>
      <w:r w:rsidR="7F9F41EA" w:rsidRPr="00B363AA">
        <w:t>jugé</w:t>
      </w:r>
      <w:r w:rsidR="006C3031" w:rsidRPr="00B363AA">
        <w:t xml:space="preserve"> prioritaire</w:t>
      </w:r>
      <w:r w:rsidR="00632F11" w:rsidRPr="00B363AA">
        <w:t> </w:t>
      </w:r>
      <w:r w:rsidR="0F12E871" w:rsidRPr="00B363AA">
        <w:t xml:space="preserve">pour l’usage </w:t>
      </w:r>
      <w:r w:rsidR="00E47416" w:rsidRPr="00B363AA">
        <w:t xml:space="preserve">(par exemple, le </w:t>
      </w:r>
      <w:r w:rsidR="00D91119" w:rsidRPr="00B363AA">
        <w:t>service</w:t>
      </w:r>
      <w:r w:rsidR="00E47416" w:rsidRPr="00B363AA">
        <w:t xml:space="preserve"> </w:t>
      </w:r>
      <w:r w:rsidR="00E47416" w:rsidRPr="00B363AA">
        <w:rPr>
          <w:i/>
          <w:iCs/>
        </w:rPr>
        <w:t>Production – cultures</w:t>
      </w:r>
      <w:r w:rsidR="00E47416" w:rsidRPr="00B363AA">
        <w:t xml:space="preserve"> pour l’usage </w:t>
      </w:r>
      <w:r w:rsidR="00E47416" w:rsidRPr="00B363AA">
        <w:rPr>
          <w:i/>
          <w:iCs/>
        </w:rPr>
        <w:t>Zone cultivée</w:t>
      </w:r>
      <w:r w:rsidR="00E47416" w:rsidRPr="00B363AA">
        <w:t>) ;</w:t>
      </w:r>
    </w:p>
    <w:p w14:paraId="6EBEA324" w14:textId="0DC3959D" w:rsidR="00CD166D" w:rsidRPr="00B363AA" w:rsidRDefault="00E47416">
      <w:pPr>
        <w:pStyle w:val="Paragraphedeliste"/>
        <w:numPr>
          <w:ilvl w:val="0"/>
          <w:numId w:val="13"/>
        </w:numPr>
      </w:pPr>
      <w:r w:rsidRPr="00B363AA">
        <w:t xml:space="preserve">Valorisation de </w:t>
      </w:r>
      <w:r w:rsidR="00632F11" w:rsidRPr="00B363AA">
        <w:t>services conjoints</w:t>
      </w:r>
      <w:r w:rsidRPr="00B363AA">
        <w:t> :</w:t>
      </w:r>
      <w:r w:rsidR="00632F11" w:rsidRPr="00B363AA">
        <w:t xml:space="preserve"> des </w:t>
      </w:r>
      <w:r w:rsidR="00D91119" w:rsidRPr="00B363AA">
        <w:t>services</w:t>
      </w:r>
      <w:r w:rsidR="00632F11" w:rsidRPr="00B363AA">
        <w:t xml:space="preserve"> </w:t>
      </w:r>
      <w:r w:rsidR="63E6F0A6" w:rsidRPr="00B363AA">
        <w:t>secondaires</w:t>
      </w:r>
      <w:r w:rsidR="7EADA462" w:rsidRPr="00B363AA">
        <w:t>,</w:t>
      </w:r>
      <w:r w:rsidR="00632F11" w:rsidRPr="00B363AA">
        <w:t xml:space="preserve"> </w:t>
      </w:r>
      <w:r w:rsidR="007E519F" w:rsidRPr="00B363AA">
        <w:t xml:space="preserve">mais </w:t>
      </w:r>
      <w:r w:rsidR="2FD8F08E" w:rsidRPr="00B363AA">
        <w:t>néanmoins</w:t>
      </w:r>
      <w:r w:rsidR="007E519F" w:rsidRPr="00B363AA">
        <w:t xml:space="preserve"> importants à considérer </w:t>
      </w:r>
      <w:r w:rsidR="4ABE1865" w:rsidRPr="00B363AA">
        <w:t>pour l’usage considéré</w:t>
      </w:r>
      <w:r w:rsidR="6303BFAC" w:rsidRPr="00B363AA">
        <w:t>,</w:t>
      </w:r>
      <w:r w:rsidR="4ABE1865" w:rsidRPr="00B363AA">
        <w:t xml:space="preserve"> </w:t>
      </w:r>
      <w:r w:rsidR="007E519F" w:rsidRPr="00B363AA">
        <w:t>sont</w:t>
      </w:r>
      <w:r w:rsidR="00632F11" w:rsidRPr="00B363AA">
        <w:t xml:space="preserve"> </w:t>
      </w:r>
      <w:r w:rsidRPr="00B363AA">
        <w:t>pris en compte avec une pondération moindre. Par exemple, le stockage de carbone</w:t>
      </w:r>
      <w:r w:rsidR="00307ED0" w:rsidRPr="00B363AA">
        <w:t xml:space="preserve"> est pris en compte avec une pondération moindre dans chaque usage car, bien que </w:t>
      </w:r>
      <w:r w:rsidR="6DE6F4D2" w:rsidRPr="00B363AA">
        <w:t xml:space="preserve">ce stockage </w:t>
      </w:r>
      <w:r w:rsidR="4B886A7A" w:rsidRPr="00B363AA">
        <w:t xml:space="preserve">dans le sol </w:t>
      </w:r>
      <w:r w:rsidR="6DE6F4D2" w:rsidRPr="00B363AA">
        <w:t xml:space="preserve">ne soit la finalité première </w:t>
      </w:r>
      <w:r w:rsidR="00A8610E" w:rsidRPr="00B363AA">
        <w:t xml:space="preserve">d’aucun </w:t>
      </w:r>
      <w:r w:rsidR="00D91119" w:rsidRPr="00B363AA">
        <w:t>service</w:t>
      </w:r>
      <w:r w:rsidR="00244C00" w:rsidRPr="00B363AA">
        <w:t xml:space="preserve"> (outre les effets positifs de la matière organique inclus </w:t>
      </w:r>
      <w:r w:rsidR="002A3B09" w:rsidRPr="00B363AA">
        <w:t xml:space="preserve">directement dans les </w:t>
      </w:r>
      <w:r w:rsidR="00D91119" w:rsidRPr="00B363AA">
        <w:t>services</w:t>
      </w:r>
      <w:r w:rsidR="002A3B09" w:rsidRPr="00B363AA">
        <w:t xml:space="preserve"> considérés)</w:t>
      </w:r>
      <w:r w:rsidR="00A8610E" w:rsidRPr="00B363AA">
        <w:t xml:space="preserve">, </w:t>
      </w:r>
      <w:r w:rsidR="386CC7F3" w:rsidRPr="00B363AA">
        <w:t xml:space="preserve">il présente un </w:t>
      </w:r>
      <w:r w:rsidR="00AA541B" w:rsidRPr="00B363AA">
        <w:t xml:space="preserve">levier d’action </w:t>
      </w:r>
      <w:r w:rsidR="6820E52E" w:rsidRPr="00B363AA">
        <w:t>majeur</w:t>
      </w:r>
      <w:r w:rsidR="00AA541B" w:rsidRPr="00B363AA">
        <w:t xml:space="preserve"> pour </w:t>
      </w:r>
      <w:r w:rsidR="00E302C6" w:rsidRPr="00B363AA">
        <w:t>mitiger les effets du changement climatique</w:t>
      </w:r>
      <w:r w:rsidR="7D77E066" w:rsidRPr="00B363AA">
        <w:t xml:space="preserve"> et est, à ce titre, un </w:t>
      </w:r>
      <w:r w:rsidR="00D91119" w:rsidRPr="00B363AA">
        <w:t>service</w:t>
      </w:r>
      <w:r w:rsidR="7D77E066" w:rsidRPr="00B363AA">
        <w:t xml:space="preserve"> secondaire important pour chaque usage</w:t>
      </w:r>
      <w:r w:rsidR="002A3B09" w:rsidRPr="00B363AA">
        <w:t> ;</w:t>
      </w:r>
    </w:p>
    <w:p w14:paraId="35EAB40C" w14:textId="21510D7C" w:rsidR="0073563B" w:rsidRPr="00B363AA" w:rsidRDefault="00CD166D">
      <w:pPr>
        <w:pStyle w:val="Paragraphedeliste"/>
        <w:numPr>
          <w:ilvl w:val="0"/>
          <w:numId w:val="13"/>
        </w:numPr>
      </w:pPr>
      <w:r w:rsidRPr="00B363AA">
        <w:t>Mise en cohérence avec</w:t>
      </w:r>
      <w:r w:rsidR="000D59CF" w:rsidRPr="00B363AA">
        <w:t xml:space="preserve"> l’avis d’experts : lors des séances de consultation des parties prenantes, un exercice de priorisation des services écosystémiques en fonction de l’usage du sol avait été proposé. L’analyse des conclusions a permis </w:t>
      </w:r>
      <w:r w:rsidR="0073563B" w:rsidRPr="00B363AA">
        <w:t>d’alimenter la réflexion autour de la construction de</w:t>
      </w:r>
      <w:r w:rsidR="000D59CF" w:rsidRPr="00B363AA">
        <w:t xml:space="preserve"> </w:t>
      </w:r>
      <w:r w:rsidR="00663B0E" w:rsidRPr="00B363AA">
        <w:t>la</w:t>
      </w:r>
      <w:r w:rsidR="000D59CF" w:rsidRPr="00B363AA">
        <w:t xml:space="preserve"> table de pondération</w:t>
      </w:r>
      <w:r w:rsidR="0073563B" w:rsidRPr="00B363AA">
        <w:t>.</w:t>
      </w:r>
    </w:p>
    <w:p w14:paraId="2FFB2FD4" w14:textId="68E7F70B" w:rsidR="009F0B21" w:rsidRPr="00B363AA" w:rsidRDefault="0073563B" w:rsidP="0073563B">
      <w:r w:rsidRPr="00B363AA">
        <w:t>Le</w:t>
      </w:r>
      <w:r w:rsidR="00A25DF2" w:rsidRPr="00B363AA">
        <w:t xml:space="preserve"> </w:t>
      </w:r>
      <w:r w:rsidR="004156AD" w:rsidRPr="00B363AA">
        <w:fldChar w:fldCharType="begin"/>
      </w:r>
      <w:r w:rsidR="004156AD" w:rsidRPr="00B363AA">
        <w:instrText xml:space="preserve"> REF _Ref241076627 \h  \* MERGEFORMAT </w:instrText>
      </w:r>
      <w:r w:rsidR="004156AD" w:rsidRPr="00B363AA">
        <w:fldChar w:fldCharType="separate"/>
      </w:r>
      <w:r w:rsidR="003D7F8A" w:rsidRPr="00B363AA">
        <w:t>Tableau 5</w:t>
      </w:r>
      <w:r w:rsidR="004156AD" w:rsidRPr="00B363AA">
        <w:fldChar w:fldCharType="end"/>
      </w:r>
      <w:r w:rsidR="004156AD" w:rsidRPr="00B363AA">
        <w:t xml:space="preserve"> </w:t>
      </w:r>
      <w:r w:rsidR="00A25DF2" w:rsidRPr="00B363AA">
        <w:t>reprend, pour une série de « catégories d’usage IQSW »</w:t>
      </w:r>
      <w:r w:rsidR="00C443D1" w:rsidRPr="00B363AA">
        <w:t xml:space="preserve">, un coefficient de pondération associé à chaque </w:t>
      </w:r>
      <w:r w:rsidR="00D91119" w:rsidRPr="00B363AA">
        <w:t>service écosystémique</w:t>
      </w:r>
      <w:r w:rsidR="00C443D1" w:rsidRPr="00B363AA">
        <w:t xml:space="preserve"> en fonction de son importance pour</w:t>
      </w:r>
      <w:r w:rsidR="00D758CF" w:rsidRPr="00B363AA">
        <w:t xml:space="preserve"> l’usage considéré. </w:t>
      </w:r>
    </w:p>
    <w:p w14:paraId="50979F94" w14:textId="77777777" w:rsidR="00101C82" w:rsidRPr="00B363AA" w:rsidRDefault="00101C82" w:rsidP="000D59CF"/>
    <w:p w14:paraId="6E0C17CE" w14:textId="59C2C3AD" w:rsidR="00101C82" w:rsidRPr="00B363AA" w:rsidRDefault="00101C82" w:rsidP="000D59CF">
      <w:pPr>
        <w:sectPr w:rsidR="00101C82" w:rsidRPr="00B363AA" w:rsidSect="009B5F57">
          <w:headerReference w:type="even" r:id="rId28"/>
          <w:headerReference w:type="default" r:id="rId29"/>
          <w:footerReference w:type="even" r:id="rId30"/>
          <w:footerReference w:type="default" r:id="rId31"/>
          <w:headerReference w:type="first" r:id="rId32"/>
          <w:footerReference w:type="first" r:id="rId33"/>
          <w:pgSz w:w="11906" w:h="16838"/>
          <w:pgMar w:top="1418" w:right="1418" w:bottom="1418" w:left="1418" w:header="709" w:footer="709" w:gutter="0"/>
          <w:pgNumType w:chapStyle="1"/>
          <w:cols w:space="708"/>
          <w:titlePg/>
          <w:docGrid w:linePitch="360"/>
        </w:sectPr>
      </w:pPr>
    </w:p>
    <w:p w14:paraId="3B738621" w14:textId="77777777" w:rsidR="005154CC" w:rsidRPr="00B363AA" w:rsidRDefault="005154CC" w:rsidP="000D59CF"/>
    <w:p w14:paraId="2AA98F56" w14:textId="651B842D" w:rsidR="00AB2F27" w:rsidRPr="00B363AA" w:rsidRDefault="00AB2F27" w:rsidP="00AB2F27">
      <w:pPr>
        <w:pStyle w:val="Lgende"/>
        <w:keepNext/>
        <w:jc w:val="center"/>
        <w:rPr>
          <w:i w:val="0"/>
          <w:iCs w:val="0"/>
        </w:rPr>
      </w:pPr>
      <w:bookmarkStart w:id="164" w:name="_Ref241076627"/>
      <w:r w:rsidRPr="00B363AA">
        <w:rPr>
          <w:i w:val="0"/>
          <w:iCs w:val="0"/>
        </w:rPr>
        <w:t xml:space="preserve">Tableau </w:t>
      </w:r>
      <w:r w:rsidRPr="00B363AA">
        <w:rPr>
          <w:i w:val="0"/>
          <w:iCs w:val="0"/>
        </w:rPr>
        <w:fldChar w:fldCharType="begin"/>
      </w:r>
      <w:r w:rsidRPr="00B363AA">
        <w:rPr>
          <w:i w:val="0"/>
          <w:iCs w:val="0"/>
        </w:rPr>
        <w:instrText xml:space="preserve"> SEQ Tableau \* ARABIC </w:instrText>
      </w:r>
      <w:r w:rsidRPr="00B363AA">
        <w:rPr>
          <w:i w:val="0"/>
          <w:iCs w:val="0"/>
        </w:rPr>
        <w:fldChar w:fldCharType="separate"/>
      </w:r>
      <w:r w:rsidR="003D7F8A" w:rsidRPr="00B363AA">
        <w:rPr>
          <w:i w:val="0"/>
          <w:iCs w:val="0"/>
        </w:rPr>
        <w:t>5</w:t>
      </w:r>
      <w:r w:rsidRPr="00B363AA">
        <w:rPr>
          <w:i w:val="0"/>
          <w:iCs w:val="0"/>
        </w:rPr>
        <w:fldChar w:fldCharType="end"/>
      </w:r>
      <w:bookmarkEnd w:id="164"/>
      <w:r w:rsidRPr="00B363AA">
        <w:rPr>
          <w:i w:val="0"/>
          <w:iCs w:val="0"/>
        </w:rPr>
        <w:t xml:space="preserve"> : Pondération des services écosystémiques dans un usage donné pour le calcul du score IQSW-pro. Les catégories d’usage IQSW-pro sont mises en parallèle avec les usages de droit (Plan de Secteur) et les usages de fait (tels que définis par le Décret sols</w:t>
      </w:r>
      <w:r w:rsidR="004156AD" w:rsidRPr="00B363AA">
        <w:rPr>
          <w:i w:val="0"/>
          <w:iCs w:val="0"/>
        </w:rPr>
        <w:t xml:space="preserve">) dans une table de correspondance présentée en Annexe </w:t>
      </w:r>
      <w:r w:rsidR="00177953" w:rsidRPr="00B363AA">
        <w:rPr>
          <w:i w:val="0"/>
          <w:iCs w:val="0"/>
        </w:rPr>
        <w:t>3</w:t>
      </w:r>
      <w:r w:rsidR="004156AD" w:rsidRPr="00B363AA">
        <w:rPr>
          <w:i w:val="0"/>
          <w:iCs w:val="0"/>
        </w:rPr>
        <w:t>.</w:t>
      </w:r>
    </w:p>
    <w:tbl>
      <w:tblPr>
        <w:tblStyle w:val="Grilledutableau"/>
        <w:tblW w:w="13619" w:type="dxa"/>
        <w:jc w:val="center"/>
        <w:tblLayout w:type="fixed"/>
        <w:tblLook w:val="04A0" w:firstRow="1" w:lastRow="0" w:firstColumn="1" w:lastColumn="0" w:noHBand="0" w:noVBand="1"/>
      </w:tblPr>
      <w:tblGrid>
        <w:gridCol w:w="704"/>
        <w:gridCol w:w="2268"/>
        <w:gridCol w:w="851"/>
        <w:gridCol w:w="860"/>
        <w:gridCol w:w="846"/>
        <w:gridCol w:w="719"/>
        <w:gridCol w:w="992"/>
        <w:gridCol w:w="982"/>
        <w:gridCol w:w="1145"/>
        <w:gridCol w:w="1134"/>
        <w:gridCol w:w="992"/>
        <w:gridCol w:w="992"/>
        <w:gridCol w:w="1134"/>
      </w:tblGrid>
      <w:tr w:rsidR="00DE3299" w:rsidRPr="00B363AA" w14:paraId="6738806F" w14:textId="77777777" w:rsidTr="00F90FA1">
        <w:trPr>
          <w:cantSplit/>
          <w:trHeight w:val="380"/>
          <w:jc w:val="center"/>
        </w:trPr>
        <w:tc>
          <w:tcPr>
            <w:tcW w:w="70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textDirection w:val="btLr"/>
            <w:vAlign w:val="center"/>
          </w:tcPr>
          <w:p w14:paraId="01442847" w14:textId="77777777" w:rsidR="00DE3299" w:rsidRPr="00B363AA" w:rsidRDefault="00DE3299" w:rsidP="00F90FA1">
            <w:pPr>
              <w:ind w:left="113" w:right="113"/>
              <w:jc w:val="center"/>
              <w:rPr>
                <w:rFonts w:cs="Calibri"/>
                <w:sz w:val="18"/>
                <w:szCs w:val="18"/>
              </w:rPr>
            </w:pPr>
            <w:r w:rsidRPr="00B363AA">
              <w:rPr>
                <w:rFonts w:cs="Calibri"/>
                <w:sz w:val="18"/>
                <w:szCs w:val="18"/>
              </w:rPr>
              <w:t>Type</w:t>
            </w:r>
          </w:p>
        </w:tc>
        <w:tc>
          <w:tcPr>
            <w:tcW w:w="226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2EC9E723" w14:textId="77777777" w:rsidR="00DE3299" w:rsidRPr="00B363AA" w:rsidRDefault="00DE3299" w:rsidP="00F90FA1">
            <w:pPr>
              <w:jc w:val="left"/>
              <w:rPr>
                <w:rFonts w:cs="Calibri"/>
                <w:sz w:val="18"/>
                <w:szCs w:val="18"/>
              </w:rPr>
            </w:pPr>
            <w:r w:rsidRPr="00B363AA">
              <w:rPr>
                <w:rFonts w:cs="Calibri"/>
                <w:sz w:val="18"/>
                <w:szCs w:val="18"/>
              </w:rPr>
              <w:t>Catégorie d'usage IQSW</w:t>
            </w:r>
          </w:p>
        </w:tc>
        <w:tc>
          <w:tcPr>
            <w:tcW w:w="3276"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12B4FE2A" w14:textId="77777777" w:rsidR="00DE3299" w:rsidRPr="00B363AA" w:rsidRDefault="00DE3299" w:rsidP="00F90FA1">
            <w:pPr>
              <w:jc w:val="center"/>
              <w:rPr>
                <w:rFonts w:cs="Calibri"/>
                <w:sz w:val="18"/>
                <w:szCs w:val="18"/>
              </w:rPr>
            </w:pPr>
            <w:r w:rsidRPr="00B363AA">
              <w:rPr>
                <w:rFonts w:cs="Calibri"/>
                <w:sz w:val="18"/>
                <w:szCs w:val="18"/>
              </w:rPr>
              <w:t>Production</w:t>
            </w:r>
          </w:p>
        </w:tc>
        <w:tc>
          <w:tcPr>
            <w:tcW w:w="99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44874512" w14:textId="77777777" w:rsidR="00DE3299" w:rsidRPr="00B363AA" w:rsidRDefault="00DE3299" w:rsidP="00F90FA1">
            <w:pPr>
              <w:jc w:val="center"/>
              <w:rPr>
                <w:rFonts w:cs="Calibri"/>
                <w:sz w:val="18"/>
                <w:szCs w:val="18"/>
              </w:rPr>
            </w:pPr>
            <w:r w:rsidRPr="00B363AA">
              <w:rPr>
                <w:rFonts w:cs="Calibri"/>
                <w:sz w:val="18"/>
                <w:szCs w:val="18"/>
              </w:rPr>
              <w:t>Infiltration</w:t>
            </w:r>
          </w:p>
        </w:tc>
        <w:tc>
          <w:tcPr>
            <w:tcW w:w="98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1471A164" w14:textId="77777777" w:rsidR="00DE3299" w:rsidRPr="00B363AA" w:rsidRDefault="00DE3299" w:rsidP="00F90FA1">
            <w:pPr>
              <w:jc w:val="center"/>
              <w:rPr>
                <w:rFonts w:cs="Calibri"/>
                <w:sz w:val="18"/>
                <w:szCs w:val="18"/>
              </w:rPr>
            </w:pPr>
            <w:r w:rsidRPr="00B363AA">
              <w:rPr>
                <w:rFonts w:cs="Calibri"/>
                <w:sz w:val="18"/>
                <w:szCs w:val="18"/>
              </w:rPr>
              <w:t>Protection nappes</w:t>
            </w:r>
          </w:p>
        </w:tc>
        <w:tc>
          <w:tcPr>
            <w:tcW w:w="114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66492D07" w14:textId="77777777" w:rsidR="00DE3299" w:rsidRPr="00B363AA" w:rsidRDefault="00DE3299" w:rsidP="00F90FA1">
            <w:pPr>
              <w:jc w:val="center"/>
              <w:rPr>
                <w:rFonts w:cs="Calibri"/>
                <w:sz w:val="18"/>
                <w:szCs w:val="18"/>
              </w:rPr>
            </w:pPr>
            <w:r w:rsidRPr="00B363AA">
              <w:rPr>
                <w:rFonts w:cs="Calibri"/>
                <w:sz w:val="18"/>
                <w:szCs w:val="18"/>
              </w:rPr>
              <w:t>Biodiversité du sol</w:t>
            </w:r>
          </w:p>
        </w:tc>
        <w:tc>
          <w:tcPr>
            <w:tcW w:w="113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20514C1F" w14:textId="77777777" w:rsidR="00DE3299" w:rsidRPr="00B363AA" w:rsidRDefault="00DE3299" w:rsidP="00F90FA1">
            <w:pPr>
              <w:jc w:val="center"/>
              <w:rPr>
                <w:rFonts w:cs="Calibri"/>
                <w:sz w:val="18"/>
                <w:szCs w:val="18"/>
              </w:rPr>
            </w:pPr>
            <w:r w:rsidRPr="00B363AA">
              <w:rPr>
                <w:rFonts w:cs="Calibri"/>
                <w:sz w:val="18"/>
                <w:szCs w:val="18"/>
              </w:rPr>
              <w:t>Biodiversité végétale</w:t>
            </w:r>
          </w:p>
        </w:tc>
        <w:tc>
          <w:tcPr>
            <w:tcW w:w="99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69E20E49" w14:textId="77777777" w:rsidR="00DE3299" w:rsidRPr="00B363AA" w:rsidRDefault="00DE3299" w:rsidP="00F90FA1">
            <w:pPr>
              <w:jc w:val="center"/>
              <w:rPr>
                <w:rFonts w:cs="Calibri"/>
                <w:sz w:val="18"/>
                <w:szCs w:val="18"/>
              </w:rPr>
            </w:pPr>
            <w:r w:rsidRPr="00B363AA">
              <w:rPr>
                <w:rFonts w:cs="Calibri"/>
                <w:sz w:val="18"/>
                <w:szCs w:val="18"/>
              </w:rPr>
              <w:t>Stockage carbone</w:t>
            </w:r>
          </w:p>
        </w:tc>
        <w:tc>
          <w:tcPr>
            <w:tcW w:w="99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204AFC3C" w14:textId="77777777" w:rsidR="00DE3299" w:rsidRPr="00B363AA" w:rsidRDefault="00DE3299" w:rsidP="00F90FA1">
            <w:pPr>
              <w:jc w:val="center"/>
              <w:rPr>
                <w:rFonts w:cs="Calibri"/>
                <w:sz w:val="18"/>
                <w:szCs w:val="18"/>
              </w:rPr>
            </w:pPr>
            <w:r w:rsidRPr="00B363AA">
              <w:rPr>
                <w:rFonts w:cs="Calibri"/>
                <w:sz w:val="18"/>
                <w:szCs w:val="18"/>
              </w:rPr>
              <w:t>Support activités humaines (scellé)</w:t>
            </w:r>
          </w:p>
        </w:tc>
        <w:tc>
          <w:tcPr>
            <w:tcW w:w="113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77BB4AFB" w14:textId="77777777" w:rsidR="00DE3299" w:rsidRPr="00B363AA" w:rsidRDefault="00DE3299" w:rsidP="00F90FA1">
            <w:pPr>
              <w:jc w:val="center"/>
              <w:rPr>
                <w:rFonts w:cs="Calibri"/>
                <w:sz w:val="18"/>
                <w:szCs w:val="18"/>
              </w:rPr>
            </w:pPr>
            <w:r w:rsidRPr="00B363AA">
              <w:rPr>
                <w:rFonts w:cs="Calibri"/>
                <w:sz w:val="18"/>
                <w:szCs w:val="18"/>
              </w:rPr>
              <w:t>Patrimoine</w:t>
            </w:r>
          </w:p>
        </w:tc>
      </w:tr>
      <w:tr w:rsidR="00DE3299" w:rsidRPr="00B363AA" w14:paraId="16921CD5" w14:textId="77777777" w:rsidTr="00F90FA1">
        <w:trPr>
          <w:cantSplit/>
          <w:trHeight w:val="413"/>
          <w:jc w:val="center"/>
        </w:trPr>
        <w:tc>
          <w:tcPr>
            <w:tcW w:w="704" w:type="dxa"/>
            <w:vMerge/>
            <w:tcBorders>
              <w:left w:val="single" w:sz="4" w:space="0" w:color="FFFFFF" w:themeColor="background1"/>
              <w:bottom w:val="single" w:sz="4" w:space="0" w:color="auto"/>
              <w:right w:val="single" w:sz="4" w:space="0" w:color="FFFFFF" w:themeColor="background1"/>
            </w:tcBorders>
            <w:shd w:val="clear" w:color="auto" w:fill="0E2841" w:themeFill="text2"/>
            <w:textDirection w:val="btLr"/>
            <w:vAlign w:val="center"/>
          </w:tcPr>
          <w:p w14:paraId="7DA408E6" w14:textId="77777777" w:rsidR="00DE3299" w:rsidRPr="00B363AA" w:rsidRDefault="00DE3299" w:rsidP="00F90FA1">
            <w:pPr>
              <w:ind w:left="113" w:right="113"/>
              <w:jc w:val="center"/>
              <w:rPr>
                <w:rFonts w:cs="Calibri"/>
                <w:sz w:val="18"/>
                <w:szCs w:val="18"/>
              </w:rPr>
            </w:pPr>
          </w:p>
        </w:tc>
        <w:tc>
          <w:tcPr>
            <w:tcW w:w="2268"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18F652F2" w14:textId="77777777" w:rsidR="00DE3299" w:rsidRPr="00B363AA" w:rsidRDefault="00DE3299" w:rsidP="00F90FA1">
            <w:pPr>
              <w:jc w:val="left"/>
              <w:rPr>
                <w:rFonts w:cs="Calibri"/>
                <w:sz w:val="18"/>
                <w:szCs w:val="18"/>
              </w:rPr>
            </w:pPr>
          </w:p>
        </w:tc>
        <w:tc>
          <w:tcPr>
            <w:tcW w:w="851"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tcPr>
          <w:p w14:paraId="3CD8DD43" w14:textId="77777777" w:rsidR="00DE3299" w:rsidRPr="00B363AA" w:rsidRDefault="00DE3299" w:rsidP="00F90FA1">
            <w:pPr>
              <w:jc w:val="center"/>
              <w:rPr>
                <w:rFonts w:cs="Calibri"/>
                <w:sz w:val="18"/>
                <w:szCs w:val="18"/>
              </w:rPr>
            </w:pPr>
            <w:r w:rsidRPr="00B363AA">
              <w:rPr>
                <w:rFonts w:cs="Calibri"/>
                <w:sz w:val="18"/>
                <w:szCs w:val="18"/>
              </w:rPr>
              <w:t>Cultures</w:t>
            </w:r>
          </w:p>
        </w:tc>
        <w:tc>
          <w:tcPr>
            <w:tcW w:w="860"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tcPr>
          <w:p w14:paraId="66AD3AE4" w14:textId="77777777" w:rsidR="00DE3299" w:rsidRPr="00B363AA" w:rsidRDefault="00DE3299" w:rsidP="00F90FA1">
            <w:pPr>
              <w:jc w:val="center"/>
              <w:rPr>
                <w:rFonts w:cs="Calibri"/>
                <w:sz w:val="18"/>
                <w:szCs w:val="18"/>
              </w:rPr>
            </w:pPr>
            <w:r w:rsidRPr="00B363AA">
              <w:rPr>
                <w:rFonts w:cs="Calibri"/>
                <w:sz w:val="18"/>
                <w:szCs w:val="18"/>
              </w:rPr>
              <w:t>Prairies</w:t>
            </w:r>
          </w:p>
        </w:tc>
        <w:tc>
          <w:tcPr>
            <w:tcW w:w="84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tcPr>
          <w:p w14:paraId="1EB917B8" w14:textId="77777777" w:rsidR="00DE3299" w:rsidRPr="00B363AA" w:rsidRDefault="00DE3299" w:rsidP="00F90FA1">
            <w:pPr>
              <w:jc w:val="center"/>
              <w:rPr>
                <w:rFonts w:cs="Calibri"/>
                <w:sz w:val="18"/>
                <w:szCs w:val="18"/>
              </w:rPr>
            </w:pPr>
            <w:r w:rsidRPr="00B363AA">
              <w:rPr>
                <w:rFonts w:cs="Calibri"/>
                <w:sz w:val="18"/>
                <w:szCs w:val="18"/>
              </w:rPr>
              <w:t>Espaces verts</w:t>
            </w:r>
          </w:p>
        </w:tc>
        <w:tc>
          <w:tcPr>
            <w:tcW w:w="71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tcPr>
          <w:p w14:paraId="3DCFADFC" w14:textId="77777777" w:rsidR="00DE3299" w:rsidRPr="00B363AA" w:rsidRDefault="00DE3299" w:rsidP="00F90FA1">
            <w:pPr>
              <w:jc w:val="center"/>
              <w:rPr>
                <w:rFonts w:cs="Calibri"/>
                <w:sz w:val="18"/>
                <w:szCs w:val="18"/>
              </w:rPr>
            </w:pPr>
            <w:r w:rsidRPr="00B363AA">
              <w:rPr>
                <w:rFonts w:cs="Calibri"/>
                <w:sz w:val="18"/>
                <w:szCs w:val="18"/>
              </w:rPr>
              <w:t>Forêts</w:t>
            </w:r>
          </w:p>
        </w:tc>
        <w:tc>
          <w:tcPr>
            <w:tcW w:w="992"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6352629A" w14:textId="77777777" w:rsidR="00DE3299" w:rsidRPr="00B363AA" w:rsidRDefault="00DE3299" w:rsidP="00F90FA1">
            <w:pPr>
              <w:jc w:val="center"/>
              <w:rPr>
                <w:rFonts w:cs="Calibri"/>
                <w:sz w:val="18"/>
                <w:szCs w:val="18"/>
              </w:rPr>
            </w:pPr>
          </w:p>
        </w:tc>
        <w:tc>
          <w:tcPr>
            <w:tcW w:w="982"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6A9DA7C7" w14:textId="77777777" w:rsidR="00DE3299" w:rsidRPr="00B363AA" w:rsidRDefault="00DE3299" w:rsidP="00F90FA1">
            <w:pPr>
              <w:jc w:val="center"/>
              <w:rPr>
                <w:rFonts w:cs="Calibri"/>
                <w:sz w:val="18"/>
                <w:szCs w:val="18"/>
              </w:rPr>
            </w:pPr>
          </w:p>
        </w:tc>
        <w:tc>
          <w:tcPr>
            <w:tcW w:w="1145"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3D3A6478" w14:textId="77777777" w:rsidR="00DE3299" w:rsidRPr="00B363AA" w:rsidRDefault="00DE3299" w:rsidP="00F90FA1">
            <w:pPr>
              <w:jc w:val="center"/>
              <w:rPr>
                <w:rFonts w:cs="Calibri"/>
                <w:sz w:val="18"/>
                <w:szCs w:val="18"/>
              </w:rPr>
            </w:pPr>
          </w:p>
        </w:tc>
        <w:tc>
          <w:tcPr>
            <w:tcW w:w="1134"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042D2E02" w14:textId="77777777" w:rsidR="00DE3299" w:rsidRPr="00B363AA" w:rsidRDefault="00DE3299" w:rsidP="00F90FA1">
            <w:pPr>
              <w:jc w:val="center"/>
              <w:rPr>
                <w:rFonts w:cs="Calibri"/>
                <w:sz w:val="18"/>
                <w:szCs w:val="18"/>
              </w:rPr>
            </w:pPr>
          </w:p>
        </w:tc>
        <w:tc>
          <w:tcPr>
            <w:tcW w:w="992"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544AB11B" w14:textId="77777777" w:rsidR="00DE3299" w:rsidRPr="00B363AA" w:rsidRDefault="00DE3299" w:rsidP="00F90FA1">
            <w:pPr>
              <w:jc w:val="center"/>
              <w:rPr>
                <w:rFonts w:cs="Calibri"/>
                <w:sz w:val="18"/>
                <w:szCs w:val="18"/>
              </w:rPr>
            </w:pPr>
          </w:p>
        </w:tc>
        <w:tc>
          <w:tcPr>
            <w:tcW w:w="992"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5079435B" w14:textId="77777777" w:rsidR="00DE3299" w:rsidRPr="00B363AA" w:rsidRDefault="00DE3299" w:rsidP="00F90FA1">
            <w:pPr>
              <w:jc w:val="center"/>
              <w:rPr>
                <w:rFonts w:cs="Calibri"/>
                <w:sz w:val="18"/>
                <w:szCs w:val="18"/>
              </w:rPr>
            </w:pPr>
          </w:p>
        </w:tc>
        <w:tc>
          <w:tcPr>
            <w:tcW w:w="1134" w:type="dxa"/>
            <w:vMerge/>
            <w:tcBorders>
              <w:left w:val="single" w:sz="4" w:space="0" w:color="FFFFFF" w:themeColor="background1"/>
              <w:bottom w:val="single" w:sz="4" w:space="0" w:color="auto"/>
              <w:right w:val="single" w:sz="4" w:space="0" w:color="FFFFFF" w:themeColor="background1"/>
            </w:tcBorders>
            <w:shd w:val="clear" w:color="auto" w:fill="0E2841" w:themeFill="text2"/>
            <w:vAlign w:val="center"/>
          </w:tcPr>
          <w:p w14:paraId="5719DF23" w14:textId="77777777" w:rsidR="00DE3299" w:rsidRPr="00B363AA" w:rsidRDefault="00DE3299" w:rsidP="00F90FA1">
            <w:pPr>
              <w:jc w:val="center"/>
              <w:rPr>
                <w:rFonts w:cs="Calibri"/>
                <w:sz w:val="18"/>
                <w:szCs w:val="18"/>
              </w:rPr>
            </w:pPr>
          </w:p>
        </w:tc>
      </w:tr>
      <w:tr w:rsidR="00DE3299" w:rsidRPr="00B363AA" w14:paraId="147A7897" w14:textId="77777777" w:rsidTr="00F90FA1">
        <w:trPr>
          <w:cantSplit/>
          <w:trHeight w:val="340"/>
          <w:jc w:val="center"/>
        </w:trPr>
        <w:tc>
          <w:tcPr>
            <w:tcW w:w="704" w:type="dxa"/>
            <w:tcBorders>
              <w:top w:val="single" w:sz="4" w:space="0" w:color="auto"/>
            </w:tcBorders>
            <w:vAlign w:val="center"/>
          </w:tcPr>
          <w:p w14:paraId="7E68C60E" w14:textId="77777777" w:rsidR="00DE3299" w:rsidRPr="00B363AA" w:rsidRDefault="00DE3299" w:rsidP="00F90FA1">
            <w:pPr>
              <w:ind w:left="113" w:right="113"/>
              <w:jc w:val="center"/>
              <w:rPr>
                <w:rFonts w:cs="Calibri"/>
                <w:sz w:val="18"/>
                <w:szCs w:val="18"/>
              </w:rPr>
            </w:pPr>
            <w:r w:rsidRPr="00B363AA">
              <w:rPr>
                <w:rFonts w:cs="Calibri"/>
                <w:sz w:val="18"/>
                <w:szCs w:val="18"/>
              </w:rPr>
              <w:t>I</w:t>
            </w:r>
          </w:p>
        </w:tc>
        <w:tc>
          <w:tcPr>
            <w:tcW w:w="2268" w:type="dxa"/>
            <w:tcBorders>
              <w:top w:val="single" w:sz="4" w:space="0" w:color="auto"/>
              <w:left w:val="single" w:sz="4" w:space="0" w:color="auto"/>
              <w:bottom w:val="single" w:sz="4" w:space="0" w:color="auto"/>
              <w:right w:val="single" w:sz="4" w:space="0" w:color="auto"/>
            </w:tcBorders>
            <w:vAlign w:val="center"/>
          </w:tcPr>
          <w:p w14:paraId="14830D83" w14:textId="77777777" w:rsidR="00DE3299" w:rsidRPr="00B363AA" w:rsidRDefault="00DE3299" w:rsidP="00F90FA1">
            <w:pPr>
              <w:jc w:val="left"/>
              <w:rPr>
                <w:rFonts w:cs="Calibri"/>
                <w:sz w:val="18"/>
                <w:szCs w:val="18"/>
              </w:rPr>
            </w:pPr>
            <w:r w:rsidRPr="00B363AA">
              <w:rPr>
                <w:rFonts w:cs="Calibri"/>
                <w:sz w:val="18"/>
                <w:szCs w:val="18"/>
              </w:rPr>
              <w:t>Zone naturelle</w:t>
            </w:r>
          </w:p>
        </w:tc>
        <w:tc>
          <w:tcPr>
            <w:tcW w:w="851" w:type="dxa"/>
            <w:tcBorders>
              <w:top w:val="single" w:sz="4" w:space="0" w:color="auto"/>
            </w:tcBorders>
            <w:vAlign w:val="center"/>
          </w:tcPr>
          <w:p w14:paraId="02AA08F9" w14:textId="77777777" w:rsidR="00DE3299" w:rsidRPr="00B363AA" w:rsidRDefault="00DE3299" w:rsidP="00F90FA1">
            <w:pPr>
              <w:jc w:val="center"/>
              <w:rPr>
                <w:rFonts w:cs="Calibri"/>
                <w:sz w:val="18"/>
                <w:szCs w:val="18"/>
              </w:rPr>
            </w:pPr>
            <w:r w:rsidRPr="00B363AA">
              <w:rPr>
                <w:rFonts w:cs="Calibri"/>
                <w:sz w:val="18"/>
                <w:szCs w:val="18"/>
              </w:rPr>
              <w:t>0</w:t>
            </w:r>
          </w:p>
        </w:tc>
        <w:tc>
          <w:tcPr>
            <w:tcW w:w="860" w:type="dxa"/>
            <w:tcBorders>
              <w:top w:val="single" w:sz="4" w:space="0" w:color="auto"/>
            </w:tcBorders>
            <w:vAlign w:val="center"/>
          </w:tcPr>
          <w:p w14:paraId="5026FCA4" w14:textId="77777777" w:rsidR="00DE3299" w:rsidRPr="00B363AA" w:rsidRDefault="00DE3299" w:rsidP="00F90FA1">
            <w:pPr>
              <w:jc w:val="center"/>
              <w:rPr>
                <w:rFonts w:cs="Calibri"/>
                <w:sz w:val="18"/>
                <w:szCs w:val="18"/>
              </w:rPr>
            </w:pPr>
            <w:r w:rsidRPr="00B363AA">
              <w:rPr>
                <w:rFonts w:cs="Calibri"/>
                <w:sz w:val="18"/>
                <w:szCs w:val="18"/>
              </w:rPr>
              <w:t>0</w:t>
            </w:r>
          </w:p>
        </w:tc>
        <w:tc>
          <w:tcPr>
            <w:tcW w:w="846" w:type="dxa"/>
            <w:tcBorders>
              <w:top w:val="single" w:sz="4" w:space="0" w:color="auto"/>
            </w:tcBorders>
            <w:vAlign w:val="center"/>
          </w:tcPr>
          <w:p w14:paraId="02B704AA" w14:textId="77777777" w:rsidR="00DE3299" w:rsidRPr="00B363AA" w:rsidRDefault="00DE3299" w:rsidP="00F90FA1">
            <w:pPr>
              <w:jc w:val="center"/>
              <w:rPr>
                <w:rFonts w:cs="Calibri"/>
                <w:sz w:val="18"/>
                <w:szCs w:val="18"/>
              </w:rPr>
            </w:pPr>
            <w:r w:rsidRPr="00B363AA">
              <w:rPr>
                <w:rFonts w:cs="Calibri"/>
                <w:sz w:val="18"/>
                <w:szCs w:val="18"/>
              </w:rPr>
              <w:t>0</w:t>
            </w:r>
          </w:p>
        </w:tc>
        <w:tc>
          <w:tcPr>
            <w:tcW w:w="719" w:type="dxa"/>
            <w:tcBorders>
              <w:top w:val="single" w:sz="4" w:space="0" w:color="auto"/>
            </w:tcBorders>
            <w:vAlign w:val="center"/>
          </w:tcPr>
          <w:p w14:paraId="423A9326" w14:textId="77777777" w:rsidR="00DE3299" w:rsidRPr="00B363AA" w:rsidRDefault="00DE3299" w:rsidP="00F90FA1">
            <w:pPr>
              <w:jc w:val="center"/>
              <w:rPr>
                <w:rFonts w:cs="Calibri"/>
                <w:sz w:val="18"/>
                <w:szCs w:val="18"/>
              </w:rPr>
            </w:pPr>
            <w:r w:rsidRPr="00B363AA">
              <w:rPr>
                <w:rFonts w:cs="Calibri"/>
                <w:sz w:val="18"/>
                <w:szCs w:val="18"/>
              </w:rPr>
              <w:t>0</w:t>
            </w:r>
          </w:p>
        </w:tc>
        <w:tc>
          <w:tcPr>
            <w:tcW w:w="992" w:type="dxa"/>
            <w:tcBorders>
              <w:top w:val="single" w:sz="4" w:space="0" w:color="auto"/>
            </w:tcBorders>
            <w:shd w:val="clear" w:color="auto" w:fill="A5C9EB" w:themeFill="text2" w:themeFillTint="40"/>
            <w:vAlign w:val="center"/>
          </w:tcPr>
          <w:p w14:paraId="5C2BE4C8" w14:textId="77777777" w:rsidR="00DE3299" w:rsidRPr="00B363AA" w:rsidRDefault="00DE3299" w:rsidP="00F90FA1">
            <w:pPr>
              <w:jc w:val="center"/>
              <w:rPr>
                <w:rFonts w:cs="Calibri"/>
                <w:sz w:val="18"/>
                <w:szCs w:val="18"/>
              </w:rPr>
            </w:pPr>
            <w:r w:rsidRPr="00B363AA">
              <w:rPr>
                <w:rFonts w:cs="Calibri"/>
                <w:sz w:val="18"/>
                <w:szCs w:val="18"/>
              </w:rPr>
              <w:t>2</w:t>
            </w:r>
          </w:p>
        </w:tc>
        <w:tc>
          <w:tcPr>
            <w:tcW w:w="982" w:type="dxa"/>
            <w:tcBorders>
              <w:top w:val="single" w:sz="4" w:space="0" w:color="auto"/>
            </w:tcBorders>
            <w:shd w:val="clear" w:color="auto" w:fill="DAE9F7" w:themeFill="text2" w:themeFillTint="1A"/>
            <w:vAlign w:val="center"/>
          </w:tcPr>
          <w:p w14:paraId="1AF4C48B" w14:textId="77777777" w:rsidR="00DE3299" w:rsidRPr="00B363AA" w:rsidRDefault="00DE3299" w:rsidP="00F90FA1">
            <w:pPr>
              <w:jc w:val="center"/>
              <w:rPr>
                <w:rFonts w:cs="Calibri"/>
                <w:sz w:val="18"/>
                <w:szCs w:val="18"/>
              </w:rPr>
            </w:pPr>
            <w:r w:rsidRPr="00B363AA">
              <w:rPr>
                <w:rFonts w:cs="Calibri"/>
                <w:sz w:val="18"/>
                <w:szCs w:val="18"/>
              </w:rPr>
              <w:t>1 – 2*</w:t>
            </w:r>
          </w:p>
        </w:tc>
        <w:tc>
          <w:tcPr>
            <w:tcW w:w="1145" w:type="dxa"/>
            <w:tcBorders>
              <w:top w:val="single" w:sz="4" w:space="0" w:color="auto"/>
            </w:tcBorders>
            <w:shd w:val="clear" w:color="auto" w:fill="4C94D8" w:themeFill="text2" w:themeFillTint="80"/>
            <w:vAlign w:val="center"/>
          </w:tcPr>
          <w:p w14:paraId="3B24D3F3" w14:textId="77777777" w:rsidR="00DE3299" w:rsidRPr="00B363AA" w:rsidRDefault="00DE3299" w:rsidP="00F90FA1">
            <w:pPr>
              <w:jc w:val="center"/>
              <w:rPr>
                <w:rFonts w:cs="Calibri"/>
                <w:sz w:val="18"/>
                <w:szCs w:val="18"/>
              </w:rPr>
            </w:pPr>
            <w:r w:rsidRPr="00B363AA">
              <w:rPr>
                <w:rFonts w:cs="Calibri"/>
                <w:sz w:val="18"/>
                <w:szCs w:val="18"/>
              </w:rPr>
              <w:t>4</w:t>
            </w:r>
          </w:p>
        </w:tc>
        <w:tc>
          <w:tcPr>
            <w:tcW w:w="1134" w:type="dxa"/>
            <w:tcBorders>
              <w:top w:val="single" w:sz="4" w:space="0" w:color="auto"/>
            </w:tcBorders>
            <w:shd w:val="clear" w:color="auto" w:fill="4C94D8" w:themeFill="text2" w:themeFillTint="80"/>
            <w:vAlign w:val="center"/>
          </w:tcPr>
          <w:p w14:paraId="0EE3E7BF" w14:textId="77777777" w:rsidR="00DE3299" w:rsidRPr="00B363AA" w:rsidRDefault="00DE3299" w:rsidP="00F90FA1">
            <w:pPr>
              <w:jc w:val="center"/>
              <w:rPr>
                <w:rFonts w:cs="Calibri"/>
                <w:sz w:val="18"/>
                <w:szCs w:val="18"/>
              </w:rPr>
            </w:pPr>
            <w:r w:rsidRPr="00B363AA">
              <w:rPr>
                <w:rFonts w:cs="Calibri"/>
                <w:sz w:val="18"/>
                <w:szCs w:val="18"/>
              </w:rPr>
              <w:t>4</w:t>
            </w:r>
          </w:p>
        </w:tc>
        <w:tc>
          <w:tcPr>
            <w:tcW w:w="992" w:type="dxa"/>
            <w:tcBorders>
              <w:top w:val="single" w:sz="4" w:space="0" w:color="auto"/>
            </w:tcBorders>
            <w:shd w:val="clear" w:color="auto" w:fill="A5C9EB" w:themeFill="text2" w:themeFillTint="40"/>
            <w:vAlign w:val="center"/>
          </w:tcPr>
          <w:p w14:paraId="583E5564" w14:textId="77777777" w:rsidR="00DE3299" w:rsidRPr="00B363AA" w:rsidRDefault="00DE3299" w:rsidP="00F90FA1">
            <w:pPr>
              <w:jc w:val="center"/>
              <w:rPr>
                <w:rFonts w:cs="Calibri"/>
                <w:sz w:val="18"/>
                <w:szCs w:val="18"/>
              </w:rPr>
            </w:pPr>
            <w:r w:rsidRPr="00B363AA">
              <w:rPr>
                <w:rFonts w:cs="Calibri"/>
                <w:sz w:val="18"/>
                <w:szCs w:val="18"/>
              </w:rPr>
              <w:t>2</w:t>
            </w:r>
          </w:p>
        </w:tc>
        <w:tc>
          <w:tcPr>
            <w:tcW w:w="992" w:type="dxa"/>
            <w:tcBorders>
              <w:top w:val="single" w:sz="4" w:space="0" w:color="auto"/>
            </w:tcBorders>
            <w:vAlign w:val="center"/>
          </w:tcPr>
          <w:p w14:paraId="6A5EB059" w14:textId="77777777" w:rsidR="00DE3299" w:rsidRPr="00B363AA" w:rsidRDefault="00DE3299" w:rsidP="00F90FA1">
            <w:pPr>
              <w:jc w:val="center"/>
              <w:rPr>
                <w:rFonts w:cs="Calibri"/>
                <w:sz w:val="18"/>
                <w:szCs w:val="18"/>
              </w:rPr>
            </w:pPr>
            <w:r w:rsidRPr="00B363AA">
              <w:rPr>
                <w:rFonts w:cs="Calibri"/>
                <w:sz w:val="18"/>
                <w:szCs w:val="18"/>
              </w:rPr>
              <w:t>0</w:t>
            </w:r>
          </w:p>
        </w:tc>
        <w:tc>
          <w:tcPr>
            <w:tcW w:w="1134" w:type="dxa"/>
            <w:tcBorders>
              <w:top w:val="single" w:sz="4" w:space="0" w:color="auto"/>
            </w:tcBorders>
            <w:vAlign w:val="center"/>
          </w:tcPr>
          <w:p w14:paraId="4DA02A10" w14:textId="77777777" w:rsidR="00DE3299" w:rsidRPr="00B363AA" w:rsidRDefault="00DE3299" w:rsidP="00F90FA1">
            <w:pPr>
              <w:jc w:val="center"/>
              <w:rPr>
                <w:rFonts w:cs="Calibri"/>
                <w:sz w:val="18"/>
                <w:szCs w:val="18"/>
              </w:rPr>
            </w:pPr>
            <w:r w:rsidRPr="00B363AA">
              <w:rPr>
                <w:rFonts w:cs="Calibri"/>
                <w:sz w:val="18"/>
                <w:szCs w:val="18"/>
              </w:rPr>
              <w:t>0</w:t>
            </w:r>
          </w:p>
        </w:tc>
      </w:tr>
      <w:tr w:rsidR="00DE3299" w:rsidRPr="00B363AA" w14:paraId="258BACFA" w14:textId="77777777" w:rsidTr="00F90FA1">
        <w:trPr>
          <w:cantSplit/>
          <w:trHeight w:val="340"/>
          <w:jc w:val="center"/>
        </w:trPr>
        <w:tc>
          <w:tcPr>
            <w:tcW w:w="704" w:type="dxa"/>
            <w:vAlign w:val="center"/>
          </w:tcPr>
          <w:p w14:paraId="3970E4FD" w14:textId="77777777" w:rsidR="00DE3299" w:rsidRPr="00B363AA" w:rsidRDefault="00DE3299" w:rsidP="00F90FA1">
            <w:pPr>
              <w:ind w:left="113" w:right="113"/>
              <w:jc w:val="center"/>
              <w:rPr>
                <w:rFonts w:cs="Calibri"/>
                <w:sz w:val="18"/>
                <w:szCs w:val="18"/>
              </w:rPr>
            </w:pPr>
            <w:r w:rsidRPr="00B363AA">
              <w:rPr>
                <w:rFonts w:cs="Calibri"/>
                <w:sz w:val="18"/>
                <w:szCs w:val="18"/>
              </w:rPr>
              <w:t>II</w:t>
            </w:r>
          </w:p>
        </w:tc>
        <w:tc>
          <w:tcPr>
            <w:tcW w:w="2268" w:type="dxa"/>
            <w:tcBorders>
              <w:top w:val="single" w:sz="4" w:space="0" w:color="auto"/>
              <w:left w:val="single" w:sz="4" w:space="0" w:color="auto"/>
              <w:bottom w:val="single" w:sz="4" w:space="0" w:color="auto"/>
              <w:right w:val="single" w:sz="4" w:space="0" w:color="auto"/>
            </w:tcBorders>
            <w:vAlign w:val="center"/>
          </w:tcPr>
          <w:p w14:paraId="3B0D973A" w14:textId="77777777" w:rsidR="00DE3299" w:rsidRPr="00B363AA" w:rsidRDefault="00DE3299" w:rsidP="00F90FA1">
            <w:pPr>
              <w:jc w:val="left"/>
              <w:rPr>
                <w:rFonts w:cs="Calibri"/>
                <w:sz w:val="18"/>
                <w:szCs w:val="18"/>
              </w:rPr>
            </w:pPr>
            <w:r w:rsidRPr="00B363AA">
              <w:rPr>
                <w:rFonts w:cs="Calibri"/>
                <w:sz w:val="18"/>
                <w:szCs w:val="18"/>
              </w:rPr>
              <w:t>Zone cultivée</w:t>
            </w:r>
          </w:p>
        </w:tc>
        <w:tc>
          <w:tcPr>
            <w:tcW w:w="851" w:type="dxa"/>
            <w:shd w:val="clear" w:color="auto" w:fill="4C94D8" w:themeFill="text2" w:themeFillTint="80"/>
            <w:vAlign w:val="center"/>
          </w:tcPr>
          <w:p w14:paraId="136F5355" w14:textId="77777777" w:rsidR="00DE3299" w:rsidRPr="00B363AA" w:rsidRDefault="00DE3299" w:rsidP="00F90FA1">
            <w:pPr>
              <w:jc w:val="center"/>
              <w:rPr>
                <w:rFonts w:cs="Calibri"/>
                <w:sz w:val="18"/>
                <w:szCs w:val="18"/>
              </w:rPr>
            </w:pPr>
            <w:r w:rsidRPr="00B363AA">
              <w:rPr>
                <w:rFonts w:cs="Calibri"/>
                <w:sz w:val="18"/>
                <w:szCs w:val="18"/>
              </w:rPr>
              <w:t>4</w:t>
            </w:r>
          </w:p>
        </w:tc>
        <w:tc>
          <w:tcPr>
            <w:tcW w:w="860" w:type="dxa"/>
            <w:vAlign w:val="center"/>
          </w:tcPr>
          <w:p w14:paraId="30DC8D64" w14:textId="77777777" w:rsidR="00DE3299" w:rsidRPr="00B363AA" w:rsidRDefault="00DE3299" w:rsidP="00F90FA1">
            <w:pPr>
              <w:jc w:val="center"/>
              <w:rPr>
                <w:rFonts w:cs="Calibri"/>
                <w:sz w:val="18"/>
                <w:szCs w:val="18"/>
              </w:rPr>
            </w:pPr>
            <w:r w:rsidRPr="00B363AA">
              <w:rPr>
                <w:rFonts w:cs="Calibri"/>
                <w:sz w:val="18"/>
                <w:szCs w:val="18"/>
              </w:rPr>
              <w:t>0</w:t>
            </w:r>
          </w:p>
        </w:tc>
        <w:tc>
          <w:tcPr>
            <w:tcW w:w="846" w:type="dxa"/>
            <w:vAlign w:val="center"/>
          </w:tcPr>
          <w:p w14:paraId="182900EF" w14:textId="77777777" w:rsidR="00DE3299" w:rsidRPr="00B363AA" w:rsidRDefault="00DE3299" w:rsidP="00F90FA1">
            <w:pPr>
              <w:jc w:val="center"/>
              <w:rPr>
                <w:rFonts w:cs="Calibri"/>
                <w:sz w:val="18"/>
                <w:szCs w:val="18"/>
              </w:rPr>
            </w:pPr>
            <w:r w:rsidRPr="00B363AA">
              <w:rPr>
                <w:rFonts w:cs="Calibri"/>
                <w:sz w:val="18"/>
                <w:szCs w:val="18"/>
              </w:rPr>
              <w:t>0</w:t>
            </w:r>
          </w:p>
        </w:tc>
        <w:tc>
          <w:tcPr>
            <w:tcW w:w="719" w:type="dxa"/>
            <w:vAlign w:val="center"/>
          </w:tcPr>
          <w:p w14:paraId="78158EDD" w14:textId="77777777" w:rsidR="00DE3299" w:rsidRPr="00B363AA" w:rsidRDefault="00DE3299" w:rsidP="00F90FA1">
            <w:pPr>
              <w:jc w:val="center"/>
              <w:rPr>
                <w:rFonts w:cs="Calibri"/>
                <w:sz w:val="18"/>
                <w:szCs w:val="18"/>
              </w:rPr>
            </w:pPr>
            <w:r w:rsidRPr="00B363AA">
              <w:rPr>
                <w:rFonts w:cs="Calibri"/>
                <w:sz w:val="18"/>
                <w:szCs w:val="18"/>
              </w:rPr>
              <w:t>0</w:t>
            </w:r>
          </w:p>
        </w:tc>
        <w:tc>
          <w:tcPr>
            <w:tcW w:w="992" w:type="dxa"/>
            <w:shd w:val="clear" w:color="auto" w:fill="A5C9EB" w:themeFill="text2" w:themeFillTint="40"/>
            <w:vAlign w:val="center"/>
          </w:tcPr>
          <w:p w14:paraId="6E169D68" w14:textId="77777777" w:rsidR="00DE3299" w:rsidRPr="00B363AA" w:rsidRDefault="00DE3299" w:rsidP="00F90FA1">
            <w:pPr>
              <w:jc w:val="center"/>
              <w:rPr>
                <w:rFonts w:cs="Calibri"/>
                <w:sz w:val="18"/>
                <w:szCs w:val="18"/>
              </w:rPr>
            </w:pPr>
            <w:r w:rsidRPr="00B363AA">
              <w:rPr>
                <w:rFonts w:cs="Calibri"/>
                <w:sz w:val="18"/>
                <w:szCs w:val="18"/>
              </w:rPr>
              <w:t>2</w:t>
            </w:r>
          </w:p>
        </w:tc>
        <w:tc>
          <w:tcPr>
            <w:tcW w:w="982" w:type="dxa"/>
            <w:shd w:val="clear" w:color="auto" w:fill="DAE9F7" w:themeFill="text2" w:themeFillTint="1A"/>
            <w:vAlign w:val="center"/>
          </w:tcPr>
          <w:p w14:paraId="74A198FD" w14:textId="77777777" w:rsidR="00DE3299" w:rsidRPr="00B363AA" w:rsidRDefault="00DE3299" w:rsidP="00F90FA1">
            <w:pPr>
              <w:jc w:val="center"/>
              <w:rPr>
                <w:rFonts w:cs="Calibri"/>
                <w:sz w:val="18"/>
                <w:szCs w:val="18"/>
              </w:rPr>
            </w:pPr>
            <w:r w:rsidRPr="00B363AA">
              <w:rPr>
                <w:rFonts w:cs="Calibri"/>
                <w:sz w:val="18"/>
                <w:szCs w:val="18"/>
              </w:rPr>
              <w:t>1 – 2*</w:t>
            </w:r>
          </w:p>
        </w:tc>
        <w:tc>
          <w:tcPr>
            <w:tcW w:w="1145" w:type="dxa"/>
            <w:shd w:val="clear" w:color="auto" w:fill="DAE9F7" w:themeFill="text2" w:themeFillTint="1A"/>
            <w:vAlign w:val="center"/>
          </w:tcPr>
          <w:p w14:paraId="767705A3" w14:textId="77777777" w:rsidR="00DE3299" w:rsidRPr="00B363AA" w:rsidRDefault="00DE3299" w:rsidP="00F90FA1">
            <w:pPr>
              <w:jc w:val="center"/>
              <w:rPr>
                <w:rFonts w:cs="Calibri"/>
                <w:sz w:val="18"/>
                <w:szCs w:val="18"/>
              </w:rPr>
            </w:pPr>
            <w:r w:rsidRPr="00B363AA">
              <w:rPr>
                <w:rFonts w:cs="Calibri"/>
                <w:sz w:val="18"/>
                <w:szCs w:val="18"/>
              </w:rPr>
              <w:t>1</w:t>
            </w:r>
          </w:p>
        </w:tc>
        <w:tc>
          <w:tcPr>
            <w:tcW w:w="1134" w:type="dxa"/>
            <w:vAlign w:val="center"/>
          </w:tcPr>
          <w:p w14:paraId="4F20356D" w14:textId="77777777" w:rsidR="00DE3299" w:rsidRPr="00B363AA" w:rsidRDefault="00DE3299" w:rsidP="00F90FA1">
            <w:pPr>
              <w:jc w:val="center"/>
              <w:rPr>
                <w:rFonts w:cs="Calibri"/>
                <w:sz w:val="18"/>
                <w:szCs w:val="18"/>
              </w:rPr>
            </w:pPr>
            <w:r w:rsidRPr="00B363AA">
              <w:rPr>
                <w:rFonts w:cs="Calibri"/>
                <w:sz w:val="18"/>
                <w:szCs w:val="18"/>
              </w:rPr>
              <w:t>0</w:t>
            </w:r>
          </w:p>
        </w:tc>
        <w:tc>
          <w:tcPr>
            <w:tcW w:w="992" w:type="dxa"/>
            <w:shd w:val="clear" w:color="auto" w:fill="DAE9F7" w:themeFill="text2" w:themeFillTint="1A"/>
            <w:vAlign w:val="center"/>
          </w:tcPr>
          <w:p w14:paraId="21AE7024" w14:textId="77777777" w:rsidR="00DE3299" w:rsidRPr="00B363AA" w:rsidRDefault="00DE3299" w:rsidP="00F90FA1">
            <w:pPr>
              <w:jc w:val="center"/>
              <w:rPr>
                <w:rFonts w:cs="Calibri"/>
                <w:sz w:val="18"/>
                <w:szCs w:val="18"/>
              </w:rPr>
            </w:pPr>
            <w:r w:rsidRPr="00B363AA">
              <w:rPr>
                <w:rFonts w:cs="Calibri"/>
                <w:sz w:val="18"/>
                <w:szCs w:val="18"/>
              </w:rPr>
              <w:t>1</w:t>
            </w:r>
          </w:p>
        </w:tc>
        <w:tc>
          <w:tcPr>
            <w:tcW w:w="992" w:type="dxa"/>
            <w:vAlign w:val="center"/>
          </w:tcPr>
          <w:p w14:paraId="3C10CAE1" w14:textId="77777777" w:rsidR="00DE3299" w:rsidRPr="00B363AA" w:rsidRDefault="00DE3299" w:rsidP="00F90FA1">
            <w:pPr>
              <w:jc w:val="center"/>
              <w:rPr>
                <w:rFonts w:cs="Calibri"/>
                <w:sz w:val="18"/>
                <w:szCs w:val="18"/>
              </w:rPr>
            </w:pPr>
            <w:r w:rsidRPr="00B363AA">
              <w:rPr>
                <w:rFonts w:cs="Calibri"/>
                <w:sz w:val="18"/>
                <w:szCs w:val="18"/>
              </w:rPr>
              <w:t>0</w:t>
            </w:r>
          </w:p>
        </w:tc>
        <w:tc>
          <w:tcPr>
            <w:tcW w:w="1134" w:type="dxa"/>
            <w:vAlign w:val="center"/>
          </w:tcPr>
          <w:p w14:paraId="6B43DD3F" w14:textId="77777777" w:rsidR="00DE3299" w:rsidRPr="00B363AA" w:rsidRDefault="00DE3299" w:rsidP="00F90FA1">
            <w:pPr>
              <w:jc w:val="center"/>
              <w:rPr>
                <w:rFonts w:cs="Calibri"/>
                <w:sz w:val="18"/>
                <w:szCs w:val="18"/>
              </w:rPr>
            </w:pPr>
            <w:r w:rsidRPr="00B363AA">
              <w:rPr>
                <w:rFonts w:cs="Calibri"/>
                <w:sz w:val="18"/>
                <w:szCs w:val="18"/>
              </w:rPr>
              <w:t>0</w:t>
            </w:r>
          </w:p>
        </w:tc>
      </w:tr>
      <w:tr w:rsidR="00DE3299" w:rsidRPr="00B363AA" w14:paraId="31DE3555" w14:textId="77777777" w:rsidTr="00F90FA1">
        <w:trPr>
          <w:cantSplit/>
          <w:trHeight w:val="340"/>
          <w:jc w:val="center"/>
        </w:trPr>
        <w:tc>
          <w:tcPr>
            <w:tcW w:w="704" w:type="dxa"/>
            <w:vAlign w:val="center"/>
          </w:tcPr>
          <w:p w14:paraId="7A77CCA8" w14:textId="77777777" w:rsidR="00DE3299" w:rsidRPr="00B363AA" w:rsidRDefault="00DE3299" w:rsidP="00F90FA1">
            <w:pPr>
              <w:ind w:left="113" w:right="113"/>
              <w:jc w:val="center"/>
              <w:rPr>
                <w:rFonts w:cs="Calibri"/>
                <w:sz w:val="18"/>
                <w:szCs w:val="18"/>
              </w:rPr>
            </w:pPr>
            <w:r w:rsidRPr="00B363AA">
              <w:rPr>
                <w:rFonts w:cs="Calibri"/>
                <w:sz w:val="18"/>
                <w:szCs w:val="18"/>
              </w:rPr>
              <w:t>II</w:t>
            </w:r>
          </w:p>
        </w:tc>
        <w:tc>
          <w:tcPr>
            <w:tcW w:w="2268" w:type="dxa"/>
            <w:tcBorders>
              <w:top w:val="single" w:sz="4" w:space="0" w:color="auto"/>
              <w:left w:val="single" w:sz="4" w:space="0" w:color="auto"/>
              <w:bottom w:val="single" w:sz="4" w:space="0" w:color="auto"/>
              <w:right w:val="single" w:sz="4" w:space="0" w:color="auto"/>
            </w:tcBorders>
            <w:vAlign w:val="center"/>
          </w:tcPr>
          <w:p w14:paraId="60F34111" w14:textId="77777777" w:rsidR="00DE3299" w:rsidRPr="00B363AA" w:rsidRDefault="00DE3299" w:rsidP="00F90FA1">
            <w:pPr>
              <w:jc w:val="left"/>
              <w:rPr>
                <w:rFonts w:cs="Calibri"/>
                <w:sz w:val="18"/>
                <w:szCs w:val="18"/>
              </w:rPr>
            </w:pPr>
            <w:r w:rsidRPr="00B363AA">
              <w:rPr>
                <w:rFonts w:cs="Calibri"/>
                <w:sz w:val="18"/>
                <w:szCs w:val="18"/>
              </w:rPr>
              <w:t>Prairie</w:t>
            </w:r>
          </w:p>
        </w:tc>
        <w:tc>
          <w:tcPr>
            <w:tcW w:w="851" w:type="dxa"/>
            <w:vAlign w:val="center"/>
          </w:tcPr>
          <w:p w14:paraId="6F1402B6" w14:textId="77777777" w:rsidR="00DE3299" w:rsidRPr="00B363AA" w:rsidRDefault="00DE3299" w:rsidP="00F90FA1">
            <w:pPr>
              <w:jc w:val="center"/>
              <w:rPr>
                <w:rFonts w:cs="Calibri"/>
                <w:sz w:val="18"/>
                <w:szCs w:val="18"/>
              </w:rPr>
            </w:pPr>
            <w:r w:rsidRPr="00B363AA">
              <w:rPr>
                <w:rFonts w:cs="Calibri"/>
                <w:sz w:val="18"/>
                <w:szCs w:val="18"/>
              </w:rPr>
              <w:t>0</w:t>
            </w:r>
          </w:p>
        </w:tc>
        <w:tc>
          <w:tcPr>
            <w:tcW w:w="860" w:type="dxa"/>
            <w:shd w:val="clear" w:color="auto" w:fill="4C94D8" w:themeFill="text2" w:themeFillTint="80"/>
            <w:vAlign w:val="center"/>
          </w:tcPr>
          <w:p w14:paraId="6DB902A4" w14:textId="77777777" w:rsidR="00DE3299" w:rsidRPr="00B363AA" w:rsidRDefault="00DE3299" w:rsidP="00F90FA1">
            <w:pPr>
              <w:jc w:val="center"/>
              <w:rPr>
                <w:rFonts w:cs="Calibri"/>
                <w:sz w:val="18"/>
                <w:szCs w:val="18"/>
              </w:rPr>
            </w:pPr>
            <w:r w:rsidRPr="00B363AA">
              <w:rPr>
                <w:rFonts w:cs="Calibri"/>
                <w:sz w:val="18"/>
                <w:szCs w:val="18"/>
              </w:rPr>
              <w:t>4</w:t>
            </w:r>
          </w:p>
        </w:tc>
        <w:tc>
          <w:tcPr>
            <w:tcW w:w="846" w:type="dxa"/>
            <w:vAlign w:val="center"/>
          </w:tcPr>
          <w:p w14:paraId="6DA73799" w14:textId="77777777" w:rsidR="00DE3299" w:rsidRPr="00B363AA" w:rsidRDefault="00DE3299" w:rsidP="00F90FA1">
            <w:pPr>
              <w:jc w:val="center"/>
              <w:rPr>
                <w:rFonts w:cs="Calibri"/>
                <w:sz w:val="18"/>
                <w:szCs w:val="18"/>
              </w:rPr>
            </w:pPr>
            <w:r w:rsidRPr="00B363AA">
              <w:rPr>
                <w:rFonts w:cs="Calibri"/>
                <w:sz w:val="18"/>
                <w:szCs w:val="18"/>
              </w:rPr>
              <w:t>0</w:t>
            </w:r>
          </w:p>
        </w:tc>
        <w:tc>
          <w:tcPr>
            <w:tcW w:w="719" w:type="dxa"/>
            <w:vAlign w:val="center"/>
          </w:tcPr>
          <w:p w14:paraId="430CE9AF" w14:textId="77777777" w:rsidR="00DE3299" w:rsidRPr="00B363AA" w:rsidRDefault="00DE3299" w:rsidP="00F90FA1">
            <w:pPr>
              <w:jc w:val="center"/>
              <w:rPr>
                <w:rFonts w:cs="Calibri"/>
                <w:sz w:val="18"/>
                <w:szCs w:val="18"/>
              </w:rPr>
            </w:pPr>
            <w:r w:rsidRPr="00B363AA">
              <w:rPr>
                <w:rFonts w:cs="Calibri"/>
                <w:sz w:val="18"/>
                <w:szCs w:val="18"/>
              </w:rPr>
              <w:t>0</w:t>
            </w:r>
          </w:p>
        </w:tc>
        <w:tc>
          <w:tcPr>
            <w:tcW w:w="992" w:type="dxa"/>
            <w:shd w:val="clear" w:color="auto" w:fill="A5C9EB" w:themeFill="text2" w:themeFillTint="40"/>
            <w:vAlign w:val="center"/>
          </w:tcPr>
          <w:p w14:paraId="616DB736" w14:textId="77777777" w:rsidR="00DE3299" w:rsidRPr="00B363AA" w:rsidRDefault="00DE3299" w:rsidP="00F90FA1">
            <w:pPr>
              <w:jc w:val="center"/>
              <w:rPr>
                <w:rFonts w:cs="Calibri"/>
                <w:sz w:val="18"/>
                <w:szCs w:val="18"/>
              </w:rPr>
            </w:pPr>
            <w:r w:rsidRPr="00B363AA">
              <w:rPr>
                <w:rFonts w:cs="Calibri"/>
                <w:sz w:val="18"/>
                <w:szCs w:val="18"/>
              </w:rPr>
              <w:t>2</w:t>
            </w:r>
          </w:p>
        </w:tc>
        <w:tc>
          <w:tcPr>
            <w:tcW w:w="982" w:type="dxa"/>
            <w:shd w:val="clear" w:color="auto" w:fill="DAE9F7" w:themeFill="text2" w:themeFillTint="1A"/>
            <w:vAlign w:val="center"/>
          </w:tcPr>
          <w:p w14:paraId="491A8E40" w14:textId="77777777" w:rsidR="00DE3299" w:rsidRPr="00B363AA" w:rsidRDefault="00DE3299" w:rsidP="00F90FA1">
            <w:pPr>
              <w:jc w:val="center"/>
              <w:rPr>
                <w:rFonts w:cs="Calibri"/>
                <w:sz w:val="18"/>
                <w:szCs w:val="18"/>
              </w:rPr>
            </w:pPr>
            <w:r w:rsidRPr="00B363AA">
              <w:rPr>
                <w:rFonts w:cs="Calibri"/>
                <w:sz w:val="18"/>
                <w:szCs w:val="18"/>
              </w:rPr>
              <w:t>1 – 2*</w:t>
            </w:r>
          </w:p>
        </w:tc>
        <w:tc>
          <w:tcPr>
            <w:tcW w:w="1145" w:type="dxa"/>
            <w:shd w:val="clear" w:color="auto" w:fill="DAE9F7" w:themeFill="text2" w:themeFillTint="1A"/>
            <w:vAlign w:val="center"/>
          </w:tcPr>
          <w:p w14:paraId="1ACFFBDA" w14:textId="77777777" w:rsidR="00DE3299" w:rsidRPr="00B363AA" w:rsidRDefault="00DE3299" w:rsidP="00F90FA1">
            <w:pPr>
              <w:jc w:val="center"/>
              <w:rPr>
                <w:rFonts w:cs="Calibri"/>
                <w:sz w:val="18"/>
                <w:szCs w:val="18"/>
              </w:rPr>
            </w:pPr>
            <w:r w:rsidRPr="00B363AA">
              <w:rPr>
                <w:rFonts w:cs="Calibri"/>
                <w:sz w:val="18"/>
                <w:szCs w:val="18"/>
              </w:rPr>
              <w:t>1</w:t>
            </w:r>
          </w:p>
        </w:tc>
        <w:tc>
          <w:tcPr>
            <w:tcW w:w="1134" w:type="dxa"/>
            <w:vAlign w:val="center"/>
          </w:tcPr>
          <w:p w14:paraId="37FDA26D" w14:textId="77777777" w:rsidR="00DE3299" w:rsidRPr="00B363AA" w:rsidRDefault="00DE3299" w:rsidP="00F90FA1">
            <w:pPr>
              <w:jc w:val="center"/>
              <w:rPr>
                <w:rFonts w:cs="Calibri"/>
                <w:sz w:val="18"/>
                <w:szCs w:val="18"/>
              </w:rPr>
            </w:pPr>
            <w:r w:rsidRPr="00B363AA">
              <w:rPr>
                <w:rFonts w:cs="Calibri"/>
                <w:sz w:val="18"/>
                <w:szCs w:val="18"/>
              </w:rPr>
              <w:t>0</w:t>
            </w:r>
          </w:p>
        </w:tc>
        <w:tc>
          <w:tcPr>
            <w:tcW w:w="992" w:type="dxa"/>
            <w:shd w:val="clear" w:color="auto" w:fill="DAE9F7" w:themeFill="text2" w:themeFillTint="1A"/>
            <w:vAlign w:val="center"/>
          </w:tcPr>
          <w:p w14:paraId="184D0D56" w14:textId="77777777" w:rsidR="00DE3299" w:rsidRPr="00B363AA" w:rsidRDefault="00DE3299" w:rsidP="00F90FA1">
            <w:pPr>
              <w:jc w:val="center"/>
              <w:rPr>
                <w:rFonts w:cs="Calibri"/>
                <w:sz w:val="18"/>
                <w:szCs w:val="18"/>
              </w:rPr>
            </w:pPr>
            <w:r w:rsidRPr="00B363AA">
              <w:rPr>
                <w:rFonts w:cs="Calibri"/>
                <w:sz w:val="18"/>
                <w:szCs w:val="18"/>
              </w:rPr>
              <w:t>1</w:t>
            </w:r>
          </w:p>
        </w:tc>
        <w:tc>
          <w:tcPr>
            <w:tcW w:w="992" w:type="dxa"/>
            <w:vAlign w:val="center"/>
          </w:tcPr>
          <w:p w14:paraId="5F0558A2" w14:textId="77777777" w:rsidR="00DE3299" w:rsidRPr="00B363AA" w:rsidRDefault="00DE3299" w:rsidP="00F90FA1">
            <w:pPr>
              <w:jc w:val="center"/>
              <w:rPr>
                <w:rFonts w:cs="Calibri"/>
                <w:sz w:val="18"/>
                <w:szCs w:val="18"/>
              </w:rPr>
            </w:pPr>
            <w:r w:rsidRPr="00B363AA">
              <w:rPr>
                <w:rFonts w:cs="Calibri"/>
                <w:sz w:val="18"/>
                <w:szCs w:val="18"/>
              </w:rPr>
              <w:t>0</w:t>
            </w:r>
          </w:p>
        </w:tc>
        <w:tc>
          <w:tcPr>
            <w:tcW w:w="1134" w:type="dxa"/>
            <w:vAlign w:val="center"/>
          </w:tcPr>
          <w:p w14:paraId="6B262820" w14:textId="77777777" w:rsidR="00DE3299" w:rsidRPr="00B363AA" w:rsidRDefault="00DE3299" w:rsidP="00F90FA1">
            <w:pPr>
              <w:jc w:val="center"/>
              <w:rPr>
                <w:rFonts w:cs="Calibri"/>
                <w:sz w:val="18"/>
                <w:szCs w:val="18"/>
              </w:rPr>
            </w:pPr>
            <w:r w:rsidRPr="00B363AA">
              <w:rPr>
                <w:rFonts w:cs="Calibri"/>
                <w:sz w:val="18"/>
                <w:szCs w:val="18"/>
              </w:rPr>
              <w:t>0</w:t>
            </w:r>
          </w:p>
        </w:tc>
      </w:tr>
      <w:tr w:rsidR="00DE3299" w:rsidRPr="00B363AA" w14:paraId="47A3B6AF" w14:textId="77777777" w:rsidTr="00F90FA1">
        <w:trPr>
          <w:cantSplit/>
          <w:trHeight w:val="340"/>
          <w:jc w:val="center"/>
        </w:trPr>
        <w:tc>
          <w:tcPr>
            <w:tcW w:w="704" w:type="dxa"/>
            <w:vAlign w:val="center"/>
          </w:tcPr>
          <w:p w14:paraId="34B0D253" w14:textId="77777777" w:rsidR="00DE3299" w:rsidRPr="00B363AA" w:rsidRDefault="00DE3299" w:rsidP="00F90FA1">
            <w:pPr>
              <w:ind w:left="113" w:right="113"/>
              <w:jc w:val="center"/>
              <w:rPr>
                <w:rFonts w:cs="Calibri"/>
                <w:sz w:val="18"/>
                <w:szCs w:val="18"/>
              </w:rPr>
            </w:pPr>
            <w:r w:rsidRPr="00B363AA">
              <w:rPr>
                <w:rFonts w:cs="Calibri"/>
                <w:sz w:val="18"/>
                <w:szCs w:val="18"/>
              </w:rPr>
              <w:t>II</w:t>
            </w:r>
          </w:p>
        </w:tc>
        <w:tc>
          <w:tcPr>
            <w:tcW w:w="2268" w:type="dxa"/>
            <w:tcBorders>
              <w:top w:val="single" w:sz="4" w:space="0" w:color="auto"/>
              <w:left w:val="single" w:sz="4" w:space="0" w:color="auto"/>
              <w:bottom w:val="single" w:sz="4" w:space="0" w:color="auto"/>
              <w:right w:val="single" w:sz="4" w:space="0" w:color="auto"/>
            </w:tcBorders>
            <w:vAlign w:val="center"/>
          </w:tcPr>
          <w:p w14:paraId="7E8188D3" w14:textId="77777777" w:rsidR="00DE3299" w:rsidRPr="00B363AA" w:rsidRDefault="00DE3299" w:rsidP="00F90FA1">
            <w:pPr>
              <w:jc w:val="left"/>
              <w:rPr>
                <w:rFonts w:cs="Calibri"/>
                <w:sz w:val="18"/>
                <w:szCs w:val="18"/>
              </w:rPr>
            </w:pPr>
            <w:r w:rsidRPr="00B363AA">
              <w:rPr>
                <w:rFonts w:cs="Calibri"/>
                <w:sz w:val="18"/>
                <w:szCs w:val="18"/>
              </w:rPr>
              <w:t>Forêt productive</w:t>
            </w:r>
          </w:p>
        </w:tc>
        <w:tc>
          <w:tcPr>
            <w:tcW w:w="851" w:type="dxa"/>
            <w:vAlign w:val="center"/>
          </w:tcPr>
          <w:p w14:paraId="4A6AFC37" w14:textId="77777777" w:rsidR="00DE3299" w:rsidRPr="00B363AA" w:rsidRDefault="00DE3299" w:rsidP="00F90FA1">
            <w:pPr>
              <w:jc w:val="center"/>
              <w:rPr>
                <w:rFonts w:cs="Calibri"/>
                <w:sz w:val="18"/>
                <w:szCs w:val="18"/>
              </w:rPr>
            </w:pPr>
            <w:r w:rsidRPr="00B363AA">
              <w:rPr>
                <w:rFonts w:cs="Calibri"/>
                <w:sz w:val="18"/>
                <w:szCs w:val="18"/>
              </w:rPr>
              <w:t>0</w:t>
            </w:r>
          </w:p>
        </w:tc>
        <w:tc>
          <w:tcPr>
            <w:tcW w:w="860" w:type="dxa"/>
            <w:vAlign w:val="center"/>
          </w:tcPr>
          <w:p w14:paraId="055AA3AC" w14:textId="77777777" w:rsidR="00DE3299" w:rsidRPr="00B363AA" w:rsidRDefault="00DE3299" w:rsidP="00F90FA1">
            <w:pPr>
              <w:jc w:val="center"/>
              <w:rPr>
                <w:rFonts w:cs="Calibri"/>
                <w:sz w:val="18"/>
                <w:szCs w:val="18"/>
              </w:rPr>
            </w:pPr>
            <w:r w:rsidRPr="00B363AA">
              <w:rPr>
                <w:rFonts w:cs="Calibri"/>
                <w:sz w:val="18"/>
                <w:szCs w:val="18"/>
              </w:rPr>
              <w:t>0</w:t>
            </w:r>
          </w:p>
        </w:tc>
        <w:tc>
          <w:tcPr>
            <w:tcW w:w="846" w:type="dxa"/>
            <w:vAlign w:val="center"/>
          </w:tcPr>
          <w:p w14:paraId="0145C139" w14:textId="77777777" w:rsidR="00DE3299" w:rsidRPr="00B363AA" w:rsidRDefault="00DE3299" w:rsidP="00F90FA1">
            <w:pPr>
              <w:jc w:val="center"/>
              <w:rPr>
                <w:rFonts w:cs="Calibri"/>
                <w:sz w:val="18"/>
                <w:szCs w:val="18"/>
              </w:rPr>
            </w:pPr>
            <w:r w:rsidRPr="00B363AA">
              <w:rPr>
                <w:rFonts w:cs="Calibri"/>
                <w:sz w:val="18"/>
                <w:szCs w:val="18"/>
              </w:rPr>
              <w:t>0</w:t>
            </w:r>
          </w:p>
        </w:tc>
        <w:tc>
          <w:tcPr>
            <w:tcW w:w="719" w:type="dxa"/>
            <w:shd w:val="clear" w:color="auto" w:fill="4C94D8" w:themeFill="text2" w:themeFillTint="80"/>
            <w:vAlign w:val="center"/>
          </w:tcPr>
          <w:p w14:paraId="6C1262F9" w14:textId="77777777" w:rsidR="00DE3299" w:rsidRPr="00B363AA" w:rsidRDefault="00DE3299" w:rsidP="00F90FA1">
            <w:pPr>
              <w:jc w:val="center"/>
              <w:rPr>
                <w:rFonts w:cs="Calibri"/>
                <w:sz w:val="18"/>
                <w:szCs w:val="18"/>
              </w:rPr>
            </w:pPr>
            <w:r w:rsidRPr="00B363AA">
              <w:rPr>
                <w:rFonts w:cs="Calibri"/>
                <w:sz w:val="18"/>
                <w:szCs w:val="18"/>
              </w:rPr>
              <w:t>4</w:t>
            </w:r>
          </w:p>
        </w:tc>
        <w:tc>
          <w:tcPr>
            <w:tcW w:w="992" w:type="dxa"/>
            <w:shd w:val="clear" w:color="auto" w:fill="A5C9EB" w:themeFill="text2" w:themeFillTint="40"/>
            <w:vAlign w:val="center"/>
          </w:tcPr>
          <w:p w14:paraId="186BDE4D" w14:textId="77777777" w:rsidR="00DE3299" w:rsidRPr="00B363AA" w:rsidRDefault="00DE3299" w:rsidP="00F90FA1">
            <w:pPr>
              <w:jc w:val="center"/>
              <w:rPr>
                <w:rFonts w:cs="Calibri"/>
                <w:sz w:val="18"/>
                <w:szCs w:val="18"/>
              </w:rPr>
            </w:pPr>
            <w:r w:rsidRPr="00B363AA">
              <w:rPr>
                <w:rFonts w:cs="Calibri"/>
                <w:sz w:val="18"/>
                <w:szCs w:val="18"/>
              </w:rPr>
              <w:t>2</w:t>
            </w:r>
          </w:p>
        </w:tc>
        <w:tc>
          <w:tcPr>
            <w:tcW w:w="982" w:type="dxa"/>
            <w:shd w:val="clear" w:color="auto" w:fill="DAE9F7" w:themeFill="text2" w:themeFillTint="1A"/>
            <w:vAlign w:val="center"/>
          </w:tcPr>
          <w:p w14:paraId="7D3BE7F1" w14:textId="77777777" w:rsidR="00DE3299" w:rsidRPr="00B363AA" w:rsidRDefault="00DE3299" w:rsidP="00F90FA1">
            <w:pPr>
              <w:jc w:val="center"/>
              <w:rPr>
                <w:rFonts w:cs="Calibri"/>
                <w:sz w:val="18"/>
                <w:szCs w:val="18"/>
              </w:rPr>
            </w:pPr>
            <w:r w:rsidRPr="00B363AA">
              <w:rPr>
                <w:rFonts w:cs="Calibri"/>
                <w:sz w:val="18"/>
                <w:szCs w:val="18"/>
              </w:rPr>
              <w:t>1 – 2*</w:t>
            </w:r>
          </w:p>
        </w:tc>
        <w:tc>
          <w:tcPr>
            <w:tcW w:w="1145" w:type="dxa"/>
            <w:shd w:val="clear" w:color="auto" w:fill="DAE9F7" w:themeFill="text2" w:themeFillTint="1A"/>
            <w:vAlign w:val="center"/>
          </w:tcPr>
          <w:p w14:paraId="7E3DFCB0" w14:textId="77777777" w:rsidR="00DE3299" w:rsidRPr="00B363AA" w:rsidRDefault="00DE3299" w:rsidP="00F90FA1">
            <w:pPr>
              <w:jc w:val="center"/>
              <w:rPr>
                <w:rFonts w:cs="Calibri"/>
                <w:sz w:val="18"/>
                <w:szCs w:val="18"/>
              </w:rPr>
            </w:pPr>
            <w:r w:rsidRPr="00B363AA">
              <w:rPr>
                <w:rFonts w:cs="Calibri"/>
                <w:sz w:val="18"/>
                <w:szCs w:val="18"/>
              </w:rPr>
              <w:t>1</w:t>
            </w:r>
          </w:p>
        </w:tc>
        <w:tc>
          <w:tcPr>
            <w:tcW w:w="1134" w:type="dxa"/>
            <w:vAlign w:val="center"/>
          </w:tcPr>
          <w:p w14:paraId="2B13DAC2" w14:textId="77777777" w:rsidR="00DE3299" w:rsidRPr="00B363AA" w:rsidRDefault="00DE3299" w:rsidP="00F90FA1">
            <w:pPr>
              <w:jc w:val="center"/>
              <w:rPr>
                <w:rFonts w:cs="Calibri"/>
                <w:sz w:val="18"/>
                <w:szCs w:val="18"/>
              </w:rPr>
            </w:pPr>
            <w:r w:rsidRPr="00B363AA">
              <w:rPr>
                <w:rFonts w:cs="Calibri"/>
                <w:sz w:val="18"/>
                <w:szCs w:val="18"/>
              </w:rPr>
              <w:t>0</w:t>
            </w:r>
          </w:p>
        </w:tc>
        <w:tc>
          <w:tcPr>
            <w:tcW w:w="992" w:type="dxa"/>
            <w:shd w:val="clear" w:color="auto" w:fill="DAE9F7" w:themeFill="text2" w:themeFillTint="1A"/>
            <w:vAlign w:val="center"/>
          </w:tcPr>
          <w:p w14:paraId="33BC10D4" w14:textId="77777777" w:rsidR="00DE3299" w:rsidRPr="00B363AA" w:rsidRDefault="00DE3299" w:rsidP="00F90FA1">
            <w:pPr>
              <w:jc w:val="center"/>
              <w:rPr>
                <w:rFonts w:cs="Calibri"/>
                <w:sz w:val="18"/>
                <w:szCs w:val="18"/>
              </w:rPr>
            </w:pPr>
            <w:r w:rsidRPr="00B363AA">
              <w:rPr>
                <w:rFonts w:cs="Calibri"/>
                <w:sz w:val="18"/>
                <w:szCs w:val="18"/>
              </w:rPr>
              <w:t>1</w:t>
            </w:r>
          </w:p>
        </w:tc>
        <w:tc>
          <w:tcPr>
            <w:tcW w:w="992" w:type="dxa"/>
            <w:vAlign w:val="center"/>
          </w:tcPr>
          <w:p w14:paraId="50DE7260" w14:textId="77777777" w:rsidR="00DE3299" w:rsidRPr="00B363AA" w:rsidRDefault="00DE3299" w:rsidP="00F90FA1">
            <w:pPr>
              <w:jc w:val="center"/>
              <w:rPr>
                <w:rFonts w:cs="Calibri"/>
                <w:sz w:val="18"/>
                <w:szCs w:val="18"/>
              </w:rPr>
            </w:pPr>
            <w:r w:rsidRPr="00B363AA">
              <w:rPr>
                <w:rFonts w:cs="Calibri"/>
                <w:sz w:val="18"/>
                <w:szCs w:val="18"/>
              </w:rPr>
              <w:t>0</w:t>
            </w:r>
          </w:p>
        </w:tc>
        <w:tc>
          <w:tcPr>
            <w:tcW w:w="1134" w:type="dxa"/>
            <w:vAlign w:val="center"/>
          </w:tcPr>
          <w:p w14:paraId="00D6B328" w14:textId="77777777" w:rsidR="00DE3299" w:rsidRPr="00B363AA" w:rsidRDefault="00DE3299" w:rsidP="00F90FA1">
            <w:pPr>
              <w:jc w:val="center"/>
              <w:rPr>
                <w:rFonts w:cs="Calibri"/>
                <w:sz w:val="18"/>
                <w:szCs w:val="18"/>
              </w:rPr>
            </w:pPr>
            <w:r w:rsidRPr="00B363AA">
              <w:rPr>
                <w:rFonts w:cs="Calibri"/>
                <w:sz w:val="18"/>
                <w:szCs w:val="18"/>
              </w:rPr>
              <w:t>0</w:t>
            </w:r>
          </w:p>
        </w:tc>
      </w:tr>
      <w:tr w:rsidR="00DE3299" w:rsidRPr="00B363AA" w14:paraId="14638E75" w14:textId="77777777" w:rsidTr="00F90FA1">
        <w:trPr>
          <w:cantSplit/>
          <w:trHeight w:val="340"/>
          <w:jc w:val="center"/>
        </w:trPr>
        <w:tc>
          <w:tcPr>
            <w:tcW w:w="704" w:type="dxa"/>
            <w:vAlign w:val="center"/>
          </w:tcPr>
          <w:p w14:paraId="6EA43768" w14:textId="77777777" w:rsidR="00DE3299" w:rsidRPr="00B363AA" w:rsidRDefault="00DE3299" w:rsidP="00F90FA1">
            <w:pPr>
              <w:ind w:left="113" w:right="113"/>
              <w:jc w:val="center"/>
              <w:rPr>
                <w:rFonts w:cs="Calibri"/>
                <w:sz w:val="18"/>
                <w:szCs w:val="18"/>
              </w:rPr>
            </w:pPr>
            <w:r w:rsidRPr="00B363AA">
              <w:rPr>
                <w:rFonts w:cs="Calibri"/>
                <w:sz w:val="18"/>
                <w:szCs w:val="18"/>
              </w:rPr>
              <w:t>III</w:t>
            </w:r>
          </w:p>
        </w:tc>
        <w:tc>
          <w:tcPr>
            <w:tcW w:w="2268" w:type="dxa"/>
            <w:tcBorders>
              <w:top w:val="single" w:sz="4" w:space="0" w:color="auto"/>
              <w:left w:val="single" w:sz="4" w:space="0" w:color="auto"/>
              <w:bottom w:val="single" w:sz="4" w:space="0" w:color="auto"/>
              <w:right w:val="single" w:sz="4" w:space="0" w:color="auto"/>
            </w:tcBorders>
            <w:vAlign w:val="center"/>
          </w:tcPr>
          <w:p w14:paraId="2CEE824D" w14:textId="77777777" w:rsidR="00DE3299" w:rsidRPr="00B363AA" w:rsidRDefault="00DE3299" w:rsidP="00F90FA1">
            <w:pPr>
              <w:jc w:val="left"/>
              <w:rPr>
                <w:rFonts w:cs="Calibri"/>
                <w:sz w:val="18"/>
                <w:szCs w:val="18"/>
              </w:rPr>
            </w:pPr>
            <w:r w:rsidRPr="00B363AA">
              <w:rPr>
                <w:rFonts w:cs="Calibri"/>
                <w:sz w:val="18"/>
                <w:szCs w:val="18"/>
              </w:rPr>
              <w:t>Potager</w:t>
            </w:r>
          </w:p>
        </w:tc>
        <w:tc>
          <w:tcPr>
            <w:tcW w:w="851" w:type="dxa"/>
            <w:shd w:val="clear" w:color="auto" w:fill="4C94D8" w:themeFill="text2" w:themeFillTint="80"/>
            <w:vAlign w:val="center"/>
          </w:tcPr>
          <w:p w14:paraId="55097EA4" w14:textId="77777777" w:rsidR="00DE3299" w:rsidRPr="00B363AA" w:rsidRDefault="00DE3299" w:rsidP="00F90FA1">
            <w:pPr>
              <w:jc w:val="center"/>
              <w:rPr>
                <w:rFonts w:cs="Calibri"/>
                <w:sz w:val="18"/>
                <w:szCs w:val="18"/>
              </w:rPr>
            </w:pPr>
            <w:r w:rsidRPr="00B363AA">
              <w:rPr>
                <w:rFonts w:cs="Calibri"/>
                <w:sz w:val="18"/>
                <w:szCs w:val="18"/>
              </w:rPr>
              <w:t>4</w:t>
            </w:r>
          </w:p>
        </w:tc>
        <w:tc>
          <w:tcPr>
            <w:tcW w:w="860" w:type="dxa"/>
            <w:vAlign w:val="center"/>
          </w:tcPr>
          <w:p w14:paraId="684C3C08" w14:textId="77777777" w:rsidR="00DE3299" w:rsidRPr="00B363AA" w:rsidRDefault="00DE3299" w:rsidP="00F90FA1">
            <w:pPr>
              <w:jc w:val="center"/>
              <w:rPr>
                <w:rFonts w:cs="Calibri"/>
                <w:sz w:val="18"/>
                <w:szCs w:val="18"/>
              </w:rPr>
            </w:pPr>
            <w:r w:rsidRPr="00B363AA">
              <w:rPr>
                <w:rFonts w:cs="Calibri"/>
                <w:sz w:val="18"/>
                <w:szCs w:val="18"/>
              </w:rPr>
              <w:t>0</w:t>
            </w:r>
          </w:p>
        </w:tc>
        <w:tc>
          <w:tcPr>
            <w:tcW w:w="846" w:type="dxa"/>
            <w:vAlign w:val="center"/>
          </w:tcPr>
          <w:p w14:paraId="4FA7F2AB" w14:textId="77777777" w:rsidR="00DE3299" w:rsidRPr="00B363AA" w:rsidRDefault="00DE3299" w:rsidP="00F90FA1">
            <w:pPr>
              <w:jc w:val="center"/>
              <w:rPr>
                <w:rFonts w:cs="Calibri"/>
                <w:sz w:val="18"/>
                <w:szCs w:val="18"/>
              </w:rPr>
            </w:pPr>
            <w:r w:rsidRPr="00B363AA">
              <w:rPr>
                <w:rFonts w:cs="Calibri"/>
                <w:sz w:val="18"/>
                <w:szCs w:val="18"/>
              </w:rPr>
              <w:t>0</w:t>
            </w:r>
          </w:p>
        </w:tc>
        <w:tc>
          <w:tcPr>
            <w:tcW w:w="719" w:type="dxa"/>
            <w:vAlign w:val="center"/>
          </w:tcPr>
          <w:p w14:paraId="79157C4F" w14:textId="77777777" w:rsidR="00DE3299" w:rsidRPr="00B363AA" w:rsidRDefault="00DE3299" w:rsidP="00F90FA1">
            <w:pPr>
              <w:jc w:val="center"/>
              <w:rPr>
                <w:rFonts w:cs="Calibri"/>
                <w:sz w:val="18"/>
                <w:szCs w:val="18"/>
              </w:rPr>
            </w:pPr>
            <w:r w:rsidRPr="00B363AA">
              <w:rPr>
                <w:rFonts w:cs="Calibri"/>
                <w:sz w:val="18"/>
                <w:szCs w:val="18"/>
              </w:rPr>
              <w:t>0</w:t>
            </w:r>
          </w:p>
        </w:tc>
        <w:tc>
          <w:tcPr>
            <w:tcW w:w="992" w:type="dxa"/>
            <w:shd w:val="clear" w:color="auto" w:fill="A5C9EB" w:themeFill="text2" w:themeFillTint="40"/>
            <w:vAlign w:val="center"/>
          </w:tcPr>
          <w:p w14:paraId="484EDC02" w14:textId="77777777" w:rsidR="00DE3299" w:rsidRPr="00B363AA" w:rsidRDefault="00DE3299" w:rsidP="00F90FA1">
            <w:pPr>
              <w:jc w:val="center"/>
              <w:rPr>
                <w:rFonts w:cs="Calibri"/>
                <w:sz w:val="18"/>
                <w:szCs w:val="18"/>
              </w:rPr>
            </w:pPr>
            <w:r w:rsidRPr="00B363AA">
              <w:rPr>
                <w:rFonts w:cs="Calibri"/>
                <w:sz w:val="18"/>
                <w:szCs w:val="18"/>
              </w:rPr>
              <w:t>2</w:t>
            </w:r>
          </w:p>
        </w:tc>
        <w:tc>
          <w:tcPr>
            <w:tcW w:w="982" w:type="dxa"/>
            <w:shd w:val="clear" w:color="auto" w:fill="DAE9F7" w:themeFill="text2" w:themeFillTint="1A"/>
            <w:vAlign w:val="center"/>
          </w:tcPr>
          <w:p w14:paraId="145B1591" w14:textId="77777777" w:rsidR="00DE3299" w:rsidRPr="00B363AA" w:rsidRDefault="00DE3299" w:rsidP="00F90FA1">
            <w:pPr>
              <w:jc w:val="center"/>
              <w:rPr>
                <w:rFonts w:cs="Calibri"/>
                <w:sz w:val="18"/>
                <w:szCs w:val="18"/>
              </w:rPr>
            </w:pPr>
            <w:r w:rsidRPr="00B363AA">
              <w:rPr>
                <w:rFonts w:cs="Calibri"/>
                <w:sz w:val="18"/>
                <w:szCs w:val="18"/>
              </w:rPr>
              <w:t>1 – 2*</w:t>
            </w:r>
          </w:p>
        </w:tc>
        <w:tc>
          <w:tcPr>
            <w:tcW w:w="1145" w:type="dxa"/>
            <w:shd w:val="clear" w:color="auto" w:fill="DAE9F7" w:themeFill="text2" w:themeFillTint="1A"/>
            <w:vAlign w:val="center"/>
          </w:tcPr>
          <w:p w14:paraId="0557112E" w14:textId="77777777" w:rsidR="00DE3299" w:rsidRPr="00B363AA" w:rsidRDefault="00DE3299" w:rsidP="00F90FA1">
            <w:pPr>
              <w:jc w:val="center"/>
              <w:rPr>
                <w:rFonts w:cs="Calibri"/>
                <w:sz w:val="18"/>
                <w:szCs w:val="18"/>
              </w:rPr>
            </w:pPr>
            <w:r w:rsidRPr="00B363AA">
              <w:rPr>
                <w:rFonts w:cs="Calibri"/>
                <w:sz w:val="18"/>
                <w:szCs w:val="18"/>
              </w:rPr>
              <w:t>1</w:t>
            </w:r>
          </w:p>
        </w:tc>
        <w:tc>
          <w:tcPr>
            <w:tcW w:w="1134" w:type="dxa"/>
            <w:vAlign w:val="center"/>
          </w:tcPr>
          <w:p w14:paraId="783AB958" w14:textId="77777777" w:rsidR="00DE3299" w:rsidRPr="00B363AA" w:rsidRDefault="00DE3299" w:rsidP="00F90FA1">
            <w:pPr>
              <w:jc w:val="center"/>
              <w:rPr>
                <w:rFonts w:cs="Calibri"/>
                <w:sz w:val="18"/>
                <w:szCs w:val="18"/>
              </w:rPr>
            </w:pPr>
            <w:r w:rsidRPr="00B363AA">
              <w:rPr>
                <w:rFonts w:cs="Calibri"/>
                <w:sz w:val="18"/>
                <w:szCs w:val="18"/>
              </w:rPr>
              <w:t>0</w:t>
            </w:r>
          </w:p>
        </w:tc>
        <w:tc>
          <w:tcPr>
            <w:tcW w:w="992" w:type="dxa"/>
            <w:shd w:val="clear" w:color="auto" w:fill="DAE9F7" w:themeFill="text2" w:themeFillTint="1A"/>
            <w:vAlign w:val="center"/>
          </w:tcPr>
          <w:p w14:paraId="7FE5688A" w14:textId="77777777" w:rsidR="00DE3299" w:rsidRPr="00B363AA" w:rsidRDefault="00DE3299" w:rsidP="00F90FA1">
            <w:pPr>
              <w:jc w:val="center"/>
              <w:rPr>
                <w:rFonts w:cs="Calibri"/>
                <w:sz w:val="18"/>
                <w:szCs w:val="18"/>
              </w:rPr>
            </w:pPr>
            <w:r w:rsidRPr="00B363AA">
              <w:rPr>
                <w:rFonts w:cs="Calibri"/>
                <w:sz w:val="18"/>
                <w:szCs w:val="18"/>
              </w:rPr>
              <w:t>1</w:t>
            </w:r>
          </w:p>
        </w:tc>
        <w:tc>
          <w:tcPr>
            <w:tcW w:w="992" w:type="dxa"/>
            <w:vAlign w:val="center"/>
          </w:tcPr>
          <w:p w14:paraId="1EE874D7" w14:textId="77777777" w:rsidR="00DE3299" w:rsidRPr="00B363AA" w:rsidRDefault="00DE3299" w:rsidP="00F90FA1">
            <w:pPr>
              <w:jc w:val="center"/>
              <w:rPr>
                <w:rFonts w:cs="Calibri"/>
                <w:sz w:val="18"/>
                <w:szCs w:val="18"/>
              </w:rPr>
            </w:pPr>
            <w:r w:rsidRPr="00B363AA">
              <w:rPr>
                <w:rFonts w:cs="Calibri"/>
                <w:sz w:val="18"/>
                <w:szCs w:val="18"/>
              </w:rPr>
              <w:t>0</w:t>
            </w:r>
          </w:p>
        </w:tc>
        <w:tc>
          <w:tcPr>
            <w:tcW w:w="1134" w:type="dxa"/>
            <w:vAlign w:val="center"/>
          </w:tcPr>
          <w:p w14:paraId="56D71593" w14:textId="77777777" w:rsidR="00DE3299" w:rsidRPr="00B363AA" w:rsidRDefault="00DE3299" w:rsidP="00F90FA1">
            <w:pPr>
              <w:jc w:val="center"/>
              <w:rPr>
                <w:rFonts w:cs="Calibri"/>
                <w:sz w:val="18"/>
                <w:szCs w:val="18"/>
              </w:rPr>
            </w:pPr>
            <w:r w:rsidRPr="00B363AA">
              <w:rPr>
                <w:rFonts w:cs="Calibri"/>
                <w:sz w:val="18"/>
                <w:szCs w:val="18"/>
              </w:rPr>
              <w:t>0</w:t>
            </w:r>
          </w:p>
        </w:tc>
      </w:tr>
      <w:tr w:rsidR="00DE3299" w:rsidRPr="00B363AA" w14:paraId="2E66DF54" w14:textId="77777777" w:rsidTr="00F90FA1">
        <w:trPr>
          <w:cantSplit/>
          <w:trHeight w:val="340"/>
          <w:jc w:val="center"/>
        </w:trPr>
        <w:tc>
          <w:tcPr>
            <w:tcW w:w="704" w:type="dxa"/>
            <w:vAlign w:val="center"/>
          </w:tcPr>
          <w:p w14:paraId="4A5CE11D" w14:textId="77777777" w:rsidR="00DE3299" w:rsidRPr="00B363AA" w:rsidRDefault="00DE3299" w:rsidP="00F90FA1">
            <w:pPr>
              <w:ind w:left="113" w:right="113"/>
              <w:jc w:val="center"/>
              <w:rPr>
                <w:rFonts w:cs="Calibri"/>
                <w:sz w:val="18"/>
                <w:szCs w:val="18"/>
              </w:rPr>
            </w:pPr>
            <w:r w:rsidRPr="00B363AA">
              <w:rPr>
                <w:rFonts w:cs="Calibri"/>
                <w:sz w:val="18"/>
                <w:szCs w:val="18"/>
              </w:rPr>
              <w:t>III</w:t>
            </w:r>
          </w:p>
        </w:tc>
        <w:tc>
          <w:tcPr>
            <w:tcW w:w="2268" w:type="dxa"/>
            <w:tcBorders>
              <w:top w:val="single" w:sz="4" w:space="0" w:color="auto"/>
              <w:left w:val="single" w:sz="4" w:space="0" w:color="auto"/>
              <w:bottom w:val="single" w:sz="4" w:space="0" w:color="auto"/>
              <w:right w:val="single" w:sz="4" w:space="0" w:color="auto"/>
            </w:tcBorders>
            <w:vAlign w:val="center"/>
          </w:tcPr>
          <w:p w14:paraId="683501BB" w14:textId="77777777" w:rsidR="00DE3299" w:rsidRPr="00B363AA" w:rsidRDefault="00DE3299" w:rsidP="00F90FA1">
            <w:pPr>
              <w:jc w:val="left"/>
              <w:rPr>
                <w:rFonts w:cs="Calibri"/>
                <w:sz w:val="18"/>
                <w:szCs w:val="18"/>
              </w:rPr>
            </w:pPr>
            <w:r w:rsidRPr="00B363AA">
              <w:rPr>
                <w:rFonts w:cs="Calibri"/>
                <w:sz w:val="18"/>
                <w:szCs w:val="18"/>
              </w:rPr>
              <w:t>Résidentiel (hors potager)</w:t>
            </w:r>
          </w:p>
        </w:tc>
        <w:tc>
          <w:tcPr>
            <w:tcW w:w="851" w:type="dxa"/>
            <w:vAlign w:val="center"/>
          </w:tcPr>
          <w:p w14:paraId="549047DC" w14:textId="77777777" w:rsidR="00DE3299" w:rsidRPr="00B363AA" w:rsidRDefault="00DE3299" w:rsidP="00F90FA1">
            <w:pPr>
              <w:jc w:val="center"/>
              <w:rPr>
                <w:rFonts w:cs="Calibri"/>
                <w:sz w:val="18"/>
                <w:szCs w:val="18"/>
              </w:rPr>
            </w:pPr>
            <w:r w:rsidRPr="00B363AA">
              <w:rPr>
                <w:rFonts w:cs="Calibri"/>
                <w:sz w:val="18"/>
                <w:szCs w:val="18"/>
              </w:rPr>
              <w:t>0</w:t>
            </w:r>
          </w:p>
        </w:tc>
        <w:tc>
          <w:tcPr>
            <w:tcW w:w="860" w:type="dxa"/>
            <w:vAlign w:val="center"/>
          </w:tcPr>
          <w:p w14:paraId="3E21B676" w14:textId="77777777" w:rsidR="00DE3299" w:rsidRPr="00B363AA" w:rsidRDefault="00DE3299" w:rsidP="00F90FA1">
            <w:pPr>
              <w:jc w:val="center"/>
              <w:rPr>
                <w:rFonts w:cs="Calibri"/>
                <w:sz w:val="18"/>
                <w:szCs w:val="18"/>
              </w:rPr>
            </w:pPr>
            <w:r w:rsidRPr="00B363AA">
              <w:rPr>
                <w:rFonts w:cs="Calibri"/>
                <w:sz w:val="18"/>
                <w:szCs w:val="18"/>
              </w:rPr>
              <w:t>0</w:t>
            </w:r>
          </w:p>
        </w:tc>
        <w:tc>
          <w:tcPr>
            <w:tcW w:w="846" w:type="dxa"/>
            <w:shd w:val="clear" w:color="auto" w:fill="4C94D8" w:themeFill="text2" w:themeFillTint="80"/>
            <w:vAlign w:val="center"/>
          </w:tcPr>
          <w:p w14:paraId="2E61AA28" w14:textId="77777777" w:rsidR="00DE3299" w:rsidRPr="00B363AA" w:rsidRDefault="00DE3299" w:rsidP="00F90FA1">
            <w:pPr>
              <w:jc w:val="center"/>
              <w:rPr>
                <w:rFonts w:cs="Calibri"/>
                <w:sz w:val="18"/>
                <w:szCs w:val="18"/>
              </w:rPr>
            </w:pPr>
            <w:r w:rsidRPr="00B363AA">
              <w:rPr>
                <w:rFonts w:cs="Calibri"/>
                <w:sz w:val="18"/>
                <w:szCs w:val="18"/>
              </w:rPr>
              <w:t>4</w:t>
            </w:r>
          </w:p>
        </w:tc>
        <w:tc>
          <w:tcPr>
            <w:tcW w:w="719" w:type="dxa"/>
            <w:vAlign w:val="center"/>
          </w:tcPr>
          <w:p w14:paraId="73C97979" w14:textId="77777777" w:rsidR="00DE3299" w:rsidRPr="00B363AA" w:rsidRDefault="00DE3299" w:rsidP="00F90FA1">
            <w:pPr>
              <w:jc w:val="center"/>
              <w:rPr>
                <w:rFonts w:cs="Calibri"/>
                <w:sz w:val="18"/>
                <w:szCs w:val="18"/>
              </w:rPr>
            </w:pPr>
            <w:r w:rsidRPr="00B363AA">
              <w:rPr>
                <w:rFonts w:cs="Calibri"/>
                <w:sz w:val="18"/>
                <w:szCs w:val="18"/>
              </w:rPr>
              <w:t>0</w:t>
            </w:r>
          </w:p>
        </w:tc>
        <w:tc>
          <w:tcPr>
            <w:tcW w:w="992" w:type="dxa"/>
            <w:shd w:val="clear" w:color="auto" w:fill="4C94D8" w:themeFill="text2" w:themeFillTint="80"/>
            <w:vAlign w:val="center"/>
          </w:tcPr>
          <w:p w14:paraId="134618F6" w14:textId="77777777" w:rsidR="00DE3299" w:rsidRPr="00B363AA" w:rsidRDefault="00DE3299" w:rsidP="00F90FA1">
            <w:pPr>
              <w:jc w:val="center"/>
              <w:rPr>
                <w:rFonts w:cs="Calibri"/>
                <w:sz w:val="18"/>
                <w:szCs w:val="18"/>
              </w:rPr>
            </w:pPr>
            <w:r w:rsidRPr="00B363AA">
              <w:rPr>
                <w:rFonts w:cs="Calibri"/>
                <w:sz w:val="18"/>
                <w:szCs w:val="18"/>
              </w:rPr>
              <w:t>4</w:t>
            </w:r>
          </w:p>
        </w:tc>
        <w:tc>
          <w:tcPr>
            <w:tcW w:w="982" w:type="dxa"/>
            <w:shd w:val="clear" w:color="auto" w:fill="DAE9F7" w:themeFill="text2" w:themeFillTint="1A"/>
            <w:vAlign w:val="center"/>
          </w:tcPr>
          <w:p w14:paraId="03384E8B" w14:textId="77777777" w:rsidR="00DE3299" w:rsidRPr="00B363AA" w:rsidRDefault="00DE3299" w:rsidP="00F90FA1">
            <w:pPr>
              <w:jc w:val="center"/>
              <w:rPr>
                <w:rFonts w:cs="Calibri"/>
                <w:sz w:val="18"/>
                <w:szCs w:val="18"/>
              </w:rPr>
            </w:pPr>
            <w:r w:rsidRPr="00B363AA">
              <w:rPr>
                <w:rFonts w:cs="Calibri"/>
                <w:sz w:val="18"/>
                <w:szCs w:val="18"/>
              </w:rPr>
              <w:t>1 – 2*</w:t>
            </w:r>
          </w:p>
        </w:tc>
        <w:tc>
          <w:tcPr>
            <w:tcW w:w="1145" w:type="dxa"/>
            <w:shd w:val="clear" w:color="auto" w:fill="DAE9F7" w:themeFill="text2" w:themeFillTint="1A"/>
            <w:vAlign w:val="center"/>
          </w:tcPr>
          <w:p w14:paraId="2229CE50" w14:textId="77777777" w:rsidR="00DE3299" w:rsidRPr="00B363AA" w:rsidRDefault="00DE3299" w:rsidP="00F90FA1">
            <w:pPr>
              <w:jc w:val="center"/>
              <w:rPr>
                <w:rFonts w:cs="Calibri"/>
                <w:sz w:val="18"/>
                <w:szCs w:val="18"/>
              </w:rPr>
            </w:pPr>
            <w:r w:rsidRPr="00B363AA">
              <w:rPr>
                <w:rFonts w:cs="Calibri"/>
                <w:sz w:val="18"/>
                <w:szCs w:val="18"/>
              </w:rPr>
              <w:t>1</w:t>
            </w:r>
          </w:p>
        </w:tc>
        <w:tc>
          <w:tcPr>
            <w:tcW w:w="1134" w:type="dxa"/>
            <w:vAlign w:val="center"/>
          </w:tcPr>
          <w:p w14:paraId="38DCA629" w14:textId="77777777" w:rsidR="00DE3299" w:rsidRPr="00B363AA" w:rsidRDefault="00DE3299" w:rsidP="00F90FA1">
            <w:pPr>
              <w:jc w:val="center"/>
              <w:rPr>
                <w:rFonts w:cs="Calibri"/>
                <w:sz w:val="18"/>
                <w:szCs w:val="18"/>
              </w:rPr>
            </w:pPr>
            <w:r w:rsidRPr="00B363AA">
              <w:rPr>
                <w:rFonts w:cs="Calibri"/>
                <w:sz w:val="18"/>
                <w:szCs w:val="18"/>
              </w:rPr>
              <w:t>0</w:t>
            </w:r>
          </w:p>
        </w:tc>
        <w:tc>
          <w:tcPr>
            <w:tcW w:w="992" w:type="dxa"/>
            <w:shd w:val="clear" w:color="auto" w:fill="DAE9F7" w:themeFill="text2" w:themeFillTint="1A"/>
            <w:vAlign w:val="center"/>
          </w:tcPr>
          <w:p w14:paraId="03DF4E3C" w14:textId="77777777" w:rsidR="00DE3299" w:rsidRPr="00B363AA" w:rsidRDefault="00DE3299" w:rsidP="00F90FA1">
            <w:pPr>
              <w:jc w:val="center"/>
              <w:rPr>
                <w:rFonts w:cs="Calibri"/>
                <w:sz w:val="18"/>
                <w:szCs w:val="18"/>
              </w:rPr>
            </w:pPr>
            <w:r w:rsidRPr="00B363AA">
              <w:rPr>
                <w:rFonts w:cs="Calibri"/>
                <w:sz w:val="18"/>
                <w:szCs w:val="18"/>
              </w:rPr>
              <w:t>1</w:t>
            </w:r>
          </w:p>
        </w:tc>
        <w:tc>
          <w:tcPr>
            <w:tcW w:w="992" w:type="dxa"/>
            <w:vAlign w:val="center"/>
          </w:tcPr>
          <w:p w14:paraId="28C91762" w14:textId="77777777" w:rsidR="00DE3299" w:rsidRPr="00B363AA" w:rsidRDefault="00DE3299" w:rsidP="00F90FA1">
            <w:pPr>
              <w:jc w:val="center"/>
              <w:rPr>
                <w:rFonts w:cs="Calibri"/>
                <w:sz w:val="18"/>
                <w:szCs w:val="18"/>
              </w:rPr>
            </w:pPr>
            <w:r w:rsidRPr="00B363AA">
              <w:rPr>
                <w:rFonts w:cs="Calibri"/>
                <w:sz w:val="18"/>
                <w:szCs w:val="18"/>
              </w:rPr>
              <w:t>0</w:t>
            </w:r>
          </w:p>
        </w:tc>
        <w:tc>
          <w:tcPr>
            <w:tcW w:w="1134" w:type="dxa"/>
            <w:vAlign w:val="center"/>
          </w:tcPr>
          <w:p w14:paraId="4592DE4C" w14:textId="77777777" w:rsidR="00DE3299" w:rsidRPr="00B363AA" w:rsidRDefault="00DE3299" w:rsidP="00F90FA1">
            <w:pPr>
              <w:jc w:val="center"/>
              <w:rPr>
                <w:rFonts w:cs="Calibri"/>
                <w:sz w:val="18"/>
                <w:szCs w:val="18"/>
              </w:rPr>
            </w:pPr>
            <w:r w:rsidRPr="00B363AA">
              <w:rPr>
                <w:rFonts w:cs="Calibri"/>
                <w:sz w:val="18"/>
                <w:szCs w:val="18"/>
              </w:rPr>
              <w:t>0</w:t>
            </w:r>
          </w:p>
        </w:tc>
      </w:tr>
      <w:tr w:rsidR="00DE3299" w:rsidRPr="00B363AA" w14:paraId="4BE465A8" w14:textId="77777777" w:rsidTr="00F90FA1">
        <w:trPr>
          <w:cantSplit/>
          <w:trHeight w:val="340"/>
          <w:jc w:val="center"/>
        </w:trPr>
        <w:tc>
          <w:tcPr>
            <w:tcW w:w="704" w:type="dxa"/>
            <w:vAlign w:val="center"/>
          </w:tcPr>
          <w:p w14:paraId="3B926B90" w14:textId="77777777" w:rsidR="00DE3299" w:rsidRPr="00B363AA" w:rsidRDefault="00DE3299" w:rsidP="00F90FA1">
            <w:pPr>
              <w:ind w:left="113" w:right="113"/>
              <w:jc w:val="center"/>
              <w:rPr>
                <w:rFonts w:cs="Calibri"/>
                <w:sz w:val="18"/>
                <w:szCs w:val="18"/>
              </w:rPr>
            </w:pPr>
            <w:r w:rsidRPr="00B363AA">
              <w:rPr>
                <w:rFonts w:cs="Calibri"/>
                <w:sz w:val="18"/>
                <w:szCs w:val="18"/>
              </w:rPr>
              <w:t>IV</w:t>
            </w:r>
          </w:p>
        </w:tc>
        <w:tc>
          <w:tcPr>
            <w:tcW w:w="2268" w:type="dxa"/>
            <w:tcBorders>
              <w:top w:val="single" w:sz="4" w:space="0" w:color="auto"/>
              <w:left w:val="single" w:sz="4" w:space="0" w:color="auto"/>
              <w:bottom w:val="single" w:sz="4" w:space="0" w:color="auto"/>
              <w:right w:val="single" w:sz="4" w:space="0" w:color="auto"/>
            </w:tcBorders>
            <w:vAlign w:val="center"/>
          </w:tcPr>
          <w:p w14:paraId="7B35492D" w14:textId="77777777" w:rsidR="00DE3299" w:rsidRPr="00B363AA" w:rsidRDefault="00DE3299" w:rsidP="00F90FA1">
            <w:pPr>
              <w:jc w:val="left"/>
              <w:rPr>
                <w:rFonts w:cs="Calibri"/>
                <w:sz w:val="18"/>
                <w:szCs w:val="18"/>
              </w:rPr>
            </w:pPr>
            <w:r w:rsidRPr="00B363AA">
              <w:rPr>
                <w:rFonts w:cs="Calibri"/>
                <w:sz w:val="18"/>
                <w:szCs w:val="18"/>
              </w:rPr>
              <w:t>Récréatif / commercial</w:t>
            </w:r>
          </w:p>
        </w:tc>
        <w:tc>
          <w:tcPr>
            <w:tcW w:w="851" w:type="dxa"/>
            <w:vAlign w:val="center"/>
          </w:tcPr>
          <w:p w14:paraId="464549B2" w14:textId="77777777" w:rsidR="00DE3299" w:rsidRPr="00B363AA" w:rsidRDefault="00DE3299" w:rsidP="00F90FA1">
            <w:pPr>
              <w:jc w:val="center"/>
              <w:rPr>
                <w:rFonts w:cs="Calibri"/>
                <w:sz w:val="18"/>
                <w:szCs w:val="18"/>
              </w:rPr>
            </w:pPr>
            <w:r w:rsidRPr="00B363AA">
              <w:rPr>
                <w:rFonts w:cs="Calibri"/>
                <w:sz w:val="18"/>
                <w:szCs w:val="18"/>
              </w:rPr>
              <w:t>0</w:t>
            </w:r>
          </w:p>
        </w:tc>
        <w:tc>
          <w:tcPr>
            <w:tcW w:w="860" w:type="dxa"/>
            <w:vAlign w:val="center"/>
          </w:tcPr>
          <w:p w14:paraId="6B28FF5D" w14:textId="77777777" w:rsidR="00DE3299" w:rsidRPr="00B363AA" w:rsidRDefault="00DE3299" w:rsidP="00F90FA1">
            <w:pPr>
              <w:jc w:val="center"/>
              <w:rPr>
                <w:rFonts w:cs="Calibri"/>
                <w:sz w:val="18"/>
                <w:szCs w:val="18"/>
              </w:rPr>
            </w:pPr>
            <w:r w:rsidRPr="00B363AA">
              <w:rPr>
                <w:rFonts w:cs="Calibri"/>
                <w:sz w:val="18"/>
                <w:szCs w:val="18"/>
              </w:rPr>
              <w:t>0</w:t>
            </w:r>
          </w:p>
        </w:tc>
        <w:tc>
          <w:tcPr>
            <w:tcW w:w="846" w:type="dxa"/>
            <w:shd w:val="clear" w:color="auto" w:fill="4C94D8" w:themeFill="text2" w:themeFillTint="80"/>
            <w:vAlign w:val="center"/>
          </w:tcPr>
          <w:p w14:paraId="1ED97A7D" w14:textId="77777777" w:rsidR="00DE3299" w:rsidRPr="00B363AA" w:rsidRDefault="00DE3299" w:rsidP="00F90FA1">
            <w:pPr>
              <w:jc w:val="center"/>
              <w:rPr>
                <w:rFonts w:cs="Calibri"/>
                <w:sz w:val="18"/>
                <w:szCs w:val="18"/>
              </w:rPr>
            </w:pPr>
            <w:r w:rsidRPr="00B363AA">
              <w:rPr>
                <w:rFonts w:cs="Calibri"/>
                <w:sz w:val="18"/>
                <w:szCs w:val="18"/>
              </w:rPr>
              <w:t>4</w:t>
            </w:r>
          </w:p>
        </w:tc>
        <w:tc>
          <w:tcPr>
            <w:tcW w:w="719" w:type="dxa"/>
            <w:vAlign w:val="center"/>
          </w:tcPr>
          <w:p w14:paraId="183CCFE0" w14:textId="77777777" w:rsidR="00DE3299" w:rsidRPr="00B363AA" w:rsidRDefault="00DE3299" w:rsidP="00F90FA1">
            <w:pPr>
              <w:jc w:val="center"/>
              <w:rPr>
                <w:rFonts w:cs="Calibri"/>
                <w:sz w:val="18"/>
                <w:szCs w:val="18"/>
              </w:rPr>
            </w:pPr>
            <w:r w:rsidRPr="00B363AA">
              <w:rPr>
                <w:rFonts w:cs="Calibri"/>
                <w:sz w:val="18"/>
                <w:szCs w:val="18"/>
              </w:rPr>
              <w:t>0</w:t>
            </w:r>
          </w:p>
        </w:tc>
        <w:tc>
          <w:tcPr>
            <w:tcW w:w="992" w:type="dxa"/>
            <w:shd w:val="clear" w:color="auto" w:fill="4C94D8" w:themeFill="text2" w:themeFillTint="80"/>
            <w:vAlign w:val="center"/>
          </w:tcPr>
          <w:p w14:paraId="6FFF7C45" w14:textId="77777777" w:rsidR="00DE3299" w:rsidRPr="00B363AA" w:rsidRDefault="00DE3299" w:rsidP="00F90FA1">
            <w:pPr>
              <w:jc w:val="center"/>
              <w:rPr>
                <w:rFonts w:cs="Calibri"/>
                <w:sz w:val="18"/>
                <w:szCs w:val="18"/>
              </w:rPr>
            </w:pPr>
            <w:r w:rsidRPr="00B363AA">
              <w:rPr>
                <w:rFonts w:cs="Calibri"/>
                <w:sz w:val="18"/>
                <w:szCs w:val="18"/>
              </w:rPr>
              <w:t>4</w:t>
            </w:r>
          </w:p>
        </w:tc>
        <w:tc>
          <w:tcPr>
            <w:tcW w:w="982" w:type="dxa"/>
            <w:shd w:val="clear" w:color="auto" w:fill="DAE9F7" w:themeFill="text2" w:themeFillTint="1A"/>
            <w:vAlign w:val="center"/>
          </w:tcPr>
          <w:p w14:paraId="374F503D" w14:textId="77777777" w:rsidR="00DE3299" w:rsidRPr="00B363AA" w:rsidRDefault="00DE3299" w:rsidP="00F90FA1">
            <w:pPr>
              <w:jc w:val="center"/>
              <w:rPr>
                <w:rFonts w:cs="Calibri"/>
                <w:sz w:val="18"/>
                <w:szCs w:val="18"/>
              </w:rPr>
            </w:pPr>
            <w:r w:rsidRPr="00B363AA">
              <w:rPr>
                <w:rFonts w:cs="Calibri"/>
                <w:sz w:val="18"/>
                <w:szCs w:val="18"/>
              </w:rPr>
              <w:t>1 – 2*</w:t>
            </w:r>
          </w:p>
        </w:tc>
        <w:tc>
          <w:tcPr>
            <w:tcW w:w="1145" w:type="dxa"/>
            <w:shd w:val="clear" w:color="auto" w:fill="DAE9F7" w:themeFill="text2" w:themeFillTint="1A"/>
            <w:vAlign w:val="center"/>
          </w:tcPr>
          <w:p w14:paraId="78C600A9" w14:textId="77777777" w:rsidR="00DE3299" w:rsidRPr="00B363AA" w:rsidRDefault="00DE3299" w:rsidP="00F90FA1">
            <w:pPr>
              <w:jc w:val="center"/>
              <w:rPr>
                <w:rFonts w:cs="Calibri"/>
                <w:sz w:val="18"/>
                <w:szCs w:val="18"/>
              </w:rPr>
            </w:pPr>
            <w:r w:rsidRPr="00B363AA">
              <w:rPr>
                <w:rFonts w:cs="Calibri"/>
                <w:sz w:val="18"/>
                <w:szCs w:val="18"/>
              </w:rPr>
              <w:t>1</w:t>
            </w:r>
          </w:p>
        </w:tc>
        <w:tc>
          <w:tcPr>
            <w:tcW w:w="1134" w:type="dxa"/>
            <w:vAlign w:val="center"/>
          </w:tcPr>
          <w:p w14:paraId="5F143EB1" w14:textId="77777777" w:rsidR="00DE3299" w:rsidRPr="00B363AA" w:rsidRDefault="00DE3299" w:rsidP="00F90FA1">
            <w:pPr>
              <w:jc w:val="center"/>
              <w:rPr>
                <w:rFonts w:cs="Calibri"/>
                <w:sz w:val="18"/>
                <w:szCs w:val="18"/>
              </w:rPr>
            </w:pPr>
            <w:r w:rsidRPr="00B363AA">
              <w:rPr>
                <w:rFonts w:cs="Calibri"/>
                <w:sz w:val="18"/>
                <w:szCs w:val="18"/>
              </w:rPr>
              <w:t>0</w:t>
            </w:r>
          </w:p>
        </w:tc>
        <w:tc>
          <w:tcPr>
            <w:tcW w:w="992" w:type="dxa"/>
            <w:shd w:val="clear" w:color="auto" w:fill="DAE9F7" w:themeFill="text2" w:themeFillTint="1A"/>
            <w:vAlign w:val="center"/>
          </w:tcPr>
          <w:p w14:paraId="26B5EA56" w14:textId="77777777" w:rsidR="00DE3299" w:rsidRPr="00B363AA" w:rsidRDefault="00DE3299" w:rsidP="00F90FA1">
            <w:pPr>
              <w:jc w:val="center"/>
              <w:rPr>
                <w:rFonts w:cs="Calibri"/>
                <w:sz w:val="18"/>
                <w:szCs w:val="18"/>
              </w:rPr>
            </w:pPr>
            <w:r w:rsidRPr="00B363AA">
              <w:rPr>
                <w:rFonts w:cs="Calibri"/>
                <w:sz w:val="18"/>
                <w:szCs w:val="18"/>
              </w:rPr>
              <w:t>1</w:t>
            </w:r>
          </w:p>
        </w:tc>
        <w:tc>
          <w:tcPr>
            <w:tcW w:w="992" w:type="dxa"/>
            <w:vAlign w:val="center"/>
          </w:tcPr>
          <w:p w14:paraId="2BEBBD82" w14:textId="77777777" w:rsidR="00DE3299" w:rsidRPr="00B363AA" w:rsidRDefault="00DE3299" w:rsidP="00F90FA1">
            <w:pPr>
              <w:jc w:val="center"/>
              <w:rPr>
                <w:rFonts w:cs="Calibri"/>
                <w:sz w:val="18"/>
                <w:szCs w:val="18"/>
              </w:rPr>
            </w:pPr>
            <w:r w:rsidRPr="00B363AA">
              <w:rPr>
                <w:rFonts w:cs="Calibri"/>
                <w:sz w:val="18"/>
                <w:szCs w:val="18"/>
              </w:rPr>
              <w:t>0</w:t>
            </w:r>
          </w:p>
        </w:tc>
        <w:tc>
          <w:tcPr>
            <w:tcW w:w="1134" w:type="dxa"/>
            <w:vAlign w:val="center"/>
          </w:tcPr>
          <w:p w14:paraId="0DD1FD05" w14:textId="77777777" w:rsidR="00DE3299" w:rsidRPr="00B363AA" w:rsidRDefault="00DE3299" w:rsidP="00F90FA1">
            <w:pPr>
              <w:jc w:val="center"/>
              <w:rPr>
                <w:rFonts w:cs="Calibri"/>
                <w:sz w:val="18"/>
                <w:szCs w:val="18"/>
              </w:rPr>
            </w:pPr>
            <w:r w:rsidRPr="00B363AA">
              <w:rPr>
                <w:rFonts w:cs="Calibri"/>
                <w:sz w:val="18"/>
                <w:szCs w:val="18"/>
              </w:rPr>
              <w:t>0</w:t>
            </w:r>
          </w:p>
        </w:tc>
      </w:tr>
      <w:tr w:rsidR="00DE3299" w:rsidRPr="00B363AA" w14:paraId="467E78D8" w14:textId="77777777" w:rsidTr="00F90FA1">
        <w:trPr>
          <w:cantSplit/>
          <w:trHeight w:val="340"/>
          <w:jc w:val="center"/>
        </w:trPr>
        <w:tc>
          <w:tcPr>
            <w:tcW w:w="704" w:type="dxa"/>
            <w:vAlign w:val="center"/>
          </w:tcPr>
          <w:p w14:paraId="141CCAC1" w14:textId="77777777" w:rsidR="00DE3299" w:rsidRPr="00B363AA" w:rsidRDefault="00DE3299" w:rsidP="00F90FA1">
            <w:pPr>
              <w:ind w:left="113" w:right="113"/>
              <w:jc w:val="center"/>
              <w:rPr>
                <w:rFonts w:cs="Calibri"/>
                <w:sz w:val="18"/>
                <w:szCs w:val="18"/>
              </w:rPr>
            </w:pPr>
            <w:r w:rsidRPr="00B363AA">
              <w:rPr>
                <w:rFonts w:cs="Calibri"/>
                <w:sz w:val="18"/>
                <w:szCs w:val="18"/>
              </w:rPr>
              <w:t>V</w:t>
            </w:r>
          </w:p>
        </w:tc>
        <w:tc>
          <w:tcPr>
            <w:tcW w:w="2268" w:type="dxa"/>
            <w:tcBorders>
              <w:top w:val="single" w:sz="4" w:space="0" w:color="auto"/>
              <w:left w:val="single" w:sz="4" w:space="0" w:color="auto"/>
              <w:bottom w:val="single" w:sz="4" w:space="0" w:color="auto"/>
              <w:right w:val="single" w:sz="4" w:space="0" w:color="auto"/>
            </w:tcBorders>
            <w:vAlign w:val="center"/>
          </w:tcPr>
          <w:p w14:paraId="2F9B1718" w14:textId="77777777" w:rsidR="00DE3299" w:rsidRPr="00B363AA" w:rsidRDefault="00DE3299" w:rsidP="00F90FA1">
            <w:pPr>
              <w:jc w:val="left"/>
              <w:rPr>
                <w:rFonts w:cs="Calibri"/>
                <w:sz w:val="18"/>
                <w:szCs w:val="18"/>
              </w:rPr>
            </w:pPr>
            <w:r w:rsidRPr="00B363AA">
              <w:rPr>
                <w:rFonts w:cs="Calibri"/>
                <w:sz w:val="18"/>
                <w:szCs w:val="18"/>
              </w:rPr>
              <w:t>Industriel</w:t>
            </w:r>
          </w:p>
        </w:tc>
        <w:tc>
          <w:tcPr>
            <w:tcW w:w="851" w:type="dxa"/>
            <w:vAlign w:val="center"/>
          </w:tcPr>
          <w:p w14:paraId="6BD1CA69" w14:textId="77777777" w:rsidR="00DE3299" w:rsidRPr="00B363AA" w:rsidRDefault="00DE3299" w:rsidP="00F90FA1">
            <w:pPr>
              <w:jc w:val="center"/>
              <w:rPr>
                <w:rFonts w:cs="Calibri"/>
                <w:sz w:val="18"/>
                <w:szCs w:val="18"/>
              </w:rPr>
            </w:pPr>
            <w:r w:rsidRPr="00B363AA">
              <w:rPr>
                <w:rFonts w:cs="Calibri"/>
                <w:sz w:val="18"/>
                <w:szCs w:val="18"/>
              </w:rPr>
              <w:t>0</w:t>
            </w:r>
          </w:p>
        </w:tc>
        <w:tc>
          <w:tcPr>
            <w:tcW w:w="860" w:type="dxa"/>
            <w:vAlign w:val="center"/>
          </w:tcPr>
          <w:p w14:paraId="6A4EFE0D" w14:textId="77777777" w:rsidR="00DE3299" w:rsidRPr="00B363AA" w:rsidRDefault="00DE3299" w:rsidP="00F90FA1">
            <w:pPr>
              <w:jc w:val="center"/>
              <w:rPr>
                <w:rFonts w:cs="Calibri"/>
                <w:sz w:val="18"/>
                <w:szCs w:val="18"/>
              </w:rPr>
            </w:pPr>
            <w:r w:rsidRPr="00B363AA">
              <w:rPr>
                <w:rFonts w:cs="Calibri"/>
                <w:sz w:val="18"/>
                <w:szCs w:val="18"/>
              </w:rPr>
              <w:t>0</w:t>
            </w:r>
          </w:p>
        </w:tc>
        <w:tc>
          <w:tcPr>
            <w:tcW w:w="846" w:type="dxa"/>
            <w:shd w:val="clear" w:color="auto" w:fill="A5C9EB" w:themeFill="text2" w:themeFillTint="40"/>
            <w:vAlign w:val="center"/>
          </w:tcPr>
          <w:p w14:paraId="737525BE" w14:textId="77777777" w:rsidR="00DE3299" w:rsidRPr="00B363AA" w:rsidRDefault="00DE3299" w:rsidP="00F90FA1">
            <w:pPr>
              <w:jc w:val="center"/>
              <w:rPr>
                <w:rFonts w:cs="Calibri"/>
                <w:sz w:val="18"/>
                <w:szCs w:val="18"/>
              </w:rPr>
            </w:pPr>
            <w:r w:rsidRPr="00B363AA">
              <w:rPr>
                <w:rFonts w:cs="Calibri"/>
                <w:sz w:val="18"/>
                <w:szCs w:val="18"/>
              </w:rPr>
              <w:t>2</w:t>
            </w:r>
          </w:p>
        </w:tc>
        <w:tc>
          <w:tcPr>
            <w:tcW w:w="719" w:type="dxa"/>
            <w:vAlign w:val="center"/>
          </w:tcPr>
          <w:p w14:paraId="7035CEE0" w14:textId="77777777" w:rsidR="00DE3299" w:rsidRPr="00B363AA" w:rsidRDefault="00DE3299" w:rsidP="00F90FA1">
            <w:pPr>
              <w:jc w:val="center"/>
              <w:rPr>
                <w:rFonts w:cs="Calibri"/>
                <w:sz w:val="18"/>
                <w:szCs w:val="18"/>
              </w:rPr>
            </w:pPr>
            <w:r w:rsidRPr="00B363AA">
              <w:rPr>
                <w:rFonts w:cs="Calibri"/>
                <w:sz w:val="18"/>
                <w:szCs w:val="18"/>
              </w:rPr>
              <w:t>0</w:t>
            </w:r>
          </w:p>
        </w:tc>
        <w:tc>
          <w:tcPr>
            <w:tcW w:w="992" w:type="dxa"/>
            <w:shd w:val="clear" w:color="auto" w:fill="4C94D8" w:themeFill="text2" w:themeFillTint="80"/>
            <w:vAlign w:val="center"/>
          </w:tcPr>
          <w:p w14:paraId="5B4E5418" w14:textId="77777777" w:rsidR="00DE3299" w:rsidRPr="00B363AA" w:rsidRDefault="00DE3299" w:rsidP="00F90FA1">
            <w:pPr>
              <w:jc w:val="center"/>
              <w:rPr>
                <w:rFonts w:cs="Calibri"/>
                <w:sz w:val="18"/>
                <w:szCs w:val="18"/>
              </w:rPr>
            </w:pPr>
            <w:r w:rsidRPr="00B363AA">
              <w:rPr>
                <w:rFonts w:cs="Calibri"/>
                <w:sz w:val="18"/>
                <w:szCs w:val="18"/>
              </w:rPr>
              <w:t>4</w:t>
            </w:r>
          </w:p>
        </w:tc>
        <w:tc>
          <w:tcPr>
            <w:tcW w:w="982" w:type="dxa"/>
            <w:shd w:val="clear" w:color="auto" w:fill="DAE9F7" w:themeFill="text2" w:themeFillTint="1A"/>
            <w:vAlign w:val="center"/>
          </w:tcPr>
          <w:p w14:paraId="66FD0C23" w14:textId="77777777" w:rsidR="00DE3299" w:rsidRPr="00B363AA" w:rsidRDefault="00DE3299" w:rsidP="00F90FA1">
            <w:pPr>
              <w:jc w:val="center"/>
              <w:rPr>
                <w:rFonts w:cs="Calibri"/>
                <w:sz w:val="18"/>
                <w:szCs w:val="18"/>
              </w:rPr>
            </w:pPr>
            <w:r w:rsidRPr="00B363AA">
              <w:rPr>
                <w:rFonts w:cs="Calibri"/>
                <w:sz w:val="18"/>
                <w:szCs w:val="18"/>
              </w:rPr>
              <w:t>1 – 2*</w:t>
            </w:r>
          </w:p>
        </w:tc>
        <w:tc>
          <w:tcPr>
            <w:tcW w:w="1145" w:type="dxa"/>
            <w:shd w:val="clear" w:color="auto" w:fill="DAE9F7" w:themeFill="text2" w:themeFillTint="1A"/>
            <w:vAlign w:val="center"/>
          </w:tcPr>
          <w:p w14:paraId="14C77861" w14:textId="77777777" w:rsidR="00DE3299" w:rsidRPr="00B363AA" w:rsidRDefault="00DE3299" w:rsidP="00F90FA1">
            <w:pPr>
              <w:jc w:val="center"/>
              <w:rPr>
                <w:rFonts w:cs="Calibri"/>
                <w:sz w:val="18"/>
                <w:szCs w:val="18"/>
              </w:rPr>
            </w:pPr>
            <w:r w:rsidRPr="00B363AA">
              <w:rPr>
                <w:rFonts w:cs="Calibri"/>
                <w:sz w:val="18"/>
                <w:szCs w:val="18"/>
              </w:rPr>
              <w:t>1</w:t>
            </w:r>
          </w:p>
        </w:tc>
        <w:tc>
          <w:tcPr>
            <w:tcW w:w="1134" w:type="dxa"/>
            <w:shd w:val="clear" w:color="auto" w:fill="A5C9EB" w:themeFill="text2" w:themeFillTint="40"/>
            <w:vAlign w:val="center"/>
          </w:tcPr>
          <w:p w14:paraId="4361D6AA" w14:textId="77777777" w:rsidR="00DE3299" w:rsidRPr="00B363AA" w:rsidRDefault="00DE3299" w:rsidP="00F90FA1">
            <w:pPr>
              <w:jc w:val="center"/>
              <w:rPr>
                <w:rFonts w:cs="Calibri"/>
                <w:sz w:val="18"/>
                <w:szCs w:val="18"/>
              </w:rPr>
            </w:pPr>
            <w:r w:rsidRPr="00B363AA">
              <w:rPr>
                <w:rFonts w:cs="Calibri"/>
                <w:sz w:val="18"/>
                <w:szCs w:val="18"/>
              </w:rPr>
              <w:t>2</w:t>
            </w:r>
          </w:p>
        </w:tc>
        <w:tc>
          <w:tcPr>
            <w:tcW w:w="992" w:type="dxa"/>
            <w:shd w:val="clear" w:color="auto" w:fill="DAE9F7" w:themeFill="text2" w:themeFillTint="1A"/>
            <w:vAlign w:val="center"/>
          </w:tcPr>
          <w:p w14:paraId="1B74FECB" w14:textId="77777777" w:rsidR="00DE3299" w:rsidRPr="00B363AA" w:rsidRDefault="00DE3299" w:rsidP="00F90FA1">
            <w:pPr>
              <w:jc w:val="center"/>
              <w:rPr>
                <w:rFonts w:cs="Calibri"/>
                <w:sz w:val="18"/>
                <w:szCs w:val="18"/>
              </w:rPr>
            </w:pPr>
            <w:r w:rsidRPr="00B363AA">
              <w:rPr>
                <w:rFonts w:cs="Calibri"/>
                <w:sz w:val="18"/>
                <w:szCs w:val="18"/>
              </w:rPr>
              <w:t>1</w:t>
            </w:r>
          </w:p>
        </w:tc>
        <w:tc>
          <w:tcPr>
            <w:tcW w:w="992" w:type="dxa"/>
            <w:vAlign w:val="center"/>
          </w:tcPr>
          <w:p w14:paraId="725F6CB6" w14:textId="77777777" w:rsidR="00DE3299" w:rsidRPr="00B363AA" w:rsidRDefault="00DE3299" w:rsidP="00F90FA1">
            <w:pPr>
              <w:jc w:val="center"/>
              <w:rPr>
                <w:rFonts w:cs="Calibri"/>
                <w:sz w:val="18"/>
                <w:szCs w:val="18"/>
              </w:rPr>
            </w:pPr>
            <w:r w:rsidRPr="00B363AA">
              <w:rPr>
                <w:rFonts w:cs="Calibri"/>
                <w:sz w:val="18"/>
                <w:szCs w:val="18"/>
              </w:rPr>
              <w:t>0</w:t>
            </w:r>
          </w:p>
        </w:tc>
        <w:tc>
          <w:tcPr>
            <w:tcW w:w="1134" w:type="dxa"/>
            <w:vAlign w:val="center"/>
          </w:tcPr>
          <w:p w14:paraId="51DA8072" w14:textId="77777777" w:rsidR="00DE3299" w:rsidRPr="00B363AA" w:rsidRDefault="00DE3299" w:rsidP="00F90FA1">
            <w:pPr>
              <w:jc w:val="center"/>
              <w:rPr>
                <w:rFonts w:cs="Calibri"/>
                <w:sz w:val="18"/>
                <w:szCs w:val="18"/>
              </w:rPr>
            </w:pPr>
            <w:r w:rsidRPr="00B363AA">
              <w:rPr>
                <w:rFonts w:cs="Calibri"/>
                <w:sz w:val="18"/>
                <w:szCs w:val="18"/>
              </w:rPr>
              <w:t>0</w:t>
            </w:r>
          </w:p>
        </w:tc>
      </w:tr>
    </w:tbl>
    <w:p w14:paraId="677C7EA5" w14:textId="77777777" w:rsidR="00DE5FB1" w:rsidRPr="00B363AA" w:rsidRDefault="00DE5FB1" w:rsidP="000D59CF"/>
    <w:p w14:paraId="3BB50DCC" w14:textId="77777777" w:rsidR="00DE5FB1" w:rsidRPr="00B363AA" w:rsidRDefault="00DE5FB1" w:rsidP="000D59CF"/>
    <w:p w14:paraId="7BE8F68F" w14:textId="77777777" w:rsidR="005154CC" w:rsidRPr="00B363AA" w:rsidRDefault="005154CC" w:rsidP="002B35A6">
      <w:pPr>
        <w:jc w:val="left"/>
        <w:rPr>
          <w:highlight w:val="yellow"/>
        </w:rPr>
        <w:sectPr w:rsidR="005154CC" w:rsidRPr="00B363AA" w:rsidSect="005154CC">
          <w:pgSz w:w="16838" w:h="11906" w:orient="landscape"/>
          <w:pgMar w:top="1418" w:right="1418" w:bottom="1418" w:left="1418" w:header="709" w:footer="709" w:gutter="0"/>
          <w:pgNumType w:chapStyle="1"/>
          <w:cols w:space="708"/>
          <w:titlePg/>
          <w:docGrid w:linePitch="360"/>
        </w:sectPr>
      </w:pPr>
    </w:p>
    <w:p w14:paraId="4AEBC229" w14:textId="5564B0BC" w:rsidR="0078751C" w:rsidRPr="00B363AA" w:rsidRDefault="0082641C">
      <w:pPr>
        <w:pStyle w:val="Titre2"/>
        <w:numPr>
          <w:ilvl w:val="1"/>
          <w:numId w:val="12"/>
        </w:numPr>
      </w:pPr>
      <w:bookmarkStart w:id="165" w:name="_Toc241243003"/>
      <w:bookmarkStart w:id="166" w:name="_Toc230267115"/>
      <w:bookmarkStart w:id="167" w:name="_Ref232206867"/>
      <w:r w:rsidRPr="00B363AA">
        <w:lastRenderedPageBreak/>
        <w:t>Intégration dans les évaluations environnementales</w:t>
      </w:r>
      <w:bookmarkEnd w:id="165"/>
    </w:p>
    <w:p w14:paraId="1525CACE" w14:textId="77777777" w:rsidR="00087DF7" w:rsidRPr="00B363AA" w:rsidRDefault="00087DF7">
      <w:pPr>
        <w:pStyle w:val="Titre3"/>
        <w:numPr>
          <w:ilvl w:val="2"/>
          <w:numId w:val="12"/>
        </w:numPr>
      </w:pPr>
      <w:bookmarkStart w:id="168" w:name="_Ref232541945"/>
      <w:bookmarkStart w:id="169" w:name="_Toc233387896"/>
      <w:bookmarkStart w:id="170" w:name="_Toc241243004"/>
      <w:r w:rsidRPr="00B363AA">
        <w:t>Exemples d’implémentations concrètes (à l’étranger)</w:t>
      </w:r>
      <w:bookmarkEnd w:id="168"/>
      <w:bookmarkEnd w:id="169"/>
      <w:bookmarkEnd w:id="170"/>
    </w:p>
    <w:p w14:paraId="65E1EC4B" w14:textId="77777777" w:rsidR="00087DF7" w:rsidRPr="00B363AA" w:rsidRDefault="00087DF7" w:rsidP="00087DF7">
      <w:r w:rsidRPr="00B363AA">
        <w:t>Plusieurs projets pilotes d’intégration de la qualité des sols dans les projets d’aménagement via des outils d’aide à la décision, existent. Citons, par exemple, la Région de Bruxelles-Capitale, la Région Morges en Suisse, la Ville de Stuttgart et le Land de Hesse en Allemagne, la Ville de Salzbourg en Autriche et la Ville d’Amsterdam aux Pays-Bas.</w:t>
      </w:r>
    </w:p>
    <w:p w14:paraId="2732E093" w14:textId="44998D89" w:rsidR="00087DF7" w:rsidRPr="00B363AA" w:rsidRDefault="00087DF7" w:rsidP="00087DF7">
      <w:r w:rsidRPr="00B363AA">
        <w:t xml:space="preserve">La région de Bruxelles-Capitale propose, à travers son ambitieuse stratégie Good Soil </w:t>
      </w:r>
      <w:r w:rsidRPr="00B363AA">
        <w:fldChar w:fldCharType="begin"/>
      </w:r>
      <w:r w:rsidR="00432908" w:rsidRPr="00B363AA">
        <w:instrText xml:space="preserve"> ADDIN ZOTERO_ITEM CSL_CITATION {"citationID":"EhV8JwDm","properties":{"formattedCitation":"(Bruxelles Environnement, 2024)","plainCitation":"(Bruxelles Environnement, 2024)","noteIndex":0},"citationItems":[{"id":615,"uris":["http://zotero.org/groups/5684833/items/HNRXXQPH"],"itemData":{"id":615,"type":"report","title":"Stratégie Good Soil - Vers une gestion intégrée et durable des sols bruxellois","URL":"https://alfresco.environnement.brussels/share/s/vVqIl4nASkOJwrgNEQ5irQ","author":[{"family":"Bruxelles Environnement","given":""}],"accessed":{"date-parts":[["2026",6,17]]},"issued":{"date-parts":[["2024"]]}}}],"schema":"https://github.com/citation-style-language/schema/raw/master/csl-citation.json"} </w:instrText>
      </w:r>
      <w:r w:rsidRPr="00B363AA">
        <w:fldChar w:fldCharType="separate"/>
      </w:r>
      <w:r w:rsidR="00432908" w:rsidRPr="00B363AA">
        <w:rPr>
          <w:rFonts w:cs="Calibri"/>
        </w:rPr>
        <w:t>(Bruxelles Environnement, 2024)</w:t>
      </w:r>
      <w:r w:rsidRPr="00B363AA">
        <w:fldChar w:fldCharType="end"/>
      </w:r>
      <w:r w:rsidRPr="00B363AA">
        <w:t>, de placer la gestion durable des sols au cœur de l’aménagement du territoire et ce, dès la conception de projet. Pour ce faire, la Région s’appuie sur son Indice de Qualité des Sols Bruxellois (IQSB). Cet outil se distingue des autres exemples par le fait qu’il se base uniquement sur des mesures directes de la qualité du sol et non des estimations sur base cartographique. La Ville d’Amsterdam, avec son outil BGI (</w:t>
      </w:r>
      <w:proofErr w:type="spellStart"/>
      <w:r w:rsidRPr="00B363AA">
        <w:t>Bodemgezondheidsindex</w:t>
      </w:r>
      <w:proofErr w:type="spellEnd"/>
      <w:r w:rsidRPr="00B363AA">
        <w:t>), propose également la mesure de paramètres sol pour évaluer son adéquation avec différents usages de sol axés « urbains » et propose des mesures de gestion pour améliorer un sol diagnostiqué comme étant en mauvaise santé.</w:t>
      </w:r>
    </w:p>
    <w:p w14:paraId="65DE2D62" w14:textId="77777777" w:rsidR="00087DF7" w:rsidRPr="00B363AA" w:rsidRDefault="00087DF7" w:rsidP="00087DF7">
      <w:r w:rsidRPr="00B363AA">
        <w:t>Certaines régions vont plus loin dans l’interprétation du diagnostic sol, en extrapolant le résultat de qualité du sol (estimé sur base cartographique, ou éventuellement déduit de mesures de terrain) en indices surfaciques, ce qui permet d’avoir une vision très concrète de l’impact de projet d’aménagement. La région Morges a développé trois outils interactifs destinés aux acteurs de l’aménagement du territoire et de la construction</w:t>
      </w:r>
      <w:r w:rsidRPr="00B363AA">
        <w:rPr>
          <w:rStyle w:val="Appelnotedebasdep"/>
        </w:rPr>
        <w:footnoteReference w:id="12"/>
      </w:r>
      <w:r w:rsidRPr="00B363AA">
        <w:t> : (1) un outil cartographique qui prédit, sur base des données disponibles, la capacité du sol à remplir les fonctions prioritaires pour le gestionnaire ; (2) un outil d’ajustement qui permet d’ajuster les données d’entrée sur base de mesures directes ; (3) un outil de simulation permettant de quantifier l’impact des projets sur le bilan des fonctions à l’échelle du site, via l’établissement d’un « contingent de consommation » qui permet d’introduire la notion de quota d’utilisation des sols. Ces outils sont actuellement mis en application dans le cadre de divers projets pilotes régionaux.</w:t>
      </w:r>
    </w:p>
    <w:p w14:paraId="177FFB78" w14:textId="1C15085B" w:rsidR="00087DF7" w:rsidRPr="00B363AA" w:rsidRDefault="00087DF7" w:rsidP="00087DF7">
      <w:r w:rsidRPr="00B363AA">
        <w:t xml:space="preserve">Dans le Land allemand de Hesse, pour tout projet dont l’ampleur dépasse 1 ha, un outil impose de dimensionner les compensations de la dégradation du sol sur les fonctions du sol </w:t>
      </w:r>
      <w:r w:rsidRPr="00B363AA">
        <w:fldChar w:fldCharType="begin"/>
      </w:r>
      <w:r w:rsidR="00432908" w:rsidRPr="00B363AA">
        <w:instrText xml:space="preserve"> ADDIN ZOTERO_ITEM CSL_CITATION {"citationID":"yux2Egsx","properties":{"formattedCitation":"(Miller et al., 2023)","plainCitation":"(Miller et al., 2023)","noteIndex":0},"citationItems":[{"id":613,"uris":["http://zotero.org/groups/5684833/items/PJE26W7V"],"itemData":{"id":613,"type":"book","ISBN":"978-3-89531-619-7","publisher":"Umwelt und Geologie Böden und Bodenschutz in Hessen, Heft 16","title":"Kompensation des Schutzguts Boden in Planungs- und Genehmigungsverfahren - Arbeitshilfe zur Ermittlung des Kompensationsbedarfs für das Schutzgut Boden in Hessen und Rheinland-Pfalz","URL":"https://www.hlnug.de/themen/boden/vorsorge/bodenschutz-in-der-planung/kompensation-schutzgut-boden","author":[{"family":"Miller","given":"Ricarda"},{"family":"Busch","given":"Johanna"},{"family":"Friedrich","given":"Klaus"},{"family":"Fritzsch","given":"Dagmar"},{"family":"Goldschmitt","given":"Michael"},{"family":"Handke","given":"Kevin"},{"family":"Pflanz","given":"Dorthe"},{"family":"Sauer","given":"Stephan"},{"family":"Vorderbrügge","given":"Thomas"}],"accessed":{"date-parts":[["2026",6,17]]},"issued":{"date-parts":[["2023"]]}}}],"schema":"https://github.com/citation-style-language/schema/raw/master/csl-citation.json"} </w:instrText>
      </w:r>
      <w:r w:rsidRPr="00B363AA">
        <w:fldChar w:fldCharType="separate"/>
      </w:r>
      <w:r w:rsidR="00432908" w:rsidRPr="00B363AA">
        <w:rPr>
          <w:rFonts w:cs="Calibri"/>
        </w:rPr>
        <w:t>(Miller et al., 2023)</w:t>
      </w:r>
      <w:r w:rsidRPr="00B363AA">
        <w:fldChar w:fldCharType="end"/>
      </w:r>
      <w:r w:rsidRPr="00B363AA">
        <w:t>. Le calcul se fait à l’échelle de la fonction individuelle (pas d’agrégation), sur base de données d’entrée cartographiques et si besoin, de mesures de terrain. Il s’agit de faire le bilan des fonctions perdues à l’étape de la planification, puis de mettre en place des mesures de compensation pour ces mêmes fonctions. L’outil prend en compte l’état actuel, les interventions et les mesures d’atténuation prévues (ex : installation de toitures végétalisées, réduction des déplacements sur chantier etc.). La ville de Salzbourg, en Autriche, met également en place un système de compensation basé sur le diagnostic de la qualité du sol via la norme ÖNORM.</w:t>
      </w:r>
    </w:p>
    <w:p w14:paraId="23DEEF88" w14:textId="77777777" w:rsidR="00087DF7" w:rsidRPr="00B363AA" w:rsidRDefault="00087DF7" w:rsidP="00087DF7">
      <w:r w:rsidRPr="00B363AA">
        <w:t xml:space="preserve">Le programme de protection des sols de Stuttgart (BOKS) est probablement l’exemple le plus abouti en termes d’intégration de la qualité des sols dans les politiques d’aménagement. Ce programme, adopté en 2006, impose l’évaluation des projets d’aménagement à l’aide d’un indice de sol pour baliser des objectifs de préservation des sols fonctionnels. L’indice de sol (BX) est calculé en multipliant un niveau de qualité du sol (indice de qualité global, déduit sur base d’une prédiction cartographique de </w:t>
      </w:r>
      <w:r w:rsidRPr="00B363AA">
        <w:lastRenderedPageBreak/>
        <w:t>l’accomplissement des diverses fonctions) par la surface de la zone considérée. Ce programme, en fixant un objectif chiffré de 1000 BX maximum pouvant être sacrifiés à l’échelle de la ville, a favorisé une utilisation parcimonieuse du sol sur les dernières décennies.</w:t>
      </w:r>
    </w:p>
    <w:p w14:paraId="3A97EC14" w14:textId="77777777" w:rsidR="00087DF7" w:rsidRPr="00B363AA" w:rsidRDefault="00087DF7" w:rsidP="00087DF7"/>
    <w:p w14:paraId="71489387" w14:textId="77777777" w:rsidR="00087DF7" w:rsidRPr="00B363AA" w:rsidRDefault="00087DF7" w:rsidP="00087DF7">
      <w:r w:rsidRPr="00B363AA">
        <w:t>Ces exemples permettent de constater qu’il est possible de traduire un diagnostic de sol en actions concrètes.</w:t>
      </w:r>
    </w:p>
    <w:p w14:paraId="0850A133" w14:textId="65061CF3" w:rsidR="00087DF7" w:rsidRPr="00B363AA" w:rsidRDefault="00816F11">
      <w:pPr>
        <w:pStyle w:val="Titre3"/>
        <w:numPr>
          <w:ilvl w:val="2"/>
          <w:numId w:val="12"/>
        </w:numPr>
      </w:pPr>
      <w:bookmarkStart w:id="171" w:name="_Toc233387897"/>
      <w:bookmarkStart w:id="172" w:name="_Toc241243005"/>
      <w:r w:rsidRPr="00B363AA">
        <w:t>Transposition</w:t>
      </w:r>
      <w:r w:rsidR="00087DF7" w:rsidRPr="00B363AA">
        <w:t xml:space="preserve"> au contexte wallon</w:t>
      </w:r>
      <w:bookmarkEnd w:id="171"/>
      <w:bookmarkEnd w:id="172"/>
    </w:p>
    <w:p w14:paraId="0BA5C15B" w14:textId="56880132" w:rsidR="00905EEC" w:rsidRPr="00B363AA" w:rsidRDefault="00905EEC" w:rsidP="00905EEC">
      <w:pPr>
        <w:pStyle w:val="Titre4"/>
        <w:numPr>
          <w:ilvl w:val="3"/>
          <w:numId w:val="12"/>
        </w:numPr>
      </w:pPr>
      <w:r w:rsidRPr="00B363AA">
        <w:t>Définitions utiles</w:t>
      </w:r>
    </w:p>
    <w:p w14:paraId="0FFDEDEB" w14:textId="587FB5F5" w:rsidR="00905EEC" w:rsidRPr="00B363AA" w:rsidRDefault="00905EEC" w:rsidP="00905EEC">
      <w:r w:rsidRPr="00B363AA">
        <w:t>En Wallonie, les évaluations environnementales peuvent prendre plusieurs formes :</w:t>
      </w:r>
    </w:p>
    <w:p w14:paraId="2BD2CAD6" w14:textId="056A21B6" w:rsidR="00905EEC" w:rsidRPr="00B363AA" w:rsidRDefault="00B53F00" w:rsidP="00905EEC">
      <w:pPr>
        <w:pStyle w:val="Paragraphedeliste"/>
        <w:numPr>
          <w:ilvl w:val="0"/>
          <w:numId w:val="13"/>
        </w:numPr>
      </w:pPr>
      <w:r w:rsidRPr="00B363AA">
        <w:t>Un rapport d’incidences sur l'environnement (RIE) concerne les plans et programmes. Il s’agit d’un document qui analyse les effets d’un projet sur son environnement avant qu’une autorisation (souvent un permis d’urbanisme ou un permis unique) ne soit délivrée. Il fait partie des outils d’évaluation environnementale prévus par le Code du Développement Territorial (</w:t>
      </w:r>
      <w:proofErr w:type="spellStart"/>
      <w:r w:rsidRPr="00B363AA">
        <w:t>CoDT</w:t>
      </w:r>
      <w:proofErr w:type="spellEnd"/>
      <w:r w:rsidRPr="00B363AA">
        <w:t>).</w:t>
      </w:r>
    </w:p>
    <w:p w14:paraId="77714454" w14:textId="1FE35895" w:rsidR="00B53F00" w:rsidRPr="00B363AA" w:rsidRDefault="00076B81" w:rsidP="00905EEC">
      <w:pPr>
        <w:pStyle w:val="Paragraphedeliste"/>
        <w:numPr>
          <w:ilvl w:val="0"/>
          <w:numId w:val="13"/>
        </w:numPr>
      </w:pPr>
      <w:r w:rsidRPr="00B363AA">
        <w:t>Une</w:t>
      </w:r>
      <w:r w:rsidR="00A6332C" w:rsidRPr="00B363AA">
        <w:t xml:space="preserve"> notice d’évaluation des incidences sur l’environnement (NEIE) est un document réglementaire requis pour la plupart des projets soumis à un permis d’environnement, permis d’urbanisme ou permis unique, lorsque les impacts environnementaux sont jugés limités ou maîtrisables.</w:t>
      </w:r>
    </w:p>
    <w:p w14:paraId="03394488" w14:textId="58899200" w:rsidR="001866A4" w:rsidRPr="00B363AA" w:rsidRDefault="00076B81" w:rsidP="00905EEC">
      <w:pPr>
        <w:pStyle w:val="Paragraphedeliste"/>
        <w:numPr>
          <w:ilvl w:val="0"/>
          <w:numId w:val="13"/>
        </w:numPr>
      </w:pPr>
      <w:r w:rsidRPr="00B363AA">
        <w:t>Une étude</w:t>
      </w:r>
      <w:r w:rsidR="001866A4" w:rsidRPr="00B363AA">
        <w:t xml:space="preserve"> d’incidences sur l’environnement (EIE) est une analyse approfondie exigée pour les projets susceptibles d’avoir des incidences significatives sur l’environnement et le cadre de vie.</w:t>
      </w:r>
    </w:p>
    <w:p w14:paraId="70397E0E" w14:textId="6FD8007A" w:rsidR="00905EEC" w:rsidRPr="00B363AA" w:rsidRDefault="00905EEC" w:rsidP="00905EEC">
      <w:pPr>
        <w:pStyle w:val="Titre4"/>
        <w:numPr>
          <w:ilvl w:val="3"/>
          <w:numId w:val="12"/>
        </w:numPr>
      </w:pPr>
      <w:r w:rsidRPr="00B363AA">
        <w:t>Potentiel de mise en application</w:t>
      </w:r>
    </w:p>
    <w:p w14:paraId="1844DE72" w14:textId="77777777" w:rsidR="00087DF7" w:rsidRPr="00B363AA" w:rsidRDefault="00087DF7" w:rsidP="00087DF7">
      <w:r w:rsidRPr="00B363AA">
        <w:t>En Région wallonne, l’intégration de la qualité des sols pourrait s’envisager à plusieurs niveaux. Citons, de manière non-exhaustive, les exemples suivants :</w:t>
      </w:r>
    </w:p>
    <w:p w14:paraId="251688BE" w14:textId="77777777" w:rsidR="00087DF7" w:rsidRPr="00B363AA" w:rsidRDefault="00087DF7">
      <w:pPr>
        <w:pStyle w:val="Paragraphedeliste"/>
        <w:numPr>
          <w:ilvl w:val="0"/>
          <w:numId w:val="29"/>
        </w:numPr>
      </w:pPr>
      <w:r w:rsidRPr="00B363AA">
        <w:t xml:space="preserve">Dans le cadre d’une révision du plan de secteur :  </w:t>
      </w:r>
    </w:p>
    <w:p w14:paraId="6C88A5E1" w14:textId="77777777" w:rsidR="00087DF7" w:rsidRPr="00B363AA" w:rsidRDefault="00087DF7">
      <w:pPr>
        <w:pStyle w:val="Paragraphedeliste"/>
        <w:numPr>
          <w:ilvl w:val="1"/>
          <w:numId w:val="29"/>
        </w:numPr>
      </w:pPr>
      <w:r w:rsidRPr="00B363AA">
        <w:t>Pour vérifier l’adéquation entre les affectations projetées et les niveaux actuels et potentiels de qualité du sol ;</w:t>
      </w:r>
    </w:p>
    <w:p w14:paraId="5150A62B" w14:textId="77777777" w:rsidR="00087DF7" w:rsidRPr="00B363AA" w:rsidRDefault="00087DF7">
      <w:pPr>
        <w:pStyle w:val="Paragraphedeliste"/>
        <w:numPr>
          <w:ilvl w:val="1"/>
          <w:numId w:val="29"/>
        </w:numPr>
      </w:pPr>
      <w:r w:rsidRPr="00B363AA">
        <w:t>Pour prendre en compte la qualité et le potentiel du sol dans la révision du plan de secteur ;</w:t>
      </w:r>
    </w:p>
    <w:p w14:paraId="1E039C29" w14:textId="77777777" w:rsidR="00087DF7" w:rsidRPr="00B363AA" w:rsidRDefault="00087DF7">
      <w:pPr>
        <w:pStyle w:val="Paragraphedeliste"/>
        <w:numPr>
          <w:ilvl w:val="1"/>
          <w:numId w:val="29"/>
        </w:numPr>
      </w:pPr>
      <w:r w:rsidRPr="00B363AA">
        <w:t>Pour évaluer l’impact de ces changements sur le sol et, le cas échéant, objectiver des mesures de compensation ;</w:t>
      </w:r>
    </w:p>
    <w:p w14:paraId="0B8A90E3" w14:textId="77777777" w:rsidR="00087DF7" w:rsidRPr="00B363AA" w:rsidRDefault="00087DF7">
      <w:pPr>
        <w:pStyle w:val="Paragraphedeliste"/>
        <w:numPr>
          <w:ilvl w:val="0"/>
          <w:numId w:val="29"/>
        </w:numPr>
      </w:pPr>
      <w:r w:rsidRPr="00B363AA">
        <w:t>Dans le cadre de projets, qu’ils soient immobiliers, d’infrastructures ou agricoles, pour :</w:t>
      </w:r>
    </w:p>
    <w:p w14:paraId="5DE50C96" w14:textId="77777777" w:rsidR="00087DF7" w:rsidRPr="00B363AA" w:rsidRDefault="00087DF7">
      <w:pPr>
        <w:pStyle w:val="Paragraphedeliste"/>
        <w:numPr>
          <w:ilvl w:val="1"/>
          <w:numId w:val="29"/>
        </w:numPr>
      </w:pPr>
      <w:r w:rsidRPr="00B363AA">
        <w:t>Pour vérifier l’adéquation entre l’usage projeté et le niveau actuel de qualité du sol,</w:t>
      </w:r>
    </w:p>
    <w:p w14:paraId="3720B235" w14:textId="77777777" w:rsidR="00087DF7" w:rsidRPr="00B363AA" w:rsidRDefault="00087DF7">
      <w:pPr>
        <w:pStyle w:val="Paragraphedeliste"/>
        <w:numPr>
          <w:ilvl w:val="1"/>
          <w:numId w:val="29"/>
        </w:numPr>
      </w:pPr>
      <w:r w:rsidRPr="00B363AA">
        <w:t>Pour prendre en compte la qualité et le potentiel du sol dans un projet de construction,</w:t>
      </w:r>
    </w:p>
    <w:p w14:paraId="7C615B50" w14:textId="77777777" w:rsidR="00087DF7" w:rsidRPr="00B363AA" w:rsidRDefault="00087DF7">
      <w:pPr>
        <w:pStyle w:val="Paragraphedeliste"/>
        <w:numPr>
          <w:ilvl w:val="1"/>
          <w:numId w:val="29"/>
        </w:numPr>
      </w:pPr>
      <w:r w:rsidRPr="00B363AA">
        <w:t>Pour évaluer l’impact du projet sur le sol et, le cas échéant, objectiver des mesures de compensation ;</w:t>
      </w:r>
    </w:p>
    <w:p w14:paraId="3DF917E1" w14:textId="77777777" w:rsidR="00087DF7" w:rsidRPr="00B363AA" w:rsidRDefault="00087DF7">
      <w:pPr>
        <w:pStyle w:val="Paragraphedeliste"/>
        <w:numPr>
          <w:ilvl w:val="0"/>
          <w:numId w:val="29"/>
        </w:numPr>
      </w:pPr>
      <w:r w:rsidRPr="00B363AA">
        <w:t>Dans le cas de reconstitution de sol, par exemple un remblaiement d’une carrière, pour définir et objectiver des objectifs d’atteinte de service écosystémique ;</w:t>
      </w:r>
    </w:p>
    <w:p w14:paraId="1815EA7B" w14:textId="77777777" w:rsidR="00087DF7" w:rsidRPr="00B363AA" w:rsidRDefault="00087DF7">
      <w:pPr>
        <w:pStyle w:val="Paragraphedeliste"/>
        <w:numPr>
          <w:ilvl w:val="0"/>
          <w:numId w:val="29"/>
        </w:numPr>
      </w:pPr>
      <w:r w:rsidRPr="00B363AA">
        <w:t>Pour orienter les pratiques vers une meilleure préservation des sols dans les chantiers de terrassement, de construction... ;</w:t>
      </w:r>
    </w:p>
    <w:p w14:paraId="1BD13F10" w14:textId="77777777" w:rsidR="00087DF7" w:rsidRPr="00B363AA" w:rsidRDefault="00087DF7">
      <w:pPr>
        <w:pStyle w:val="Paragraphedeliste"/>
        <w:numPr>
          <w:ilvl w:val="0"/>
          <w:numId w:val="29"/>
        </w:numPr>
      </w:pPr>
      <w:r w:rsidRPr="00B363AA">
        <w:t>En tant qu’outil de suivi et de surveillance.</w:t>
      </w:r>
    </w:p>
    <w:p w14:paraId="77B2A5E5" w14:textId="6D52EB95" w:rsidR="00460EEE" w:rsidRPr="00B363AA" w:rsidRDefault="00087DF7" w:rsidP="00087DF7">
      <w:r w:rsidRPr="00B363AA">
        <w:t xml:space="preserve">Dans tous les cas, l’idéal est d’intégrer la prise en compte de la qualité du sol le plus en amont possible, avant que le projet soit figé. En effet, c’est à l’étape de la planification/conception d’un projet que l’outil </w:t>
      </w:r>
      <w:r w:rsidRPr="00B363AA">
        <w:lastRenderedPageBreak/>
        <w:t>peut avoir le plus de portée, en identifiant les zones de meilleure qualité à préserver et en orientant l’usage en fonction du sol.</w:t>
      </w:r>
      <w:r w:rsidRPr="00B363AA">
        <w:rPr>
          <w:b/>
          <w:bCs/>
        </w:rPr>
        <w:t xml:space="preserve"> </w:t>
      </w:r>
      <w:hyperlink r:id="rId34" w:history="1"/>
      <w:r w:rsidRPr="00B363AA">
        <w:t>L’IQSW-pro peut également être utilisé au stade de l’évaluation des incidences environnementales d’un projet</w:t>
      </w:r>
      <w:r w:rsidR="00460EEE" w:rsidRPr="00B363AA">
        <w:t>.</w:t>
      </w:r>
      <w:r w:rsidRPr="00B363AA">
        <w:t xml:space="preserve"> (</w:t>
      </w:r>
      <w:proofErr w:type="gramStart"/>
      <w:r w:rsidRPr="00B363AA">
        <w:t>dans</w:t>
      </w:r>
      <w:proofErr w:type="gramEnd"/>
      <w:r w:rsidRPr="00B363AA">
        <w:t xml:space="preserve"> le cadre des RIE, EIE et NEIE). Dans ce cadre, l’IQSW-pro permet d’objectiver les pertes en service écosystémique engendrées par un projet et, le cas échéant, de donner une base objective pour dimensionner les mesures compensatoires.</w:t>
      </w:r>
    </w:p>
    <w:p w14:paraId="456CFC23" w14:textId="5546CDDB" w:rsidR="00087DF7" w:rsidRPr="00B363AA" w:rsidRDefault="00087DF7" w:rsidP="00087DF7">
      <w:r w:rsidRPr="00B363AA">
        <w:t>Les figures suivantes précisent le contexte temporel dans lequel le diagnostic IQSW-pro pourrait s’insérer dans le cadre des plans et programmes, avec l’exemple concret d’une révision du plan de secteur (</w:t>
      </w:r>
      <w:r w:rsidRPr="00B363AA">
        <w:fldChar w:fldCharType="begin"/>
      </w:r>
      <w:r w:rsidRPr="00B363AA">
        <w:instrText xml:space="preserve"> REF _Ref233375809 \h  \* MERGEFORMAT </w:instrText>
      </w:r>
      <w:r w:rsidRPr="00B363AA">
        <w:fldChar w:fldCharType="separate"/>
      </w:r>
      <w:r w:rsidR="001C792E" w:rsidRPr="00B363AA">
        <w:t>Figure 8</w:t>
      </w:r>
      <w:r w:rsidRPr="00B363AA">
        <w:fldChar w:fldCharType="end"/>
      </w:r>
      <w:r w:rsidRPr="00B363AA">
        <w:t>), et dans le cadre des projets (</w:t>
      </w:r>
      <w:r w:rsidRPr="00B363AA">
        <w:fldChar w:fldCharType="begin"/>
      </w:r>
      <w:r w:rsidRPr="00B363AA">
        <w:instrText xml:space="preserve"> REF _Ref233375840 \h  \* MERGEFORMAT </w:instrText>
      </w:r>
      <w:r w:rsidRPr="00B363AA">
        <w:fldChar w:fldCharType="separate"/>
      </w:r>
      <w:r w:rsidR="001C792E" w:rsidRPr="00B363AA">
        <w:t>Figure 9</w:t>
      </w:r>
      <w:r w:rsidRPr="00B363AA">
        <w:fldChar w:fldCharType="end"/>
      </w:r>
      <w:r w:rsidRPr="00B363AA">
        <w:t>). L’étape du plan est parfois (pas nécessairement) réalisée en amont de l’étape projet.</w:t>
      </w:r>
    </w:p>
    <w:p w14:paraId="0111B4D1" w14:textId="77777777" w:rsidR="00087DF7" w:rsidRPr="00B363AA" w:rsidRDefault="00087DF7" w:rsidP="00087DF7">
      <w:pPr>
        <w:keepNext/>
      </w:pPr>
      <w:r w:rsidRPr="00B363AA">
        <w:rPr>
          <w:noProof/>
        </w:rPr>
        <w:drawing>
          <wp:inline distT="0" distB="0" distL="0" distR="0" wp14:anchorId="33F63951" wp14:editId="0801A7B4">
            <wp:extent cx="5759450" cy="1140460"/>
            <wp:effectExtent l="0" t="0" r="0" b="0"/>
            <wp:docPr id="116450001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00011" name="Image 116450001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59450" cy="1140460"/>
                    </a:xfrm>
                    <a:prstGeom prst="rect">
                      <a:avLst/>
                    </a:prstGeom>
                  </pic:spPr>
                </pic:pic>
              </a:graphicData>
            </a:graphic>
          </wp:inline>
        </w:drawing>
      </w:r>
    </w:p>
    <w:p w14:paraId="1F527132" w14:textId="6EABEBC8" w:rsidR="00087DF7" w:rsidRPr="00B363AA" w:rsidRDefault="00087DF7" w:rsidP="00087DF7">
      <w:pPr>
        <w:pStyle w:val="Lgende"/>
        <w:jc w:val="center"/>
        <w:rPr>
          <w:i w:val="0"/>
          <w:iCs w:val="0"/>
        </w:rPr>
      </w:pPr>
      <w:bookmarkStart w:id="173" w:name="_Ref233375809"/>
      <w:bookmarkStart w:id="174" w:name="_Toc241229823"/>
      <w:r w:rsidRPr="00B363AA">
        <w:rPr>
          <w:i w:val="0"/>
          <w:iCs w:val="0"/>
        </w:rPr>
        <w:t xml:space="preserve">Figure </w:t>
      </w:r>
      <w:r w:rsidRPr="00B363AA">
        <w:rPr>
          <w:i w:val="0"/>
          <w:iCs w:val="0"/>
        </w:rPr>
        <w:fldChar w:fldCharType="begin"/>
      </w:r>
      <w:r w:rsidRPr="00B363AA">
        <w:rPr>
          <w:i w:val="0"/>
          <w:iCs w:val="0"/>
        </w:rPr>
        <w:instrText xml:space="preserve"> SEQ Figure \* ARABIC </w:instrText>
      </w:r>
      <w:r w:rsidRPr="00B363AA">
        <w:rPr>
          <w:i w:val="0"/>
          <w:iCs w:val="0"/>
        </w:rPr>
        <w:fldChar w:fldCharType="separate"/>
      </w:r>
      <w:r w:rsidR="000E1D98" w:rsidRPr="00B363AA">
        <w:rPr>
          <w:i w:val="0"/>
          <w:iCs w:val="0"/>
        </w:rPr>
        <w:t>8</w:t>
      </w:r>
      <w:r w:rsidRPr="00B363AA">
        <w:rPr>
          <w:i w:val="0"/>
          <w:iCs w:val="0"/>
        </w:rPr>
        <w:fldChar w:fldCharType="end"/>
      </w:r>
      <w:bookmarkEnd w:id="173"/>
      <w:r w:rsidRPr="00B363AA">
        <w:rPr>
          <w:i w:val="0"/>
          <w:iCs w:val="0"/>
        </w:rPr>
        <w:t xml:space="preserve"> : Temporalité des études type "plans et programmes" et proposition d’intégration d’un diagnostic IQSW.</w:t>
      </w:r>
      <w:bookmarkEnd w:id="174"/>
    </w:p>
    <w:p w14:paraId="38CD58A4" w14:textId="77777777" w:rsidR="00087DF7" w:rsidRPr="00B363AA" w:rsidRDefault="00087DF7" w:rsidP="00087DF7"/>
    <w:p w14:paraId="38CE69E0" w14:textId="77777777" w:rsidR="00087DF7" w:rsidRPr="00B363AA" w:rsidRDefault="00087DF7" w:rsidP="00087DF7">
      <w:pPr>
        <w:keepNext/>
      </w:pPr>
      <w:r w:rsidRPr="00B363AA">
        <w:rPr>
          <w:noProof/>
        </w:rPr>
        <w:drawing>
          <wp:inline distT="0" distB="0" distL="0" distR="0" wp14:anchorId="428B5E9C" wp14:editId="77B965AE">
            <wp:extent cx="5759450" cy="1438275"/>
            <wp:effectExtent l="0" t="0" r="0" b="0"/>
            <wp:docPr id="96361362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13623" name="Image 96361362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59450" cy="1438275"/>
                    </a:xfrm>
                    <a:prstGeom prst="rect">
                      <a:avLst/>
                    </a:prstGeom>
                  </pic:spPr>
                </pic:pic>
              </a:graphicData>
            </a:graphic>
          </wp:inline>
        </w:drawing>
      </w:r>
    </w:p>
    <w:p w14:paraId="61C093E2" w14:textId="615AA4B9" w:rsidR="00087DF7" w:rsidRPr="00B363AA" w:rsidRDefault="00087DF7" w:rsidP="00087DF7">
      <w:pPr>
        <w:pStyle w:val="Lgende"/>
        <w:jc w:val="center"/>
        <w:rPr>
          <w:i w:val="0"/>
          <w:iCs w:val="0"/>
        </w:rPr>
      </w:pPr>
      <w:bookmarkStart w:id="175" w:name="_Ref233375840"/>
      <w:bookmarkStart w:id="176" w:name="_Toc241229824"/>
      <w:r w:rsidRPr="00B363AA">
        <w:rPr>
          <w:i w:val="0"/>
          <w:iCs w:val="0"/>
        </w:rPr>
        <w:t xml:space="preserve">Figure </w:t>
      </w:r>
      <w:r w:rsidRPr="00B363AA">
        <w:rPr>
          <w:i w:val="0"/>
          <w:iCs w:val="0"/>
        </w:rPr>
        <w:fldChar w:fldCharType="begin"/>
      </w:r>
      <w:r w:rsidRPr="00B363AA">
        <w:rPr>
          <w:i w:val="0"/>
          <w:iCs w:val="0"/>
        </w:rPr>
        <w:instrText xml:space="preserve"> SEQ Figure \* ARABIC </w:instrText>
      </w:r>
      <w:r w:rsidRPr="00B363AA">
        <w:rPr>
          <w:i w:val="0"/>
          <w:iCs w:val="0"/>
        </w:rPr>
        <w:fldChar w:fldCharType="separate"/>
      </w:r>
      <w:r w:rsidR="000E1D98" w:rsidRPr="00B363AA">
        <w:rPr>
          <w:i w:val="0"/>
          <w:iCs w:val="0"/>
        </w:rPr>
        <w:t>9</w:t>
      </w:r>
      <w:r w:rsidRPr="00B363AA">
        <w:rPr>
          <w:i w:val="0"/>
          <w:iCs w:val="0"/>
        </w:rPr>
        <w:fldChar w:fldCharType="end"/>
      </w:r>
      <w:bookmarkEnd w:id="175"/>
      <w:r w:rsidRPr="00B363AA">
        <w:rPr>
          <w:i w:val="0"/>
          <w:iCs w:val="0"/>
        </w:rPr>
        <w:t xml:space="preserve"> : Temporalité des études type "projet" et proposition d’intégration d’un diagnostic IQSW.</w:t>
      </w:r>
      <w:bookmarkEnd w:id="176"/>
    </w:p>
    <w:p w14:paraId="439AB1F0" w14:textId="77777777" w:rsidR="001C7379" w:rsidRPr="00B363AA" w:rsidRDefault="001C7379" w:rsidP="0082641C"/>
    <w:p w14:paraId="40B07BD6" w14:textId="0B75DC8D" w:rsidR="0082641C" w:rsidRPr="00B363AA" w:rsidRDefault="001C7379">
      <w:pPr>
        <w:pStyle w:val="Titre2"/>
        <w:numPr>
          <w:ilvl w:val="1"/>
          <w:numId w:val="12"/>
        </w:numPr>
      </w:pPr>
      <w:bookmarkStart w:id="177" w:name="_Toc241243006"/>
      <w:r w:rsidRPr="00B363AA">
        <w:t>Évaluation d’impact dans le cas des études sur projet</w:t>
      </w:r>
      <w:bookmarkEnd w:id="177"/>
    </w:p>
    <w:p w14:paraId="30545B18" w14:textId="0B84AF2E" w:rsidR="004737BB" w:rsidRPr="00B363AA" w:rsidRDefault="001F35D1" w:rsidP="004737BB">
      <w:r w:rsidRPr="00B363AA">
        <w:t>La méthodologie développée ci-après permet de quantifier concrètement l’impact d’un projet sur les services écosystémiques du sol, et sa qualité / santé de manière générale</w:t>
      </w:r>
      <w:r w:rsidR="00C3143A" w:rsidRPr="00B363AA">
        <w:t xml:space="preserve">, en calculant le bilan du projet en termes de « capital sol », </w:t>
      </w:r>
      <w:r w:rsidR="008E6D18" w:rsidRPr="00B363AA">
        <w:t>c’est-à-dire une extrapolation surfacique des scores calculés.</w:t>
      </w:r>
    </w:p>
    <w:p w14:paraId="5A9BE6E0" w14:textId="77777777" w:rsidR="006E08A0" w:rsidRPr="00B363AA" w:rsidRDefault="006E08A0">
      <w:pPr>
        <w:pStyle w:val="Titre3"/>
        <w:numPr>
          <w:ilvl w:val="2"/>
          <w:numId w:val="12"/>
        </w:numPr>
      </w:pPr>
      <w:bookmarkStart w:id="178" w:name="_Toc233387905"/>
      <w:bookmarkStart w:id="179" w:name="_Toc241243007"/>
      <w:r w:rsidRPr="00B363AA">
        <w:t>Bilan avant-après projet</w:t>
      </w:r>
      <w:bookmarkEnd w:id="178"/>
      <w:bookmarkEnd w:id="179"/>
    </w:p>
    <w:p w14:paraId="29F4F71E" w14:textId="77777777" w:rsidR="006E08A0" w:rsidRPr="00B363AA" w:rsidRDefault="006E08A0" w:rsidP="006E08A0">
      <w:r w:rsidRPr="00B363AA">
        <w:fldChar w:fldCharType="begin"/>
      </w:r>
      <w:r w:rsidRPr="00B363AA">
        <w:instrText xml:space="preserve"> REF _Ref232541945 \r \h </w:instrText>
      </w:r>
      <w:r w:rsidRPr="00B363AA">
        <w:fldChar w:fldCharType="separate"/>
      </w:r>
      <w:r w:rsidRPr="00B363AA">
        <w:fldChar w:fldCharType="end"/>
      </w:r>
      <w:r w:rsidRPr="00B363AA">
        <w:t xml:space="preserve">L’objectivation de l’impact d’un projet sur les services écosystémiques du sol nécessite une prise en compte combinée des surfaces et des fonctionnalités du sol. À l’instar de ce que prévoient plusieurs projets pilote hors Région wallonne, l’outil IQSW-pro propose de faire un bilan des surfaces « gagnées » ou « perdues » par le projet, et de multiplier ce bilan par le score IQSW-pro calculé (ou estimé) pour déduire un « capital sol » (exprimé en score de qualité du sol </w:t>
      </w:r>
      <w:r w:rsidRPr="00B363AA">
        <w:rPr>
          <w:rFonts w:cs="Calibri"/>
        </w:rPr>
        <w:t xml:space="preserve">· </w:t>
      </w:r>
      <w:r w:rsidRPr="00B363AA">
        <w:t xml:space="preserve">unité de surface). Il est ensuite possible de calculer, pour un projet donné, un </w:t>
      </w:r>
      <m:oMath>
        <m:r>
          <m:rPr>
            <m:sty m:val="p"/>
          </m:rPr>
          <w:rPr>
            <w:rFonts w:ascii="Cambria Math" w:hAnsi="Cambria Math" w:cs="Calibri"/>
          </w:rPr>
          <m:t>∆Capital sol</m:t>
        </m:r>
      </m:oMath>
      <w:r w:rsidRPr="00B363AA">
        <w:rPr>
          <w:rFonts w:eastAsiaTheme="minorEastAsia"/>
        </w:rPr>
        <w:t xml:space="preserve"> (éq. 1) établissant le bilan du projet</w:t>
      </w:r>
      <w:r w:rsidRPr="00B363AA">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rsidRPr="00B363AA" w14:paraId="2AA54C00" w14:textId="77777777" w:rsidTr="005F19A0">
        <w:trPr>
          <w:trHeight w:val="647"/>
        </w:trPr>
        <w:tc>
          <w:tcPr>
            <w:tcW w:w="8642" w:type="dxa"/>
            <w:vAlign w:val="center"/>
          </w:tcPr>
          <w:p w14:paraId="35B90846" w14:textId="77777777" w:rsidR="006E08A0" w:rsidRPr="00B363AA" w:rsidRDefault="006E08A0" w:rsidP="005F19A0">
            <w:pPr>
              <w:jc w:val="center"/>
              <w:rPr>
                <w:rFonts w:cs="Calibri"/>
                <w:iCs/>
              </w:rPr>
            </w:pPr>
            <m:oMathPara>
              <m:oMath>
                <m:r>
                  <m:rPr>
                    <m:sty m:val="p"/>
                  </m:rPr>
                  <w:rPr>
                    <w:rFonts w:ascii="Cambria Math" w:hAnsi="Cambria Math" w:cs="Calibri"/>
                  </w:rPr>
                  <w:lastRenderedPageBreak/>
                  <m:t xml:space="preserve">∆Capital sol= </m:t>
                </m:r>
                <m:sSub>
                  <m:sSubPr>
                    <m:ctrlPr>
                      <w:rPr>
                        <w:rFonts w:ascii="Cambria Math" w:hAnsi="Cambria Math" w:cs="Calibri"/>
                        <w:iCs/>
                      </w:rPr>
                    </m:ctrlPr>
                  </m:sSubPr>
                  <m:e>
                    <m:r>
                      <m:rPr>
                        <m:sty m:val="p"/>
                      </m:rPr>
                      <w:rPr>
                        <w:rFonts w:ascii="Cambria Math" w:hAnsi="Cambria Math" w:cs="Calibri"/>
                      </w:rPr>
                      <m:t>Capital sol</m:t>
                    </m:r>
                  </m:e>
                  <m:sub>
                    <m:r>
                      <m:rPr>
                        <m:sty m:val="p"/>
                      </m:rPr>
                      <w:rPr>
                        <w:rFonts w:ascii="Cambria Math" w:hAnsi="Cambria Math" w:cs="Calibri"/>
                      </w:rPr>
                      <m:t>projeté</m:t>
                    </m:r>
                  </m:sub>
                </m:sSub>
                <m:r>
                  <m:rPr>
                    <m:sty m:val="p"/>
                  </m:rPr>
                  <w:rPr>
                    <w:rFonts w:ascii="Cambria Math" w:hAnsi="Cambria Math" w:cs="Calibri"/>
                  </w:rPr>
                  <m:t xml:space="preserve">- </m:t>
                </m:r>
                <m:sSub>
                  <m:sSubPr>
                    <m:ctrlPr>
                      <w:rPr>
                        <w:rFonts w:ascii="Cambria Math" w:hAnsi="Cambria Math" w:cs="Calibri"/>
                        <w:iCs/>
                      </w:rPr>
                    </m:ctrlPr>
                  </m:sSubPr>
                  <m:e>
                    <m:r>
                      <m:rPr>
                        <m:sty m:val="p"/>
                      </m:rPr>
                      <w:rPr>
                        <w:rFonts w:ascii="Cambria Math" w:hAnsi="Cambria Math" w:cs="Calibri"/>
                      </w:rPr>
                      <m:t>Capital sol</m:t>
                    </m:r>
                  </m:e>
                  <m:sub>
                    <m:r>
                      <m:rPr>
                        <m:sty m:val="p"/>
                      </m:rPr>
                      <w:rPr>
                        <w:rFonts w:ascii="Cambria Math" w:hAnsi="Cambria Math" w:cs="Calibri"/>
                      </w:rPr>
                      <m:t>actuel</m:t>
                    </m:r>
                  </m:sub>
                </m:sSub>
              </m:oMath>
            </m:oMathPara>
          </w:p>
        </w:tc>
        <w:tc>
          <w:tcPr>
            <w:tcW w:w="418" w:type="dxa"/>
            <w:vAlign w:val="center"/>
          </w:tcPr>
          <w:p w14:paraId="167F3F1F" w14:textId="77777777" w:rsidR="006E08A0" w:rsidRPr="00B363AA" w:rsidRDefault="006E08A0" w:rsidP="005F19A0">
            <w:pPr>
              <w:jc w:val="center"/>
            </w:pPr>
            <w:r w:rsidRPr="00B363AA">
              <w:t>(1)</w:t>
            </w:r>
          </w:p>
        </w:tc>
      </w:tr>
    </w:tbl>
    <w:p w14:paraId="22615745" w14:textId="77777777" w:rsidR="006E08A0" w:rsidRPr="00B363AA" w:rsidRDefault="006E08A0" w:rsidP="006E08A0">
      <w:pPr>
        <w:rPr>
          <w:rFonts w:cs="Calibri"/>
          <w:sz w:val="20"/>
          <w:szCs w:val="20"/>
        </w:rPr>
      </w:pPr>
      <w:r w:rsidRPr="00B363A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B363AA" w14:paraId="18B9AE13" w14:textId="77777777" w:rsidTr="005F19A0">
        <w:trPr>
          <w:trHeight w:val="227"/>
        </w:trPr>
        <w:tc>
          <w:tcPr>
            <w:tcW w:w="2193" w:type="dxa"/>
          </w:tcPr>
          <w:p w14:paraId="0B5DBF8C" w14:textId="77777777" w:rsidR="006E08A0" w:rsidRPr="00B363AA" w:rsidRDefault="00000000" w:rsidP="005F19A0">
            <w:pPr>
              <w:jc w:val="left"/>
              <w:rPr>
                <w:rFont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Capital sol</m:t>
                    </m:r>
                  </m:e>
                  <m:sub>
                    <m:r>
                      <m:rPr>
                        <m:sty m:val="p"/>
                      </m:rPr>
                      <w:rPr>
                        <w:rFonts w:ascii="Cambria Math" w:hAnsi="Cambria Math" w:cs="Calibri"/>
                        <w:sz w:val="20"/>
                        <w:szCs w:val="20"/>
                      </w:rPr>
                      <m:t>projeté</m:t>
                    </m:r>
                  </m:sub>
                </m:sSub>
              </m:oMath>
            </m:oMathPara>
          </w:p>
        </w:tc>
        <w:tc>
          <w:tcPr>
            <w:tcW w:w="6877" w:type="dxa"/>
          </w:tcPr>
          <w:p w14:paraId="268A0A4B" w14:textId="77777777" w:rsidR="006E08A0" w:rsidRPr="00B363AA" w:rsidRDefault="006E08A0" w:rsidP="005F19A0">
            <w:pPr>
              <w:jc w:val="left"/>
              <w:rPr>
                <w:rFonts w:cs="Calibri"/>
                <w:iCs/>
                <w:sz w:val="20"/>
                <w:szCs w:val="20"/>
              </w:rPr>
            </w:pPr>
            <w:r w:rsidRPr="00B363AA">
              <w:rPr>
                <w:rFonts w:eastAsiaTheme="minorEastAsia" w:cs="Calibri"/>
                <w:iCs/>
                <w:sz w:val="20"/>
                <w:szCs w:val="20"/>
              </w:rPr>
              <w:t>Le capital sol projeté, simulé dans la situation post-projet en incluant l’ensemble des pertes et des gains de services écosystémiques liés au projet, à l’échelle du site (score · m²) ;</w:t>
            </w:r>
          </w:p>
        </w:tc>
      </w:tr>
      <w:tr w:rsidR="006E08A0" w:rsidRPr="00B363AA" w14:paraId="1AB6FB3A" w14:textId="77777777" w:rsidTr="005F19A0">
        <w:trPr>
          <w:trHeight w:val="227"/>
        </w:trPr>
        <w:tc>
          <w:tcPr>
            <w:tcW w:w="2193" w:type="dxa"/>
          </w:tcPr>
          <w:p w14:paraId="2657C5AD" w14:textId="77777777" w:rsidR="006E08A0" w:rsidRPr="00B363AA" w:rsidRDefault="00000000"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Capital sol</m:t>
                    </m:r>
                  </m:e>
                  <m:sub>
                    <m:r>
                      <m:rPr>
                        <m:sty m:val="p"/>
                      </m:rPr>
                      <w:rPr>
                        <w:rFonts w:ascii="Cambria Math" w:hAnsi="Cambria Math" w:cs="Calibri"/>
                        <w:sz w:val="20"/>
                        <w:szCs w:val="20"/>
                      </w:rPr>
                      <m:t>actuel</m:t>
                    </m:r>
                  </m:sub>
                </m:sSub>
              </m:oMath>
            </m:oMathPara>
          </w:p>
        </w:tc>
        <w:tc>
          <w:tcPr>
            <w:tcW w:w="6877" w:type="dxa"/>
          </w:tcPr>
          <w:p w14:paraId="10474F39" w14:textId="77777777" w:rsidR="006E08A0" w:rsidRPr="00B363AA" w:rsidRDefault="006E08A0" w:rsidP="005F19A0">
            <w:pPr>
              <w:jc w:val="left"/>
              <w:rPr>
                <w:rFonts w:eastAsiaTheme="minorEastAsia" w:cs="Calibri"/>
                <w:iCs/>
                <w:sz w:val="20"/>
                <w:szCs w:val="20"/>
              </w:rPr>
            </w:pPr>
            <w:r w:rsidRPr="00B363AA">
              <w:rPr>
                <w:rFonts w:eastAsiaTheme="minorEastAsia" w:cs="Calibri"/>
                <w:iCs/>
                <w:sz w:val="20"/>
                <w:szCs w:val="20"/>
              </w:rPr>
              <w:t>Le capital sol actuel, calculé en situation existante à l’échelle du site (</w:t>
            </w:r>
            <w:proofErr w:type="spellStart"/>
            <w:r w:rsidRPr="00B363AA">
              <w:rPr>
                <w:rFonts w:eastAsiaTheme="minorEastAsia" w:cs="Calibri"/>
                <w:iCs/>
                <w:sz w:val="20"/>
                <w:szCs w:val="20"/>
              </w:rPr>
              <w:t>pré-projet</w:t>
            </w:r>
            <w:proofErr w:type="spellEnd"/>
            <w:r w:rsidRPr="00B363AA">
              <w:rPr>
                <w:rFonts w:eastAsiaTheme="minorEastAsia" w:cs="Calibri"/>
                <w:iCs/>
                <w:sz w:val="20"/>
                <w:szCs w:val="20"/>
              </w:rPr>
              <w:t>) (score · m²).</w:t>
            </w:r>
          </w:p>
        </w:tc>
      </w:tr>
    </w:tbl>
    <w:p w14:paraId="78D0986A" w14:textId="77777777" w:rsidR="006E08A0" w:rsidRPr="00B363AA" w:rsidRDefault="006E08A0" w:rsidP="006E08A0"/>
    <w:p w14:paraId="75740B1F" w14:textId="77777777" w:rsidR="006E08A0" w:rsidRPr="00B363AA" w:rsidRDefault="006E08A0" w:rsidP="006E08A0">
      <w:r w:rsidRPr="00B363AA">
        <w:t>Cette méthodologie consiste donc à inventorier les impacts du projet d’un point de vue quantitatif (bilan des surfaces perdues ou gagnées) mais également d’un point de vue qualitatif / fonctionnel (bilan en termes de niveaux des services perdus ou gagnés).</w:t>
      </w:r>
    </w:p>
    <w:p w14:paraId="7FDBA4C3" w14:textId="77777777" w:rsidR="006E08A0" w:rsidRPr="00B363AA" w:rsidRDefault="006E08A0">
      <w:pPr>
        <w:pStyle w:val="Titre3"/>
        <w:numPr>
          <w:ilvl w:val="2"/>
          <w:numId w:val="12"/>
        </w:numPr>
      </w:pPr>
      <w:bookmarkStart w:id="180" w:name="_Toc233387906"/>
      <w:bookmarkStart w:id="181" w:name="_Toc241243008"/>
      <w:r w:rsidRPr="00B363AA">
        <w:t>Zonage du site</w:t>
      </w:r>
      <w:bookmarkEnd w:id="180"/>
      <w:bookmarkEnd w:id="181"/>
      <w:r w:rsidRPr="00B363AA">
        <w:t xml:space="preserve"> </w:t>
      </w:r>
    </w:p>
    <w:p w14:paraId="284CBA76" w14:textId="77777777" w:rsidR="006E08A0" w:rsidRPr="00B363AA" w:rsidRDefault="006E08A0" w:rsidP="006E08A0">
      <w:r w:rsidRPr="00B363AA">
        <w:t xml:space="preserve">Pour calculer les impacts du projet, la première étape consiste à superposer les zones d’étendue du projet avec les zones homogènes, ce qui permet d’obtenir un découpage en zones </w:t>
      </w:r>
      <w:proofErr w:type="spellStart"/>
      <w:r w:rsidRPr="00B363AA">
        <w:t>z</w:t>
      </w:r>
      <w:r w:rsidRPr="00B363AA">
        <w:rPr>
          <w:vertAlign w:val="subscript"/>
        </w:rPr>
        <w:t>p</w:t>
      </w:r>
      <w:proofErr w:type="spellEnd"/>
      <w:r w:rsidRPr="00B363AA">
        <w:t xml:space="preserve"> « zone homogène </w:t>
      </w:r>
      <w:r w:rsidRPr="00B363AA">
        <w:rPr>
          <w:rFonts w:cs="Calibri"/>
        </w:rPr>
        <w:t>·</w:t>
      </w:r>
      <w:r w:rsidRPr="00B363AA">
        <w:t xml:space="preserve"> projet ». Par exemple, une zone homogène A </w:t>
      </w:r>
      <w:proofErr w:type="spellStart"/>
      <w:r w:rsidRPr="00B363AA">
        <w:t>peut être</w:t>
      </w:r>
      <w:proofErr w:type="spellEnd"/>
      <w:r w:rsidRPr="00B363AA">
        <w:t xml:space="preserve"> découpée en 2 sous-zones par le projet : une fraction de la zone A est attribuée à une zone de parc (aménagement 1), l’autre est destinée à de la construction (aménagement 2). On obtient donc deux zones </w:t>
      </w:r>
      <w:proofErr w:type="spellStart"/>
      <w:r w:rsidRPr="00B363AA">
        <w:t>z</w:t>
      </w:r>
      <w:r w:rsidRPr="00B363AA">
        <w:rPr>
          <w:vertAlign w:val="subscript"/>
        </w:rPr>
        <w:t>p</w:t>
      </w:r>
      <w:proofErr w:type="spellEnd"/>
      <w:r w:rsidRPr="00B363AA">
        <w:t xml:space="preserve"> : A</w:t>
      </w:r>
      <w:r w:rsidRPr="00B363AA">
        <w:rPr>
          <w:vertAlign w:val="subscript"/>
        </w:rPr>
        <w:t>1</w:t>
      </w:r>
      <w:r w:rsidRPr="00B363AA">
        <w:t xml:space="preserve"> et A</w:t>
      </w:r>
      <w:r w:rsidRPr="00B363AA">
        <w:rPr>
          <w:vertAlign w:val="subscript"/>
        </w:rPr>
        <w:t>2</w:t>
      </w:r>
      <w:r w:rsidRPr="00B363AA">
        <w:t>.</w:t>
      </w:r>
    </w:p>
    <w:p w14:paraId="229A10D1" w14:textId="77777777" w:rsidR="006E08A0" w:rsidRPr="00B363AA" w:rsidRDefault="006E08A0">
      <w:pPr>
        <w:pStyle w:val="Titre3"/>
        <w:numPr>
          <w:ilvl w:val="2"/>
          <w:numId w:val="12"/>
        </w:numPr>
      </w:pPr>
      <w:bookmarkStart w:id="182" w:name="_Ref233368180"/>
      <w:bookmarkStart w:id="183" w:name="_Toc233387907"/>
      <w:bookmarkStart w:id="184" w:name="_Toc241243009"/>
      <w:r w:rsidRPr="00B363AA">
        <w:t>Évaluation du capital sol actuel (</w:t>
      </w:r>
      <w:proofErr w:type="spellStart"/>
      <w:r w:rsidRPr="00B363AA">
        <w:t>pré-projet</w:t>
      </w:r>
      <w:proofErr w:type="spellEnd"/>
      <w:r w:rsidRPr="00B363AA">
        <w:t>)</w:t>
      </w:r>
      <w:bookmarkEnd w:id="182"/>
      <w:bookmarkEnd w:id="183"/>
      <w:bookmarkEnd w:id="184"/>
    </w:p>
    <w:p w14:paraId="0B83F480" w14:textId="77777777" w:rsidR="006E08A0" w:rsidRPr="00B363AA" w:rsidRDefault="006E08A0" w:rsidP="006E08A0">
      <w:r w:rsidRPr="00B363AA">
        <w:t xml:space="preserve">Le capital sol actuel peut s’évaluer en sommant le capital sol actuel de chacune des zones </w:t>
      </w:r>
      <w:proofErr w:type="spellStart"/>
      <w:r w:rsidRPr="00B363AA">
        <w:t>z</w:t>
      </w:r>
      <w:r w:rsidRPr="00B363AA">
        <w:rPr>
          <w:vertAlign w:val="subscript"/>
        </w:rPr>
        <w:t>p</w:t>
      </w:r>
      <w:proofErr w:type="spellEnd"/>
      <w:r w:rsidRPr="00B363AA">
        <w:t xml:space="preserve"> (</w:t>
      </w:r>
      <w:proofErr w:type="spellStart"/>
      <w:r w:rsidRPr="00B363AA">
        <w:t>éq</w:t>
      </w:r>
      <w:proofErr w:type="spellEnd"/>
      <w:r w:rsidRPr="00B363AA">
        <w:t>. 2).</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rsidRPr="00B363AA" w14:paraId="1F13E2C3" w14:textId="77777777" w:rsidTr="005F19A0">
        <w:trPr>
          <w:trHeight w:val="647"/>
        </w:trPr>
        <w:tc>
          <w:tcPr>
            <w:tcW w:w="8642" w:type="dxa"/>
            <w:vAlign w:val="center"/>
          </w:tcPr>
          <w:p w14:paraId="60478C6B" w14:textId="77777777" w:rsidR="006E08A0" w:rsidRPr="00B363AA" w:rsidRDefault="006E08A0" w:rsidP="005F19A0">
            <w:pPr>
              <w:pStyle w:val="Paragraphedeliste"/>
              <w:jc w:val="center"/>
              <w:rPr>
                <w:rFonts w:cs="Calibri"/>
                <w:iCs/>
              </w:rPr>
            </w:pPr>
            <m:oMathPara>
              <m:oMath>
                <m:r>
                  <m:rPr>
                    <m:sty m:val="p"/>
                  </m:rPr>
                  <w:rPr>
                    <w:rFonts w:ascii="Cambria Math" w:hAnsi="Cambria Math" w:cs="Calibri"/>
                  </w:rPr>
                  <m:t xml:space="preserve"> </m:t>
                </m:r>
                <m:sSub>
                  <m:sSubPr>
                    <m:ctrlPr>
                      <w:rPr>
                        <w:rFonts w:ascii="Cambria Math" w:hAnsi="Cambria Math" w:cs="Calibri"/>
                        <w:iCs/>
                      </w:rPr>
                    </m:ctrlPr>
                  </m:sSubPr>
                  <m:e>
                    <m:r>
                      <m:rPr>
                        <m:sty m:val="p"/>
                      </m:rPr>
                      <w:rPr>
                        <w:rFonts w:ascii="Cambria Math" w:hAnsi="Cambria Math" w:cs="Calibri"/>
                      </w:rPr>
                      <m:t>Capital sol</m:t>
                    </m:r>
                  </m:e>
                  <m:sub>
                    <m:r>
                      <m:rPr>
                        <m:sty m:val="p"/>
                      </m:rPr>
                      <w:rPr>
                        <w:rFonts w:ascii="Cambria Math" w:hAnsi="Cambria Math" w:cs="Calibri"/>
                      </w:rPr>
                      <m:t>actuel</m:t>
                    </m:r>
                  </m:sub>
                </m:sSub>
                <m:r>
                  <m:rPr>
                    <m:sty m:val="p"/>
                  </m:rPr>
                  <w:rPr>
                    <w:rFonts w:ascii="Cambria Math" w:hAnsi="Cambria Math" w:cs="Calibri"/>
                  </w:rPr>
                  <m:t xml:space="preserve">= </m:t>
                </m:r>
                <m:nary>
                  <m:naryPr>
                    <m:chr m:val="∑"/>
                    <m:limLoc m:val="undOvr"/>
                    <m:supHide m:val="1"/>
                    <m:ctrlPr>
                      <w:rPr>
                        <w:rFonts w:ascii="Cambria Math" w:hAnsi="Cambria Math" w:cs="Calibri"/>
                        <w:iCs/>
                      </w:rPr>
                    </m:ctrlPr>
                  </m:naryPr>
                  <m:sub>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sub>
                  <m:sup/>
                  <m:e>
                    <m:r>
                      <m:rPr>
                        <m:sty m:val="p"/>
                      </m:rPr>
                      <w:rPr>
                        <w:rFonts w:ascii="Cambria Math" w:hAnsi="Cambria Math" w:cs="Calibri"/>
                      </w:rPr>
                      <m:t>A(</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 </m:t>
                    </m:r>
                  </m:e>
                </m:nary>
                <m:sSub>
                  <m:sSubPr>
                    <m:ctrlPr>
                      <w:rPr>
                        <w:rFonts w:ascii="Cambria Math" w:hAnsi="Cambria Math" w:cs="Calibri"/>
                        <w:iCs/>
                      </w:rPr>
                    </m:ctrlPr>
                  </m:sSubPr>
                  <m:e>
                    <m:r>
                      <m:rPr>
                        <m:sty m:val="p"/>
                      </m:rPr>
                      <w:rPr>
                        <w:rFonts w:ascii="Cambria Math" w:hAnsi="Cambria Math" w:cs="Calibri"/>
                      </w:rPr>
                      <m:t>IQSW</m:t>
                    </m:r>
                  </m:e>
                  <m:sub>
                    <m:r>
                      <m:rPr>
                        <m:sty m:val="p"/>
                      </m:rPr>
                      <w:rPr>
                        <w:rFonts w:ascii="Cambria Math" w:hAnsi="Cambria Math" w:cs="Calibri"/>
                      </w:rPr>
                      <m:t>actuel</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m:t>
                </m:r>
              </m:oMath>
            </m:oMathPara>
          </w:p>
        </w:tc>
        <w:tc>
          <w:tcPr>
            <w:tcW w:w="418" w:type="dxa"/>
            <w:vAlign w:val="center"/>
          </w:tcPr>
          <w:p w14:paraId="33E2CE5F" w14:textId="77777777" w:rsidR="006E08A0" w:rsidRPr="00B363AA" w:rsidRDefault="006E08A0" w:rsidP="005F19A0">
            <w:pPr>
              <w:jc w:val="center"/>
            </w:pPr>
            <w:r w:rsidRPr="00B363AA">
              <w:t>(2)</w:t>
            </w:r>
          </w:p>
        </w:tc>
      </w:tr>
    </w:tbl>
    <w:p w14:paraId="58EF1AEB" w14:textId="77777777" w:rsidR="006E08A0" w:rsidRPr="00B363AA" w:rsidRDefault="006E08A0" w:rsidP="006E08A0">
      <w:pPr>
        <w:rPr>
          <w:rFonts w:cs="Calibri"/>
          <w:sz w:val="20"/>
          <w:szCs w:val="20"/>
        </w:rPr>
      </w:pPr>
      <w:r w:rsidRPr="00B363A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B363AA" w14:paraId="5B84CAF1" w14:textId="77777777" w:rsidTr="005F19A0">
        <w:trPr>
          <w:trHeight w:val="427"/>
        </w:trPr>
        <w:tc>
          <w:tcPr>
            <w:tcW w:w="2193" w:type="dxa"/>
          </w:tcPr>
          <w:p w14:paraId="67E89F88" w14:textId="77777777" w:rsidR="006E08A0" w:rsidRPr="00B363AA" w:rsidRDefault="00000000"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Capital sol</m:t>
                    </m:r>
                  </m:e>
                  <m:sub>
                    <m:r>
                      <m:rPr>
                        <m:sty m:val="p"/>
                      </m:rPr>
                      <w:rPr>
                        <w:rFonts w:ascii="Cambria Math" w:hAnsi="Cambria Math" w:cs="Calibri"/>
                        <w:sz w:val="20"/>
                        <w:szCs w:val="20"/>
                      </w:rPr>
                      <m:t>actuel</m:t>
                    </m:r>
                  </m:sub>
                </m:sSub>
              </m:oMath>
            </m:oMathPara>
          </w:p>
        </w:tc>
        <w:tc>
          <w:tcPr>
            <w:tcW w:w="6879" w:type="dxa"/>
          </w:tcPr>
          <w:p w14:paraId="623D0F67" w14:textId="77777777" w:rsidR="006E08A0" w:rsidRPr="00B363AA" w:rsidRDefault="006E08A0" w:rsidP="005F19A0">
            <w:pPr>
              <w:jc w:val="left"/>
              <w:rPr>
                <w:rFonts w:eastAsiaTheme="minorEastAsia" w:cs="Calibri"/>
                <w:iCs/>
                <w:sz w:val="20"/>
                <w:szCs w:val="20"/>
              </w:rPr>
            </w:pPr>
            <w:r w:rsidRPr="00B363AA">
              <w:rPr>
                <w:rFonts w:eastAsiaTheme="minorEastAsia" w:cs="Calibri"/>
                <w:iCs/>
                <w:sz w:val="20"/>
                <w:szCs w:val="20"/>
              </w:rPr>
              <w:t>Le capital sol actuel (score · m²) ;</w:t>
            </w:r>
          </w:p>
        </w:tc>
      </w:tr>
      <w:tr w:rsidR="006E08A0" w:rsidRPr="00B363AA" w14:paraId="1BABE0A2" w14:textId="77777777" w:rsidTr="005F19A0">
        <w:trPr>
          <w:trHeight w:val="227"/>
        </w:trPr>
        <w:tc>
          <w:tcPr>
            <w:tcW w:w="2193" w:type="dxa"/>
          </w:tcPr>
          <w:p w14:paraId="106A684E" w14:textId="77777777" w:rsidR="006E08A0" w:rsidRPr="00B363AA" w:rsidRDefault="006E08A0" w:rsidP="005F19A0">
            <w:pPr>
              <w:jc w:val="left"/>
              <w:rPr>
                <w:rFonts w:cs="Calibri"/>
                <w:iCs/>
                <w:sz w:val="20"/>
                <w:szCs w:val="20"/>
              </w:rPr>
            </w:pPr>
            <m:oMathPara>
              <m:oMathParaPr>
                <m:jc m:val="left"/>
              </m:oMathParaPr>
              <m:oMath>
                <m:r>
                  <m:rPr>
                    <m:sty m:val="p"/>
                  </m:rPr>
                  <w:rPr>
                    <w:rFonts w:ascii="Cambria Math" w:hAnsi="Cambria Math" w:cs="Calibri"/>
                    <w:sz w:val="20"/>
                    <w:szCs w:val="20"/>
                  </w:rPr>
                  <m:t>A(</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5D302943" w14:textId="77777777" w:rsidR="006E08A0" w:rsidRPr="00B363AA" w:rsidRDefault="006E08A0" w:rsidP="005F19A0">
            <w:pPr>
              <w:jc w:val="left"/>
              <w:rPr>
                <w:rFonts w:cs="Calibri"/>
                <w:iCs/>
                <w:sz w:val="20"/>
                <w:szCs w:val="20"/>
              </w:rPr>
            </w:pPr>
            <w:r w:rsidRPr="00B363AA">
              <w:rPr>
                <w:rFonts w:eastAsiaTheme="minorEastAsia" w:cs="Calibri"/>
                <w:iCs/>
                <w:sz w:val="20"/>
                <w:szCs w:val="20"/>
              </w:rPr>
              <w:t>L’aire totale concernée par l’aménagement p au sein de la zone homogène z (m²) ;</w:t>
            </w:r>
          </w:p>
        </w:tc>
      </w:tr>
      <w:tr w:rsidR="006E08A0" w:rsidRPr="00B363AA" w14:paraId="16EC28F8" w14:textId="77777777" w:rsidTr="005F19A0">
        <w:trPr>
          <w:trHeight w:val="227"/>
        </w:trPr>
        <w:tc>
          <w:tcPr>
            <w:tcW w:w="2193" w:type="dxa"/>
          </w:tcPr>
          <w:p w14:paraId="2BD572E8" w14:textId="77777777" w:rsidR="006E08A0" w:rsidRPr="00B363AA" w:rsidRDefault="00000000"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actuel</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36A5EFC5" w14:textId="77777777" w:rsidR="006E08A0" w:rsidRPr="00B363AA" w:rsidRDefault="006E08A0" w:rsidP="005F19A0">
            <w:pPr>
              <w:jc w:val="left"/>
              <w:rPr>
                <w:rFonts w:eastAsiaTheme="minorEastAsia" w:cs="Calibri"/>
                <w:iCs/>
                <w:sz w:val="20"/>
                <w:szCs w:val="20"/>
              </w:rPr>
            </w:pPr>
            <w:r w:rsidRPr="00B363AA">
              <w:rPr>
                <w:rFonts w:eastAsiaTheme="minorEastAsia" w:cs="Calibri"/>
                <w:iCs/>
                <w:sz w:val="20"/>
                <w:szCs w:val="20"/>
              </w:rPr>
              <w:t xml:space="preserve">Le score actuel de qualité du sol de la zone </w:t>
            </w:r>
            <w:proofErr w:type="spellStart"/>
            <w:r w:rsidRPr="00B363AA">
              <w:rPr>
                <w:rFonts w:eastAsiaTheme="minorEastAsia" w:cs="Calibri"/>
                <w:iCs/>
                <w:sz w:val="20"/>
                <w:szCs w:val="20"/>
              </w:rPr>
              <w:t>z</w:t>
            </w:r>
            <w:r w:rsidRPr="00B363AA">
              <w:rPr>
                <w:rFonts w:eastAsiaTheme="minorEastAsia" w:cs="Calibri"/>
                <w:iCs/>
                <w:sz w:val="20"/>
                <w:szCs w:val="20"/>
                <w:vertAlign w:val="subscript"/>
              </w:rPr>
              <w:t>p</w:t>
            </w:r>
            <w:proofErr w:type="spellEnd"/>
            <w:r w:rsidRPr="00B363AA">
              <w:rPr>
                <w:rFonts w:eastAsiaTheme="minorEastAsia" w:cs="Calibri"/>
                <w:iCs/>
                <w:sz w:val="20"/>
                <w:szCs w:val="20"/>
                <w:vertAlign w:val="subscript"/>
              </w:rPr>
              <w:t xml:space="preserve"> </w:t>
            </w:r>
            <w:r w:rsidRPr="00B363AA">
              <w:rPr>
                <w:rFonts w:eastAsiaTheme="minorEastAsia" w:cs="Calibri"/>
                <w:iCs/>
                <w:sz w:val="20"/>
                <w:szCs w:val="20"/>
              </w:rPr>
              <w:t>(score [0 ;5]).</w:t>
            </w:r>
          </w:p>
        </w:tc>
      </w:tr>
    </w:tbl>
    <w:p w14:paraId="7CEC61BF" w14:textId="77777777" w:rsidR="006E08A0" w:rsidRPr="00B363AA" w:rsidRDefault="006E08A0" w:rsidP="006E08A0"/>
    <w:p w14:paraId="136ECA4F" w14:textId="77777777" w:rsidR="006E08A0" w:rsidRPr="00B363AA" w:rsidRDefault="006E08A0">
      <w:pPr>
        <w:pStyle w:val="Titre3"/>
        <w:numPr>
          <w:ilvl w:val="2"/>
          <w:numId w:val="12"/>
        </w:numPr>
      </w:pPr>
      <w:bookmarkStart w:id="185" w:name="_Ref233369460"/>
      <w:bookmarkStart w:id="186" w:name="_Toc233387908"/>
      <w:bookmarkStart w:id="187" w:name="_Toc241243010"/>
      <w:r w:rsidRPr="00B363AA">
        <w:t>Évaluation du capital sol projeté (post-projet)</w:t>
      </w:r>
      <w:bookmarkEnd w:id="185"/>
      <w:bookmarkEnd w:id="186"/>
      <w:bookmarkEnd w:id="187"/>
    </w:p>
    <w:p w14:paraId="1C53FE29" w14:textId="77777777" w:rsidR="006E08A0" w:rsidRPr="00B363AA" w:rsidRDefault="006E08A0" w:rsidP="006E08A0">
      <w:r w:rsidRPr="00B363AA">
        <w:t xml:space="preserve">De la même manière que le capital sol actuel, le capital sol projeté peut s’évaluer en sommant le capital sol projeté de chacune des zones </w:t>
      </w:r>
      <w:proofErr w:type="spellStart"/>
      <w:r w:rsidRPr="00B363AA">
        <w:t>z</w:t>
      </w:r>
      <w:r w:rsidRPr="00B363AA">
        <w:rPr>
          <w:vertAlign w:val="subscript"/>
        </w:rPr>
        <w:t>p</w:t>
      </w:r>
      <w:proofErr w:type="spellEnd"/>
      <w:r w:rsidRPr="00B363AA">
        <w:t xml:space="preserve"> (</w:t>
      </w:r>
      <w:proofErr w:type="spellStart"/>
      <w:r w:rsidRPr="00B363AA">
        <w:t>éq</w:t>
      </w:r>
      <w:proofErr w:type="spellEnd"/>
      <w:r w:rsidRPr="00B363AA">
        <w:t>. 3).</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rsidRPr="00B363AA" w14:paraId="50F63124" w14:textId="77777777" w:rsidTr="005F19A0">
        <w:trPr>
          <w:trHeight w:val="647"/>
        </w:trPr>
        <w:tc>
          <w:tcPr>
            <w:tcW w:w="8642" w:type="dxa"/>
            <w:vAlign w:val="center"/>
          </w:tcPr>
          <w:p w14:paraId="5D4A2CFB" w14:textId="77777777" w:rsidR="006E08A0" w:rsidRPr="00B363AA" w:rsidRDefault="006E08A0" w:rsidP="005F19A0">
            <w:pPr>
              <w:pStyle w:val="Paragraphedeliste"/>
              <w:jc w:val="center"/>
              <w:rPr>
                <w:rFonts w:cs="Calibri"/>
                <w:iCs/>
              </w:rPr>
            </w:pPr>
            <m:oMathPara>
              <m:oMath>
                <m:r>
                  <m:rPr>
                    <m:sty m:val="p"/>
                  </m:rPr>
                  <w:rPr>
                    <w:rFonts w:ascii="Cambria Math" w:hAnsi="Cambria Math" w:cs="Calibri"/>
                  </w:rPr>
                  <m:t xml:space="preserve"> </m:t>
                </m:r>
                <m:sSub>
                  <m:sSubPr>
                    <m:ctrlPr>
                      <w:rPr>
                        <w:rFonts w:ascii="Cambria Math" w:hAnsi="Cambria Math" w:cs="Calibri"/>
                        <w:iCs/>
                      </w:rPr>
                    </m:ctrlPr>
                  </m:sSubPr>
                  <m:e>
                    <m:r>
                      <m:rPr>
                        <m:sty m:val="p"/>
                      </m:rPr>
                      <w:rPr>
                        <w:rFonts w:ascii="Cambria Math" w:hAnsi="Cambria Math" w:cs="Calibri"/>
                      </w:rPr>
                      <m:t>Capital sol</m:t>
                    </m:r>
                  </m:e>
                  <m:sub>
                    <m:r>
                      <m:rPr>
                        <m:sty m:val="p"/>
                      </m:rPr>
                      <w:rPr>
                        <w:rFonts w:ascii="Cambria Math" w:hAnsi="Cambria Math" w:cs="Calibri"/>
                      </w:rPr>
                      <m:t>projeté</m:t>
                    </m:r>
                  </m:sub>
                </m:sSub>
                <m:r>
                  <m:rPr>
                    <m:sty m:val="p"/>
                  </m:rPr>
                  <w:rPr>
                    <w:rFonts w:ascii="Cambria Math" w:hAnsi="Cambria Math" w:cs="Calibri"/>
                  </w:rPr>
                  <m:t xml:space="preserve">= </m:t>
                </m:r>
                <m:nary>
                  <m:naryPr>
                    <m:chr m:val="∑"/>
                    <m:limLoc m:val="undOvr"/>
                    <m:supHide m:val="1"/>
                    <m:ctrlPr>
                      <w:rPr>
                        <w:rFonts w:ascii="Cambria Math" w:hAnsi="Cambria Math" w:cs="Calibri"/>
                        <w:iCs/>
                      </w:rPr>
                    </m:ctrlPr>
                  </m:naryPr>
                  <m:sub>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sub>
                  <m:sup/>
                  <m:e>
                    <m:r>
                      <m:rPr>
                        <m:sty m:val="p"/>
                      </m:rPr>
                      <w:rPr>
                        <w:rFonts w:ascii="Cambria Math" w:hAnsi="Cambria Math" w:cs="Calibri"/>
                      </w:rPr>
                      <m:t>A(</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 </m:t>
                    </m:r>
                  </m:e>
                </m:nary>
                <m:sSub>
                  <m:sSubPr>
                    <m:ctrlPr>
                      <w:rPr>
                        <w:rFonts w:ascii="Cambria Math" w:hAnsi="Cambria Math" w:cs="Calibri"/>
                        <w:iCs/>
                      </w:rPr>
                    </m:ctrlPr>
                  </m:sSubPr>
                  <m:e>
                    <m:r>
                      <m:rPr>
                        <m:sty m:val="p"/>
                      </m:rPr>
                      <w:rPr>
                        <w:rFonts w:ascii="Cambria Math" w:hAnsi="Cambria Math" w:cs="Calibri"/>
                      </w:rPr>
                      <m:t>IQSW</m:t>
                    </m:r>
                  </m:e>
                  <m:sub>
                    <m:r>
                      <m:rPr>
                        <m:sty m:val="p"/>
                      </m:rPr>
                      <w:rPr>
                        <w:rFonts w:ascii="Cambria Math" w:hAnsi="Cambria Math" w:cs="Calibri"/>
                      </w:rPr>
                      <m:t>projeté</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m:t>
                </m:r>
              </m:oMath>
            </m:oMathPara>
          </w:p>
        </w:tc>
        <w:tc>
          <w:tcPr>
            <w:tcW w:w="418" w:type="dxa"/>
            <w:vAlign w:val="center"/>
          </w:tcPr>
          <w:p w14:paraId="01AC7AF8" w14:textId="77777777" w:rsidR="006E08A0" w:rsidRPr="00B363AA" w:rsidRDefault="006E08A0" w:rsidP="005F19A0">
            <w:pPr>
              <w:jc w:val="center"/>
            </w:pPr>
            <w:r w:rsidRPr="00B363AA">
              <w:t>(3)</w:t>
            </w:r>
          </w:p>
        </w:tc>
      </w:tr>
    </w:tbl>
    <w:p w14:paraId="0FC82300" w14:textId="77777777" w:rsidR="006E08A0" w:rsidRPr="00B363AA" w:rsidRDefault="006E08A0" w:rsidP="006E08A0">
      <w:pPr>
        <w:rPr>
          <w:rFonts w:cs="Calibri"/>
          <w:sz w:val="20"/>
          <w:szCs w:val="20"/>
        </w:rPr>
      </w:pPr>
      <w:r w:rsidRPr="00B363A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B363AA" w14:paraId="7B578A13" w14:textId="77777777" w:rsidTr="005F19A0">
        <w:trPr>
          <w:trHeight w:val="519"/>
        </w:trPr>
        <w:tc>
          <w:tcPr>
            <w:tcW w:w="2193" w:type="dxa"/>
          </w:tcPr>
          <w:p w14:paraId="0BF37738" w14:textId="77777777" w:rsidR="006E08A0" w:rsidRPr="00B363AA" w:rsidRDefault="00000000"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Capital sol</m:t>
                    </m:r>
                  </m:e>
                  <m:sub>
                    <m:r>
                      <m:rPr>
                        <m:sty m:val="p"/>
                      </m:rPr>
                      <w:rPr>
                        <w:rFonts w:ascii="Cambria Math" w:hAnsi="Cambria Math" w:cs="Calibri"/>
                        <w:sz w:val="20"/>
                        <w:szCs w:val="20"/>
                      </w:rPr>
                      <m:t>projeté</m:t>
                    </m:r>
                  </m:sub>
                </m:sSub>
              </m:oMath>
            </m:oMathPara>
          </w:p>
        </w:tc>
        <w:tc>
          <w:tcPr>
            <w:tcW w:w="6879" w:type="dxa"/>
          </w:tcPr>
          <w:p w14:paraId="16314602" w14:textId="77777777" w:rsidR="006E08A0" w:rsidRPr="00B363AA" w:rsidRDefault="006E08A0" w:rsidP="005F19A0">
            <w:pPr>
              <w:jc w:val="left"/>
              <w:rPr>
                <w:rFonts w:eastAsiaTheme="minorEastAsia" w:cs="Calibri"/>
                <w:iCs/>
                <w:sz w:val="20"/>
                <w:szCs w:val="20"/>
              </w:rPr>
            </w:pPr>
            <w:r w:rsidRPr="00B363AA">
              <w:rPr>
                <w:rFonts w:eastAsiaTheme="minorEastAsia" w:cs="Calibri"/>
                <w:iCs/>
                <w:sz w:val="20"/>
                <w:szCs w:val="20"/>
              </w:rPr>
              <w:t>Le capital sol projeté (score · m²) ;</w:t>
            </w:r>
          </w:p>
        </w:tc>
      </w:tr>
      <w:tr w:rsidR="006E08A0" w:rsidRPr="00B363AA" w14:paraId="1CC14DCA" w14:textId="77777777" w:rsidTr="005F19A0">
        <w:trPr>
          <w:trHeight w:val="227"/>
        </w:trPr>
        <w:tc>
          <w:tcPr>
            <w:tcW w:w="2193" w:type="dxa"/>
          </w:tcPr>
          <w:p w14:paraId="6858E273" w14:textId="77777777" w:rsidR="006E08A0" w:rsidRPr="00B363AA" w:rsidRDefault="006E08A0" w:rsidP="005F19A0">
            <w:pPr>
              <w:jc w:val="left"/>
              <w:rPr>
                <w:rFonts w:cs="Calibri"/>
                <w:iCs/>
                <w:sz w:val="20"/>
                <w:szCs w:val="20"/>
              </w:rPr>
            </w:pPr>
            <m:oMathPara>
              <m:oMathParaPr>
                <m:jc m:val="left"/>
              </m:oMathParaPr>
              <m:oMath>
                <m:r>
                  <m:rPr>
                    <m:sty m:val="p"/>
                  </m:rPr>
                  <w:rPr>
                    <w:rFonts w:ascii="Cambria Math" w:hAnsi="Cambria Math" w:cs="Calibri"/>
                    <w:sz w:val="20"/>
                    <w:szCs w:val="20"/>
                  </w:rPr>
                  <m:t>A(</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34F4572E" w14:textId="77777777" w:rsidR="006E08A0" w:rsidRPr="00B363AA" w:rsidRDefault="006E08A0" w:rsidP="005F19A0">
            <w:pPr>
              <w:jc w:val="left"/>
              <w:rPr>
                <w:rFonts w:cs="Calibri"/>
                <w:iCs/>
                <w:sz w:val="20"/>
                <w:szCs w:val="20"/>
              </w:rPr>
            </w:pPr>
            <w:r w:rsidRPr="00B363AA">
              <w:rPr>
                <w:rFonts w:eastAsiaTheme="minorEastAsia" w:cs="Calibri"/>
                <w:iCs/>
                <w:sz w:val="20"/>
                <w:szCs w:val="20"/>
              </w:rPr>
              <w:t>L’aire totale de la zone concernée par l’aménagement p au sein de la zone homogène z (m²) ;</w:t>
            </w:r>
          </w:p>
        </w:tc>
      </w:tr>
      <w:tr w:rsidR="006E08A0" w:rsidRPr="00B363AA" w14:paraId="5953F385" w14:textId="77777777" w:rsidTr="005F19A0">
        <w:trPr>
          <w:trHeight w:val="227"/>
        </w:trPr>
        <w:tc>
          <w:tcPr>
            <w:tcW w:w="2193" w:type="dxa"/>
          </w:tcPr>
          <w:p w14:paraId="3ED1FC33" w14:textId="77777777" w:rsidR="006E08A0" w:rsidRPr="00B363AA" w:rsidRDefault="00000000"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projeté</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18C504C0" w14:textId="77777777" w:rsidR="006E08A0" w:rsidRPr="00B363AA" w:rsidRDefault="006E08A0" w:rsidP="005F19A0">
            <w:pPr>
              <w:jc w:val="left"/>
              <w:rPr>
                <w:rFonts w:eastAsiaTheme="minorEastAsia" w:cs="Calibri"/>
                <w:iCs/>
                <w:sz w:val="20"/>
                <w:szCs w:val="20"/>
              </w:rPr>
            </w:pPr>
            <w:r w:rsidRPr="00B363AA">
              <w:rPr>
                <w:rFonts w:eastAsiaTheme="minorEastAsia" w:cs="Calibri"/>
                <w:iCs/>
                <w:sz w:val="20"/>
                <w:szCs w:val="20"/>
              </w:rPr>
              <w:t xml:space="preserve">Le score projeté de qualité du sol de la zone </w:t>
            </w:r>
            <w:proofErr w:type="spellStart"/>
            <w:r w:rsidRPr="00B363AA">
              <w:rPr>
                <w:rFonts w:eastAsiaTheme="minorEastAsia" w:cs="Calibri"/>
                <w:iCs/>
                <w:sz w:val="20"/>
                <w:szCs w:val="20"/>
              </w:rPr>
              <w:t>z</w:t>
            </w:r>
            <w:r w:rsidRPr="00B363AA">
              <w:rPr>
                <w:rFonts w:eastAsiaTheme="minorEastAsia" w:cs="Calibri"/>
                <w:iCs/>
                <w:sz w:val="20"/>
                <w:szCs w:val="20"/>
                <w:vertAlign w:val="subscript"/>
              </w:rPr>
              <w:t>p</w:t>
            </w:r>
            <w:proofErr w:type="spellEnd"/>
            <w:r w:rsidRPr="00B363AA">
              <w:rPr>
                <w:rFonts w:eastAsiaTheme="minorEastAsia" w:cs="Calibri"/>
                <w:iCs/>
                <w:sz w:val="20"/>
                <w:szCs w:val="20"/>
                <w:vertAlign w:val="subscript"/>
              </w:rPr>
              <w:t xml:space="preserve"> </w:t>
            </w:r>
            <w:r w:rsidRPr="00B363AA">
              <w:rPr>
                <w:rFonts w:eastAsiaTheme="minorEastAsia" w:cs="Calibri"/>
                <w:iCs/>
                <w:sz w:val="20"/>
                <w:szCs w:val="20"/>
              </w:rPr>
              <w:t>(score [0 ;5]).</w:t>
            </w:r>
          </w:p>
        </w:tc>
      </w:tr>
    </w:tbl>
    <w:p w14:paraId="04B210E2" w14:textId="77777777" w:rsidR="006E08A0" w:rsidRPr="00B363AA" w:rsidRDefault="006E08A0" w:rsidP="006E08A0">
      <w:pPr>
        <w:rPr>
          <w:rFonts w:eastAsiaTheme="majorEastAsia" w:cstheme="majorBidi"/>
          <w:color w:val="9BA823"/>
          <w:sz w:val="32"/>
          <w:szCs w:val="32"/>
        </w:rPr>
      </w:pPr>
    </w:p>
    <w:p w14:paraId="3E3E603B" w14:textId="77777777" w:rsidR="006E08A0" w:rsidRPr="00B363AA" w:rsidRDefault="006E08A0" w:rsidP="006E08A0">
      <w:r w:rsidRPr="00B363AA">
        <w:t xml:space="preserve">Le score de qualité du sol projeté </w:t>
      </w:r>
      <m:oMath>
        <m:sSub>
          <m:sSubPr>
            <m:ctrlPr>
              <w:rPr>
                <w:rFonts w:ascii="Cambria Math" w:hAnsi="Cambria Math" w:cs="Calibri"/>
                <w:iCs/>
              </w:rPr>
            </m:ctrlPr>
          </m:sSubPr>
          <m:e>
            <m:r>
              <m:rPr>
                <m:sty m:val="p"/>
              </m:rPr>
              <w:rPr>
                <w:rFonts w:ascii="Cambria Math" w:hAnsi="Cambria Math" w:cs="Calibri"/>
              </w:rPr>
              <m:t>S</m:t>
            </m:r>
          </m:e>
          <m:sub>
            <m:r>
              <m:rPr>
                <m:sty m:val="p"/>
              </m:rPr>
              <w:rPr>
                <w:rFonts w:ascii="Cambria Math" w:hAnsi="Cambria Math" w:cs="Calibri"/>
              </w:rPr>
              <m:t>IQSW projeté</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m:t>
        </m:r>
      </m:oMath>
      <w:r w:rsidRPr="00B363AA">
        <w:t>, par définition, ne peut pas être calculé sur base de mesures directes. Celui-ci doit donc être estimé sur base (1) d’hypothèses de degrés de dégradation, dans le cas d’une perte de services écosystémiques, ou sur base (2) d’objectifs d’amélioration, dans le cas d’un gain de services.</w:t>
      </w:r>
    </w:p>
    <w:p w14:paraId="79FE7EC3" w14:textId="77777777" w:rsidR="006E08A0" w:rsidRPr="00B363AA" w:rsidRDefault="006E08A0">
      <w:pPr>
        <w:pStyle w:val="Titre3"/>
        <w:numPr>
          <w:ilvl w:val="2"/>
          <w:numId w:val="12"/>
        </w:numPr>
      </w:pPr>
      <w:bookmarkStart w:id="188" w:name="_Toc233387909"/>
      <w:bookmarkStart w:id="189" w:name="_Toc241243011"/>
      <w:r w:rsidRPr="00B363AA">
        <w:t>Perte de services écosystémiques</w:t>
      </w:r>
      <w:bookmarkEnd w:id="188"/>
      <w:bookmarkEnd w:id="189"/>
    </w:p>
    <w:p w14:paraId="3351FC0C" w14:textId="77777777" w:rsidR="006E08A0" w:rsidRPr="00B363AA" w:rsidRDefault="006E08A0">
      <w:pPr>
        <w:pStyle w:val="Titre4"/>
        <w:numPr>
          <w:ilvl w:val="3"/>
          <w:numId w:val="12"/>
        </w:numPr>
      </w:pPr>
      <w:r w:rsidRPr="00B363AA">
        <w:t>Imperméabilisation</w:t>
      </w:r>
    </w:p>
    <w:p w14:paraId="6B3F1FEA" w14:textId="77777777" w:rsidR="006E08A0" w:rsidRPr="00B363AA" w:rsidRDefault="006E08A0" w:rsidP="006E08A0">
      <w:r w:rsidRPr="00B363AA">
        <w:t>Le scénario classique de perte de services écosystémiques est l’imperméabilisation d’une zone, ou l’excavation du sol. Dans ce cas, on considère une perte sèche de service par rapport à la situation existante. Le score projeté de qualité du sol se calcule comme suit (</w:t>
      </w:r>
      <w:proofErr w:type="spellStart"/>
      <w:r w:rsidRPr="00B363AA">
        <w:t>éq</w:t>
      </w:r>
      <w:proofErr w:type="spellEnd"/>
      <w:r w:rsidRPr="00B363AA">
        <w:t>. 4).</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rsidRPr="00B363AA" w14:paraId="6CF35CEF" w14:textId="77777777" w:rsidTr="005F19A0">
        <w:trPr>
          <w:trHeight w:val="647"/>
        </w:trPr>
        <w:tc>
          <w:tcPr>
            <w:tcW w:w="8642" w:type="dxa"/>
            <w:vAlign w:val="center"/>
          </w:tcPr>
          <w:p w14:paraId="6FB83FC1" w14:textId="77777777" w:rsidR="006E08A0" w:rsidRPr="00B363AA" w:rsidRDefault="006E08A0" w:rsidP="005F19A0">
            <w:pPr>
              <w:pStyle w:val="Paragraphedeliste"/>
              <w:jc w:val="center"/>
              <w:rPr>
                <w:rFonts w:cs="Calibri"/>
                <w:iCs/>
              </w:rPr>
            </w:pPr>
            <m:oMathPara>
              <m:oMath>
                <m:r>
                  <m:rPr>
                    <m:sty m:val="p"/>
                  </m:rPr>
                  <w:rPr>
                    <w:rFonts w:ascii="Cambria Math" w:hAnsi="Cambria Math" w:cs="Calibri"/>
                  </w:rPr>
                  <m:t xml:space="preserve"> </m:t>
                </m:r>
                <m:sSub>
                  <m:sSubPr>
                    <m:ctrlPr>
                      <w:rPr>
                        <w:rFonts w:ascii="Cambria Math" w:hAnsi="Cambria Math" w:cs="Calibri"/>
                        <w:iCs/>
                      </w:rPr>
                    </m:ctrlPr>
                  </m:sSubPr>
                  <m:e>
                    <m:r>
                      <m:rPr>
                        <m:sty m:val="p"/>
                      </m:rPr>
                      <w:rPr>
                        <w:rFonts w:ascii="Cambria Math" w:hAnsi="Cambria Math" w:cs="Calibri"/>
                      </w:rPr>
                      <m:t>IQSW</m:t>
                    </m:r>
                  </m:e>
                  <m:sub>
                    <m:r>
                      <m:rPr>
                        <m:sty m:val="p"/>
                      </m:rPr>
                      <w:rPr>
                        <w:rFonts w:ascii="Cambria Math" w:hAnsi="Cambria Math" w:cs="Calibri"/>
                      </w:rPr>
                      <m:t>projeté</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 </m:t>
                </m:r>
                <m:sSub>
                  <m:sSubPr>
                    <m:ctrlPr>
                      <w:rPr>
                        <w:rFonts w:ascii="Cambria Math" w:hAnsi="Cambria Math" w:cs="Calibri"/>
                        <w:iCs/>
                      </w:rPr>
                    </m:ctrlPr>
                  </m:sSubPr>
                  <m:e>
                    <m:r>
                      <m:rPr>
                        <m:sty m:val="p"/>
                      </m:rPr>
                      <w:rPr>
                        <w:rFonts w:ascii="Cambria Math" w:hAnsi="Cambria Math" w:cs="Calibri"/>
                      </w:rPr>
                      <m:t>IQSW</m:t>
                    </m:r>
                  </m:e>
                  <m:sub>
                    <m:r>
                      <m:rPr>
                        <m:sty m:val="p"/>
                      </m:rPr>
                      <w:rPr>
                        <w:rFonts w:ascii="Cambria Math" w:hAnsi="Cambria Math" w:cs="Calibri"/>
                      </w:rPr>
                      <m:t>actuel</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)∙(1- </m:t>
                </m:r>
                <m:sSub>
                  <m:sSubPr>
                    <m:ctrlPr>
                      <w:rPr>
                        <w:rFonts w:ascii="Cambria Math" w:hAnsi="Cambria Math" w:cs="Calibri"/>
                        <w:iCs/>
                      </w:rPr>
                    </m:ctrlPr>
                  </m:sSubPr>
                  <m:e>
                    <m:r>
                      <m:rPr>
                        <m:sty m:val="p"/>
                      </m:rPr>
                      <w:rPr>
                        <w:rFonts w:ascii="Cambria Math" w:hAnsi="Cambria Math" w:cs="Calibri"/>
                      </w:rPr>
                      <m:t>C</m:t>
                    </m:r>
                  </m:e>
                  <m:sub>
                    <m:r>
                      <m:rPr>
                        <m:sty m:val="p"/>
                      </m:rPr>
                      <w:rPr>
                        <w:rFonts w:ascii="Cambria Math" w:hAnsi="Cambria Math" w:cs="Calibri"/>
                      </w:rPr>
                      <m:t>i</m:t>
                    </m:r>
                  </m:sub>
                </m:sSub>
                <m:r>
                  <m:rPr>
                    <m:sty m:val="p"/>
                  </m:rPr>
                  <w:rPr>
                    <w:rFonts w:ascii="Cambria Math" w:hAnsi="Cambria Math" w:cs="Calibri"/>
                  </w:rPr>
                  <m:t>)</m:t>
                </m:r>
              </m:oMath>
            </m:oMathPara>
          </w:p>
        </w:tc>
        <w:tc>
          <w:tcPr>
            <w:tcW w:w="418" w:type="dxa"/>
            <w:vAlign w:val="center"/>
          </w:tcPr>
          <w:p w14:paraId="0A72B0C0" w14:textId="77777777" w:rsidR="006E08A0" w:rsidRPr="00B363AA" w:rsidRDefault="006E08A0" w:rsidP="005F19A0">
            <w:pPr>
              <w:jc w:val="center"/>
            </w:pPr>
            <w:r w:rsidRPr="00B363AA">
              <w:t>(4)</w:t>
            </w:r>
          </w:p>
        </w:tc>
      </w:tr>
    </w:tbl>
    <w:p w14:paraId="4F413CF3" w14:textId="77777777" w:rsidR="006E08A0" w:rsidRPr="00B363AA" w:rsidRDefault="006E08A0" w:rsidP="006E08A0">
      <w:pPr>
        <w:rPr>
          <w:rFonts w:cs="Calibri"/>
          <w:sz w:val="20"/>
          <w:szCs w:val="20"/>
        </w:rPr>
      </w:pPr>
      <w:r w:rsidRPr="00B363A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B363AA" w14:paraId="54266851" w14:textId="77777777" w:rsidTr="005F19A0">
        <w:trPr>
          <w:trHeight w:val="519"/>
        </w:trPr>
        <w:tc>
          <w:tcPr>
            <w:tcW w:w="2193" w:type="dxa"/>
          </w:tcPr>
          <w:p w14:paraId="14CC277F" w14:textId="77777777" w:rsidR="006E08A0" w:rsidRPr="00B363AA" w:rsidRDefault="00000000"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projeté</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7713F838" w14:textId="77777777" w:rsidR="006E08A0" w:rsidRPr="00B363AA" w:rsidRDefault="006E08A0" w:rsidP="005F19A0">
            <w:pPr>
              <w:jc w:val="left"/>
              <w:rPr>
                <w:rFonts w:eastAsiaTheme="minorEastAsia" w:cs="Calibri"/>
                <w:iCs/>
                <w:sz w:val="20"/>
                <w:szCs w:val="20"/>
              </w:rPr>
            </w:pPr>
            <w:r w:rsidRPr="00B363AA">
              <w:rPr>
                <w:rFonts w:eastAsiaTheme="minorEastAsia" w:cs="Calibri"/>
                <w:iCs/>
                <w:sz w:val="20"/>
                <w:szCs w:val="20"/>
              </w:rPr>
              <w:t xml:space="preserve">Le score projeté de qualité du sol de la zone </w:t>
            </w:r>
            <w:proofErr w:type="spellStart"/>
            <w:r w:rsidRPr="00B363AA">
              <w:rPr>
                <w:rFonts w:eastAsiaTheme="minorEastAsia" w:cs="Calibri"/>
                <w:iCs/>
                <w:sz w:val="20"/>
                <w:szCs w:val="20"/>
              </w:rPr>
              <w:t>z</w:t>
            </w:r>
            <w:r w:rsidRPr="00B363AA">
              <w:rPr>
                <w:rFonts w:eastAsiaTheme="minorEastAsia" w:cs="Calibri"/>
                <w:iCs/>
                <w:sz w:val="20"/>
                <w:szCs w:val="20"/>
                <w:vertAlign w:val="subscript"/>
              </w:rPr>
              <w:t>p</w:t>
            </w:r>
            <w:proofErr w:type="spellEnd"/>
            <w:r w:rsidRPr="00B363AA">
              <w:rPr>
                <w:rFonts w:eastAsiaTheme="minorEastAsia" w:cs="Calibri"/>
                <w:iCs/>
                <w:sz w:val="20"/>
                <w:szCs w:val="20"/>
                <w:vertAlign w:val="subscript"/>
              </w:rPr>
              <w:t xml:space="preserve"> </w:t>
            </w:r>
            <w:r w:rsidRPr="00B363AA">
              <w:rPr>
                <w:rFonts w:eastAsiaTheme="minorEastAsia" w:cs="Calibri"/>
                <w:iCs/>
                <w:sz w:val="20"/>
                <w:szCs w:val="20"/>
              </w:rPr>
              <w:t>(score [0 ;5]) ;</w:t>
            </w:r>
          </w:p>
        </w:tc>
      </w:tr>
      <w:tr w:rsidR="006E08A0" w:rsidRPr="00B363AA" w14:paraId="3768DD7B" w14:textId="77777777" w:rsidTr="005F19A0">
        <w:trPr>
          <w:trHeight w:val="227"/>
        </w:trPr>
        <w:tc>
          <w:tcPr>
            <w:tcW w:w="2193" w:type="dxa"/>
          </w:tcPr>
          <w:p w14:paraId="607CBB86" w14:textId="77777777" w:rsidR="006E08A0" w:rsidRPr="00B363AA" w:rsidRDefault="00000000" w:rsidP="005F19A0">
            <w:pPr>
              <w:jc w:val="left"/>
              <w:rPr>
                <w:rFont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actuel</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2C32E430" w14:textId="77777777" w:rsidR="006E08A0" w:rsidRPr="00B363AA" w:rsidRDefault="006E08A0" w:rsidP="005F19A0">
            <w:pPr>
              <w:jc w:val="left"/>
              <w:rPr>
                <w:rFonts w:cs="Calibri"/>
                <w:iCs/>
                <w:sz w:val="20"/>
                <w:szCs w:val="20"/>
              </w:rPr>
            </w:pPr>
            <w:r w:rsidRPr="00B363AA">
              <w:rPr>
                <w:rFonts w:eastAsiaTheme="minorEastAsia" w:cs="Calibri"/>
                <w:iCs/>
                <w:sz w:val="20"/>
                <w:szCs w:val="20"/>
              </w:rPr>
              <w:t xml:space="preserve">Le score actuel de qualité du sol de la zone </w:t>
            </w:r>
            <w:proofErr w:type="spellStart"/>
            <w:r w:rsidRPr="00B363AA">
              <w:rPr>
                <w:rFonts w:eastAsiaTheme="minorEastAsia" w:cs="Calibri"/>
                <w:iCs/>
                <w:sz w:val="20"/>
                <w:szCs w:val="20"/>
              </w:rPr>
              <w:t>z</w:t>
            </w:r>
            <w:r w:rsidRPr="00B363AA">
              <w:rPr>
                <w:rFonts w:eastAsiaTheme="minorEastAsia" w:cs="Calibri"/>
                <w:iCs/>
                <w:sz w:val="20"/>
                <w:szCs w:val="20"/>
                <w:vertAlign w:val="subscript"/>
              </w:rPr>
              <w:t>p</w:t>
            </w:r>
            <w:proofErr w:type="spellEnd"/>
            <w:r w:rsidRPr="00B363AA">
              <w:rPr>
                <w:rFonts w:eastAsiaTheme="minorEastAsia" w:cs="Calibri"/>
                <w:iCs/>
                <w:sz w:val="20"/>
                <w:szCs w:val="20"/>
                <w:vertAlign w:val="subscript"/>
              </w:rPr>
              <w:t xml:space="preserve"> </w:t>
            </w:r>
            <w:r w:rsidRPr="00B363AA">
              <w:rPr>
                <w:rFonts w:eastAsiaTheme="minorEastAsia" w:cs="Calibri"/>
                <w:iCs/>
                <w:sz w:val="20"/>
                <w:szCs w:val="20"/>
              </w:rPr>
              <w:t>(score [0 ;5]) ;</w:t>
            </w:r>
          </w:p>
        </w:tc>
      </w:tr>
      <w:tr w:rsidR="006E08A0" w:rsidRPr="00B363AA" w14:paraId="66068B1E" w14:textId="77777777" w:rsidTr="005F19A0">
        <w:trPr>
          <w:trHeight w:val="227"/>
        </w:trPr>
        <w:tc>
          <w:tcPr>
            <w:tcW w:w="2193" w:type="dxa"/>
          </w:tcPr>
          <w:p w14:paraId="4D057B91" w14:textId="77777777" w:rsidR="006E08A0" w:rsidRPr="00B363AA" w:rsidRDefault="00000000"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m:t>
                    </m:r>
                  </m:e>
                  <m:sub>
                    <m:r>
                      <m:rPr>
                        <m:sty m:val="p"/>
                      </m:rPr>
                      <w:rPr>
                        <w:rFonts w:ascii="Cambria Math" w:hAnsi="Cambria Math" w:cs="Calibri"/>
                        <w:sz w:val="20"/>
                        <w:szCs w:val="20"/>
                      </w:rPr>
                      <m:t>i</m:t>
                    </m:r>
                  </m:sub>
                </m:sSub>
              </m:oMath>
            </m:oMathPara>
          </w:p>
        </w:tc>
        <w:tc>
          <w:tcPr>
            <w:tcW w:w="6879" w:type="dxa"/>
          </w:tcPr>
          <w:p w14:paraId="6662593E" w14:textId="77777777" w:rsidR="006E08A0" w:rsidRPr="00B363AA" w:rsidRDefault="006E08A0" w:rsidP="005F19A0">
            <w:pPr>
              <w:jc w:val="left"/>
              <w:rPr>
                <w:rFonts w:eastAsiaTheme="minorEastAsia" w:cs="Calibri"/>
                <w:iCs/>
                <w:sz w:val="20"/>
                <w:szCs w:val="20"/>
              </w:rPr>
            </w:pPr>
            <w:r w:rsidRPr="00B363AA">
              <w:rPr>
                <w:rFonts w:eastAsiaTheme="minorEastAsia" w:cs="Calibri"/>
                <w:sz w:val="20"/>
                <w:szCs w:val="20"/>
              </w:rPr>
              <w:t>Le coefficient d’impact, estimé en fonction du type d’intervention [0 ;1]. Valeur de 1 par défaut dans le cas d’une imperméabilisation (-).</w:t>
            </w:r>
          </w:p>
        </w:tc>
      </w:tr>
    </w:tbl>
    <w:p w14:paraId="2413F7CF" w14:textId="77777777" w:rsidR="006E08A0" w:rsidRPr="00B363AA" w:rsidRDefault="006E08A0" w:rsidP="006E08A0"/>
    <w:p w14:paraId="2D1687FB" w14:textId="77777777" w:rsidR="006E08A0" w:rsidRPr="00B363AA" w:rsidRDefault="006E08A0">
      <w:pPr>
        <w:pStyle w:val="Titre4"/>
        <w:numPr>
          <w:ilvl w:val="3"/>
          <w:numId w:val="12"/>
        </w:numPr>
      </w:pPr>
      <w:r w:rsidRPr="00B363AA">
        <w:t>Dégradations liées au chantier</w:t>
      </w:r>
    </w:p>
    <w:p w14:paraId="546B8279" w14:textId="77777777" w:rsidR="006E08A0" w:rsidRPr="00B363AA" w:rsidRDefault="006E08A0" w:rsidP="006E08A0">
      <w:r w:rsidRPr="00B363AA">
        <w:t>L’imperméabilisation et l’excavation ne sont pas les seules dégradations qui peuvent affecter le sol. En effet, un chantier mal géré peut entrainer des conséquences lourdes sur la qualité du sol, principalement à cause du tassement engendré par l’implantation des infrastructures de chantier, du charroi, du passage répété d’engins lourds et du stationnement de ceux-ci, du stockage de terres, etc.</w:t>
      </w:r>
    </w:p>
    <w:p w14:paraId="3B793114" w14:textId="36A38522" w:rsidR="006E08A0" w:rsidRPr="00B363AA" w:rsidRDefault="006E08A0" w:rsidP="006E08A0">
      <w:r w:rsidRPr="00B363AA">
        <w:t>Une surface est considérée « perdue » lorsque la mise en œuvre du projet implique des atteintes au sol et donc son artificialisation. L'artificialisation est définie dans l'article 192 de la loi Climat et résilience (FR) comme "l'altération durable de tout ou partie des fonctions écologiques d'un sol, en particulier de ses fonctions biologiques, hydriques et climatiques, ainsi que de son potentiel agronomique par son occupation ou son usage"</w:t>
      </w:r>
      <w:r w:rsidRPr="00B363AA">
        <w:rPr>
          <w:rStyle w:val="Appelnotedebasdep"/>
        </w:rPr>
        <w:footnoteReference w:id="13"/>
      </w:r>
      <w:r w:rsidRPr="00B363AA">
        <w:t>. La compaction liée au chantier peut donc être considérée comme un certain degré d’artificialisation. Ainsi, pour quantifier l’impact d’un chantier sur une zone donnée, on peut envisager de calculer un capital sol en considérant un coefficient d’impact moindre que la valeur utilisée pour l’imperméabilisation (C</w:t>
      </w:r>
      <w:r w:rsidRPr="00B363AA">
        <w:rPr>
          <w:vertAlign w:val="subscript"/>
        </w:rPr>
        <w:t>i</w:t>
      </w:r>
      <w:r w:rsidRPr="00B363AA">
        <w:t xml:space="preserve"> = 1). Par exemple, dans le Land allemand de Hesse, un outil permettant de chiffrer les compensations de la dégradation du sol sur les fonctions (voir partie </w:t>
      </w:r>
      <w:r w:rsidRPr="00B363AA">
        <w:fldChar w:fldCharType="begin"/>
      </w:r>
      <w:r w:rsidRPr="00B363AA">
        <w:instrText xml:space="preserve"> REF _Ref232541945 \r \h </w:instrText>
      </w:r>
      <w:r w:rsidRPr="00B363AA">
        <w:fldChar w:fldCharType="separate"/>
      </w:r>
      <w:r w:rsidR="001A7BE1" w:rsidRPr="00B363AA">
        <w:t>5.3.1</w:t>
      </w:r>
      <w:r w:rsidRPr="00B363AA">
        <w:fldChar w:fldCharType="end"/>
      </w:r>
      <w:r w:rsidRPr="00B363AA">
        <w:t xml:space="preserve">) prend également en compte les dégradations liées à un chantier, entrainent une diminution systématique du score pour chacune des fonctions calculées de 25 % si le sol est affecté par </w:t>
      </w:r>
      <w:r w:rsidRPr="00B363AA">
        <w:lastRenderedPageBreak/>
        <w:t xml:space="preserve">les travaux </w:t>
      </w:r>
      <w:r w:rsidRPr="00B363AA">
        <w:fldChar w:fldCharType="begin"/>
      </w:r>
      <w:r w:rsidR="00432908" w:rsidRPr="00B363AA">
        <w:instrText xml:space="preserve"> ADDIN ZOTERO_ITEM CSL_CITATION {"citationID":"NSuVe3wU","properties":{"formattedCitation":"(Miller et al., 2023)","plainCitation":"(Miller et al., 2023)","noteIndex":0},"citationItems":[{"id":613,"uris":["http://zotero.org/groups/5684833/items/PJE26W7V"],"itemData":{"id":613,"type":"book","ISBN":"978-3-89531-619-7","publisher":"Umwelt und Geologie Böden und Bodenschutz in Hessen, Heft 16","title":"Kompensation des Schutzguts Boden in Planungs- und Genehmigungsverfahren - Arbeitshilfe zur Ermittlung des Kompensationsbedarfs für das Schutzgut Boden in Hessen und Rheinland-Pfalz","URL":"https://www.hlnug.de/themen/boden/vorsorge/bodenschutz-in-der-planung/kompensation-schutzgut-boden","author":[{"family":"Miller","given":"Ricarda"},{"family":"Busch","given":"Johanna"},{"family":"Friedrich","given":"Klaus"},{"family":"Fritzsch","given":"Dagmar"},{"family":"Goldschmitt","given":"Michael"},{"family":"Handke","given":"Kevin"},{"family":"Pflanz","given":"Dorthe"},{"family":"Sauer","given":"Stephan"},{"family":"Vorderbrügge","given":"Thomas"}],"accessed":{"date-parts":[["2026",6,17]]},"issued":{"date-parts":[["2023"]]}}}],"schema":"https://github.com/citation-style-language/schema/raw/master/csl-citation.json"} </w:instrText>
      </w:r>
      <w:r w:rsidRPr="00B363AA">
        <w:fldChar w:fldCharType="separate"/>
      </w:r>
      <w:r w:rsidR="00432908" w:rsidRPr="00B363AA">
        <w:rPr>
          <w:rFonts w:cs="Calibri"/>
        </w:rPr>
        <w:t>(Miller et al., 2023)</w:t>
      </w:r>
      <w:r w:rsidRPr="00B363AA">
        <w:fldChar w:fldCharType="end"/>
      </w:r>
      <w:r w:rsidRPr="00B363AA">
        <w:t>. Cette pénalité se voit réduite à 10 % si des mesures de prévention sont adoptées.</w:t>
      </w:r>
    </w:p>
    <w:p w14:paraId="335C8CEE" w14:textId="77777777" w:rsidR="006E08A0" w:rsidRPr="00B363AA" w:rsidRDefault="006E08A0" w:rsidP="006E08A0">
      <w:r w:rsidRPr="00B363AA">
        <w:t>Ainsi, pour une zone impactée par un chantier, le coefficient d’impact C</w:t>
      </w:r>
      <w:r w:rsidRPr="00B363AA">
        <w:rPr>
          <w:vertAlign w:val="subscript"/>
        </w:rPr>
        <w:t>i</w:t>
      </w:r>
      <w:r w:rsidRPr="00B363AA">
        <w:t xml:space="preserve"> peut se voir attribuer une valeur sécuritaire par défaut de 0,25. Toutefois, si l’entrepreneur en charge des travaux parvient à démontrer que de bonnes pratiques ont été mises en œuvre durant le chantier, à travers un diagnostic post-chantier, le score projeté peut être ajusté sur base du score de qualité actuelle.</w:t>
      </w:r>
    </w:p>
    <w:p w14:paraId="009756F0" w14:textId="77777777" w:rsidR="006E08A0" w:rsidRPr="00B363AA" w:rsidRDefault="006E08A0">
      <w:pPr>
        <w:pStyle w:val="Titre3"/>
        <w:numPr>
          <w:ilvl w:val="2"/>
          <w:numId w:val="12"/>
        </w:numPr>
      </w:pPr>
      <w:bookmarkStart w:id="190" w:name="_Toc233387910"/>
      <w:bookmarkStart w:id="191" w:name="_Toc241243012"/>
      <w:r w:rsidRPr="00B363AA">
        <w:t>Gain de services écosystémiques</w:t>
      </w:r>
      <w:bookmarkEnd w:id="190"/>
      <w:bookmarkEnd w:id="191"/>
    </w:p>
    <w:p w14:paraId="48EEEBCF" w14:textId="15953603" w:rsidR="006E08A0" w:rsidRPr="00B363AA" w:rsidRDefault="006E08A0" w:rsidP="006E08A0">
      <w:r w:rsidRPr="00B363AA">
        <w:t xml:space="preserve">Divers scénarios de gains de services sont possibles. Le plus classique est la </w:t>
      </w:r>
      <w:proofErr w:type="spellStart"/>
      <w:r w:rsidRPr="00B363AA">
        <w:t>désimperméabilisation</w:t>
      </w:r>
      <w:proofErr w:type="spellEnd"/>
      <w:r w:rsidRPr="00B363AA">
        <w:t xml:space="preserve"> d’une zone, ou diverses mesures de gestion vertueuses (amendements organiques, amélioration de la structure du sol, chaulage etc.) qui permettent d’augmenter le niveau de remplissage des services écosystémiques d’un sol (et donc sa qualité). Dans ce cas, on connait uniquement la qualité potentielle du sol. En effet, si le sol est encapsulé par un revêtement au moment des investigations, seuls certains paramètres sont pertinents à mesurer (texture, charge volumique en éléments grossiers, profondeur du sol, et certaines analyses chimiques). Ce diagnostic de qualité potentielle permet déjà de statuer sur le niveau potentiel de réalisation des services écosystémiques auquel le sol pourra prétendre, </w:t>
      </w:r>
      <w:proofErr w:type="gramStart"/>
      <w:r w:rsidRPr="00B363AA">
        <w:t>suite à</w:t>
      </w:r>
      <w:proofErr w:type="gramEnd"/>
      <w:r w:rsidRPr="00B363AA">
        <w:t xml:space="preserve"> sa </w:t>
      </w:r>
      <w:proofErr w:type="spellStart"/>
      <w:r w:rsidRPr="00B363AA">
        <w:t>désimperméabilisation</w:t>
      </w:r>
      <w:proofErr w:type="spellEnd"/>
      <w:r w:rsidRPr="00B363AA">
        <w:t xml:space="preserve"> et moyennant une gestion adaptée.</w:t>
      </w:r>
    </w:p>
    <w:p w14:paraId="10D94E01" w14:textId="77777777" w:rsidR="006E08A0" w:rsidRPr="00B363AA" w:rsidRDefault="006E08A0" w:rsidP="006E08A0">
      <w:r w:rsidRPr="00B363AA">
        <w:t xml:space="preserve">Pour estimer le score </w:t>
      </w:r>
      <m:oMath>
        <m:sSub>
          <m:sSubPr>
            <m:ctrlPr>
              <w:rPr>
                <w:rFonts w:ascii="Cambria Math" w:hAnsi="Cambria Math" w:cs="Calibri"/>
                <w:iCs/>
              </w:rPr>
            </m:ctrlPr>
          </m:sSubPr>
          <m:e>
            <m:r>
              <m:rPr>
                <m:sty m:val="p"/>
              </m:rPr>
              <w:rPr>
                <w:rFonts w:ascii="Cambria Math" w:hAnsi="Cambria Math" w:cs="Calibri"/>
              </w:rPr>
              <m:t>IQSW</m:t>
            </m:r>
          </m:e>
          <m:sub>
            <m:r>
              <m:rPr>
                <m:sty m:val="p"/>
              </m:rPr>
              <w:rPr>
                <w:rFonts w:ascii="Cambria Math" w:hAnsi="Cambria Math" w:cs="Calibri"/>
              </w:rPr>
              <m:t>projeté</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m:t>
        </m:r>
      </m:oMath>
      <w:r w:rsidRPr="00B363AA">
        <w:rPr>
          <w:rFonts w:eastAsiaTheme="minorEastAsia"/>
          <w:iCs/>
        </w:rPr>
        <w:t>, un objectif en termes de proportion d’accomplissement de la qualité potentielle du sol peut être fixé</w:t>
      </w:r>
      <w:r w:rsidRPr="00B363AA">
        <w:t xml:space="preserve"> (par exemple, atteinte de 50 % de la qualité potentielle). Le score projeté de qualité du sol se calcule dès lors comme suit (</w:t>
      </w:r>
      <w:proofErr w:type="spellStart"/>
      <w:r w:rsidRPr="00B363AA">
        <w:t>éq</w:t>
      </w:r>
      <w:proofErr w:type="spellEnd"/>
      <w:r w:rsidRPr="00B363AA">
        <w:t>. 5).</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rsidRPr="00B363AA" w14:paraId="23B54655" w14:textId="77777777" w:rsidTr="005F19A0">
        <w:trPr>
          <w:trHeight w:val="647"/>
        </w:trPr>
        <w:tc>
          <w:tcPr>
            <w:tcW w:w="8642" w:type="dxa"/>
            <w:vAlign w:val="center"/>
          </w:tcPr>
          <w:p w14:paraId="7B922738" w14:textId="77777777" w:rsidR="006E08A0" w:rsidRPr="00B363AA" w:rsidRDefault="006E08A0" w:rsidP="005F19A0">
            <w:pPr>
              <w:pStyle w:val="Paragraphedeliste"/>
              <w:jc w:val="center"/>
              <w:rPr>
                <w:rFonts w:cs="Calibri"/>
              </w:rPr>
            </w:pPr>
            <m:oMathPara>
              <m:oMath>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IQSW</m:t>
                    </m:r>
                  </m:e>
                  <m:sub>
                    <m:r>
                      <m:rPr>
                        <m:sty m:val="p"/>
                      </m:rPr>
                      <w:rPr>
                        <w:rFonts w:ascii="Cambria Math" w:hAnsi="Cambria Math" w:cs="Calibri"/>
                      </w:rPr>
                      <m:t>projeté</m:t>
                    </m:r>
                  </m:sub>
                </m:sSub>
                <m:r>
                  <m:rPr>
                    <m:sty m:val="p"/>
                  </m:rPr>
                  <w:rPr>
                    <w:rFonts w:ascii="Cambria Math" w:hAnsi="Cambria Math" w:cs="Calibri"/>
                  </w:rPr>
                  <m:t>(</m:t>
                </m:r>
                <m:sSub>
                  <m:sSubPr>
                    <m:ctrlPr>
                      <w:rPr>
                        <w:rFonts w:ascii="Cambria Math" w:hAnsi="Cambria Math" w:cs="Calibri"/>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IQSW</m:t>
                    </m:r>
                  </m:e>
                  <m:sub>
                    <m:r>
                      <m:rPr>
                        <m:sty m:val="p"/>
                      </m:rPr>
                      <w:rPr>
                        <w:rFonts w:ascii="Cambria Math" w:hAnsi="Cambria Math" w:cs="Calibri"/>
                      </w:rPr>
                      <m:t>potentiel</m:t>
                    </m:r>
                  </m:sub>
                </m:sSub>
                <m:d>
                  <m:dPr>
                    <m:ctrlPr>
                      <w:rPr>
                        <w:rFonts w:ascii="Cambria Math" w:hAnsi="Cambria Math" w:cs="Calibri"/>
                      </w:rPr>
                    </m:ctrlPr>
                  </m:dPr>
                  <m:e>
                    <m:sSub>
                      <m:sSubPr>
                        <m:ctrlPr>
                          <w:rPr>
                            <w:rFonts w:ascii="Cambria Math" w:hAnsi="Cambria Math" w:cs="Calibri"/>
                          </w:rPr>
                        </m:ctrlPr>
                      </m:sSubPr>
                      <m:e>
                        <m:r>
                          <m:rPr>
                            <m:sty m:val="p"/>
                          </m:rPr>
                          <w:rPr>
                            <w:rFonts w:ascii="Cambria Math" w:hAnsi="Cambria Math" w:cs="Calibri"/>
                          </w:rPr>
                          <m:t>z</m:t>
                        </m:r>
                      </m:e>
                      <m:sub>
                        <m:r>
                          <m:rPr>
                            <m:sty m:val="p"/>
                          </m:rPr>
                          <w:rPr>
                            <w:rFonts w:ascii="Cambria Math" w:hAnsi="Cambria Math" w:cs="Calibri"/>
                          </w:rPr>
                          <m:t>p</m:t>
                        </m:r>
                      </m:sub>
                    </m:sSub>
                  </m:e>
                </m:d>
                <m:r>
                  <m:rPr>
                    <m:sty m:val="p"/>
                  </m:rPr>
                  <w:rPr>
                    <w:rFonts w:ascii="Cambria Math" w:hAnsi="Cambria Math" w:cs="Calibri"/>
                  </w:rPr>
                  <m:t>∙</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rPr>
                      <m:t>p</m:t>
                    </m:r>
                  </m:sub>
                </m:sSub>
              </m:oMath>
            </m:oMathPara>
          </w:p>
        </w:tc>
        <w:tc>
          <w:tcPr>
            <w:tcW w:w="418" w:type="dxa"/>
            <w:vAlign w:val="center"/>
          </w:tcPr>
          <w:p w14:paraId="30F78BA7" w14:textId="77777777" w:rsidR="006E08A0" w:rsidRPr="00B363AA" w:rsidRDefault="006E08A0" w:rsidP="005F19A0">
            <w:pPr>
              <w:jc w:val="center"/>
            </w:pPr>
            <w:r w:rsidRPr="00B363AA">
              <w:t>(5)</w:t>
            </w:r>
          </w:p>
        </w:tc>
      </w:tr>
    </w:tbl>
    <w:p w14:paraId="7C57FB59" w14:textId="77777777" w:rsidR="006E08A0" w:rsidRPr="00B363AA" w:rsidRDefault="006E08A0" w:rsidP="006E08A0">
      <w:pPr>
        <w:rPr>
          <w:rFonts w:cs="Calibri"/>
          <w:sz w:val="20"/>
          <w:szCs w:val="20"/>
        </w:rPr>
      </w:pPr>
      <w:r w:rsidRPr="00B363A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B363AA" w14:paraId="6EFCC9B7" w14:textId="77777777" w:rsidTr="0051081A">
        <w:trPr>
          <w:trHeight w:val="418"/>
        </w:trPr>
        <w:tc>
          <w:tcPr>
            <w:tcW w:w="2193" w:type="dxa"/>
          </w:tcPr>
          <w:p w14:paraId="565288AE" w14:textId="77777777" w:rsidR="006E08A0" w:rsidRPr="00B363AA" w:rsidRDefault="00000000"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projeté</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7" w:type="dxa"/>
          </w:tcPr>
          <w:p w14:paraId="37526516" w14:textId="77777777" w:rsidR="006E08A0" w:rsidRPr="00B363AA" w:rsidRDefault="006E08A0" w:rsidP="005F19A0">
            <w:pPr>
              <w:jc w:val="left"/>
              <w:rPr>
                <w:rFonts w:eastAsiaTheme="minorEastAsia" w:cs="Calibri"/>
                <w:iCs/>
                <w:sz w:val="20"/>
                <w:szCs w:val="20"/>
              </w:rPr>
            </w:pPr>
            <w:r w:rsidRPr="00B363AA">
              <w:rPr>
                <w:rFonts w:eastAsiaTheme="minorEastAsia" w:cs="Calibri"/>
                <w:iCs/>
                <w:sz w:val="20"/>
                <w:szCs w:val="20"/>
              </w:rPr>
              <w:t xml:space="preserve">Le score projeté de qualité du sol de la zone </w:t>
            </w:r>
            <w:proofErr w:type="spellStart"/>
            <w:r w:rsidRPr="00B363AA">
              <w:rPr>
                <w:rFonts w:eastAsiaTheme="minorEastAsia" w:cs="Calibri"/>
                <w:iCs/>
                <w:sz w:val="20"/>
                <w:szCs w:val="20"/>
              </w:rPr>
              <w:t>z</w:t>
            </w:r>
            <w:r w:rsidRPr="00B363AA">
              <w:rPr>
                <w:rFonts w:eastAsiaTheme="minorEastAsia" w:cs="Calibri"/>
                <w:iCs/>
                <w:sz w:val="20"/>
                <w:szCs w:val="20"/>
                <w:vertAlign w:val="subscript"/>
              </w:rPr>
              <w:t>p</w:t>
            </w:r>
            <w:proofErr w:type="spellEnd"/>
            <w:r w:rsidRPr="00B363AA">
              <w:rPr>
                <w:rFonts w:eastAsiaTheme="minorEastAsia" w:cs="Calibri"/>
                <w:iCs/>
                <w:sz w:val="20"/>
                <w:szCs w:val="20"/>
                <w:vertAlign w:val="subscript"/>
              </w:rPr>
              <w:t xml:space="preserve"> </w:t>
            </w:r>
            <w:r w:rsidRPr="00B363AA">
              <w:rPr>
                <w:rFonts w:eastAsiaTheme="minorEastAsia" w:cs="Calibri"/>
                <w:iCs/>
                <w:sz w:val="20"/>
                <w:szCs w:val="20"/>
              </w:rPr>
              <w:t>(score [0 ;5]) ;</w:t>
            </w:r>
          </w:p>
        </w:tc>
      </w:tr>
      <w:tr w:rsidR="006E08A0" w:rsidRPr="00B363AA" w14:paraId="555AE239" w14:textId="77777777" w:rsidTr="005F19A0">
        <w:trPr>
          <w:trHeight w:val="227"/>
        </w:trPr>
        <w:tc>
          <w:tcPr>
            <w:tcW w:w="2193" w:type="dxa"/>
          </w:tcPr>
          <w:p w14:paraId="72D371AE" w14:textId="77777777" w:rsidR="006E08A0" w:rsidRPr="00B363AA" w:rsidRDefault="00000000" w:rsidP="005F19A0">
            <w:pPr>
              <w:jc w:val="left"/>
              <w:rPr>
                <w:rFont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potentiel</m:t>
                    </m:r>
                  </m:sub>
                </m:sSub>
                <m:d>
                  <m:dPr>
                    <m:ctrlPr>
                      <w:rPr>
                        <w:rFonts w:ascii="Cambria Math" w:hAnsi="Cambria Math" w:cs="Calibri"/>
                        <w:iCs/>
                        <w:sz w:val="20"/>
                        <w:szCs w:val="20"/>
                      </w:rPr>
                    </m:ctrlPr>
                  </m:dPr>
                  <m:e>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e>
                </m:d>
              </m:oMath>
            </m:oMathPara>
          </w:p>
        </w:tc>
        <w:tc>
          <w:tcPr>
            <w:tcW w:w="6877" w:type="dxa"/>
          </w:tcPr>
          <w:p w14:paraId="34BD1852" w14:textId="77777777" w:rsidR="006E08A0" w:rsidRPr="00B363AA" w:rsidRDefault="006E08A0" w:rsidP="005F19A0">
            <w:pPr>
              <w:jc w:val="left"/>
              <w:rPr>
                <w:rFonts w:cs="Calibri"/>
                <w:iCs/>
                <w:sz w:val="20"/>
                <w:szCs w:val="20"/>
              </w:rPr>
            </w:pPr>
            <w:r w:rsidRPr="00B363AA">
              <w:rPr>
                <w:rFonts w:eastAsiaTheme="minorEastAsia" w:cs="Calibri"/>
                <w:iCs/>
                <w:sz w:val="20"/>
                <w:szCs w:val="20"/>
              </w:rPr>
              <w:t xml:space="preserve">Le score de qualité potentielle du sol de la zone </w:t>
            </w:r>
            <w:proofErr w:type="spellStart"/>
            <w:r w:rsidRPr="00B363AA">
              <w:rPr>
                <w:rFonts w:eastAsiaTheme="minorEastAsia" w:cs="Calibri"/>
                <w:iCs/>
                <w:sz w:val="20"/>
                <w:szCs w:val="20"/>
              </w:rPr>
              <w:t>z</w:t>
            </w:r>
            <w:r w:rsidRPr="00B363AA">
              <w:rPr>
                <w:rFonts w:eastAsiaTheme="minorEastAsia" w:cs="Calibri"/>
                <w:iCs/>
                <w:sz w:val="20"/>
                <w:szCs w:val="20"/>
                <w:vertAlign w:val="subscript"/>
              </w:rPr>
              <w:t>p</w:t>
            </w:r>
            <w:proofErr w:type="spellEnd"/>
            <w:r w:rsidRPr="00B363AA">
              <w:rPr>
                <w:rFonts w:eastAsiaTheme="minorEastAsia" w:cs="Calibri"/>
                <w:iCs/>
                <w:sz w:val="20"/>
                <w:szCs w:val="20"/>
                <w:vertAlign w:val="subscript"/>
              </w:rPr>
              <w:t xml:space="preserve"> </w:t>
            </w:r>
            <w:r w:rsidRPr="00B363AA">
              <w:rPr>
                <w:rFonts w:eastAsiaTheme="minorEastAsia" w:cs="Calibri"/>
                <w:iCs/>
                <w:sz w:val="20"/>
                <w:szCs w:val="20"/>
              </w:rPr>
              <w:t>(score [0 ;5]) ;</w:t>
            </w:r>
          </w:p>
        </w:tc>
      </w:tr>
      <w:tr w:rsidR="006E08A0" w:rsidRPr="00B363AA" w14:paraId="3077DF97" w14:textId="77777777" w:rsidTr="005F19A0">
        <w:trPr>
          <w:trHeight w:val="503"/>
        </w:trPr>
        <w:tc>
          <w:tcPr>
            <w:tcW w:w="2193" w:type="dxa"/>
          </w:tcPr>
          <w:p w14:paraId="1AA575C8" w14:textId="77777777" w:rsidR="006E08A0" w:rsidRPr="00B363AA" w:rsidRDefault="00000000" w:rsidP="005F19A0">
            <w:pPr>
              <w:jc w:val="left"/>
              <w:rPr>
                <w:rFonts w:eastAsia="Aptos" w:cs="Calibri"/>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O</m:t>
                    </m:r>
                  </m:e>
                  <m:sub>
                    <m:r>
                      <m:rPr>
                        <m:sty m:val="p"/>
                      </m:rPr>
                      <w:rPr>
                        <w:rFonts w:ascii="Cambria Math" w:hAnsi="Cambria Math" w:cs="Calibri"/>
                        <w:sz w:val="20"/>
                        <w:szCs w:val="20"/>
                      </w:rPr>
                      <m:t>p</m:t>
                    </m:r>
                  </m:sub>
                </m:sSub>
              </m:oMath>
            </m:oMathPara>
          </w:p>
        </w:tc>
        <w:tc>
          <w:tcPr>
            <w:tcW w:w="6877" w:type="dxa"/>
          </w:tcPr>
          <w:p w14:paraId="58A441A9" w14:textId="77777777" w:rsidR="006E08A0" w:rsidRPr="00B363AA" w:rsidRDefault="006E08A0" w:rsidP="005F19A0">
            <w:pPr>
              <w:jc w:val="left"/>
              <w:rPr>
                <w:rFonts w:eastAsiaTheme="minorEastAsia" w:cs="Calibri"/>
                <w:iCs/>
                <w:sz w:val="20"/>
                <w:szCs w:val="20"/>
              </w:rPr>
            </w:pPr>
            <w:r w:rsidRPr="00B363AA">
              <w:rPr>
                <w:rFonts w:eastAsiaTheme="minorEastAsia" w:cs="Calibri"/>
                <w:sz w:val="20"/>
                <w:szCs w:val="20"/>
              </w:rPr>
              <w:t>L’objectif de projet, soit l’objectif visé en termes de proportion d’atteinte du potentiel [0 ;1] (-).</w:t>
            </w:r>
          </w:p>
        </w:tc>
      </w:tr>
    </w:tbl>
    <w:p w14:paraId="586707A5" w14:textId="77777777" w:rsidR="0051081A" w:rsidRPr="00B363AA" w:rsidRDefault="0051081A" w:rsidP="006E08A0"/>
    <w:p w14:paraId="01C96C9D" w14:textId="65AA7C14" w:rsidR="006E08A0" w:rsidRPr="00B363AA" w:rsidRDefault="006E08A0" w:rsidP="006E08A0">
      <w:r w:rsidRPr="00B363AA">
        <w:t>L’objectif de projet peut intervenir à deux niveaux :</w:t>
      </w:r>
    </w:p>
    <w:p w14:paraId="275884D3" w14:textId="77777777" w:rsidR="006E08A0" w:rsidRPr="00B363AA" w:rsidRDefault="006E08A0">
      <w:pPr>
        <w:pStyle w:val="Paragraphedeliste"/>
        <w:numPr>
          <w:ilvl w:val="0"/>
          <w:numId w:val="32"/>
        </w:numPr>
      </w:pPr>
      <w:r w:rsidRPr="00B363AA">
        <w:t>Soit en balisant un objectif en termes de niveau de remplissage du potentiel, par exemple, viser des scores de services écosystémiques correspondant à minimum 50 % du potentiel du sol ;</w:t>
      </w:r>
    </w:p>
    <w:p w14:paraId="09EC5891" w14:textId="77777777" w:rsidR="006E08A0" w:rsidRPr="00B363AA" w:rsidRDefault="006E08A0">
      <w:pPr>
        <w:pStyle w:val="Paragraphedeliste"/>
        <w:numPr>
          <w:ilvl w:val="0"/>
          <w:numId w:val="32"/>
        </w:numPr>
      </w:pPr>
      <w:r w:rsidRPr="00B363AA">
        <w:t>Soit en calculant les scores de qualité potentielle, en intégrant le jeu de paramètres partiel effectivement mesurés (qui bornent le potentiel), et sur base de valeurs optimales simulées attribuées aux variables dynamiques. Cela revient à fixer des valeurs cibles en termes de carbone organique, densité apparente etc. Dans ce cas, seules les fonctions qui sont directement impactées par le paramètre dans la méthode de calcul IQSW-pro seront effectivement améliorées dans la simulation.</w:t>
      </w:r>
    </w:p>
    <w:p w14:paraId="4B0E68D9" w14:textId="77777777" w:rsidR="006E08A0" w:rsidRPr="00B363AA" w:rsidRDefault="006E08A0" w:rsidP="006E08A0">
      <w:r w:rsidRPr="00B363AA">
        <w:t xml:space="preserve">L’option 2 est plus pragmatique, car permettant de directement calculer l’indice pour pouvoir mettre en perspective les actions avec le véritable levier d’action sur les fonctions. En effet, si on décide de </w:t>
      </w:r>
      <w:r w:rsidRPr="00B363AA">
        <w:lastRenderedPageBreak/>
        <w:t>doubler la quantité de carbone, mais que toutes les fonctions dans lesquelles le carbone intervient sont déjà bornées à 5/5, l’amélioration ne se traduira pas nécessairement en une meilleure capacité effective à remplir des services (selon l’IQSW). Cette option est toutefois très difficile à gérer, en raison de l’existence de corrélations entre certaines variables : par exemple, la conductivité hydraulique à saturation (</w:t>
      </w:r>
      <w:proofErr w:type="spellStart"/>
      <w:r w:rsidRPr="00B363AA">
        <w:t>Ksat</w:t>
      </w:r>
      <w:proofErr w:type="spellEnd"/>
      <w:r w:rsidRPr="00B363AA">
        <w:t xml:space="preserve">) dépend fortement de la qualité de la structure du sol. Toutefois, pour éviter les colinéarités, la structure du sol n’est pas incluse dans le calcul du service </w:t>
      </w:r>
      <w:r w:rsidRPr="00B363AA">
        <w:rPr>
          <w:i/>
          <w:iCs/>
        </w:rPr>
        <w:t>Infiltration</w:t>
      </w:r>
      <w:r w:rsidRPr="00B363AA">
        <w:t xml:space="preserve">. Les effets positifs d’une amélioration de la structure, bien qu’améliorant en pratique l’infiltration, ne se traduiraient donc pas en pratique par une amélioration du score du service </w:t>
      </w:r>
      <w:r w:rsidRPr="00B363AA">
        <w:rPr>
          <w:i/>
          <w:iCs/>
        </w:rPr>
        <w:t>Infiltration</w:t>
      </w:r>
      <w:r w:rsidRPr="00B363AA">
        <w:t>.</w:t>
      </w:r>
    </w:p>
    <w:p w14:paraId="02D93330" w14:textId="713187C6" w:rsidR="006E08A0" w:rsidRPr="00B363AA" w:rsidRDefault="006E08A0" w:rsidP="006E08A0">
      <w:r w:rsidRPr="00B363AA">
        <w:t>Les scénarios d’excavation-remplacement et de remblaiement constituent un dernier cas concret dans lesquels l’évaluation de l’impact peut être effectué. Cette fois, le capital sol projeté peut s’évaluer sur base de la qualité potentielle des terres importées, estimée à partir de la mesure de quelques paramètres de contexte sur les terres avant remblaiement</w:t>
      </w:r>
      <w:r w:rsidR="00EE44A4" w:rsidRPr="00B363AA">
        <w:t xml:space="preserve">. </w:t>
      </w:r>
      <w:r w:rsidRPr="00B363AA">
        <w:t xml:space="preserve">Le score </w:t>
      </w:r>
      <m:oMath>
        <m:sSub>
          <m:sSubPr>
            <m:ctrlPr>
              <w:rPr>
                <w:rFonts w:ascii="Cambria Math" w:hAnsi="Cambria Math" w:cs="Calibri"/>
                <w:iCs/>
              </w:rPr>
            </m:ctrlPr>
          </m:sSubPr>
          <m:e>
            <m:r>
              <m:rPr>
                <m:sty m:val="p"/>
              </m:rPr>
              <w:rPr>
                <w:rFonts w:ascii="Cambria Math" w:hAnsi="Cambria Math" w:cs="Calibri"/>
              </w:rPr>
              <m:t>IQSW</m:t>
            </m:r>
          </m:e>
          <m:sub>
            <m:r>
              <m:rPr>
                <m:sty m:val="p"/>
              </m:rPr>
              <w:rPr>
                <w:rFonts w:ascii="Cambria Math" w:hAnsi="Cambria Math" w:cs="Calibri"/>
              </w:rPr>
              <m:t>projeté</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m:t>
        </m:r>
      </m:oMath>
      <w:r w:rsidRPr="00B363AA">
        <w:rPr>
          <w:rFonts w:eastAsiaTheme="minorEastAsia"/>
          <w:iCs/>
        </w:rPr>
        <w:t xml:space="preserve"> dans la zone concernée par le remblaiement peut dès lors s’évaluer comme suit (éq. 6).</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rsidRPr="00B363AA" w14:paraId="212DC5D4" w14:textId="77777777" w:rsidTr="005F19A0">
        <w:trPr>
          <w:trHeight w:val="647"/>
        </w:trPr>
        <w:tc>
          <w:tcPr>
            <w:tcW w:w="8642" w:type="dxa"/>
            <w:vAlign w:val="center"/>
          </w:tcPr>
          <w:p w14:paraId="618D708F" w14:textId="77777777" w:rsidR="006E08A0" w:rsidRPr="00B363AA" w:rsidRDefault="00000000" w:rsidP="005F19A0">
            <w:pPr>
              <w:pStyle w:val="Paragraphedeliste"/>
              <w:jc w:val="center"/>
              <w:rPr>
                <w:rFonts w:cs="Calibri"/>
                <w:iCs/>
              </w:rPr>
            </w:pPr>
            <m:oMathPara>
              <m:oMath>
                <m:sSub>
                  <m:sSubPr>
                    <m:ctrlPr>
                      <w:rPr>
                        <w:rFonts w:ascii="Cambria Math" w:hAnsi="Cambria Math" w:cs="Calibri"/>
                      </w:rPr>
                    </m:ctrlPr>
                  </m:sSubPr>
                  <m:e>
                    <m:r>
                      <m:rPr>
                        <m:sty m:val="p"/>
                      </m:rPr>
                      <w:rPr>
                        <w:rFonts w:ascii="Cambria Math" w:hAnsi="Cambria Math" w:cs="Calibri"/>
                      </w:rPr>
                      <m:t>IQSW</m:t>
                    </m:r>
                  </m:e>
                  <m:sub>
                    <m:r>
                      <m:rPr>
                        <m:sty m:val="p"/>
                      </m:rPr>
                      <w:rPr>
                        <w:rFonts w:ascii="Cambria Math" w:hAnsi="Cambria Math" w:cs="Calibri"/>
                      </w:rPr>
                      <m:t>projeté</m:t>
                    </m:r>
                  </m:sub>
                </m:sSub>
                <m:r>
                  <m:rPr>
                    <m:sty m:val="p"/>
                  </m:rPr>
                  <w:rPr>
                    <w:rFonts w:ascii="Cambria Math" w:hAnsi="Cambria Math" w:cs="Calibri"/>
                  </w:rPr>
                  <m:t>(</m:t>
                </m:r>
                <m:sSub>
                  <m:sSubPr>
                    <m:ctrlPr>
                      <w:rPr>
                        <w:rFonts w:ascii="Cambria Math" w:hAnsi="Cambria Math" w:cs="Calibri"/>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IQSW</m:t>
                    </m:r>
                  </m:e>
                  <m:sub>
                    <m:r>
                      <m:rPr>
                        <m:sty m:val="p"/>
                      </m:rPr>
                      <w:rPr>
                        <w:rFonts w:ascii="Cambria Math" w:hAnsi="Cambria Math" w:cs="Calibri"/>
                      </w:rPr>
                      <m:t>potentiel</m:t>
                    </m:r>
                  </m:sub>
                </m:sSub>
                <m:d>
                  <m:dPr>
                    <m:ctrlPr>
                      <w:rPr>
                        <w:rFonts w:ascii="Cambria Math" w:hAnsi="Cambria Math" w:cs="Calibri"/>
                      </w:rPr>
                    </m:ctrlPr>
                  </m:dPr>
                  <m:e>
                    <m:sSub>
                      <m:sSubPr>
                        <m:ctrlPr>
                          <w:rPr>
                            <w:rFonts w:ascii="Cambria Math" w:hAnsi="Cambria Math" w:cs="Calibri"/>
                          </w:rPr>
                        </m:ctrlPr>
                      </m:sSubPr>
                      <m:e>
                        <m:r>
                          <m:rPr>
                            <m:sty m:val="p"/>
                          </m:rPr>
                          <w:rPr>
                            <w:rFonts w:ascii="Cambria Math" w:hAnsi="Cambria Math" w:cs="Calibri"/>
                          </w:rPr>
                          <m:t>z</m:t>
                        </m:r>
                      </m:e>
                      <m:sub>
                        <m:r>
                          <m:rPr>
                            <m:sty m:val="p"/>
                          </m:rPr>
                          <w:rPr>
                            <w:rFonts w:ascii="Cambria Math" w:hAnsi="Cambria Math" w:cs="Calibri"/>
                          </w:rPr>
                          <m:t>p</m:t>
                        </m:r>
                      </m:sub>
                    </m:sSub>
                  </m:e>
                </m:d>
                <m:r>
                  <m:rPr>
                    <m:sty m:val="p"/>
                  </m:rPr>
                  <w:rPr>
                    <w:rFonts w:ascii="Cambria Math" w:hAnsi="Cambria Math" w:cs="Calibri"/>
                  </w:rPr>
                  <m:t>∙</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rPr>
                      <m:t>p</m:t>
                    </m:r>
                  </m:sub>
                </m:sSub>
              </m:oMath>
            </m:oMathPara>
          </w:p>
        </w:tc>
        <w:tc>
          <w:tcPr>
            <w:tcW w:w="418" w:type="dxa"/>
            <w:vAlign w:val="center"/>
          </w:tcPr>
          <w:p w14:paraId="0A23F9AB" w14:textId="77777777" w:rsidR="006E08A0" w:rsidRPr="00B363AA" w:rsidRDefault="006E08A0" w:rsidP="005F19A0">
            <w:pPr>
              <w:jc w:val="center"/>
            </w:pPr>
            <w:r w:rsidRPr="00B363AA">
              <w:t>(6)</w:t>
            </w:r>
          </w:p>
        </w:tc>
      </w:tr>
    </w:tbl>
    <w:p w14:paraId="740B0C09" w14:textId="77777777" w:rsidR="006E08A0" w:rsidRPr="00B363AA" w:rsidRDefault="006E08A0" w:rsidP="006E08A0">
      <w:pPr>
        <w:rPr>
          <w:rFonts w:cs="Calibri"/>
          <w:sz w:val="20"/>
          <w:szCs w:val="20"/>
        </w:rPr>
      </w:pPr>
      <w:r w:rsidRPr="00B363A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B363AA" w14:paraId="64CB81F4" w14:textId="77777777" w:rsidTr="005F19A0">
        <w:trPr>
          <w:trHeight w:val="427"/>
        </w:trPr>
        <w:tc>
          <w:tcPr>
            <w:tcW w:w="2193" w:type="dxa"/>
          </w:tcPr>
          <w:p w14:paraId="66D9B40C" w14:textId="77777777" w:rsidR="006E08A0" w:rsidRPr="00B363AA" w:rsidRDefault="00000000"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projeté</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7" w:type="dxa"/>
          </w:tcPr>
          <w:p w14:paraId="48DD1716" w14:textId="77777777" w:rsidR="006E08A0" w:rsidRPr="00B363AA" w:rsidRDefault="006E08A0" w:rsidP="005F19A0">
            <w:pPr>
              <w:jc w:val="left"/>
              <w:rPr>
                <w:rFonts w:eastAsiaTheme="minorEastAsia" w:cs="Calibri"/>
                <w:iCs/>
                <w:sz w:val="20"/>
                <w:szCs w:val="20"/>
              </w:rPr>
            </w:pPr>
            <w:r w:rsidRPr="00B363AA">
              <w:rPr>
                <w:rFonts w:eastAsiaTheme="minorEastAsia" w:cs="Calibri"/>
                <w:iCs/>
                <w:sz w:val="20"/>
                <w:szCs w:val="20"/>
              </w:rPr>
              <w:t xml:space="preserve">Le score projeté de qualité du sol de la zone </w:t>
            </w:r>
            <w:proofErr w:type="spellStart"/>
            <w:r w:rsidRPr="00B363AA">
              <w:rPr>
                <w:rFonts w:eastAsiaTheme="minorEastAsia" w:cs="Calibri"/>
                <w:iCs/>
                <w:sz w:val="20"/>
                <w:szCs w:val="20"/>
              </w:rPr>
              <w:t>z</w:t>
            </w:r>
            <w:r w:rsidRPr="00B363AA">
              <w:rPr>
                <w:rFonts w:eastAsiaTheme="minorEastAsia" w:cs="Calibri"/>
                <w:iCs/>
                <w:sz w:val="20"/>
                <w:szCs w:val="20"/>
                <w:vertAlign w:val="subscript"/>
              </w:rPr>
              <w:t>p</w:t>
            </w:r>
            <w:proofErr w:type="spellEnd"/>
            <w:r w:rsidRPr="00B363AA">
              <w:rPr>
                <w:rFonts w:eastAsiaTheme="minorEastAsia" w:cs="Calibri"/>
                <w:iCs/>
                <w:sz w:val="20"/>
                <w:szCs w:val="20"/>
                <w:vertAlign w:val="subscript"/>
              </w:rPr>
              <w:t xml:space="preserve"> </w:t>
            </w:r>
            <w:r w:rsidRPr="00B363AA">
              <w:rPr>
                <w:rFonts w:eastAsiaTheme="minorEastAsia" w:cs="Calibri"/>
                <w:iCs/>
                <w:sz w:val="20"/>
                <w:szCs w:val="20"/>
              </w:rPr>
              <w:t>(score [0 ;5]) ;</w:t>
            </w:r>
          </w:p>
        </w:tc>
      </w:tr>
      <w:tr w:rsidR="006E08A0" w:rsidRPr="00B363AA" w14:paraId="27D4DACE" w14:textId="77777777" w:rsidTr="005F19A0">
        <w:trPr>
          <w:trHeight w:val="227"/>
        </w:trPr>
        <w:tc>
          <w:tcPr>
            <w:tcW w:w="2193" w:type="dxa"/>
          </w:tcPr>
          <w:p w14:paraId="6E455B1C" w14:textId="77777777" w:rsidR="006E08A0" w:rsidRPr="00B363AA" w:rsidRDefault="00000000" w:rsidP="005F19A0">
            <w:pPr>
              <w:jc w:val="left"/>
              <w:rPr>
                <w:rFont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IQSW</m:t>
                    </m:r>
                  </m:e>
                  <m:sub>
                    <m:r>
                      <m:rPr>
                        <m:sty m:val="p"/>
                      </m:rPr>
                      <w:rPr>
                        <w:rFonts w:ascii="Cambria Math" w:hAnsi="Cambria Math" w:cs="Calibri"/>
                        <w:sz w:val="20"/>
                        <w:szCs w:val="20"/>
                      </w:rPr>
                      <m:t>potentiel</m:t>
                    </m:r>
                  </m:sub>
                </m:sSub>
                <m:d>
                  <m:dPr>
                    <m:ctrlPr>
                      <w:rPr>
                        <w:rFonts w:ascii="Cambria Math" w:hAnsi="Cambria Math" w:cs="Calibri"/>
                        <w:iCs/>
                        <w:sz w:val="20"/>
                        <w:szCs w:val="20"/>
                      </w:rPr>
                    </m:ctrlPr>
                  </m:dPr>
                  <m:e>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e>
                </m:d>
              </m:oMath>
            </m:oMathPara>
          </w:p>
        </w:tc>
        <w:tc>
          <w:tcPr>
            <w:tcW w:w="6877" w:type="dxa"/>
          </w:tcPr>
          <w:p w14:paraId="75C52978" w14:textId="77777777" w:rsidR="006E08A0" w:rsidRPr="00B363AA" w:rsidRDefault="006E08A0" w:rsidP="005F19A0">
            <w:pPr>
              <w:jc w:val="left"/>
              <w:rPr>
                <w:rFonts w:cs="Calibri"/>
                <w:iCs/>
                <w:sz w:val="20"/>
                <w:szCs w:val="20"/>
              </w:rPr>
            </w:pPr>
            <w:r w:rsidRPr="00B363AA">
              <w:rPr>
                <w:rFonts w:eastAsiaTheme="minorEastAsia" w:cs="Calibri"/>
                <w:iCs/>
                <w:sz w:val="20"/>
                <w:szCs w:val="20"/>
              </w:rPr>
              <w:t xml:space="preserve">Le score de qualité potentielle du sol </w:t>
            </w:r>
            <w:r w:rsidRPr="00B363AA">
              <w:rPr>
                <w:rFonts w:eastAsiaTheme="minorEastAsia" w:cs="Calibri"/>
                <w:iCs/>
                <w:sz w:val="20"/>
                <w:szCs w:val="20"/>
                <w:u w:val="single"/>
              </w:rPr>
              <w:t>voué à remblayer</w:t>
            </w:r>
            <w:r w:rsidRPr="00B363AA">
              <w:rPr>
                <w:rFonts w:eastAsiaTheme="minorEastAsia" w:cs="Calibri"/>
                <w:iCs/>
                <w:sz w:val="20"/>
                <w:szCs w:val="20"/>
              </w:rPr>
              <w:t xml:space="preserve"> la zone </w:t>
            </w:r>
            <w:proofErr w:type="spellStart"/>
            <w:r w:rsidRPr="00B363AA">
              <w:rPr>
                <w:rFonts w:eastAsiaTheme="minorEastAsia" w:cs="Calibri"/>
                <w:iCs/>
                <w:sz w:val="20"/>
                <w:szCs w:val="20"/>
              </w:rPr>
              <w:t>z</w:t>
            </w:r>
            <w:r w:rsidRPr="00B363AA">
              <w:rPr>
                <w:rFonts w:eastAsiaTheme="minorEastAsia" w:cs="Calibri"/>
                <w:iCs/>
                <w:sz w:val="20"/>
                <w:szCs w:val="20"/>
                <w:vertAlign w:val="subscript"/>
              </w:rPr>
              <w:t>p</w:t>
            </w:r>
            <w:proofErr w:type="spellEnd"/>
            <w:r w:rsidRPr="00B363AA">
              <w:rPr>
                <w:rFonts w:eastAsiaTheme="minorEastAsia" w:cs="Calibri"/>
                <w:iCs/>
                <w:sz w:val="20"/>
                <w:szCs w:val="20"/>
                <w:vertAlign w:val="subscript"/>
              </w:rPr>
              <w:t xml:space="preserve"> </w:t>
            </w:r>
            <w:r w:rsidRPr="00B363AA">
              <w:rPr>
                <w:rFonts w:eastAsiaTheme="minorEastAsia" w:cs="Calibri"/>
                <w:iCs/>
                <w:sz w:val="20"/>
                <w:szCs w:val="20"/>
              </w:rPr>
              <w:t>(score [0 ;5]) ;</w:t>
            </w:r>
          </w:p>
        </w:tc>
      </w:tr>
      <w:tr w:rsidR="006E08A0" w:rsidRPr="00B363AA" w14:paraId="2B865941" w14:textId="77777777" w:rsidTr="005F19A0">
        <w:trPr>
          <w:trHeight w:val="472"/>
        </w:trPr>
        <w:tc>
          <w:tcPr>
            <w:tcW w:w="2193" w:type="dxa"/>
          </w:tcPr>
          <w:p w14:paraId="2BDACE34" w14:textId="77777777" w:rsidR="006E08A0" w:rsidRPr="00B363AA" w:rsidRDefault="00000000" w:rsidP="005F19A0">
            <w:pPr>
              <w:jc w:val="left"/>
              <w:rPr>
                <w:rFonts w:eastAsia="Aptos" w:cs="Calibri"/>
                <w:iCs/>
                <w:sz w:val="20"/>
                <w:szCs w:val="20"/>
              </w:rPr>
            </w:pPr>
            <m:oMathPara>
              <m:oMathParaPr>
                <m:jc m:val="left"/>
              </m:oMathParaPr>
              <m:oMath>
                <m:sSub>
                  <m:sSubPr>
                    <m:ctrlPr>
                      <w:rPr>
                        <w:rFonts w:ascii="Cambria Math" w:hAnsi="Cambria Math" w:cs="Calibri"/>
                        <w:sz w:val="20"/>
                        <w:szCs w:val="20"/>
                      </w:rPr>
                    </m:ctrlPr>
                  </m:sSubPr>
                  <m:e>
                    <m:r>
                      <m:rPr>
                        <m:sty m:val="p"/>
                      </m:rPr>
                      <w:rPr>
                        <w:rFonts w:ascii="Cambria Math" w:hAnsi="Cambria Math" w:cs="Calibri"/>
                        <w:sz w:val="20"/>
                        <w:szCs w:val="20"/>
                      </w:rPr>
                      <m:t>O</m:t>
                    </m:r>
                  </m:e>
                  <m:sub>
                    <m:r>
                      <m:rPr>
                        <m:sty m:val="p"/>
                      </m:rPr>
                      <w:rPr>
                        <w:rFonts w:ascii="Cambria Math" w:hAnsi="Cambria Math" w:cs="Calibri"/>
                        <w:sz w:val="20"/>
                        <w:szCs w:val="20"/>
                      </w:rPr>
                      <m:t>p</m:t>
                    </m:r>
                  </m:sub>
                </m:sSub>
              </m:oMath>
            </m:oMathPara>
          </w:p>
        </w:tc>
        <w:tc>
          <w:tcPr>
            <w:tcW w:w="6877" w:type="dxa"/>
          </w:tcPr>
          <w:p w14:paraId="042571AB" w14:textId="77777777" w:rsidR="006E08A0" w:rsidRPr="00B363AA" w:rsidRDefault="006E08A0" w:rsidP="005F19A0">
            <w:pPr>
              <w:jc w:val="left"/>
              <w:rPr>
                <w:rFonts w:eastAsiaTheme="minorEastAsia" w:cs="Calibri"/>
                <w:iCs/>
                <w:sz w:val="20"/>
                <w:szCs w:val="20"/>
              </w:rPr>
            </w:pPr>
            <w:r w:rsidRPr="00B363AA">
              <w:rPr>
                <w:rFonts w:eastAsiaTheme="minorEastAsia" w:cs="Calibri"/>
                <w:sz w:val="20"/>
                <w:szCs w:val="20"/>
              </w:rPr>
              <w:t>L’objectif de projet, soit l’objectif visé en termes de proportion d’atteinte du potentiel [0 ;1] (-).</w:t>
            </w:r>
          </w:p>
        </w:tc>
      </w:tr>
    </w:tbl>
    <w:p w14:paraId="5C1AEBED" w14:textId="77777777" w:rsidR="006E08A0" w:rsidRPr="00B363AA" w:rsidRDefault="006E08A0" w:rsidP="006E08A0"/>
    <w:p w14:paraId="0FD9D0B9" w14:textId="77777777" w:rsidR="006E08A0" w:rsidRPr="00B363AA" w:rsidRDefault="006E08A0">
      <w:pPr>
        <w:pStyle w:val="Titre3"/>
        <w:numPr>
          <w:ilvl w:val="2"/>
          <w:numId w:val="12"/>
        </w:numPr>
      </w:pPr>
      <w:bookmarkStart w:id="192" w:name="_Toc233387911"/>
      <w:bookmarkStart w:id="193" w:name="_Toc241243013"/>
      <w:r w:rsidRPr="00B363AA">
        <w:t>Interprétation</w:t>
      </w:r>
      <w:bookmarkEnd w:id="192"/>
      <w:bookmarkEnd w:id="193"/>
    </w:p>
    <w:p w14:paraId="3228F2B8" w14:textId="77777777" w:rsidR="006E08A0" w:rsidRPr="00B363AA" w:rsidRDefault="006E08A0">
      <w:pPr>
        <w:pStyle w:val="Titre4"/>
        <w:numPr>
          <w:ilvl w:val="3"/>
          <w:numId w:val="12"/>
        </w:numPr>
      </w:pPr>
      <w:bookmarkStart w:id="194" w:name="_Ref233368237"/>
      <w:r w:rsidRPr="00B363AA">
        <w:t>Échelles d’évaluation</w:t>
      </w:r>
      <w:bookmarkEnd w:id="194"/>
    </w:p>
    <w:p w14:paraId="67F44872" w14:textId="7555DDC1" w:rsidR="006E08A0" w:rsidRPr="00B363AA" w:rsidRDefault="006E08A0" w:rsidP="006E08A0">
      <w:r w:rsidRPr="00B363AA">
        <w:t>Le bilan en termes de capital sol peut s’exprimer à diverses échelles. Le niveau le plus agrégé est réalisé à l’échelle du site entier, et sur l’indice global de qualité agrégé (IQSW). Toutefois, il est possible d’évaluer l’impact d’un projet vis-à-vis de chaque service écosystémique repris dans la liste présentée en partie</w:t>
      </w:r>
      <w:r w:rsidR="00D25F9D" w:rsidRPr="00B363AA">
        <w:t xml:space="preserve"> </w:t>
      </w:r>
      <w:r w:rsidR="002C09F5" w:rsidRPr="00B363AA">
        <w:fldChar w:fldCharType="begin"/>
      </w:r>
      <w:r w:rsidR="002C09F5" w:rsidRPr="00B363AA">
        <w:instrText xml:space="preserve"> REF _Ref241229554 \r \h </w:instrText>
      </w:r>
      <w:r w:rsidR="002C09F5" w:rsidRPr="00B363AA">
        <w:fldChar w:fldCharType="separate"/>
      </w:r>
      <w:r w:rsidR="001A7BE1" w:rsidRPr="00B363AA">
        <w:t>4.2</w:t>
      </w:r>
      <w:r w:rsidR="002C09F5" w:rsidRPr="00B363AA">
        <w:fldChar w:fldCharType="end"/>
      </w:r>
      <w:r w:rsidRPr="00B363AA">
        <w:t xml:space="preserve">, à l’échelle de la zone </w:t>
      </w:r>
      <w:proofErr w:type="spellStart"/>
      <w:r w:rsidRPr="00B363AA">
        <w:t>z</w:t>
      </w:r>
      <w:r w:rsidRPr="00B363AA">
        <w:rPr>
          <w:vertAlign w:val="subscript"/>
        </w:rPr>
        <w:t>p</w:t>
      </w:r>
      <w:proofErr w:type="spellEnd"/>
      <w:r w:rsidRPr="00B363AA">
        <w:t>. Ce niveau détaillé permet à l’expert de pouvoir identifier l’impact du projet sur un service écosystémique précis, et éventuellement jauger l’importance des services pour l’usage futur indépendamment de la pondération proposée par l’indice. Le capital sol par service écosystémique, à l’échelle d’une zone, peut s’évaluer via l’équation 7.</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rsidRPr="00B363AA" w14:paraId="75451E7D" w14:textId="77777777" w:rsidTr="005F19A0">
        <w:trPr>
          <w:trHeight w:val="647"/>
        </w:trPr>
        <w:tc>
          <w:tcPr>
            <w:tcW w:w="8642" w:type="dxa"/>
            <w:vAlign w:val="center"/>
          </w:tcPr>
          <w:p w14:paraId="218C21D2" w14:textId="77777777" w:rsidR="006E08A0" w:rsidRPr="00B363AA" w:rsidRDefault="00000000" w:rsidP="005F19A0">
            <w:pPr>
              <w:pStyle w:val="Paragraphedeliste"/>
              <w:jc w:val="center"/>
              <w:rPr>
                <w:rFonts w:cs="Calibri"/>
                <w:iCs/>
              </w:rPr>
            </w:pPr>
            <m:oMathPara>
              <m:oMath>
                <m:sSub>
                  <m:sSubPr>
                    <m:ctrlPr>
                      <w:rPr>
                        <w:rFonts w:ascii="Cambria Math" w:hAnsi="Cambria Math" w:cs="Calibri"/>
                        <w:iCs/>
                      </w:rPr>
                    </m:ctrlPr>
                  </m:sSubPr>
                  <m:e>
                    <m:r>
                      <m:rPr>
                        <m:sty m:val="p"/>
                      </m:rPr>
                      <w:rPr>
                        <w:rFonts w:ascii="Cambria Math" w:hAnsi="Cambria Math" w:cs="Calibri"/>
                      </w:rPr>
                      <m:t>Capital sol</m:t>
                    </m:r>
                  </m:e>
                  <m:sub>
                    <m:r>
                      <m:rPr>
                        <m:sty m:val="p"/>
                      </m:rPr>
                      <w:rPr>
                        <w:rFonts w:ascii="Cambria Math" w:hAnsi="Cambria Math" w:cs="Calibri"/>
                      </w:rPr>
                      <m:t>SE</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)=A(</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 xml:space="preserve">)· </m:t>
                </m:r>
                <m:sSub>
                  <m:sSubPr>
                    <m:ctrlPr>
                      <w:rPr>
                        <w:rFonts w:ascii="Cambria Math" w:hAnsi="Cambria Math" w:cs="Calibri"/>
                        <w:iCs/>
                      </w:rPr>
                    </m:ctrlPr>
                  </m:sSubPr>
                  <m:e>
                    <m:r>
                      <m:rPr>
                        <m:sty m:val="p"/>
                      </m:rPr>
                      <w:rPr>
                        <w:rFonts w:ascii="Cambria Math" w:hAnsi="Cambria Math" w:cs="Calibri"/>
                      </w:rPr>
                      <m:t>S</m:t>
                    </m:r>
                  </m:e>
                  <m:sub>
                    <m:r>
                      <m:rPr>
                        <m:sty m:val="p"/>
                      </m:rPr>
                      <w:rPr>
                        <w:rFonts w:ascii="Cambria Math" w:hAnsi="Cambria Math" w:cs="Calibri"/>
                      </w:rPr>
                      <m:t>SE</m:t>
                    </m:r>
                  </m:sub>
                </m:sSub>
                <m:r>
                  <m:rPr>
                    <m:sty m:val="p"/>
                  </m:rPr>
                  <w:rPr>
                    <w:rFonts w:ascii="Cambria Math" w:hAnsi="Cambria Math" w:cs="Calibri"/>
                  </w:rPr>
                  <m:t>(</m:t>
                </m:r>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r>
                  <m:rPr>
                    <m:sty m:val="p"/>
                  </m:rPr>
                  <w:rPr>
                    <w:rFonts w:ascii="Cambria Math" w:hAnsi="Cambria Math" w:cs="Calibri"/>
                  </w:rPr>
                  <m:t>)</m:t>
                </m:r>
              </m:oMath>
            </m:oMathPara>
          </w:p>
        </w:tc>
        <w:tc>
          <w:tcPr>
            <w:tcW w:w="418" w:type="dxa"/>
            <w:vAlign w:val="center"/>
          </w:tcPr>
          <w:p w14:paraId="17FA380E" w14:textId="77777777" w:rsidR="006E08A0" w:rsidRPr="00B363AA" w:rsidRDefault="006E08A0" w:rsidP="005F19A0">
            <w:pPr>
              <w:jc w:val="center"/>
            </w:pPr>
            <w:r w:rsidRPr="00B363AA">
              <w:t>(7)</w:t>
            </w:r>
          </w:p>
        </w:tc>
      </w:tr>
    </w:tbl>
    <w:p w14:paraId="77AFA475" w14:textId="77777777" w:rsidR="006E08A0" w:rsidRPr="00B363AA" w:rsidRDefault="006E08A0" w:rsidP="006E08A0">
      <w:pPr>
        <w:rPr>
          <w:rFonts w:cs="Calibri"/>
          <w:sz w:val="20"/>
          <w:szCs w:val="20"/>
        </w:rPr>
      </w:pPr>
      <w:r w:rsidRPr="00B363A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B363AA" w14:paraId="5EE23D22" w14:textId="77777777" w:rsidTr="005F19A0">
        <w:trPr>
          <w:trHeight w:val="427"/>
        </w:trPr>
        <w:tc>
          <w:tcPr>
            <w:tcW w:w="2193" w:type="dxa"/>
          </w:tcPr>
          <w:p w14:paraId="284510DF" w14:textId="77777777" w:rsidR="006E08A0" w:rsidRPr="00B363AA" w:rsidRDefault="00000000"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Capital sol</m:t>
                    </m:r>
                  </m:e>
                  <m:sub>
                    <m:r>
                      <m:rPr>
                        <m:sty m:val="p"/>
                      </m:rPr>
                      <w:rPr>
                        <w:rFonts w:ascii="Cambria Math" w:hAnsi="Cambria Math" w:cs="Calibri"/>
                        <w:sz w:val="20"/>
                        <w:szCs w:val="20"/>
                      </w:rPr>
                      <m:t>SE</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7CA4F1EE" w14:textId="77777777" w:rsidR="006E08A0" w:rsidRPr="00B363AA" w:rsidRDefault="006E08A0" w:rsidP="005F19A0">
            <w:pPr>
              <w:jc w:val="left"/>
              <w:rPr>
                <w:rFonts w:eastAsiaTheme="minorEastAsia" w:cs="Calibri"/>
                <w:iCs/>
                <w:sz w:val="20"/>
                <w:szCs w:val="20"/>
              </w:rPr>
            </w:pPr>
            <w:r w:rsidRPr="00B363AA">
              <w:rPr>
                <w:rFonts w:eastAsiaTheme="minorEastAsia" w:cs="Calibri"/>
                <w:iCs/>
                <w:sz w:val="20"/>
                <w:szCs w:val="20"/>
              </w:rPr>
              <w:t xml:space="preserve">Le capital sol pour le service écosystémique SE, à l’échelle de la zone </w:t>
            </w:r>
            <w:proofErr w:type="spellStart"/>
            <w:r w:rsidRPr="00B363AA">
              <w:rPr>
                <w:rFonts w:eastAsiaTheme="minorEastAsia" w:cs="Calibri"/>
                <w:iCs/>
                <w:sz w:val="20"/>
                <w:szCs w:val="20"/>
              </w:rPr>
              <w:t>z</w:t>
            </w:r>
            <w:r w:rsidRPr="00B363AA">
              <w:rPr>
                <w:rFonts w:eastAsiaTheme="minorEastAsia" w:cs="Calibri"/>
                <w:iCs/>
                <w:sz w:val="20"/>
                <w:szCs w:val="20"/>
                <w:vertAlign w:val="subscript"/>
              </w:rPr>
              <w:t>p</w:t>
            </w:r>
            <w:proofErr w:type="spellEnd"/>
            <w:r w:rsidRPr="00B363AA">
              <w:rPr>
                <w:rFonts w:eastAsiaTheme="minorEastAsia" w:cs="Calibri"/>
                <w:iCs/>
                <w:sz w:val="20"/>
                <w:szCs w:val="20"/>
              </w:rPr>
              <w:t xml:space="preserve"> (score · m²) ;</w:t>
            </w:r>
          </w:p>
        </w:tc>
      </w:tr>
      <w:tr w:rsidR="006E08A0" w:rsidRPr="00B363AA" w14:paraId="35F600B9" w14:textId="77777777" w:rsidTr="005F19A0">
        <w:trPr>
          <w:trHeight w:val="227"/>
        </w:trPr>
        <w:tc>
          <w:tcPr>
            <w:tcW w:w="2193" w:type="dxa"/>
          </w:tcPr>
          <w:p w14:paraId="28501CFE" w14:textId="77777777" w:rsidR="006E08A0" w:rsidRPr="00B363AA" w:rsidRDefault="006E08A0" w:rsidP="005F19A0">
            <w:pPr>
              <w:jc w:val="left"/>
              <w:rPr>
                <w:rFonts w:cs="Calibri"/>
                <w:iCs/>
                <w:sz w:val="20"/>
                <w:szCs w:val="20"/>
              </w:rPr>
            </w:pPr>
            <m:oMathPara>
              <m:oMathParaPr>
                <m:jc m:val="left"/>
              </m:oMathParaPr>
              <m:oMath>
                <m:r>
                  <m:rPr>
                    <m:sty m:val="p"/>
                  </m:rPr>
                  <w:rPr>
                    <w:rFonts w:ascii="Cambria Math" w:hAnsi="Cambria Math" w:cs="Calibri"/>
                    <w:sz w:val="20"/>
                    <w:szCs w:val="20"/>
                  </w:rPr>
                  <m:t>A(</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2474F55F" w14:textId="77777777" w:rsidR="006E08A0" w:rsidRPr="00B363AA" w:rsidRDefault="006E08A0" w:rsidP="005F19A0">
            <w:pPr>
              <w:jc w:val="left"/>
              <w:rPr>
                <w:rFonts w:cs="Calibri"/>
                <w:iCs/>
                <w:sz w:val="20"/>
                <w:szCs w:val="20"/>
              </w:rPr>
            </w:pPr>
            <w:r w:rsidRPr="00B363AA">
              <w:rPr>
                <w:rFonts w:eastAsiaTheme="minorEastAsia" w:cs="Calibri"/>
                <w:iCs/>
                <w:sz w:val="20"/>
                <w:szCs w:val="20"/>
              </w:rPr>
              <w:t xml:space="preserve">La superficie de la zone </w:t>
            </w:r>
            <w:proofErr w:type="spellStart"/>
            <w:r w:rsidRPr="00B363AA">
              <w:rPr>
                <w:rFonts w:eastAsiaTheme="minorEastAsia" w:cs="Calibri"/>
                <w:iCs/>
                <w:sz w:val="20"/>
                <w:szCs w:val="20"/>
              </w:rPr>
              <w:t>z</w:t>
            </w:r>
            <w:r w:rsidRPr="00B363AA">
              <w:rPr>
                <w:rFonts w:eastAsiaTheme="minorEastAsia" w:cs="Calibri"/>
                <w:iCs/>
                <w:sz w:val="20"/>
                <w:szCs w:val="20"/>
                <w:vertAlign w:val="subscript"/>
              </w:rPr>
              <w:t>p</w:t>
            </w:r>
            <w:proofErr w:type="spellEnd"/>
            <w:r w:rsidRPr="00B363AA">
              <w:rPr>
                <w:rFonts w:eastAsiaTheme="minorEastAsia" w:cs="Calibri"/>
                <w:iCs/>
                <w:sz w:val="20"/>
                <w:szCs w:val="20"/>
              </w:rPr>
              <w:t xml:space="preserve"> (m²) ;</w:t>
            </w:r>
          </w:p>
        </w:tc>
      </w:tr>
      <w:tr w:rsidR="006E08A0" w:rsidRPr="00B363AA" w14:paraId="39616320" w14:textId="77777777" w:rsidTr="005F19A0">
        <w:trPr>
          <w:trHeight w:val="472"/>
        </w:trPr>
        <w:tc>
          <w:tcPr>
            <w:tcW w:w="2193" w:type="dxa"/>
          </w:tcPr>
          <w:p w14:paraId="3986906D" w14:textId="77777777" w:rsidR="006E08A0" w:rsidRPr="00B363AA" w:rsidRDefault="00000000" w:rsidP="005F19A0">
            <w:pPr>
              <w:jc w:val="left"/>
              <w:rPr>
                <w:rFonts w:eastAsia="Aptos" w:cs="Calibri"/>
                <w:iCs/>
                <w:sz w:val="20"/>
                <w:szCs w:val="20"/>
              </w:rPr>
            </w:pPr>
            <m:oMathPara>
              <m:oMathParaPr>
                <m:jc m:val="left"/>
              </m:oMathParaPr>
              <m:oMath>
                <m:sSub>
                  <m:sSubPr>
                    <m:ctrlPr>
                      <w:rPr>
                        <w:rFonts w:ascii="Cambria Math" w:hAnsi="Cambria Math" w:cs="Calibri"/>
                        <w:iCs/>
                        <w:sz w:val="20"/>
                        <w:szCs w:val="20"/>
                      </w:rPr>
                    </m:ctrlPr>
                  </m:sSubPr>
                  <m:e>
                    <m:r>
                      <m:rPr>
                        <m:sty m:val="p"/>
                      </m:rPr>
                      <w:rPr>
                        <w:rFonts w:ascii="Cambria Math" w:hAnsi="Cambria Math" w:cs="Calibri"/>
                        <w:sz w:val="20"/>
                        <w:szCs w:val="20"/>
                      </w:rPr>
                      <m:t>S</m:t>
                    </m:r>
                  </m:e>
                  <m:sub>
                    <m:r>
                      <m:rPr>
                        <m:sty m:val="p"/>
                      </m:rPr>
                      <w:rPr>
                        <w:rFonts w:ascii="Cambria Math" w:hAnsi="Cambria Math" w:cs="Calibri"/>
                        <w:sz w:val="20"/>
                        <w:szCs w:val="20"/>
                      </w:rPr>
                      <m:t>SE</m:t>
                    </m:r>
                  </m:sub>
                </m:sSub>
                <m:r>
                  <m:rPr>
                    <m:sty m:val="p"/>
                  </m:rPr>
                  <w:rPr>
                    <w:rFonts w:ascii="Cambria Math" w:hAnsi="Cambria Math" w:cs="Calibri"/>
                    <w:sz w:val="20"/>
                    <w:szCs w:val="20"/>
                  </w:rPr>
                  <m:t>(</m:t>
                </m:r>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r>
                  <m:rPr>
                    <m:sty m:val="p"/>
                  </m:rPr>
                  <w:rPr>
                    <w:rFonts w:ascii="Cambria Math" w:hAnsi="Cambria Math" w:cs="Calibri"/>
                    <w:sz w:val="20"/>
                    <w:szCs w:val="20"/>
                  </w:rPr>
                  <m:t>)</m:t>
                </m:r>
              </m:oMath>
            </m:oMathPara>
          </w:p>
        </w:tc>
        <w:tc>
          <w:tcPr>
            <w:tcW w:w="6879" w:type="dxa"/>
          </w:tcPr>
          <w:p w14:paraId="7A5F698E" w14:textId="77777777" w:rsidR="006E08A0" w:rsidRPr="00B363AA" w:rsidRDefault="006E08A0" w:rsidP="005F19A0">
            <w:pPr>
              <w:jc w:val="left"/>
              <w:rPr>
                <w:rFonts w:eastAsiaTheme="minorEastAsia" w:cs="Calibri"/>
                <w:iCs/>
                <w:sz w:val="20"/>
                <w:szCs w:val="20"/>
              </w:rPr>
            </w:pPr>
            <w:r w:rsidRPr="00B363AA">
              <w:rPr>
                <w:rFonts w:eastAsiaTheme="minorEastAsia" w:cs="Calibri"/>
                <w:iCs/>
                <w:sz w:val="20"/>
                <w:szCs w:val="20"/>
              </w:rPr>
              <w:t xml:space="preserve">Le score de service écosystémique pour la zone </w:t>
            </w:r>
            <w:proofErr w:type="spellStart"/>
            <w:r w:rsidRPr="00B363AA">
              <w:rPr>
                <w:rFonts w:eastAsiaTheme="minorEastAsia" w:cs="Calibri"/>
                <w:iCs/>
                <w:sz w:val="20"/>
                <w:szCs w:val="20"/>
              </w:rPr>
              <w:t>z</w:t>
            </w:r>
            <w:r w:rsidRPr="00B363AA">
              <w:rPr>
                <w:rFonts w:eastAsiaTheme="minorEastAsia" w:cs="Calibri"/>
                <w:iCs/>
                <w:sz w:val="20"/>
                <w:szCs w:val="20"/>
                <w:vertAlign w:val="subscript"/>
              </w:rPr>
              <w:t>p</w:t>
            </w:r>
            <w:proofErr w:type="spellEnd"/>
            <w:r w:rsidRPr="00B363AA">
              <w:rPr>
                <w:rFonts w:eastAsiaTheme="minorEastAsia" w:cs="Calibri"/>
                <w:iCs/>
                <w:sz w:val="20"/>
                <w:szCs w:val="20"/>
                <w:vertAlign w:val="subscript"/>
              </w:rPr>
              <w:t xml:space="preserve"> </w:t>
            </w:r>
            <w:r w:rsidRPr="00B363AA">
              <w:rPr>
                <w:rFonts w:eastAsiaTheme="minorEastAsia" w:cs="Calibri"/>
                <w:iCs/>
                <w:sz w:val="20"/>
                <w:szCs w:val="20"/>
              </w:rPr>
              <w:t>(score [0 ;5]).</w:t>
            </w:r>
          </w:p>
        </w:tc>
      </w:tr>
    </w:tbl>
    <w:p w14:paraId="682483E3" w14:textId="77777777" w:rsidR="006E08A0" w:rsidRPr="00B363AA" w:rsidRDefault="006E08A0" w:rsidP="006E08A0"/>
    <w:p w14:paraId="5BE47D52" w14:textId="77777777" w:rsidR="006E08A0" w:rsidRPr="00B363AA" w:rsidRDefault="006E08A0">
      <w:pPr>
        <w:pStyle w:val="Titre4"/>
        <w:numPr>
          <w:ilvl w:val="3"/>
          <w:numId w:val="12"/>
        </w:numPr>
      </w:pPr>
      <w:r w:rsidRPr="00B363AA">
        <w:lastRenderedPageBreak/>
        <w:t>Normalisation en indice projet</w:t>
      </w:r>
    </w:p>
    <w:p w14:paraId="67A8952B" w14:textId="77777777" w:rsidR="006E08A0" w:rsidRPr="00B363AA" w:rsidRDefault="006E08A0" w:rsidP="006E08A0">
      <w:r w:rsidRPr="00B363AA">
        <w:t xml:space="preserve">Le </w:t>
      </w:r>
      <m:oMath>
        <m:r>
          <m:rPr>
            <m:sty m:val="p"/>
          </m:rPr>
          <w:rPr>
            <w:rFonts w:ascii="Cambria Math" w:hAnsi="Cambria Math" w:cs="Calibri"/>
          </w:rPr>
          <m:t>∆Capital sol</m:t>
        </m:r>
      </m:oMath>
      <w:r w:rsidRPr="00B363AA">
        <w:rPr>
          <w:rFonts w:eastAsiaTheme="minorEastAsia"/>
        </w:rPr>
        <w:t xml:space="preserve"> permet d’obtenir une quantification absolue de l’impact d’un projet sur une zone donnée. Toutefois, il peut être intéressant, notamment </w:t>
      </w:r>
      <w:r w:rsidRPr="00B363AA">
        <w:t xml:space="preserve">pour comparer l’impact de divers projets d’envergures différentes, de calculer une quantification relative de l’impact d’un projet. C’est ce que permet de faire l’indice projet </w:t>
      </w:r>
      <m:oMath>
        <m:r>
          <m:rPr>
            <m:sty m:val="p"/>
          </m:rPr>
          <w:rPr>
            <w:rFonts w:ascii="Cambria Math" w:hAnsi="Cambria Math" w:cs="Calibri"/>
          </w:rPr>
          <m:t>IP</m:t>
        </m:r>
      </m:oMath>
      <w:r w:rsidRPr="00B363AA">
        <w:rPr>
          <w:rFonts w:eastAsiaTheme="minorEastAsia"/>
        </w:rPr>
        <w:t xml:space="preserve">, qui offre une objectivation relative des impacts en rapportant le </w:t>
      </w:r>
      <m:oMath>
        <m:r>
          <m:rPr>
            <m:sty m:val="p"/>
          </m:rPr>
          <w:rPr>
            <w:rFonts w:ascii="Cambria Math" w:hAnsi="Cambria Math" w:cs="Calibri"/>
          </w:rPr>
          <m:t xml:space="preserve">∆Capital sol </m:t>
        </m:r>
      </m:oMath>
      <w:r w:rsidRPr="00B363AA">
        <w:rPr>
          <w:rFonts w:eastAsiaTheme="minorEastAsia"/>
        </w:rPr>
        <w:t>de chaque zone à la superficie totale du site (éq. 8)</w:t>
      </w:r>
      <w:r w:rsidRPr="00B363AA">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8609"/>
        <w:gridCol w:w="461"/>
      </w:tblGrid>
      <w:tr w:rsidR="006E08A0" w:rsidRPr="00B363AA" w14:paraId="770479DB" w14:textId="77777777" w:rsidTr="005F19A0">
        <w:trPr>
          <w:trHeight w:val="647"/>
        </w:trPr>
        <w:tc>
          <w:tcPr>
            <w:tcW w:w="8642" w:type="dxa"/>
            <w:vAlign w:val="center"/>
          </w:tcPr>
          <w:p w14:paraId="496F7F6B" w14:textId="77777777" w:rsidR="006E08A0" w:rsidRPr="00B363AA" w:rsidRDefault="006E08A0" w:rsidP="005F19A0">
            <w:pPr>
              <w:pStyle w:val="Paragraphedeliste"/>
              <w:jc w:val="center"/>
              <w:rPr>
                <w:rFonts w:cs="Calibri"/>
                <w:iCs/>
              </w:rPr>
            </w:pPr>
            <m:oMathPara>
              <m:oMath>
                <m:r>
                  <m:rPr>
                    <m:sty m:val="p"/>
                  </m:rPr>
                  <w:rPr>
                    <w:rFonts w:ascii="Cambria Math" w:hAnsi="Cambria Math" w:cs="Calibri"/>
                  </w:rPr>
                  <m:t xml:space="preserve">IP= </m:t>
                </m:r>
                <m:nary>
                  <m:naryPr>
                    <m:chr m:val="∑"/>
                    <m:limLoc m:val="undOvr"/>
                    <m:supHide m:val="1"/>
                    <m:ctrlPr>
                      <w:rPr>
                        <w:rFonts w:ascii="Cambria Math" w:hAnsi="Cambria Math" w:cs="Calibri"/>
                        <w:iCs/>
                      </w:rPr>
                    </m:ctrlPr>
                  </m:naryPr>
                  <m:sub>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sub>
                  <m:sup/>
                  <m:e>
                    <m:r>
                      <m:rPr>
                        <m:sty m:val="p"/>
                      </m:rPr>
                      <w:rPr>
                        <w:rFonts w:ascii="Cambria Math" w:hAnsi="Cambria Math" w:cs="Calibri"/>
                      </w:rPr>
                      <m:t>∆Capital sol</m:t>
                    </m:r>
                    <m:d>
                      <m:dPr>
                        <m:ctrlPr>
                          <w:rPr>
                            <w:rFonts w:ascii="Cambria Math" w:hAnsi="Cambria Math" w:cs="Calibri"/>
                          </w:rPr>
                        </m:ctrlPr>
                      </m:dPr>
                      <m:e>
                        <m:sSub>
                          <m:sSubPr>
                            <m:ctrlPr>
                              <w:rPr>
                                <w:rFonts w:ascii="Cambria Math" w:hAnsi="Cambria Math" w:cs="Calibri"/>
                                <w:iCs/>
                              </w:rPr>
                            </m:ctrlPr>
                          </m:sSubPr>
                          <m:e>
                            <m:r>
                              <m:rPr>
                                <m:sty m:val="p"/>
                              </m:rPr>
                              <w:rPr>
                                <w:rFonts w:ascii="Cambria Math" w:hAnsi="Cambria Math" w:cs="Calibri"/>
                              </w:rPr>
                              <m:t>z</m:t>
                            </m:r>
                          </m:e>
                          <m:sub>
                            <m:r>
                              <m:rPr>
                                <m:sty m:val="p"/>
                              </m:rPr>
                              <w:rPr>
                                <w:rFonts w:ascii="Cambria Math" w:hAnsi="Cambria Math" w:cs="Calibri"/>
                              </w:rPr>
                              <m:t>p</m:t>
                            </m:r>
                          </m:sub>
                        </m:sSub>
                      </m:e>
                    </m:d>
                    <m:r>
                      <w:rPr>
                        <w:rFonts w:ascii="Cambria Math" w:hAnsi="Cambria Math" w:cs="Calibri"/>
                      </w:rPr>
                      <m:t xml:space="preserve"> ∙ </m:t>
                    </m:r>
                    <m:f>
                      <m:fPr>
                        <m:ctrlPr>
                          <w:rPr>
                            <w:rFonts w:ascii="Cambria Math" w:hAnsi="Cambria Math" w:cs="Calibri"/>
                            <w:i/>
                          </w:rPr>
                        </m:ctrlPr>
                      </m:fPr>
                      <m:num>
                        <m:r>
                          <w:rPr>
                            <w:rFonts w:ascii="Cambria Math" w:hAnsi="Cambria Math" w:cs="Calibri"/>
                          </w:rPr>
                          <m:t>1</m:t>
                        </m:r>
                      </m:num>
                      <m:den>
                        <m:r>
                          <m:rPr>
                            <m:sty m:val="p"/>
                          </m:rPr>
                          <w:rPr>
                            <w:rFonts w:ascii="Cambria Math" w:hAnsi="Cambria Math" w:cs="Calibri"/>
                          </w:rPr>
                          <m:t>A(site)</m:t>
                        </m:r>
                      </m:den>
                    </m:f>
                  </m:e>
                </m:nary>
              </m:oMath>
            </m:oMathPara>
          </w:p>
        </w:tc>
        <w:tc>
          <w:tcPr>
            <w:tcW w:w="418" w:type="dxa"/>
            <w:vAlign w:val="center"/>
          </w:tcPr>
          <w:p w14:paraId="5577FBD2" w14:textId="77777777" w:rsidR="006E08A0" w:rsidRPr="00B363AA" w:rsidRDefault="006E08A0" w:rsidP="005F19A0">
            <w:pPr>
              <w:jc w:val="center"/>
            </w:pPr>
            <w:r w:rsidRPr="00B363AA">
              <w:t>(8)</w:t>
            </w:r>
          </w:p>
        </w:tc>
      </w:tr>
    </w:tbl>
    <w:p w14:paraId="01C3CD35" w14:textId="77777777" w:rsidR="006E08A0" w:rsidRPr="00B363AA" w:rsidRDefault="006E08A0" w:rsidP="006E08A0">
      <w:pPr>
        <w:rPr>
          <w:rFonts w:cs="Calibri"/>
          <w:sz w:val="20"/>
          <w:szCs w:val="20"/>
        </w:rPr>
      </w:pPr>
      <w:r w:rsidRPr="00B363AA">
        <w:rPr>
          <w:rFonts w:cs="Calibri"/>
          <w:sz w:val="20"/>
          <w:szCs w:val="20"/>
        </w:rPr>
        <w:t>Avec</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2193"/>
        <w:gridCol w:w="6877"/>
      </w:tblGrid>
      <w:tr w:rsidR="006E08A0" w:rsidRPr="00B363AA" w14:paraId="52EAE7BD" w14:textId="77777777" w:rsidTr="005F19A0">
        <w:trPr>
          <w:trHeight w:val="427"/>
        </w:trPr>
        <w:tc>
          <w:tcPr>
            <w:tcW w:w="2193" w:type="dxa"/>
          </w:tcPr>
          <w:p w14:paraId="4FA42D77" w14:textId="77777777" w:rsidR="006E08A0" w:rsidRPr="00B363AA" w:rsidRDefault="006E08A0" w:rsidP="005F19A0">
            <w:pPr>
              <w:jc w:val="left"/>
              <w:rPr>
                <w:rFonts w:eastAsia="Aptos" w:cs="Calibri"/>
                <w:iCs/>
                <w:sz w:val="20"/>
                <w:szCs w:val="20"/>
              </w:rPr>
            </w:pPr>
            <m:oMathPara>
              <m:oMathParaPr>
                <m:jc m:val="left"/>
              </m:oMathParaPr>
              <m:oMath>
                <m:r>
                  <m:rPr>
                    <m:sty m:val="p"/>
                  </m:rPr>
                  <w:rPr>
                    <w:rFonts w:ascii="Cambria Math" w:hAnsi="Cambria Math" w:cs="Calibri"/>
                    <w:sz w:val="20"/>
                    <w:szCs w:val="20"/>
                  </w:rPr>
                  <m:t>IP</m:t>
                </m:r>
              </m:oMath>
            </m:oMathPara>
          </w:p>
        </w:tc>
        <w:tc>
          <w:tcPr>
            <w:tcW w:w="6877" w:type="dxa"/>
          </w:tcPr>
          <w:p w14:paraId="68710572" w14:textId="77777777" w:rsidR="006E08A0" w:rsidRPr="00B363AA" w:rsidRDefault="006E08A0" w:rsidP="005F19A0">
            <w:pPr>
              <w:jc w:val="left"/>
              <w:rPr>
                <w:rFonts w:eastAsiaTheme="minorEastAsia" w:cs="Calibri"/>
                <w:iCs/>
                <w:sz w:val="20"/>
                <w:szCs w:val="20"/>
              </w:rPr>
            </w:pPr>
            <w:r w:rsidRPr="00B363AA">
              <w:rPr>
                <w:rFonts w:eastAsiaTheme="minorEastAsia" w:cs="Calibri"/>
                <w:iCs/>
                <w:sz w:val="20"/>
                <w:szCs w:val="20"/>
              </w:rPr>
              <w:t>L’indice projet, caractérisant le bilan relatif du projet (score) ;</w:t>
            </w:r>
          </w:p>
        </w:tc>
      </w:tr>
      <w:tr w:rsidR="006E08A0" w:rsidRPr="00B363AA" w14:paraId="26A1DFBB" w14:textId="77777777" w:rsidTr="005F19A0">
        <w:trPr>
          <w:trHeight w:val="227"/>
        </w:trPr>
        <w:tc>
          <w:tcPr>
            <w:tcW w:w="2193" w:type="dxa"/>
          </w:tcPr>
          <w:p w14:paraId="18C92B22" w14:textId="77777777" w:rsidR="006E08A0" w:rsidRPr="00B363AA" w:rsidRDefault="006E08A0" w:rsidP="005F19A0">
            <w:pPr>
              <w:jc w:val="left"/>
              <w:rPr>
                <w:rFonts w:cs="Calibri"/>
                <w:iCs/>
                <w:sz w:val="20"/>
                <w:szCs w:val="20"/>
              </w:rPr>
            </w:pPr>
            <m:oMathPara>
              <m:oMathParaPr>
                <m:jc m:val="left"/>
              </m:oMathParaPr>
              <m:oMath>
                <m:r>
                  <m:rPr>
                    <m:sty m:val="p"/>
                  </m:rPr>
                  <w:rPr>
                    <w:rFonts w:ascii="Cambria Math" w:hAnsi="Cambria Math" w:cs="Calibri"/>
                    <w:sz w:val="20"/>
                    <w:szCs w:val="20"/>
                  </w:rPr>
                  <m:t>∆Capital sol</m:t>
                </m:r>
                <m:d>
                  <m:dPr>
                    <m:ctrlPr>
                      <w:rPr>
                        <w:rFonts w:ascii="Cambria Math" w:hAnsi="Cambria Math" w:cs="Calibri"/>
                        <w:sz w:val="20"/>
                        <w:szCs w:val="20"/>
                      </w:rPr>
                    </m:ctrlPr>
                  </m:dPr>
                  <m:e>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e>
                </m:d>
              </m:oMath>
            </m:oMathPara>
          </w:p>
        </w:tc>
        <w:tc>
          <w:tcPr>
            <w:tcW w:w="6877" w:type="dxa"/>
          </w:tcPr>
          <w:p w14:paraId="78887949" w14:textId="77777777" w:rsidR="006E08A0" w:rsidRPr="00B363AA" w:rsidRDefault="006E08A0" w:rsidP="005F19A0">
            <w:pPr>
              <w:jc w:val="left"/>
              <w:rPr>
                <w:rFonts w:cs="Calibri"/>
                <w:iCs/>
                <w:sz w:val="20"/>
                <w:szCs w:val="20"/>
              </w:rPr>
            </w:pPr>
            <w:r w:rsidRPr="00B363AA">
              <w:rPr>
                <w:rFonts w:eastAsiaTheme="minorEastAsia" w:cs="Calibri"/>
                <w:iCs/>
                <w:sz w:val="20"/>
                <w:szCs w:val="20"/>
              </w:rPr>
              <w:t xml:space="preserve">Différence entre le capital sol projeté et le capital sol actuel, dans la zone </w:t>
            </w:r>
            <m:oMath>
              <m:sSub>
                <m:sSubPr>
                  <m:ctrlPr>
                    <w:rPr>
                      <w:rFonts w:ascii="Cambria Math" w:hAnsi="Cambria Math" w:cs="Calibri"/>
                      <w:iCs/>
                      <w:sz w:val="20"/>
                      <w:szCs w:val="20"/>
                    </w:rPr>
                  </m:ctrlPr>
                </m:sSubPr>
                <m:e>
                  <m:r>
                    <m:rPr>
                      <m:sty m:val="p"/>
                    </m:rPr>
                    <w:rPr>
                      <w:rFonts w:ascii="Cambria Math" w:hAnsi="Cambria Math" w:cs="Calibri"/>
                      <w:sz w:val="20"/>
                      <w:szCs w:val="20"/>
                    </w:rPr>
                    <m:t>z</m:t>
                  </m:r>
                </m:e>
                <m:sub>
                  <m:r>
                    <m:rPr>
                      <m:sty m:val="p"/>
                    </m:rPr>
                    <w:rPr>
                      <w:rFonts w:ascii="Cambria Math" w:hAnsi="Cambria Math" w:cs="Calibri"/>
                      <w:sz w:val="20"/>
                      <w:szCs w:val="20"/>
                    </w:rPr>
                    <m:t>p</m:t>
                  </m:r>
                </m:sub>
              </m:sSub>
            </m:oMath>
            <w:r w:rsidRPr="00B363AA">
              <w:rPr>
                <w:rFonts w:eastAsiaTheme="minorEastAsia" w:cs="Calibri"/>
                <w:iCs/>
                <w:sz w:val="20"/>
                <w:szCs w:val="20"/>
              </w:rPr>
              <w:t xml:space="preserve"> concernée par l’aménagement p au sein de la zone homogène z ;</w:t>
            </w:r>
          </w:p>
        </w:tc>
      </w:tr>
      <w:tr w:rsidR="006E08A0" w:rsidRPr="00B363AA" w14:paraId="7CB799E1" w14:textId="77777777" w:rsidTr="005F19A0">
        <w:trPr>
          <w:trHeight w:val="227"/>
        </w:trPr>
        <w:tc>
          <w:tcPr>
            <w:tcW w:w="2193" w:type="dxa"/>
          </w:tcPr>
          <w:p w14:paraId="2B10C64D" w14:textId="77777777" w:rsidR="006E08A0" w:rsidRPr="00B363AA" w:rsidRDefault="006E08A0" w:rsidP="005F19A0">
            <w:pPr>
              <w:jc w:val="left"/>
              <w:rPr>
                <w:rFonts w:eastAsia="Aptos" w:cs="Calibri"/>
                <w:iCs/>
                <w:sz w:val="20"/>
                <w:szCs w:val="20"/>
              </w:rPr>
            </w:pPr>
            <m:oMathPara>
              <m:oMathParaPr>
                <m:jc m:val="left"/>
              </m:oMathParaPr>
              <m:oMath>
                <m:r>
                  <m:rPr>
                    <m:sty m:val="p"/>
                  </m:rPr>
                  <w:rPr>
                    <w:rFonts w:ascii="Cambria Math" w:hAnsi="Cambria Math" w:cs="Calibri"/>
                    <w:sz w:val="20"/>
                    <w:szCs w:val="20"/>
                  </w:rPr>
                  <m:t>A(site)</m:t>
                </m:r>
              </m:oMath>
            </m:oMathPara>
          </w:p>
        </w:tc>
        <w:tc>
          <w:tcPr>
            <w:tcW w:w="6877" w:type="dxa"/>
          </w:tcPr>
          <w:p w14:paraId="3D9448BF" w14:textId="77777777" w:rsidR="006E08A0" w:rsidRPr="00B363AA" w:rsidRDefault="006E08A0" w:rsidP="005F19A0">
            <w:pPr>
              <w:jc w:val="left"/>
              <w:rPr>
                <w:rFonts w:eastAsiaTheme="minorEastAsia" w:cs="Calibri"/>
                <w:iCs/>
                <w:sz w:val="20"/>
                <w:szCs w:val="20"/>
              </w:rPr>
            </w:pPr>
            <w:r w:rsidRPr="00B363AA">
              <w:rPr>
                <w:rFonts w:eastAsiaTheme="minorEastAsia" w:cs="Calibri"/>
                <w:iCs/>
                <w:sz w:val="20"/>
                <w:szCs w:val="20"/>
              </w:rPr>
              <w:t>L’aire totale du site (m²).</w:t>
            </w:r>
          </w:p>
        </w:tc>
      </w:tr>
    </w:tbl>
    <w:p w14:paraId="2A974C6B" w14:textId="77777777" w:rsidR="006E08A0" w:rsidRPr="00B363AA" w:rsidRDefault="006E08A0" w:rsidP="006E08A0"/>
    <w:p w14:paraId="095B6C22" w14:textId="4A7D8234" w:rsidR="006E08A0" w:rsidRPr="00B363AA" w:rsidRDefault="001331D5">
      <w:pPr>
        <w:pStyle w:val="Titre2"/>
        <w:numPr>
          <w:ilvl w:val="1"/>
          <w:numId w:val="12"/>
        </w:numPr>
      </w:pPr>
      <w:bookmarkStart w:id="195" w:name="_Toc233387912"/>
      <w:bookmarkStart w:id="196" w:name="_Toc241243014"/>
      <w:r w:rsidRPr="00B363AA">
        <w:t>Évaluation d’impact dans le cas des</w:t>
      </w:r>
      <w:r w:rsidR="006E08A0" w:rsidRPr="00B363AA">
        <w:t xml:space="preserve"> </w:t>
      </w:r>
      <w:r w:rsidRPr="00B363AA">
        <w:t xml:space="preserve">études </w:t>
      </w:r>
      <w:r w:rsidR="006E08A0" w:rsidRPr="00B363AA">
        <w:t>sur plans et programmes</w:t>
      </w:r>
      <w:bookmarkEnd w:id="195"/>
      <w:bookmarkEnd w:id="196"/>
    </w:p>
    <w:p w14:paraId="134FFDDD" w14:textId="77777777" w:rsidR="006E08A0" w:rsidRPr="00B363AA" w:rsidRDefault="006E08A0" w:rsidP="006E08A0">
      <w:r w:rsidRPr="00B363AA">
        <w:t>Dans le cas des études sur plans et programmes, l’impact des changements d’usage s’avère beaucoup plus complexe à objectiver. En effet, l’absence de projet rend impossible le calcul d’un capital précis à l’échelle du site.</w:t>
      </w:r>
    </w:p>
    <w:p w14:paraId="7ECAD2E2" w14:textId="77777777" w:rsidR="006E08A0" w:rsidRPr="00B363AA" w:rsidRDefault="006E08A0" w:rsidP="006E08A0">
      <w:r w:rsidRPr="00B363AA">
        <w:t xml:space="preserve">On peut donc considérer que l’ensemble de la zone impactée par le futur changement d’usage est une zone de perte nette d’au moins un service écosystémique donné. C’est principalement le cas lorsque des zones naturelles ou agricoles (type I et II) sont converties en zones de type III, IV ou V. </w:t>
      </w:r>
    </w:p>
    <w:p w14:paraId="460932DE" w14:textId="77777777" w:rsidR="006E08A0" w:rsidRPr="00B363AA" w:rsidRDefault="006E08A0" w:rsidP="006E08A0">
      <w:r w:rsidRPr="00B363AA">
        <w:t xml:space="preserve">En effet, la perte des usages naturels ou agricoles implique des enjeux qui ne sont pas uniquement quantifiables en termes d’indices de sol (superficie). Par exemple, les usages agricoles dépendent de services de production qui, ne pourront pas aussi facilement être remplis que par exemple un service d’infiltration (exploitabilité). Si un espace vert est transformé en zoning industriel, les bandes enherbées entre des bâtiments peuvent malgré tout (si gérées correctement) continuer à infiltrer les eaux de pluie. </w:t>
      </w:r>
      <w:proofErr w:type="gramStart"/>
      <w:r w:rsidRPr="00B363AA">
        <w:t>Par contre</w:t>
      </w:r>
      <w:proofErr w:type="gramEnd"/>
      <w:r w:rsidRPr="00B363AA">
        <w:t>, la conversion d’un champ en zoning implique une exclusion totale de l’activité agricole sur la zone morcelée.</w:t>
      </w:r>
    </w:p>
    <w:p w14:paraId="6AC11AB2" w14:textId="7C005420" w:rsidR="006E08A0" w:rsidRPr="00B363AA" w:rsidRDefault="006E08A0" w:rsidP="006E08A0">
      <w:r w:rsidRPr="00B363AA">
        <w:t>Il n’est pas non plus réellement possible d’objectiver l’impact d’un changement d’usage au sein du type II (agricole), étant donné que l’interprétation des paramètres ne repose pas sur les mêmes seuils selon le type de production. En effet, le score attribué à un même sol pour le service écosystémique « Production - forêt » sera par définition toujours supérieur à un score de service « Production - cultures », étant donné que le premier implique des bornes « permissives » tandis que le second implique un niveau d’exigence plus élevé. De plus, il n’est pas réellement possible de définir une hiérarchisation entre les usages naturel et agricole ; les deux présentent des bénéfices divergents mais tout aussi importants à nos sociétés (produire des aliments, ou préserver la biodiversité). La meilleure solution dans ce cas est donc de procéder à une évaluation au niveau du service écosystémique, et de s’appuyer sur le diagnostic de la santé du sol, avant et après le changement d’usage.</w:t>
      </w:r>
    </w:p>
    <w:p w14:paraId="0D2A21B8" w14:textId="77777777" w:rsidR="006E08A0" w:rsidRPr="00B363AA" w:rsidRDefault="006E08A0">
      <w:pPr>
        <w:pStyle w:val="Titre1"/>
        <w:numPr>
          <w:ilvl w:val="0"/>
          <w:numId w:val="12"/>
        </w:numPr>
      </w:pPr>
      <w:bookmarkStart w:id="197" w:name="_Toc233387913"/>
      <w:bookmarkStart w:id="198" w:name="_Toc241243015"/>
      <w:r w:rsidRPr="00B363AA">
        <w:lastRenderedPageBreak/>
        <w:t>Recommandations</w:t>
      </w:r>
      <w:bookmarkEnd w:id="197"/>
      <w:bookmarkEnd w:id="198"/>
    </w:p>
    <w:p w14:paraId="241A80F1" w14:textId="5BB8BBE2" w:rsidR="009E7850" w:rsidRPr="00B363AA" w:rsidRDefault="009E7850">
      <w:pPr>
        <w:pStyle w:val="Titre2"/>
        <w:numPr>
          <w:ilvl w:val="1"/>
          <w:numId w:val="12"/>
        </w:numPr>
      </w:pPr>
      <w:bookmarkStart w:id="199" w:name="_Toc241243016"/>
      <w:r w:rsidRPr="00B363AA">
        <w:t>Bonnes pratiques de gestion</w:t>
      </w:r>
      <w:bookmarkEnd w:id="199"/>
    </w:p>
    <w:p w14:paraId="00C66707" w14:textId="77777777" w:rsidR="006E08A0" w:rsidRPr="00B363AA" w:rsidRDefault="006E08A0" w:rsidP="006E08A0">
      <w:r w:rsidRPr="00B363AA">
        <w:t>Pour améliorer la qualité d’un sol, que ce soit dans un contexte d’amélioration en tant que telle de la qualité du sol, ou en vue de compenser des pertes de services écosystémiques liées à un projet d’imperméabilisation/artificialisation, une série de pratiques de gestion vertueuses peuvent être mises en place pour impacter positivement la capacité du sol à fournir des services écosystémiques.</w:t>
      </w:r>
    </w:p>
    <w:p w14:paraId="566B2DA4" w14:textId="710CEB36" w:rsidR="006E08A0" w:rsidRPr="00B363AA" w:rsidRDefault="006E08A0" w:rsidP="006E08A0">
      <w:r w:rsidRPr="00B363AA">
        <w:t xml:space="preserve">Le </w:t>
      </w:r>
      <w:r w:rsidR="003D7F8A" w:rsidRPr="00B363AA">
        <w:fldChar w:fldCharType="begin"/>
      </w:r>
      <w:r w:rsidR="003D7F8A" w:rsidRPr="00B363AA">
        <w:instrText xml:space="preserve"> REF _Ref241227322 \h  \* MERGEFORMAT </w:instrText>
      </w:r>
      <w:r w:rsidR="003D7F8A" w:rsidRPr="00B363AA">
        <w:fldChar w:fldCharType="separate"/>
      </w:r>
      <w:r w:rsidR="003D7F8A" w:rsidRPr="00B363AA">
        <w:t>Tableau 6</w:t>
      </w:r>
      <w:r w:rsidR="003D7F8A" w:rsidRPr="00B363AA">
        <w:fldChar w:fldCharType="end"/>
      </w:r>
      <w:r w:rsidR="003D7F8A" w:rsidRPr="00B363AA">
        <w:t xml:space="preserve"> </w:t>
      </w:r>
      <w:r w:rsidRPr="00B363AA">
        <w:t xml:space="preserve">précise, en fonction des résultats du diagnostic IQSW-pro, les pratiques de gestion qui peuvent permettre d’améliorer les fonctions du sol. Ces pratiques auront un impact particulièrement significatif dans le cas où le sol est en mauvaise santé (et présente donc un haut potentiel d’amélioration). </w:t>
      </w:r>
      <w:proofErr w:type="gramStart"/>
      <w:r w:rsidRPr="00B363AA">
        <w:t>Par contre</w:t>
      </w:r>
      <w:proofErr w:type="gramEnd"/>
      <w:r w:rsidRPr="00B363AA">
        <w:t>, si un sol est diagnostiqué comme étant de mauvaise qualité vis-à-vis d’un (ou plusieurs) service écosystémique mais en bonne santé (faible potentiel d’amélioration), cette mauvaise qualité est liée aux caractéristiques intrinsèques du sol telles que sa texture, sa profondeur ou sa charge volumique en éléments grossiers et sera dès lors difficilement améliorable.</w:t>
      </w:r>
    </w:p>
    <w:p w14:paraId="68C2CBF6" w14:textId="77777777" w:rsidR="006E08A0" w:rsidRPr="00B363AA" w:rsidRDefault="006E08A0" w:rsidP="006E08A0"/>
    <w:p w14:paraId="14178A71" w14:textId="77777777" w:rsidR="006E08A0" w:rsidRPr="00B363AA" w:rsidRDefault="006E08A0" w:rsidP="006E08A0">
      <w:pPr>
        <w:sectPr w:rsidR="006E08A0" w:rsidRPr="00B363AA" w:rsidSect="006E08A0">
          <w:pgSz w:w="11906" w:h="16838"/>
          <w:pgMar w:top="1418" w:right="1418" w:bottom="1418" w:left="1418" w:header="709" w:footer="709" w:gutter="0"/>
          <w:pgNumType w:chapStyle="1"/>
          <w:cols w:space="708"/>
          <w:titlePg/>
          <w:docGrid w:linePitch="360"/>
        </w:sectPr>
      </w:pPr>
    </w:p>
    <w:p w14:paraId="6626BE01" w14:textId="77777777" w:rsidR="006E08A0" w:rsidRPr="00B363AA" w:rsidRDefault="006E08A0" w:rsidP="006E08A0"/>
    <w:p w14:paraId="77542BF7" w14:textId="33A7A6C5" w:rsidR="006E08A0" w:rsidRPr="00B363AA" w:rsidRDefault="006E08A0" w:rsidP="006E08A0">
      <w:pPr>
        <w:pStyle w:val="Lgende"/>
        <w:keepNext/>
        <w:jc w:val="center"/>
        <w:rPr>
          <w:i w:val="0"/>
          <w:iCs w:val="0"/>
        </w:rPr>
      </w:pPr>
      <w:bookmarkStart w:id="200" w:name="_Ref241227322"/>
      <w:r w:rsidRPr="00B363AA">
        <w:rPr>
          <w:i w:val="0"/>
          <w:iCs w:val="0"/>
        </w:rPr>
        <w:t xml:space="preserve">Tableau </w:t>
      </w:r>
      <w:r w:rsidRPr="00B363AA">
        <w:rPr>
          <w:i w:val="0"/>
          <w:iCs w:val="0"/>
        </w:rPr>
        <w:fldChar w:fldCharType="begin"/>
      </w:r>
      <w:r w:rsidRPr="00B363AA">
        <w:rPr>
          <w:i w:val="0"/>
          <w:iCs w:val="0"/>
        </w:rPr>
        <w:instrText xml:space="preserve"> SEQ Tableau \* ARABIC </w:instrText>
      </w:r>
      <w:r w:rsidRPr="00B363AA">
        <w:rPr>
          <w:i w:val="0"/>
          <w:iCs w:val="0"/>
        </w:rPr>
        <w:fldChar w:fldCharType="separate"/>
      </w:r>
      <w:r w:rsidR="003D7F8A" w:rsidRPr="00B363AA">
        <w:rPr>
          <w:i w:val="0"/>
          <w:iCs w:val="0"/>
        </w:rPr>
        <w:t>6</w:t>
      </w:r>
      <w:r w:rsidRPr="00B363AA">
        <w:rPr>
          <w:i w:val="0"/>
          <w:iCs w:val="0"/>
        </w:rPr>
        <w:fldChar w:fldCharType="end"/>
      </w:r>
      <w:bookmarkEnd w:id="200"/>
      <w:r w:rsidRPr="00B363AA">
        <w:rPr>
          <w:i w:val="0"/>
          <w:iCs w:val="0"/>
        </w:rPr>
        <w:t xml:space="preserve"> : </w:t>
      </w:r>
      <w:r w:rsidR="003D7F8A" w:rsidRPr="00B363AA">
        <w:rPr>
          <w:i w:val="0"/>
          <w:iCs w:val="0"/>
        </w:rPr>
        <w:t>M</w:t>
      </w:r>
      <w:r w:rsidRPr="00B363AA">
        <w:rPr>
          <w:i w:val="0"/>
          <w:iCs w:val="0"/>
        </w:rPr>
        <w:t>esures de gestion adaptées en fonction des problèmes identifiés dans le diagnostic</w:t>
      </w:r>
    </w:p>
    <w:tbl>
      <w:tblPr>
        <w:tblStyle w:val="Grilledutableau"/>
        <w:tblW w:w="0" w:type="auto"/>
        <w:tblInd w:w="137" w:type="dxa"/>
        <w:tblLook w:val="04A0" w:firstRow="1" w:lastRow="0" w:firstColumn="1" w:lastColumn="0" w:noHBand="0" w:noVBand="1"/>
      </w:tblPr>
      <w:tblGrid>
        <w:gridCol w:w="1573"/>
        <w:gridCol w:w="1245"/>
        <w:gridCol w:w="8217"/>
        <w:gridCol w:w="2697"/>
      </w:tblGrid>
      <w:tr w:rsidR="006E08A0" w:rsidRPr="00B363AA" w14:paraId="743EA649" w14:textId="77777777" w:rsidTr="00724334">
        <w:trPr>
          <w:trHeight w:val="300"/>
        </w:trPr>
        <w:tc>
          <w:tcPr>
            <w:tcW w:w="13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noWrap/>
            <w:vAlign w:val="center"/>
          </w:tcPr>
          <w:p w14:paraId="73278961" w14:textId="77777777" w:rsidR="006E08A0" w:rsidRPr="00B363AA" w:rsidRDefault="006E08A0" w:rsidP="00724334">
            <w:pPr>
              <w:jc w:val="center"/>
              <w:rPr>
                <w:b/>
                <w:bCs/>
              </w:rPr>
            </w:pPr>
            <w:r w:rsidRPr="00B363AA">
              <w:rPr>
                <w:b/>
                <w:bCs/>
              </w:rPr>
              <w:t>Service écosystémique</w:t>
            </w:r>
          </w:p>
        </w:tc>
        <w:tc>
          <w:tcPr>
            <w:tcW w:w="11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noWrap/>
            <w:vAlign w:val="center"/>
          </w:tcPr>
          <w:p w14:paraId="4ECE48BF" w14:textId="77777777" w:rsidR="006E08A0" w:rsidRPr="00B363AA" w:rsidRDefault="006E08A0" w:rsidP="00724334">
            <w:pPr>
              <w:jc w:val="center"/>
              <w:rPr>
                <w:b/>
                <w:bCs/>
              </w:rPr>
            </w:pPr>
            <w:r w:rsidRPr="00B363AA">
              <w:rPr>
                <w:b/>
                <w:bCs/>
              </w:rPr>
              <w:t>Fonction</w:t>
            </w:r>
          </w:p>
        </w:tc>
        <w:tc>
          <w:tcPr>
            <w:tcW w:w="82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noWrap/>
            <w:vAlign w:val="center"/>
          </w:tcPr>
          <w:p w14:paraId="5AC9A0A0" w14:textId="77777777" w:rsidR="006E08A0" w:rsidRPr="00B363AA" w:rsidRDefault="006E08A0" w:rsidP="00724334">
            <w:pPr>
              <w:jc w:val="center"/>
              <w:rPr>
                <w:b/>
                <w:bCs/>
              </w:rPr>
            </w:pPr>
            <w:r w:rsidRPr="00B363AA">
              <w:rPr>
                <w:b/>
                <w:bCs/>
              </w:rPr>
              <w:t>Conseils de gestion</w:t>
            </w:r>
          </w:p>
        </w:tc>
        <w:tc>
          <w:tcPr>
            <w:tcW w:w="26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042400C8" w14:textId="77777777" w:rsidR="006E08A0" w:rsidRPr="00B363AA" w:rsidRDefault="006E08A0" w:rsidP="00724334">
            <w:pPr>
              <w:jc w:val="center"/>
              <w:rPr>
                <w:b/>
                <w:bCs/>
              </w:rPr>
            </w:pPr>
            <w:r w:rsidRPr="00B363AA">
              <w:rPr>
                <w:b/>
                <w:bCs/>
              </w:rPr>
              <w:t>Outils connexes</w:t>
            </w:r>
          </w:p>
        </w:tc>
      </w:tr>
      <w:tr w:rsidR="006E08A0" w:rsidRPr="00B363AA" w14:paraId="7435B1B9" w14:textId="77777777" w:rsidTr="005F19A0">
        <w:trPr>
          <w:trHeight w:val="300"/>
        </w:trPr>
        <w:tc>
          <w:tcPr>
            <w:tcW w:w="1369" w:type="dxa"/>
            <w:vMerge w:val="restart"/>
            <w:tcBorders>
              <w:top w:val="single" w:sz="4" w:space="0" w:color="FFFFFF" w:themeColor="background1"/>
            </w:tcBorders>
            <w:noWrap/>
            <w:vAlign w:val="center"/>
            <w:hideMark/>
          </w:tcPr>
          <w:p w14:paraId="227E301D" w14:textId="77777777" w:rsidR="006E08A0" w:rsidRPr="00B363AA" w:rsidRDefault="006E08A0" w:rsidP="005F19A0">
            <w:pPr>
              <w:jc w:val="left"/>
            </w:pPr>
            <w:r w:rsidRPr="00B363AA">
              <w:t>Production</w:t>
            </w:r>
          </w:p>
        </w:tc>
        <w:tc>
          <w:tcPr>
            <w:tcW w:w="1183" w:type="dxa"/>
            <w:tcBorders>
              <w:top w:val="single" w:sz="4" w:space="0" w:color="FFFFFF" w:themeColor="background1"/>
            </w:tcBorders>
            <w:noWrap/>
            <w:vAlign w:val="center"/>
            <w:hideMark/>
          </w:tcPr>
          <w:p w14:paraId="5E088A19" w14:textId="77777777" w:rsidR="006E08A0" w:rsidRPr="00B363AA" w:rsidRDefault="006E08A0" w:rsidP="005F19A0">
            <w:pPr>
              <w:jc w:val="left"/>
            </w:pPr>
            <w:r w:rsidRPr="00B363AA">
              <w:t>Nutrition</w:t>
            </w:r>
          </w:p>
        </w:tc>
        <w:tc>
          <w:tcPr>
            <w:tcW w:w="8217" w:type="dxa"/>
            <w:tcBorders>
              <w:top w:val="single" w:sz="4" w:space="0" w:color="FFFFFF" w:themeColor="background1"/>
            </w:tcBorders>
            <w:noWrap/>
            <w:vAlign w:val="center"/>
            <w:hideMark/>
          </w:tcPr>
          <w:p w14:paraId="08A6B874" w14:textId="77777777" w:rsidR="006E08A0" w:rsidRPr="00B363AA" w:rsidRDefault="006E08A0" w:rsidP="005F19A0">
            <w:r w:rsidRPr="00B363AA">
              <w:t xml:space="preserve">Pour améliorer la fourniture en nutriments, des apports peuvent être envisagés en fonction des besoins spécifiques tels que : </w:t>
            </w:r>
          </w:p>
          <w:p w14:paraId="7EFEE5AC" w14:textId="77777777" w:rsidR="006E08A0" w:rsidRPr="00B363AA" w:rsidRDefault="006E08A0">
            <w:pPr>
              <w:pStyle w:val="Paragraphedeliste"/>
              <w:numPr>
                <w:ilvl w:val="0"/>
                <w:numId w:val="30"/>
              </w:numPr>
            </w:pPr>
            <w:r w:rsidRPr="00B363AA">
              <w:t>Des amendements organiques, pour augmenter la quantité de matière organique du sol et favoriser la résilience du stock nutritif. La restitution des résidus végétaux au sol est également préconisée ;</w:t>
            </w:r>
          </w:p>
          <w:p w14:paraId="13BDE5C8" w14:textId="77777777" w:rsidR="006E08A0" w:rsidRPr="00B363AA" w:rsidRDefault="006E08A0">
            <w:pPr>
              <w:pStyle w:val="Paragraphedeliste"/>
              <w:numPr>
                <w:ilvl w:val="0"/>
                <w:numId w:val="30"/>
              </w:numPr>
            </w:pPr>
            <w:r w:rsidRPr="00B363AA">
              <w:t>Des amendements acides ou basiques (respectivement en cas de pH trop élevé ou trop bas) ;</w:t>
            </w:r>
          </w:p>
          <w:p w14:paraId="7724EB84" w14:textId="77777777" w:rsidR="006E08A0" w:rsidRPr="00B363AA" w:rsidRDefault="006E08A0">
            <w:pPr>
              <w:pStyle w:val="Paragraphedeliste"/>
              <w:numPr>
                <w:ilvl w:val="0"/>
                <w:numId w:val="30"/>
              </w:numPr>
            </w:pPr>
            <w:r w:rsidRPr="00B363AA">
              <w:t>Des engrais pour corriger des carences en l’un ou plusieurs éléments précis, en veillant à conserver un bon équilibre pour éviter les carences induites.</w:t>
            </w:r>
          </w:p>
        </w:tc>
        <w:tc>
          <w:tcPr>
            <w:tcW w:w="2697" w:type="dxa"/>
            <w:tcBorders>
              <w:top w:val="single" w:sz="4" w:space="0" w:color="FFFFFF" w:themeColor="background1"/>
            </w:tcBorders>
          </w:tcPr>
          <w:p w14:paraId="5E6C1A31" w14:textId="77777777" w:rsidR="006E08A0" w:rsidRPr="00B363AA" w:rsidRDefault="006E08A0" w:rsidP="005F19A0">
            <w:pPr>
              <w:jc w:val="left"/>
            </w:pPr>
            <w:r w:rsidRPr="00B363AA">
              <w:t>Sols agricoles : conseil de fumure</w:t>
            </w:r>
          </w:p>
        </w:tc>
      </w:tr>
      <w:tr w:rsidR="006E08A0" w:rsidRPr="00B363AA" w14:paraId="66606677" w14:textId="77777777" w:rsidTr="00724334">
        <w:trPr>
          <w:trHeight w:val="300"/>
        </w:trPr>
        <w:tc>
          <w:tcPr>
            <w:tcW w:w="1369" w:type="dxa"/>
            <w:vMerge/>
            <w:noWrap/>
            <w:vAlign w:val="center"/>
            <w:hideMark/>
          </w:tcPr>
          <w:p w14:paraId="4AF003F0" w14:textId="77777777" w:rsidR="006E08A0" w:rsidRPr="00B363AA" w:rsidRDefault="006E08A0" w:rsidP="005F19A0">
            <w:pPr>
              <w:jc w:val="left"/>
            </w:pPr>
          </w:p>
        </w:tc>
        <w:tc>
          <w:tcPr>
            <w:tcW w:w="1183" w:type="dxa"/>
            <w:noWrap/>
            <w:vAlign w:val="center"/>
            <w:hideMark/>
          </w:tcPr>
          <w:p w14:paraId="74D3E03B" w14:textId="77777777" w:rsidR="006E08A0" w:rsidRPr="00B363AA" w:rsidRDefault="006E08A0" w:rsidP="005F19A0">
            <w:pPr>
              <w:jc w:val="left"/>
            </w:pPr>
            <w:r w:rsidRPr="00B363AA">
              <w:t>Fourniture d’eau</w:t>
            </w:r>
          </w:p>
        </w:tc>
        <w:tc>
          <w:tcPr>
            <w:tcW w:w="8217" w:type="dxa"/>
            <w:noWrap/>
            <w:vAlign w:val="center"/>
            <w:hideMark/>
          </w:tcPr>
          <w:p w14:paraId="7F4E33A9" w14:textId="77777777" w:rsidR="006E08A0" w:rsidRPr="00B363AA" w:rsidRDefault="006E08A0" w:rsidP="005F19A0">
            <w:r w:rsidRPr="00B363AA">
              <w:t xml:space="preserve">Les amendements organiques constituent le principal levier pour améliorer la capacité de rétention en eau du sol en </w:t>
            </w:r>
            <w:r w:rsidRPr="00B363AA">
              <w:rPr>
                <w:u w:val="single"/>
              </w:rPr>
              <w:t>surface</w:t>
            </w:r>
            <w:r w:rsidRPr="00B363AA">
              <w:t>. Le maintien d’un couvert végétal permanent est également préconisé, en raison de ses impacts positifs sur la structure du sol.</w:t>
            </w:r>
          </w:p>
        </w:tc>
        <w:tc>
          <w:tcPr>
            <w:tcW w:w="2697" w:type="dxa"/>
            <w:shd w:val="clear" w:color="auto" w:fill="F2F2F2" w:themeFill="background1" w:themeFillShade="F2"/>
          </w:tcPr>
          <w:p w14:paraId="7620E0E3" w14:textId="17FD3B1A" w:rsidR="006E08A0" w:rsidRPr="00B363AA" w:rsidRDefault="006E08A0" w:rsidP="005F19A0">
            <w:pPr>
              <w:jc w:val="left"/>
            </w:pPr>
          </w:p>
        </w:tc>
      </w:tr>
      <w:tr w:rsidR="006E08A0" w:rsidRPr="00B363AA" w14:paraId="15F7D871" w14:textId="77777777" w:rsidTr="00724334">
        <w:trPr>
          <w:trHeight w:val="300"/>
        </w:trPr>
        <w:tc>
          <w:tcPr>
            <w:tcW w:w="1369" w:type="dxa"/>
            <w:vMerge/>
            <w:noWrap/>
            <w:vAlign w:val="center"/>
            <w:hideMark/>
          </w:tcPr>
          <w:p w14:paraId="1B47C2C4" w14:textId="77777777" w:rsidR="006E08A0" w:rsidRPr="00B363AA" w:rsidRDefault="006E08A0" w:rsidP="005F19A0">
            <w:pPr>
              <w:jc w:val="left"/>
            </w:pPr>
          </w:p>
        </w:tc>
        <w:tc>
          <w:tcPr>
            <w:tcW w:w="1183" w:type="dxa"/>
            <w:vMerge w:val="restart"/>
            <w:noWrap/>
            <w:vAlign w:val="center"/>
            <w:hideMark/>
          </w:tcPr>
          <w:p w14:paraId="2B07A362" w14:textId="77777777" w:rsidR="006E08A0" w:rsidRPr="00B363AA" w:rsidRDefault="006E08A0" w:rsidP="005F19A0">
            <w:pPr>
              <w:jc w:val="left"/>
            </w:pPr>
            <w:r w:rsidRPr="00B363AA">
              <w:t>Structure</w:t>
            </w:r>
          </w:p>
        </w:tc>
        <w:tc>
          <w:tcPr>
            <w:tcW w:w="8217" w:type="dxa"/>
            <w:noWrap/>
            <w:vAlign w:val="center"/>
            <w:hideMark/>
          </w:tcPr>
          <w:p w14:paraId="5F13B9B2" w14:textId="77777777" w:rsidR="006E08A0" w:rsidRPr="00B363AA" w:rsidRDefault="006E08A0" w:rsidP="005F19A0">
            <w:r w:rsidRPr="00B363AA">
              <w:t xml:space="preserve">Les amendements organiques permettent d’améliorer la structure du sol. </w:t>
            </w:r>
          </w:p>
        </w:tc>
        <w:tc>
          <w:tcPr>
            <w:tcW w:w="2697" w:type="dxa"/>
            <w:shd w:val="clear" w:color="auto" w:fill="F2F2F2" w:themeFill="background1" w:themeFillShade="F2"/>
          </w:tcPr>
          <w:p w14:paraId="12C7CC5D" w14:textId="7296A322" w:rsidR="006E08A0" w:rsidRPr="00B363AA" w:rsidRDefault="006E08A0" w:rsidP="005F19A0">
            <w:pPr>
              <w:jc w:val="left"/>
            </w:pPr>
          </w:p>
        </w:tc>
      </w:tr>
      <w:tr w:rsidR="006E08A0" w:rsidRPr="00B363AA" w14:paraId="2CEF0AAC" w14:textId="77777777" w:rsidTr="00724334">
        <w:trPr>
          <w:trHeight w:val="300"/>
        </w:trPr>
        <w:tc>
          <w:tcPr>
            <w:tcW w:w="1369" w:type="dxa"/>
            <w:vMerge/>
            <w:noWrap/>
            <w:vAlign w:val="center"/>
          </w:tcPr>
          <w:p w14:paraId="6037138E" w14:textId="77777777" w:rsidR="006E08A0" w:rsidRPr="00B363AA" w:rsidRDefault="006E08A0" w:rsidP="005F19A0">
            <w:pPr>
              <w:jc w:val="left"/>
            </w:pPr>
          </w:p>
        </w:tc>
        <w:tc>
          <w:tcPr>
            <w:tcW w:w="1183" w:type="dxa"/>
            <w:vMerge/>
            <w:noWrap/>
            <w:vAlign w:val="center"/>
          </w:tcPr>
          <w:p w14:paraId="3BF62ABE" w14:textId="77777777" w:rsidR="006E08A0" w:rsidRPr="00B363AA" w:rsidRDefault="006E08A0" w:rsidP="005F19A0">
            <w:pPr>
              <w:jc w:val="left"/>
            </w:pPr>
          </w:p>
        </w:tc>
        <w:tc>
          <w:tcPr>
            <w:tcW w:w="8217" w:type="dxa"/>
            <w:noWrap/>
            <w:vAlign w:val="center"/>
          </w:tcPr>
          <w:p w14:paraId="6DD29409" w14:textId="77777777" w:rsidR="006E08A0" w:rsidRPr="00B363AA" w:rsidRDefault="006E08A0" w:rsidP="005F19A0">
            <w:r w:rsidRPr="00B363AA">
              <w:t>Le maintien d’un couvert permanent permet également, à travers la matière organique que celui-ci permet d’amener au sol, mais également grâce à l’effet des racines, de contribuer à l’amélioration de la structure du sol.</w:t>
            </w:r>
          </w:p>
        </w:tc>
        <w:tc>
          <w:tcPr>
            <w:tcW w:w="2697" w:type="dxa"/>
            <w:shd w:val="clear" w:color="auto" w:fill="F2F2F2" w:themeFill="background1" w:themeFillShade="F2"/>
          </w:tcPr>
          <w:p w14:paraId="42861561" w14:textId="4291E8A4" w:rsidR="006E08A0" w:rsidRPr="00B363AA" w:rsidRDefault="006E08A0" w:rsidP="005F19A0">
            <w:pPr>
              <w:jc w:val="left"/>
            </w:pPr>
          </w:p>
        </w:tc>
      </w:tr>
      <w:tr w:rsidR="006E08A0" w:rsidRPr="00B363AA" w14:paraId="0CA97C48" w14:textId="77777777" w:rsidTr="00724334">
        <w:trPr>
          <w:trHeight w:val="300"/>
        </w:trPr>
        <w:tc>
          <w:tcPr>
            <w:tcW w:w="1369" w:type="dxa"/>
            <w:vMerge/>
            <w:noWrap/>
            <w:vAlign w:val="center"/>
            <w:hideMark/>
          </w:tcPr>
          <w:p w14:paraId="6979398E" w14:textId="77777777" w:rsidR="006E08A0" w:rsidRPr="00B363AA" w:rsidRDefault="006E08A0" w:rsidP="005F19A0">
            <w:pPr>
              <w:jc w:val="left"/>
            </w:pPr>
          </w:p>
        </w:tc>
        <w:tc>
          <w:tcPr>
            <w:tcW w:w="1183" w:type="dxa"/>
            <w:vMerge/>
            <w:noWrap/>
            <w:vAlign w:val="center"/>
            <w:hideMark/>
          </w:tcPr>
          <w:p w14:paraId="6AA1EAF4" w14:textId="77777777" w:rsidR="006E08A0" w:rsidRPr="00B363AA" w:rsidRDefault="006E08A0" w:rsidP="005F19A0">
            <w:pPr>
              <w:jc w:val="left"/>
            </w:pPr>
          </w:p>
        </w:tc>
        <w:tc>
          <w:tcPr>
            <w:tcW w:w="8217" w:type="dxa"/>
            <w:noWrap/>
            <w:vAlign w:val="center"/>
            <w:hideMark/>
          </w:tcPr>
          <w:p w14:paraId="60BF81D5" w14:textId="039D32DD" w:rsidR="006E08A0" w:rsidRPr="00B363AA" w:rsidRDefault="006E08A0" w:rsidP="005F19A0">
            <w:r w:rsidRPr="00B363AA">
              <w:t>Lorsque la structure du sol est trop dégradée, un travail du sol, manuel ou mécanisé (charrue, décompacteur, fraise etc.) peut permettre de régénérer la structure du sol à court terme.</w:t>
            </w:r>
          </w:p>
          <w:p w14:paraId="2DE4B780" w14:textId="77777777" w:rsidR="006E08A0" w:rsidRPr="00B363AA" w:rsidRDefault="006E08A0" w:rsidP="005F19A0"/>
          <w:p w14:paraId="3A606B4A" w14:textId="77777777" w:rsidR="006E08A0" w:rsidRPr="00B363AA" w:rsidRDefault="006E08A0" w:rsidP="005F19A0">
            <w:r w:rsidRPr="00B363AA">
              <w:t xml:space="preserve">Le travail du sol doit être réalisé dans de bonnes conditions d'humidité (sur un sol ni trop humide ni trop sec) pour éviter de tasser ou lisser le sol. Pour une amélioration à long terme, le travail mécanique doit s’accompagner d'un apport de matière organique et/ou du semis d’un couvert permanent. </w:t>
            </w:r>
          </w:p>
          <w:p w14:paraId="2000BBCB" w14:textId="77777777" w:rsidR="006E08A0" w:rsidRPr="00B363AA" w:rsidRDefault="006E08A0" w:rsidP="005F19A0"/>
          <w:p w14:paraId="57312047" w14:textId="77777777" w:rsidR="006E08A0" w:rsidRPr="00B363AA" w:rsidRDefault="006E08A0" w:rsidP="005F19A0">
            <w:r w:rsidRPr="00B363AA">
              <w:t>L’utilisation d’outils tels que la grelinette ou la fourche-bêche est conseillée car ceux-ci préservent mieux la structure du sol et ont moins d’impact sur les vers de terre.</w:t>
            </w:r>
          </w:p>
        </w:tc>
        <w:tc>
          <w:tcPr>
            <w:tcW w:w="2697" w:type="dxa"/>
            <w:shd w:val="clear" w:color="auto" w:fill="F2F2F2" w:themeFill="background1" w:themeFillShade="F2"/>
          </w:tcPr>
          <w:p w14:paraId="12B03337" w14:textId="1E2D152C" w:rsidR="006E08A0" w:rsidRPr="00B363AA" w:rsidRDefault="006E08A0" w:rsidP="005F19A0">
            <w:pPr>
              <w:jc w:val="left"/>
            </w:pPr>
          </w:p>
        </w:tc>
      </w:tr>
      <w:tr w:rsidR="006E08A0" w:rsidRPr="00B363AA" w14:paraId="0B9BB98E" w14:textId="77777777" w:rsidTr="005F19A0">
        <w:trPr>
          <w:trHeight w:val="300"/>
        </w:trPr>
        <w:tc>
          <w:tcPr>
            <w:tcW w:w="1369" w:type="dxa"/>
            <w:vMerge/>
            <w:noWrap/>
            <w:vAlign w:val="center"/>
            <w:hideMark/>
          </w:tcPr>
          <w:p w14:paraId="5D118B94" w14:textId="77777777" w:rsidR="006E08A0" w:rsidRPr="00B363AA" w:rsidRDefault="006E08A0" w:rsidP="005F19A0">
            <w:pPr>
              <w:jc w:val="left"/>
            </w:pPr>
          </w:p>
        </w:tc>
        <w:tc>
          <w:tcPr>
            <w:tcW w:w="1183" w:type="dxa"/>
            <w:vMerge w:val="restart"/>
            <w:noWrap/>
            <w:vAlign w:val="center"/>
            <w:hideMark/>
          </w:tcPr>
          <w:p w14:paraId="05249A2A" w14:textId="77777777" w:rsidR="006E08A0" w:rsidRPr="00B363AA" w:rsidRDefault="006E08A0" w:rsidP="005F19A0">
            <w:pPr>
              <w:jc w:val="left"/>
            </w:pPr>
            <w:r w:rsidRPr="00B363AA">
              <w:t>Contraintes</w:t>
            </w:r>
          </w:p>
        </w:tc>
        <w:tc>
          <w:tcPr>
            <w:tcW w:w="8217" w:type="dxa"/>
            <w:noWrap/>
            <w:vAlign w:val="center"/>
            <w:hideMark/>
          </w:tcPr>
          <w:p w14:paraId="683AF839" w14:textId="77777777" w:rsidR="006E08A0" w:rsidRPr="00B363AA" w:rsidRDefault="006E08A0" w:rsidP="005F19A0">
            <w:r w:rsidRPr="00B363AA">
              <w:t>En cas de pollution, il est conseillé de se référer aux préconisations du Décret sols.</w:t>
            </w:r>
          </w:p>
        </w:tc>
        <w:tc>
          <w:tcPr>
            <w:tcW w:w="2697" w:type="dxa"/>
          </w:tcPr>
          <w:p w14:paraId="3951A109" w14:textId="77777777" w:rsidR="006E08A0" w:rsidRPr="00B363AA" w:rsidRDefault="006E08A0" w:rsidP="005F19A0">
            <w:pPr>
              <w:jc w:val="left"/>
            </w:pPr>
            <w:r w:rsidRPr="00B363AA">
              <w:t>Décret sols</w:t>
            </w:r>
          </w:p>
        </w:tc>
      </w:tr>
      <w:tr w:rsidR="006E08A0" w:rsidRPr="00B363AA" w14:paraId="5175E707" w14:textId="77777777" w:rsidTr="005F19A0">
        <w:trPr>
          <w:trHeight w:val="300"/>
        </w:trPr>
        <w:tc>
          <w:tcPr>
            <w:tcW w:w="1369" w:type="dxa"/>
            <w:vMerge/>
            <w:noWrap/>
            <w:vAlign w:val="center"/>
            <w:hideMark/>
          </w:tcPr>
          <w:p w14:paraId="702A238C" w14:textId="77777777" w:rsidR="006E08A0" w:rsidRPr="00B363AA" w:rsidRDefault="006E08A0" w:rsidP="005F19A0">
            <w:pPr>
              <w:jc w:val="left"/>
            </w:pPr>
          </w:p>
        </w:tc>
        <w:tc>
          <w:tcPr>
            <w:tcW w:w="1183" w:type="dxa"/>
            <w:vMerge/>
            <w:noWrap/>
            <w:vAlign w:val="center"/>
            <w:hideMark/>
          </w:tcPr>
          <w:p w14:paraId="1BA29D16" w14:textId="77777777" w:rsidR="006E08A0" w:rsidRPr="00B363AA" w:rsidRDefault="006E08A0" w:rsidP="005F19A0">
            <w:pPr>
              <w:jc w:val="left"/>
            </w:pPr>
          </w:p>
        </w:tc>
        <w:tc>
          <w:tcPr>
            <w:tcW w:w="8217" w:type="dxa"/>
            <w:noWrap/>
            <w:vAlign w:val="center"/>
            <w:hideMark/>
          </w:tcPr>
          <w:p w14:paraId="487105C5" w14:textId="77777777" w:rsidR="006E08A0" w:rsidRPr="00B363AA" w:rsidRDefault="006E08A0" w:rsidP="005F19A0">
            <w:r w:rsidRPr="00B363AA">
              <w:t>Si des espèces exotiques envahissantes sont présentes sur le site, il convient de gérer leur expansion en s’appuyant sur les prescriptions du GRGT.</w:t>
            </w:r>
          </w:p>
        </w:tc>
        <w:tc>
          <w:tcPr>
            <w:tcW w:w="2697" w:type="dxa"/>
          </w:tcPr>
          <w:p w14:paraId="32F739EC" w14:textId="77777777" w:rsidR="006E08A0" w:rsidRPr="00B363AA" w:rsidRDefault="006E08A0" w:rsidP="005F19A0">
            <w:pPr>
              <w:jc w:val="left"/>
            </w:pPr>
            <w:r w:rsidRPr="00B363AA">
              <w:t>GRGT partie 5</w:t>
            </w:r>
          </w:p>
        </w:tc>
      </w:tr>
      <w:tr w:rsidR="006E08A0" w:rsidRPr="00B363AA" w14:paraId="129E9619" w14:textId="77777777" w:rsidTr="00724334">
        <w:trPr>
          <w:trHeight w:val="300"/>
        </w:trPr>
        <w:tc>
          <w:tcPr>
            <w:tcW w:w="1369" w:type="dxa"/>
            <w:vMerge w:val="restart"/>
            <w:noWrap/>
            <w:vAlign w:val="center"/>
            <w:hideMark/>
          </w:tcPr>
          <w:p w14:paraId="332CDEA5" w14:textId="77777777" w:rsidR="006E08A0" w:rsidRPr="00B363AA" w:rsidRDefault="006E08A0" w:rsidP="005F19A0">
            <w:pPr>
              <w:jc w:val="left"/>
            </w:pPr>
            <w:r w:rsidRPr="00B363AA">
              <w:t>Infiltration</w:t>
            </w:r>
          </w:p>
        </w:tc>
        <w:tc>
          <w:tcPr>
            <w:tcW w:w="1183" w:type="dxa"/>
            <w:vMerge w:val="restart"/>
            <w:noWrap/>
            <w:vAlign w:val="center"/>
            <w:hideMark/>
          </w:tcPr>
          <w:p w14:paraId="5B663762" w14:textId="77777777" w:rsidR="006E08A0" w:rsidRPr="00B363AA" w:rsidRDefault="006E08A0" w:rsidP="005F19A0">
            <w:pPr>
              <w:jc w:val="left"/>
            </w:pPr>
            <w:r w:rsidRPr="00B363AA">
              <w:t>Infiltration</w:t>
            </w:r>
          </w:p>
        </w:tc>
        <w:tc>
          <w:tcPr>
            <w:tcW w:w="8217" w:type="dxa"/>
            <w:noWrap/>
            <w:vAlign w:val="center"/>
            <w:hideMark/>
          </w:tcPr>
          <w:p w14:paraId="7B678377" w14:textId="77777777" w:rsidR="006E08A0" w:rsidRPr="00B363AA" w:rsidRDefault="006E08A0" w:rsidP="005F19A0">
            <w:r w:rsidRPr="00B363AA">
              <w:t>Les amendements organiques constituent le principal levier pour améliorer la capacité d’infiltration du sol. Le maintien d’un couvert végétal permanent est également préconisé, en raison de ses impacts positifs sur la structure du sol, ce qui peut permettre d’améliorer à la fois la capacité d’infiltration et la perméabilité du sol.</w:t>
            </w:r>
          </w:p>
        </w:tc>
        <w:tc>
          <w:tcPr>
            <w:tcW w:w="2697" w:type="dxa"/>
            <w:shd w:val="clear" w:color="auto" w:fill="F2F2F2" w:themeFill="background1" w:themeFillShade="F2"/>
          </w:tcPr>
          <w:p w14:paraId="4D2B5667" w14:textId="2964E189" w:rsidR="006E08A0" w:rsidRPr="00B363AA" w:rsidRDefault="006E08A0" w:rsidP="005F19A0">
            <w:pPr>
              <w:jc w:val="left"/>
            </w:pPr>
          </w:p>
        </w:tc>
      </w:tr>
      <w:tr w:rsidR="006E08A0" w:rsidRPr="00B363AA" w14:paraId="356D2453" w14:textId="77777777" w:rsidTr="00724334">
        <w:trPr>
          <w:trHeight w:val="300"/>
        </w:trPr>
        <w:tc>
          <w:tcPr>
            <w:tcW w:w="1369" w:type="dxa"/>
            <w:vMerge/>
            <w:noWrap/>
            <w:vAlign w:val="center"/>
            <w:hideMark/>
          </w:tcPr>
          <w:p w14:paraId="68F0E70A" w14:textId="77777777" w:rsidR="006E08A0" w:rsidRPr="00B363AA" w:rsidRDefault="006E08A0" w:rsidP="005F19A0">
            <w:pPr>
              <w:jc w:val="left"/>
            </w:pPr>
          </w:p>
        </w:tc>
        <w:tc>
          <w:tcPr>
            <w:tcW w:w="1183" w:type="dxa"/>
            <w:vMerge/>
            <w:noWrap/>
            <w:vAlign w:val="center"/>
            <w:hideMark/>
          </w:tcPr>
          <w:p w14:paraId="7CDC600B" w14:textId="77777777" w:rsidR="006E08A0" w:rsidRPr="00B363AA" w:rsidRDefault="006E08A0" w:rsidP="005F19A0">
            <w:pPr>
              <w:jc w:val="left"/>
            </w:pPr>
          </w:p>
        </w:tc>
        <w:tc>
          <w:tcPr>
            <w:tcW w:w="8217" w:type="dxa"/>
            <w:noWrap/>
            <w:vAlign w:val="center"/>
            <w:hideMark/>
          </w:tcPr>
          <w:p w14:paraId="2D5D780A" w14:textId="77777777" w:rsidR="006E08A0" w:rsidRPr="00B363AA" w:rsidRDefault="006E08A0" w:rsidP="005F19A0">
            <w:r w:rsidRPr="00B363AA">
              <w:t>L’amélioration de l’état structural du sol peut également permettre d’améliorer considérablement la capacité d’infiltration du sol (</w:t>
            </w:r>
            <w:proofErr w:type="spellStart"/>
            <w:r w:rsidRPr="00B363AA">
              <w:t>cfr</w:t>
            </w:r>
            <w:proofErr w:type="spellEnd"/>
            <w:r w:rsidRPr="00B363AA">
              <w:t xml:space="preserve"> Production – Structure).</w:t>
            </w:r>
          </w:p>
        </w:tc>
        <w:tc>
          <w:tcPr>
            <w:tcW w:w="2697" w:type="dxa"/>
            <w:shd w:val="clear" w:color="auto" w:fill="F2F2F2" w:themeFill="background1" w:themeFillShade="F2"/>
          </w:tcPr>
          <w:p w14:paraId="75D2DCCA" w14:textId="77777777" w:rsidR="006E08A0" w:rsidRPr="00B363AA" w:rsidRDefault="006E08A0" w:rsidP="005F19A0">
            <w:pPr>
              <w:jc w:val="left"/>
            </w:pPr>
          </w:p>
        </w:tc>
      </w:tr>
      <w:tr w:rsidR="006E08A0" w:rsidRPr="00B363AA" w14:paraId="4C5E712B" w14:textId="77777777" w:rsidTr="00724334">
        <w:trPr>
          <w:trHeight w:val="300"/>
        </w:trPr>
        <w:tc>
          <w:tcPr>
            <w:tcW w:w="1369" w:type="dxa"/>
            <w:vMerge w:val="restart"/>
            <w:noWrap/>
            <w:vAlign w:val="center"/>
            <w:hideMark/>
          </w:tcPr>
          <w:p w14:paraId="37175035" w14:textId="77777777" w:rsidR="006E08A0" w:rsidRPr="00B363AA" w:rsidRDefault="006E08A0" w:rsidP="005F19A0">
            <w:pPr>
              <w:jc w:val="left"/>
            </w:pPr>
            <w:r w:rsidRPr="00B363AA">
              <w:t>Protection des nappes</w:t>
            </w:r>
          </w:p>
        </w:tc>
        <w:tc>
          <w:tcPr>
            <w:tcW w:w="1183" w:type="dxa"/>
            <w:noWrap/>
            <w:vAlign w:val="center"/>
            <w:hideMark/>
          </w:tcPr>
          <w:p w14:paraId="146CC2BF" w14:textId="77777777" w:rsidR="006E08A0" w:rsidRPr="00B363AA" w:rsidRDefault="006E08A0" w:rsidP="005F19A0">
            <w:pPr>
              <w:jc w:val="left"/>
            </w:pPr>
            <w:r w:rsidRPr="00B363AA">
              <w:t>Rétention</w:t>
            </w:r>
          </w:p>
        </w:tc>
        <w:tc>
          <w:tcPr>
            <w:tcW w:w="8217" w:type="dxa"/>
            <w:noWrap/>
            <w:vAlign w:val="center"/>
            <w:hideMark/>
          </w:tcPr>
          <w:p w14:paraId="2B77C36C" w14:textId="77777777" w:rsidR="006E08A0" w:rsidRPr="00B363AA" w:rsidRDefault="006E08A0" w:rsidP="005F19A0">
            <w:r w:rsidRPr="00B363AA">
              <w:t>Les amendements organiques constituent le principal levier pour améliorer la capacité de rétention du sol vis-à-vis des polluants.</w:t>
            </w:r>
          </w:p>
        </w:tc>
        <w:tc>
          <w:tcPr>
            <w:tcW w:w="2697" w:type="dxa"/>
            <w:shd w:val="clear" w:color="auto" w:fill="F2F2F2" w:themeFill="background1" w:themeFillShade="F2"/>
          </w:tcPr>
          <w:p w14:paraId="2C90DC41" w14:textId="77777777" w:rsidR="006E08A0" w:rsidRPr="00B363AA" w:rsidRDefault="006E08A0" w:rsidP="005F19A0">
            <w:pPr>
              <w:jc w:val="left"/>
            </w:pPr>
          </w:p>
        </w:tc>
      </w:tr>
      <w:tr w:rsidR="006E08A0" w:rsidRPr="00B363AA" w14:paraId="44C51239" w14:textId="77777777" w:rsidTr="005F19A0">
        <w:trPr>
          <w:trHeight w:val="300"/>
        </w:trPr>
        <w:tc>
          <w:tcPr>
            <w:tcW w:w="1369" w:type="dxa"/>
            <w:vMerge/>
            <w:noWrap/>
            <w:vAlign w:val="center"/>
            <w:hideMark/>
          </w:tcPr>
          <w:p w14:paraId="5E286A5E" w14:textId="77777777" w:rsidR="006E08A0" w:rsidRPr="00B363AA" w:rsidRDefault="006E08A0" w:rsidP="005F19A0">
            <w:pPr>
              <w:jc w:val="left"/>
            </w:pPr>
          </w:p>
        </w:tc>
        <w:tc>
          <w:tcPr>
            <w:tcW w:w="1183" w:type="dxa"/>
            <w:noWrap/>
            <w:vAlign w:val="center"/>
            <w:hideMark/>
          </w:tcPr>
          <w:p w14:paraId="4F8579A1" w14:textId="77777777" w:rsidR="006E08A0" w:rsidRPr="00B363AA" w:rsidRDefault="006E08A0" w:rsidP="005F19A0">
            <w:pPr>
              <w:jc w:val="left"/>
            </w:pPr>
            <w:r w:rsidRPr="00B363AA">
              <w:t>Contraintes</w:t>
            </w:r>
          </w:p>
        </w:tc>
        <w:tc>
          <w:tcPr>
            <w:tcW w:w="8217" w:type="dxa"/>
            <w:noWrap/>
            <w:vAlign w:val="center"/>
            <w:hideMark/>
          </w:tcPr>
          <w:p w14:paraId="4E97FB64" w14:textId="77777777" w:rsidR="006E08A0" w:rsidRPr="00B363AA" w:rsidRDefault="006E08A0" w:rsidP="005F19A0">
            <w:r w:rsidRPr="00B363AA">
              <w:t>En cas de pollution, il est conseillé de se référer aux préconisations du Décret sols.</w:t>
            </w:r>
          </w:p>
        </w:tc>
        <w:tc>
          <w:tcPr>
            <w:tcW w:w="2697" w:type="dxa"/>
          </w:tcPr>
          <w:p w14:paraId="3794065E" w14:textId="77777777" w:rsidR="006E08A0" w:rsidRPr="00B363AA" w:rsidRDefault="006E08A0" w:rsidP="005F19A0">
            <w:pPr>
              <w:jc w:val="left"/>
            </w:pPr>
            <w:r w:rsidRPr="00B363AA">
              <w:t>Décret sols</w:t>
            </w:r>
          </w:p>
        </w:tc>
      </w:tr>
      <w:tr w:rsidR="006E08A0" w:rsidRPr="00B363AA" w14:paraId="021D7BEC" w14:textId="77777777" w:rsidTr="00724334">
        <w:trPr>
          <w:trHeight w:val="300"/>
        </w:trPr>
        <w:tc>
          <w:tcPr>
            <w:tcW w:w="1369" w:type="dxa"/>
            <w:vMerge w:val="restart"/>
            <w:noWrap/>
            <w:vAlign w:val="center"/>
            <w:hideMark/>
          </w:tcPr>
          <w:p w14:paraId="5758F8E3" w14:textId="77777777" w:rsidR="006E08A0" w:rsidRPr="00B363AA" w:rsidRDefault="006E08A0" w:rsidP="005F19A0">
            <w:pPr>
              <w:jc w:val="left"/>
            </w:pPr>
            <w:r w:rsidRPr="00B363AA">
              <w:t>Biodiversité végétale</w:t>
            </w:r>
          </w:p>
        </w:tc>
        <w:tc>
          <w:tcPr>
            <w:tcW w:w="1183" w:type="dxa"/>
            <w:vMerge w:val="restart"/>
            <w:noWrap/>
            <w:vAlign w:val="center"/>
            <w:hideMark/>
          </w:tcPr>
          <w:p w14:paraId="0B50F0B0" w14:textId="77777777" w:rsidR="006E08A0" w:rsidRPr="00B363AA" w:rsidRDefault="006E08A0" w:rsidP="005F19A0">
            <w:pPr>
              <w:jc w:val="left"/>
            </w:pPr>
            <w:r w:rsidRPr="00B363AA">
              <w:t>Potentiel d'accueil</w:t>
            </w:r>
          </w:p>
        </w:tc>
        <w:tc>
          <w:tcPr>
            <w:tcW w:w="8217" w:type="dxa"/>
            <w:noWrap/>
            <w:vAlign w:val="center"/>
            <w:hideMark/>
          </w:tcPr>
          <w:p w14:paraId="3B2E49B5" w14:textId="77777777" w:rsidR="006E08A0" w:rsidRPr="00B363AA" w:rsidRDefault="006E08A0" w:rsidP="005F19A0">
            <w:r w:rsidRPr="00B363AA">
              <w:t>Exporter les nutriments (via un export des résidus végétaux : fauche, tonte) permet de rétablir des niveaux minimaux nécessaires pour le développement d’une végétation diversifiée.</w:t>
            </w:r>
          </w:p>
        </w:tc>
        <w:tc>
          <w:tcPr>
            <w:tcW w:w="2697" w:type="dxa"/>
            <w:shd w:val="clear" w:color="auto" w:fill="F2F2F2" w:themeFill="background1" w:themeFillShade="F2"/>
          </w:tcPr>
          <w:p w14:paraId="79CE8050" w14:textId="77777777" w:rsidR="006E08A0" w:rsidRPr="00B363AA" w:rsidRDefault="006E08A0" w:rsidP="005F19A0">
            <w:pPr>
              <w:jc w:val="left"/>
            </w:pPr>
          </w:p>
        </w:tc>
      </w:tr>
      <w:tr w:rsidR="006E08A0" w:rsidRPr="00B363AA" w14:paraId="10BFFC73" w14:textId="77777777" w:rsidTr="00724334">
        <w:trPr>
          <w:trHeight w:val="300"/>
        </w:trPr>
        <w:tc>
          <w:tcPr>
            <w:tcW w:w="1369" w:type="dxa"/>
            <w:vMerge/>
            <w:noWrap/>
            <w:vAlign w:val="center"/>
          </w:tcPr>
          <w:p w14:paraId="4027ADC7" w14:textId="77777777" w:rsidR="006E08A0" w:rsidRPr="00B363AA" w:rsidRDefault="006E08A0" w:rsidP="005F19A0">
            <w:pPr>
              <w:jc w:val="left"/>
            </w:pPr>
          </w:p>
        </w:tc>
        <w:tc>
          <w:tcPr>
            <w:tcW w:w="1183" w:type="dxa"/>
            <w:vMerge/>
            <w:noWrap/>
            <w:vAlign w:val="center"/>
          </w:tcPr>
          <w:p w14:paraId="4D42891B" w14:textId="77777777" w:rsidR="006E08A0" w:rsidRPr="00B363AA" w:rsidRDefault="006E08A0" w:rsidP="005F19A0">
            <w:pPr>
              <w:jc w:val="left"/>
            </w:pPr>
          </w:p>
        </w:tc>
        <w:tc>
          <w:tcPr>
            <w:tcW w:w="8217" w:type="dxa"/>
            <w:noWrap/>
            <w:vAlign w:val="center"/>
          </w:tcPr>
          <w:p w14:paraId="0C92AB2D" w14:textId="77777777" w:rsidR="006E08A0" w:rsidRPr="00B363AA" w:rsidRDefault="006E08A0" w:rsidP="005F19A0">
            <w:r w:rsidRPr="00B363AA">
              <w:t>Si des espèces exotiques envahissantes sont présentes sur le site, il convient de gérer leur expansion en s’appuyant sur les prescriptions du GRGT.</w:t>
            </w:r>
          </w:p>
        </w:tc>
        <w:tc>
          <w:tcPr>
            <w:tcW w:w="2697" w:type="dxa"/>
            <w:shd w:val="clear" w:color="auto" w:fill="F2F2F2" w:themeFill="background1" w:themeFillShade="F2"/>
          </w:tcPr>
          <w:p w14:paraId="71BD9312" w14:textId="77777777" w:rsidR="006E08A0" w:rsidRPr="00B363AA" w:rsidRDefault="006E08A0" w:rsidP="005F19A0">
            <w:pPr>
              <w:jc w:val="left"/>
            </w:pPr>
          </w:p>
        </w:tc>
      </w:tr>
      <w:tr w:rsidR="006E08A0" w:rsidRPr="00B363AA" w14:paraId="1B0F217D" w14:textId="77777777" w:rsidTr="00724334">
        <w:trPr>
          <w:trHeight w:val="300"/>
        </w:trPr>
        <w:tc>
          <w:tcPr>
            <w:tcW w:w="1369" w:type="dxa"/>
            <w:vMerge w:val="restart"/>
            <w:noWrap/>
            <w:vAlign w:val="center"/>
            <w:hideMark/>
          </w:tcPr>
          <w:p w14:paraId="30447243" w14:textId="77777777" w:rsidR="006E08A0" w:rsidRPr="00B363AA" w:rsidRDefault="006E08A0" w:rsidP="005F19A0">
            <w:pPr>
              <w:jc w:val="left"/>
            </w:pPr>
            <w:r w:rsidRPr="00B363AA">
              <w:t>Biodiversité sol</w:t>
            </w:r>
          </w:p>
        </w:tc>
        <w:tc>
          <w:tcPr>
            <w:tcW w:w="1183" w:type="dxa"/>
            <w:noWrap/>
            <w:vAlign w:val="center"/>
            <w:hideMark/>
          </w:tcPr>
          <w:p w14:paraId="4CE04DCE" w14:textId="77777777" w:rsidR="006E08A0" w:rsidRPr="00B363AA" w:rsidRDefault="006E08A0" w:rsidP="005F19A0">
            <w:pPr>
              <w:jc w:val="left"/>
            </w:pPr>
            <w:r w:rsidRPr="00B363AA">
              <w:t>Abondance</w:t>
            </w:r>
          </w:p>
        </w:tc>
        <w:tc>
          <w:tcPr>
            <w:tcW w:w="8217" w:type="dxa"/>
            <w:noWrap/>
            <w:vAlign w:val="center"/>
            <w:hideMark/>
          </w:tcPr>
          <w:p w14:paraId="5415AD07" w14:textId="77777777" w:rsidR="006E08A0" w:rsidRPr="00B363AA" w:rsidRDefault="006E08A0" w:rsidP="005F19A0">
            <w:r w:rsidRPr="00B363AA">
              <w:t>Les amendements organiques permettront d’améliorer l’abondance microbienne et de nématodes.</w:t>
            </w:r>
          </w:p>
        </w:tc>
        <w:tc>
          <w:tcPr>
            <w:tcW w:w="2697" w:type="dxa"/>
            <w:shd w:val="clear" w:color="auto" w:fill="F2F2F2" w:themeFill="background1" w:themeFillShade="F2"/>
          </w:tcPr>
          <w:p w14:paraId="5E9BD389" w14:textId="77777777" w:rsidR="006E08A0" w:rsidRPr="00B363AA" w:rsidRDefault="006E08A0" w:rsidP="005F19A0">
            <w:pPr>
              <w:jc w:val="left"/>
            </w:pPr>
          </w:p>
        </w:tc>
      </w:tr>
      <w:tr w:rsidR="006E08A0" w:rsidRPr="00B363AA" w14:paraId="4F40425D" w14:textId="77777777" w:rsidTr="00724334">
        <w:trPr>
          <w:trHeight w:val="300"/>
        </w:trPr>
        <w:tc>
          <w:tcPr>
            <w:tcW w:w="1369" w:type="dxa"/>
            <w:vMerge/>
            <w:noWrap/>
            <w:vAlign w:val="center"/>
            <w:hideMark/>
          </w:tcPr>
          <w:p w14:paraId="2E846F69" w14:textId="77777777" w:rsidR="006E08A0" w:rsidRPr="00B363AA" w:rsidRDefault="006E08A0" w:rsidP="005F19A0">
            <w:pPr>
              <w:jc w:val="left"/>
            </w:pPr>
          </w:p>
        </w:tc>
        <w:tc>
          <w:tcPr>
            <w:tcW w:w="1183" w:type="dxa"/>
            <w:noWrap/>
            <w:vAlign w:val="center"/>
            <w:hideMark/>
          </w:tcPr>
          <w:p w14:paraId="29B2CF0F" w14:textId="77777777" w:rsidR="006E08A0" w:rsidRPr="00B363AA" w:rsidRDefault="006E08A0" w:rsidP="005F19A0">
            <w:pPr>
              <w:jc w:val="left"/>
            </w:pPr>
            <w:r w:rsidRPr="00B363AA">
              <w:t>Diversité</w:t>
            </w:r>
          </w:p>
        </w:tc>
        <w:tc>
          <w:tcPr>
            <w:tcW w:w="8217" w:type="dxa"/>
            <w:noWrap/>
            <w:vAlign w:val="center"/>
            <w:hideMark/>
          </w:tcPr>
          <w:p w14:paraId="4BBE49F7" w14:textId="77777777" w:rsidR="006E08A0" w:rsidRPr="00B363AA" w:rsidRDefault="006E08A0" w:rsidP="005F19A0">
            <w:r w:rsidRPr="00B363AA">
              <w:t>Amendements biologiques (ex : nématodes).</w:t>
            </w:r>
          </w:p>
        </w:tc>
        <w:tc>
          <w:tcPr>
            <w:tcW w:w="2697" w:type="dxa"/>
            <w:shd w:val="clear" w:color="auto" w:fill="F2F2F2" w:themeFill="background1" w:themeFillShade="F2"/>
          </w:tcPr>
          <w:p w14:paraId="5E286890" w14:textId="77777777" w:rsidR="006E08A0" w:rsidRPr="00B363AA" w:rsidRDefault="006E08A0" w:rsidP="005F19A0">
            <w:pPr>
              <w:jc w:val="left"/>
            </w:pPr>
          </w:p>
        </w:tc>
      </w:tr>
      <w:tr w:rsidR="006E08A0" w:rsidRPr="00B363AA" w14:paraId="323154DC" w14:textId="77777777" w:rsidTr="00724334">
        <w:trPr>
          <w:trHeight w:val="300"/>
        </w:trPr>
        <w:tc>
          <w:tcPr>
            <w:tcW w:w="1369" w:type="dxa"/>
            <w:noWrap/>
            <w:vAlign w:val="center"/>
            <w:hideMark/>
          </w:tcPr>
          <w:p w14:paraId="6F3ED2C2" w14:textId="77777777" w:rsidR="006E08A0" w:rsidRPr="00B363AA" w:rsidRDefault="006E08A0" w:rsidP="005F19A0">
            <w:pPr>
              <w:jc w:val="left"/>
            </w:pPr>
            <w:r w:rsidRPr="00B363AA">
              <w:t>Stockage de carbone</w:t>
            </w:r>
          </w:p>
        </w:tc>
        <w:tc>
          <w:tcPr>
            <w:tcW w:w="1183" w:type="dxa"/>
            <w:noWrap/>
            <w:vAlign w:val="center"/>
            <w:hideMark/>
          </w:tcPr>
          <w:p w14:paraId="582848AC" w14:textId="77777777" w:rsidR="006E08A0" w:rsidRPr="00B363AA" w:rsidRDefault="006E08A0" w:rsidP="005F19A0">
            <w:pPr>
              <w:jc w:val="left"/>
            </w:pPr>
            <w:r w:rsidRPr="00B363AA">
              <w:t>Stockage</w:t>
            </w:r>
          </w:p>
        </w:tc>
        <w:tc>
          <w:tcPr>
            <w:tcW w:w="8217" w:type="dxa"/>
            <w:noWrap/>
            <w:vAlign w:val="center"/>
            <w:hideMark/>
          </w:tcPr>
          <w:p w14:paraId="1C78D36A" w14:textId="77777777" w:rsidR="006E08A0" w:rsidRPr="00B363AA" w:rsidRDefault="006E08A0" w:rsidP="005F19A0">
            <w:r w:rsidRPr="00B363AA">
              <w:t>Les amendements organiques permettront de directement augmenter le stock de carbone du sol.</w:t>
            </w:r>
          </w:p>
        </w:tc>
        <w:tc>
          <w:tcPr>
            <w:tcW w:w="2697" w:type="dxa"/>
            <w:shd w:val="clear" w:color="auto" w:fill="F2F2F2" w:themeFill="background1" w:themeFillShade="F2"/>
          </w:tcPr>
          <w:p w14:paraId="625356AF" w14:textId="77777777" w:rsidR="006E08A0" w:rsidRPr="00B363AA" w:rsidRDefault="006E08A0" w:rsidP="005F19A0">
            <w:pPr>
              <w:jc w:val="left"/>
            </w:pPr>
          </w:p>
        </w:tc>
      </w:tr>
    </w:tbl>
    <w:p w14:paraId="29915B3B" w14:textId="77777777" w:rsidR="006E08A0" w:rsidRPr="00B363AA" w:rsidRDefault="006E08A0" w:rsidP="006E08A0"/>
    <w:p w14:paraId="4865C212" w14:textId="77777777" w:rsidR="006E08A0" w:rsidRPr="00B363AA" w:rsidRDefault="006E08A0" w:rsidP="006E08A0">
      <w:r w:rsidRPr="00B363AA">
        <w:t xml:space="preserve">N.B. : </w:t>
      </w:r>
    </w:p>
    <w:p w14:paraId="02D30C00" w14:textId="77777777" w:rsidR="006E08A0" w:rsidRPr="00B363AA" w:rsidRDefault="006E08A0">
      <w:pPr>
        <w:pStyle w:val="Paragraphedeliste"/>
        <w:numPr>
          <w:ilvl w:val="0"/>
          <w:numId w:val="33"/>
        </w:numPr>
        <w:rPr>
          <w:lang w:eastAsia="fr-BE"/>
        </w:rPr>
      </w:pPr>
      <w:r w:rsidRPr="00B363AA">
        <w:t>Les amendements organiques suivants seront privilégiés (à nuancer en fonction des situations) :</w:t>
      </w:r>
      <w:r w:rsidRPr="00B363AA">
        <w:rPr>
          <w:rFonts w:ascii="Aptos Narrow" w:eastAsia="Times New Roman" w:hAnsi="Aptos Narrow" w:cs="Times New Roman"/>
          <w:color w:val="000000"/>
          <w:kern w:val="0"/>
          <w:szCs w:val="22"/>
          <w:lang w:eastAsia="fr-BE"/>
          <w14:ligatures w14:val="none"/>
        </w:rPr>
        <w:t xml:space="preserve"> </w:t>
      </w:r>
      <w:r w:rsidRPr="00B363AA">
        <w:rPr>
          <w:lang w:eastAsia="fr-BE"/>
        </w:rPr>
        <w:t>compost, résidus végétaux (</w:t>
      </w:r>
      <w:proofErr w:type="spellStart"/>
      <w:r w:rsidRPr="00B363AA">
        <w:rPr>
          <w:lang w:eastAsia="fr-BE"/>
        </w:rPr>
        <w:t>mulching</w:t>
      </w:r>
      <w:proofErr w:type="spellEnd"/>
      <w:r w:rsidRPr="00B363AA">
        <w:rPr>
          <w:lang w:eastAsia="fr-BE"/>
        </w:rPr>
        <w:t xml:space="preserve">, feuilles mortes, couvert permanent, paillage etc.). </w:t>
      </w:r>
    </w:p>
    <w:p w14:paraId="75801F35" w14:textId="77777777" w:rsidR="006E08A0" w:rsidRPr="00B363AA" w:rsidRDefault="006E08A0">
      <w:pPr>
        <w:pStyle w:val="Paragraphedeliste"/>
        <w:numPr>
          <w:ilvl w:val="0"/>
          <w:numId w:val="33"/>
        </w:numPr>
        <w:rPr>
          <w:lang w:eastAsia="fr-BE"/>
        </w:rPr>
      </w:pPr>
      <w:r w:rsidRPr="00B363AA">
        <w:rPr>
          <w:lang w:eastAsia="fr-BE"/>
        </w:rPr>
        <w:t>Des fertilisants à base d’azote minéral et de soufre peuvent être utilisés pour diminuer le pH, tandis que l’ajout de chaux augmente le pH.</w:t>
      </w:r>
    </w:p>
    <w:p w14:paraId="4F3A31D6" w14:textId="77777777" w:rsidR="006E08A0" w:rsidRPr="00B363AA" w:rsidRDefault="006E08A0" w:rsidP="006E08A0">
      <w:pPr>
        <w:rPr>
          <w:lang w:eastAsia="fr-BE"/>
        </w:rPr>
      </w:pPr>
    </w:p>
    <w:p w14:paraId="0696B9C9" w14:textId="77777777" w:rsidR="006E08A0" w:rsidRPr="00B363AA" w:rsidRDefault="006E08A0" w:rsidP="006E08A0">
      <w:pPr>
        <w:jc w:val="left"/>
      </w:pPr>
    </w:p>
    <w:p w14:paraId="5F61FBBB" w14:textId="757898FD" w:rsidR="006E08A0" w:rsidRPr="00B363AA" w:rsidRDefault="006E08A0" w:rsidP="006E08A0">
      <w:pPr>
        <w:pStyle w:val="Lgende"/>
        <w:keepNext/>
        <w:jc w:val="center"/>
        <w:rPr>
          <w:i w:val="0"/>
          <w:iCs w:val="0"/>
        </w:rPr>
      </w:pPr>
      <w:r w:rsidRPr="00B363AA">
        <w:rPr>
          <w:i w:val="0"/>
          <w:iCs w:val="0"/>
        </w:rPr>
        <w:lastRenderedPageBreak/>
        <w:t xml:space="preserve">Tableau </w:t>
      </w:r>
      <w:r w:rsidRPr="00B363AA">
        <w:rPr>
          <w:i w:val="0"/>
          <w:iCs w:val="0"/>
        </w:rPr>
        <w:fldChar w:fldCharType="begin"/>
      </w:r>
      <w:r w:rsidRPr="00B363AA">
        <w:rPr>
          <w:i w:val="0"/>
          <w:iCs w:val="0"/>
        </w:rPr>
        <w:instrText xml:space="preserve"> SEQ Tableau \* ARABIC </w:instrText>
      </w:r>
      <w:r w:rsidRPr="00B363AA">
        <w:rPr>
          <w:i w:val="0"/>
          <w:iCs w:val="0"/>
        </w:rPr>
        <w:fldChar w:fldCharType="separate"/>
      </w:r>
      <w:r w:rsidR="003D7F8A" w:rsidRPr="00B363AA">
        <w:rPr>
          <w:i w:val="0"/>
          <w:iCs w:val="0"/>
        </w:rPr>
        <w:t>7</w:t>
      </w:r>
      <w:r w:rsidRPr="00B363AA">
        <w:rPr>
          <w:i w:val="0"/>
          <w:iCs w:val="0"/>
        </w:rPr>
        <w:fldChar w:fldCharType="end"/>
      </w:r>
      <w:r w:rsidRPr="00B363AA">
        <w:rPr>
          <w:i w:val="0"/>
          <w:iCs w:val="0"/>
        </w:rPr>
        <w:t xml:space="preserve"> : Influence des conseils de gestion sur les services écosystémiques et fonctions correspondantes</w:t>
      </w:r>
    </w:p>
    <w:tbl>
      <w:tblPr>
        <w:tblStyle w:val="Grilledutableau"/>
        <w:tblW w:w="13603" w:type="dxa"/>
        <w:jc w:val="center"/>
        <w:tblLayout w:type="fixed"/>
        <w:tblLook w:val="04A0" w:firstRow="1" w:lastRow="0" w:firstColumn="1" w:lastColumn="0" w:noHBand="0" w:noVBand="1"/>
      </w:tblPr>
      <w:tblGrid>
        <w:gridCol w:w="5119"/>
        <w:gridCol w:w="1022"/>
        <w:gridCol w:w="1022"/>
        <w:gridCol w:w="1022"/>
        <w:gridCol w:w="1022"/>
        <w:gridCol w:w="1022"/>
        <w:gridCol w:w="1022"/>
        <w:gridCol w:w="1022"/>
        <w:gridCol w:w="1330"/>
      </w:tblGrid>
      <w:tr w:rsidR="006E08A0" w:rsidRPr="00B363AA" w14:paraId="1A791EEE" w14:textId="77777777" w:rsidTr="005F19A0">
        <w:trPr>
          <w:cantSplit/>
          <w:trHeight w:val="274"/>
          <w:jc w:val="center"/>
        </w:trPr>
        <w:tc>
          <w:tcPr>
            <w:tcW w:w="511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4D03191D" w14:textId="77777777" w:rsidR="006E08A0" w:rsidRPr="00B363AA" w:rsidRDefault="006E08A0" w:rsidP="005F19A0">
            <w:pPr>
              <w:jc w:val="left"/>
              <w:rPr>
                <w:rFonts w:cs="Calibri"/>
                <w:sz w:val="20"/>
                <w:szCs w:val="20"/>
              </w:rPr>
            </w:pPr>
            <w:r w:rsidRPr="00B363AA">
              <w:rPr>
                <w:rFonts w:cs="Calibri"/>
                <w:sz w:val="20"/>
                <w:szCs w:val="20"/>
              </w:rPr>
              <w:t>Conseils de gestion</w:t>
            </w:r>
          </w:p>
        </w:tc>
        <w:tc>
          <w:tcPr>
            <w:tcW w:w="3066"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0AE741C2" w14:textId="77777777" w:rsidR="006E08A0" w:rsidRPr="00B363AA" w:rsidRDefault="006E08A0" w:rsidP="005F19A0">
            <w:pPr>
              <w:jc w:val="center"/>
              <w:rPr>
                <w:rFonts w:cs="Calibri"/>
                <w:sz w:val="16"/>
                <w:szCs w:val="16"/>
              </w:rPr>
            </w:pPr>
            <w:r w:rsidRPr="00B363AA">
              <w:rPr>
                <w:rFonts w:cs="Calibri"/>
                <w:sz w:val="16"/>
                <w:szCs w:val="16"/>
              </w:rPr>
              <w:t>Production</w:t>
            </w:r>
          </w:p>
        </w:tc>
        <w:tc>
          <w:tcPr>
            <w:tcW w:w="102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64D2693F" w14:textId="77777777" w:rsidR="006E08A0" w:rsidRPr="00B363AA" w:rsidRDefault="006E08A0" w:rsidP="005F19A0">
            <w:pPr>
              <w:jc w:val="center"/>
              <w:rPr>
                <w:rFonts w:cs="Calibri"/>
                <w:sz w:val="16"/>
                <w:szCs w:val="16"/>
              </w:rPr>
            </w:pPr>
            <w:r w:rsidRPr="00B363AA">
              <w:rPr>
                <w:rFonts w:cs="Calibri"/>
                <w:sz w:val="16"/>
                <w:szCs w:val="16"/>
              </w:rPr>
              <w:t>Infiltration</w:t>
            </w:r>
          </w:p>
        </w:tc>
        <w:tc>
          <w:tcPr>
            <w:tcW w:w="102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771C7172" w14:textId="77777777" w:rsidR="006E08A0" w:rsidRPr="00B363AA" w:rsidRDefault="006E08A0" w:rsidP="005F19A0">
            <w:pPr>
              <w:jc w:val="center"/>
              <w:rPr>
                <w:rFonts w:cs="Calibri"/>
                <w:sz w:val="16"/>
                <w:szCs w:val="16"/>
              </w:rPr>
            </w:pPr>
            <w:r w:rsidRPr="00B363AA">
              <w:rPr>
                <w:rFonts w:cs="Calibri"/>
                <w:sz w:val="16"/>
                <w:szCs w:val="16"/>
              </w:rPr>
              <w:t>Protection nappes</w:t>
            </w:r>
          </w:p>
        </w:tc>
        <w:tc>
          <w:tcPr>
            <w:tcW w:w="102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19392145" w14:textId="77777777" w:rsidR="006E08A0" w:rsidRPr="00B363AA" w:rsidRDefault="006E08A0" w:rsidP="005F19A0">
            <w:pPr>
              <w:jc w:val="center"/>
              <w:rPr>
                <w:rFonts w:cs="Calibri"/>
                <w:sz w:val="16"/>
                <w:szCs w:val="16"/>
              </w:rPr>
            </w:pPr>
            <w:r w:rsidRPr="00B363AA">
              <w:rPr>
                <w:rFonts w:cs="Calibri"/>
                <w:sz w:val="16"/>
                <w:szCs w:val="16"/>
              </w:rPr>
              <w:t>Biodiversité du sol</w:t>
            </w:r>
          </w:p>
        </w:tc>
        <w:tc>
          <w:tcPr>
            <w:tcW w:w="102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3FBE1B79" w14:textId="77777777" w:rsidR="006E08A0" w:rsidRPr="00B363AA" w:rsidRDefault="006E08A0" w:rsidP="005F19A0">
            <w:pPr>
              <w:jc w:val="center"/>
              <w:rPr>
                <w:rFonts w:cs="Calibri"/>
                <w:sz w:val="16"/>
                <w:szCs w:val="16"/>
              </w:rPr>
            </w:pPr>
            <w:r w:rsidRPr="00B363AA">
              <w:rPr>
                <w:rFonts w:cs="Calibri"/>
                <w:sz w:val="16"/>
                <w:szCs w:val="16"/>
              </w:rPr>
              <w:t>Biodiversité végétale</w:t>
            </w:r>
          </w:p>
        </w:tc>
        <w:tc>
          <w:tcPr>
            <w:tcW w:w="133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0E2841" w:themeFill="text2"/>
            <w:vAlign w:val="center"/>
          </w:tcPr>
          <w:p w14:paraId="7B30CEC4" w14:textId="77777777" w:rsidR="006E08A0" w:rsidRPr="00B363AA" w:rsidRDefault="006E08A0" w:rsidP="005F19A0">
            <w:pPr>
              <w:jc w:val="center"/>
              <w:rPr>
                <w:rFonts w:cs="Calibri"/>
                <w:sz w:val="16"/>
                <w:szCs w:val="16"/>
              </w:rPr>
            </w:pPr>
            <w:r w:rsidRPr="00B363AA">
              <w:rPr>
                <w:rFonts w:cs="Calibri"/>
                <w:sz w:val="16"/>
                <w:szCs w:val="16"/>
              </w:rPr>
              <w:t>Stockage carbone</w:t>
            </w:r>
          </w:p>
        </w:tc>
      </w:tr>
      <w:tr w:rsidR="006E08A0" w:rsidRPr="00B363AA" w14:paraId="7A5DAF8E" w14:textId="77777777" w:rsidTr="005F19A0">
        <w:trPr>
          <w:cantSplit/>
          <w:trHeight w:val="414"/>
          <w:jc w:val="center"/>
        </w:trPr>
        <w:tc>
          <w:tcPr>
            <w:tcW w:w="5119" w:type="dxa"/>
            <w:vMerge/>
            <w:tcBorders>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33A44F54" w14:textId="77777777" w:rsidR="006E08A0" w:rsidRPr="00B363AA" w:rsidRDefault="006E08A0" w:rsidP="005F19A0">
            <w:pPr>
              <w:jc w:val="left"/>
              <w:rPr>
                <w:rFonts w:cs="Calibri"/>
                <w:sz w:val="20"/>
                <w:szCs w:val="20"/>
              </w:rPr>
            </w:pPr>
          </w:p>
        </w:tc>
        <w:tc>
          <w:tcPr>
            <w:tcW w:w="10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41840C34" w14:textId="77777777" w:rsidR="006E08A0" w:rsidRPr="00B363AA" w:rsidRDefault="006E08A0" w:rsidP="005F19A0">
            <w:pPr>
              <w:jc w:val="center"/>
              <w:rPr>
                <w:rFonts w:cs="Calibri"/>
                <w:sz w:val="16"/>
                <w:szCs w:val="16"/>
              </w:rPr>
            </w:pPr>
            <w:r w:rsidRPr="00B363AA">
              <w:rPr>
                <w:rFonts w:cs="Calibri"/>
                <w:sz w:val="16"/>
                <w:szCs w:val="16"/>
              </w:rPr>
              <w:t>Nutrition</w:t>
            </w:r>
          </w:p>
        </w:tc>
        <w:tc>
          <w:tcPr>
            <w:tcW w:w="10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01D4F3B2" w14:textId="77777777" w:rsidR="006E08A0" w:rsidRPr="00B363AA" w:rsidRDefault="006E08A0" w:rsidP="005F19A0">
            <w:pPr>
              <w:jc w:val="center"/>
              <w:rPr>
                <w:rFonts w:cs="Calibri"/>
                <w:sz w:val="16"/>
                <w:szCs w:val="16"/>
              </w:rPr>
            </w:pPr>
            <w:r w:rsidRPr="00B363AA">
              <w:rPr>
                <w:rFonts w:cs="Calibri"/>
                <w:sz w:val="16"/>
                <w:szCs w:val="16"/>
              </w:rPr>
              <w:t>Fourniture eau</w:t>
            </w:r>
          </w:p>
        </w:tc>
        <w:tc>
          <w:tcPr>
            <w:tcW w:w="102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6195AE1B" w14:textId="77777777" w:rsidR="006E08A0" w:rsidRPr="00B363AA" w:rsidRDefault="006E08A0" w:rsidP="005F19A0">
            <w:pPr>
              <w:jc w:val="center"/>
              <w:rPr>
                <w:rFonts w:cs="Calibri"/>
                <w:sz w:val="16"/>
                <w:szCs w:val="16"/>
              </w:rPr>
            </w:pPr>
            <w:r w:rsidRPr="00B363AA">
              <w:rPr>
                <w:rFonts w:cs="Calibri"/>
                <w:sz w:val="16"/>
                <w:szCs w:val="16"/>
              </w:rPr>
              <w:t>Structure</w:t>
            </w:r>
          </w:p>
        </w:tc>
        <w:tc>
          <w:tcPr>
            <w:tcW w:w="1022" w:type="dxa"/>
            <w:vMerge/>
            <w:tcBorders>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464535BA" w14:textId="77777777" w:rsidR="006E08A0" w:rsidRPr="00B363AA" w:rsidRDefault="006E08A0" w:rsidP="005F19A0">
            <w:pPr>
              <w:jc w:val="center"/>
              <w:rPr>
                <w:rFonts w:cs="Calibri"/>
                <w:sz w:val="16"/>
                <w:szCs w:val="16"/>
              </w:rPr>
            </w:pPr>
          </w:p>
        </w:tc>
        <w:tc>
          <w:tcPr>
            <w:tcW w:w="1022" w:type="dxa"/>
            <w:vMerge/>
            <w:tcBorders>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682AEAF9" w14:textId="77777777" w:rsidR="006E08A0" w:rsidRPr="00B363AA" w:rsidRDefault="006E08A0" w:rsidP="005F19A0">
            <w:pPr>
              <w:jc w:val="center"/>
              <w:rPr>
                <w:rFonts w:cs="Calibri"/>
                <w:sz w:val="16"/>
                <w:szCs w:val="16"/>
              </w:rPr>
            </w:pPr>
          </w:p>
        </w:tc>
        <w:tc>
          <w:tcPr>
            <w:tcW w:w="1022" w:type="dxa"/>
            <w:vMerge/>
            <w:tcBorders>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51853A75" w14:textId="77777777" w:rsidR="006E08A0" w:rsidRPr="00B363AA" w:rsidRDefault="006E08A0" w:rsidP="005F19A0">
            <w:pPr>
              <w:jc w:val="center"/>
              <w:rPr>
                <w:rFonts w:cs="Calibri"/>
                <w:sz w:val="16"/>
                <w:szCs w:val="16"/>
              </w:rPr>
            </w:pPr>
          </w:p>
        </w:tc>
        <w:tc>
          <w:tcPr>
            <w:tcW w:w="1022" w:type="dxa"/>
            <w:vMerge/>
            <w:tcBorders>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7F2078D6" w14:textId="77777777" w:rsidR="006E08A0" w:rsidRPr="00B363AA" w:rsidRDefault="006E08A0" w:rsidP="005F19A0">
            <w:pPr>
              <w:jc w:val="center"/>
              <w:rPr>
                <w:rFonts w:cs="Calibri"/>
                <w:sz w:val="16"/>
                <w:szCs w:val="16"/>
              </w:rPr>
            </w:pPr>
          </w:p>
        </w:tc>
        <w:tc>
          <w:tcPr>
            <w:tcW w:w="1330" w:type="dxa"/>
            <w:vMerge/>
            <w:tcBorders>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tcPr>
          <w:p w14:paraId="1BC89DE2" w14:textId="77777777" w:rsidR="006E08A0" w:rsidRPr="00B363AA" w:rsidRDefault="006E08A0" w:rsidP="005F19A0">
            <w:pPr>
              <w:jc w:val="center"/>
              <w:rPr>
                <w:rFonts w:cs="Calibri"/>
                <w:sz w:val="16"/>
                <w:szCs w:val="16"/>
              </w:rPr>
            </w:pPr>
          </w:p>
        </w:tc>
      </w:tr>
      <w:tr w:rsidR="006E08A0" w:rsidRPr="00B363AA" w14:paraId="569ABF98" w14:textId="77777777" w:rsidTr="005F19A0">
        <w:trPr>
          <w:trHeight w:val="170"/>
          <w:jc w:val="center"/>
        </w:trPr>
        <w:tc>
          <w:tcPr>
            <w:tcW w:w="5119" w:type="dxa"/>
            <w:tcBorders>
              <w:top w:val="single" w:sz="4" w:space="0" w:color="FFFFFF" w:themeColor="background1"/>
            </w:tcBorders>
            <w:vAlign w:val="center"/>
            <w:hideMark/>
          </w:tcPr>
          <w:p w14:paraId="7724CD39" w14:textId="77777777" w:rsidR="006E08A0" w:rsidRPr="00B363AA" w:rsidRDefault="006E08A0" w:rsidP="005F19A0">
            <w:pPr>
              <w:rPr>
                <w:rFonts w:cs="Calibri"/>
                <w:sz w:val="20"/>
                <w:szCs w:val="20"/>
              </w:rPr>
            </w:pPr>
            <w:r w:rsidRPr="00B363AA">
              <w:rPr>
                <w:sz w:val="20"/>
                <w:szCs w:val="20"/>
              </w:rPr>
              <w:t>Amendements organiques</w:t>
            </w:r>
          </w:p>
        </w:tc>
        <w:tc>
          <w:tcPr>
            <w:tcW w:w="1022" w:type="dxa"/>
            <w:tcBorders>
              <w:top w:val="single" w:sz="4" w:space="0" w:color="FFFFFF" w:themeColor="background1"/>
            </w:tcBorders>
            <w:noWrap/>
            <w:vAlign w:val="center"/>
          </w:tcPr>
          <w:p w14:paraId="59E2009C"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tcBorders>
              <w:top w:val="single" w:sz="4" w:space="0" w:color="FFFFFF" w:themeColor="background1"/>
            </w:tcBorders>
            <w:noWrap/>
            <w:vAlign w:val="center"/>
          </w:tcPr>
          <w:p w14:paraId="4E3E5915"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tcBorders>
              <w:top w:val="single" w:sz="4" w:space="0" w:color="FFFFFF" w:themeColor="background1"/>
            </w:tcBorders>
            <w:noWrap/>
            <w:vAlign w:val="center"/>
          </w:tcPr>
          <w:p w14:paraId="48EC507F"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tcBorders>
              <w:top w:val="single" w:sz="4" w:space="0" w:color="FFFFFF" w:themeColor="background1"/>
            </w:tcBorders>
            <w:noWrap/>
            <w:vAlign w:val="center"/>
          </w:tcPr>
          <w:p w14:paraId="2CD8F81F"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tcBorders>
              <w:top w:val="single" w:sz="4" w:space="0" w:color="FFFFFF" w:themeColor="background1"/>
            </w:tcBorders>
            <w:noWrap/>
            <w:vAlign w:val="center"/>
          </w:tcPr>
          <w:p w14:paraId="1AB38AE4"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tcBorders>
              <w:top w:val="single" w:sz="4" w:space="0" w:color="FFFFFF" w:themeColor="background1"/>
            </w:tcBorders>
            <w:noWrap/>
            <w:vAlign w:val="center"/>
          </w:tcPr>
          <w:p w14:paraId="74E40732"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tcBorders>
              <w:top w:val="single" w:sz="4" w:space="0" w:color="FFFFFF" w:themeColor="background1"/>
            </w:tcBorders>
            <w:noWrap/>
            <w:vAlign w:val="center"/>
          </w:tcPr>
          <w:p w14:paraId="6AF4F61C" w14:textId="77777777" w:rsidR="006E08A0" w:rsidRPr="00B363AA" w:rsidRDefault="006E08A0" w:rsidP="005F19A0">
            <w:pPr>
              <w:jc w:val="center"/>
              <w:rPr>
                <w:rFonts w:cs="Calibri"/>
                <w:sz w:val="16"/>
                <w:szCs w:val="16"/>
              </w:rPr>
            </w:pPr>
          </w:p>
        </w:tc>
        <w:tc>
          <w:tcPr>
            <w:tcW w:w="1330" w:type="dxa"/>
            <w:tcBorders>
              <w:top w:val="single" w:sz="4" w:space="0" w:color="FFFFFF" w:themeColor="background1"/>
            </w:tcBorders>
            <w:noWrap/>
            <w:vAlign w:val="center"/>
          </w:tcPr>
          <w:p w14:paraId="52926E35" w14:textId="77777777" w:rsidR="006E08A0" w:rsidRPr="00B363AA" w:rsidRDefault="006E08A0" w:rsidP="005F19A0">
            <w:pPr>
              <w:jc w:val="center"/>
              <w:rPr>
                <w:rFonts w:cs="Calibri"/>
                <w:sz w:val="16"/>
                <w:szCs w:val="16"/>
              </w:rPr>
            </w:pPr>
            <w:r w:rsidRPr="00B363AA">
              <w:rPr>
                <w:rFonts w:cs="Calibri"/>
                <w:sz w:val="16"/>
                <w:szCs w:val="16"/>
              </w:rPr>
              <w:t>X</w:t>
            </w:r>
          </w:p>
        </w:tc>
      </w:tr>
      <w:tr w:rsidR="006E08A0" w:rsidRPr="00B363AA" w14:paraId="50120DCE" w14:textId="77777777" w:rsidTr="005F19A0">
        <w:trPr>
          <w:trHeight w:val="170"/>
          <w:jc w:val="center"/>
        </w:trPr>
        <w:tc>
          <w:tcPr>
            <w:tcW w:w="5119" w:type="dxa"/>
            <w:vAlign w:val="center"/>
            <w:hideMark/>
          </w:tcPr>
          <w:p w14:paraId="09B509FB" w14:textId="77777777" w:rsidR="006E08A0" w:rsidRPr="00B363AA" w:rsidRDefault="006E08A0" w:rsidP="005F19A0">
            <w:pPr>
              <w:jc w:val="left"/>
              <w:rPr>
                <w:rFonts w:cs="Calibri"/>
                <w:sz w:val="20"/>
                <w:szCs w:val="20"/>
              </w:rPr>
            </w:pPr>
            <w:r w:rsidRPr="00B363AA">
              <w:rPr>
                <w:sz w:val="20"/>
                <w:szCs w:val="20"/>
              </w:rPr>
              <w:t>Amendements acides ou basiques</w:t>
            </w:r>
          </w:p>
        </w:tc>
        <w:tc>
          <w:tcPr>
            <w:tcW w:w="1022" w:type="dxa"/>
            <w:noWrap/>
            <w:vAlign w:val="center"/>
          </w:tcPr>
          <w:p w14:paraId="014C9AE9"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72DF7D03" w14:textId="77777777" w:rsidR="006E08A0" w:rsidRPr="00B363AA" w:rsidRDefault="006E08A0" w:rsidP="005F19A0">
            <w:pPr>
              <w:jc w:val="center"/>
              <w:rPr>
                <w:rFonts w:cs="Calibri"/>
                <w:sz w:val="16"/>
                <w:szCs w:val="16"/>
              </w:rPr>
            </w:pPr>
          </w:p>
        </w:tc>
        <w:tc>
          <w:tcPr>
            <w:tcW w:w="1022" w:type="dxa"/>
            <w:noWrap/>
            <w:vAlign w:val="center"/>
          </w:tcPr>
          <w:p w14:paraId="02CBC7EB" w14:textId="77777777" w:rsidR="006E08A0" w:rsidRPr="00B363AA" w:rsidRDefault="006E08A0" w:rsidP="005F19A0">
            <w:pPr>
              <w:jc w:val="center"/>
              <w:rPr>
                <w:rFonts w:cs="Calibri"/>
                <w:sz w:val="16"/>
                <w:szCs w:val="16"/>
              </w:rPr>
            </w:pPr>
          </w:p>
        </w:tc>
        <w:tc>
          <w:tcPr>
            <w:tcW w:w="1022" w:type="dxa"/>
            <w:noWrap/>
            <w:vAlign w:val="center"/>
          </w:tcPr>
          <w:p w14:paraId="5EC129B5" w14:textId="77777777" w:rsidR="006E08A0" w:rsidRPr="00B363AA" w:rsidRDefault="006E08A0" w:rsidP="005F19A0">
            <w:pPr>
              <w:jc w:val="center"/>
              <w:rPr>
                <w:rFonts w:cs="Calibri"/>
                <w:sz w:val="16"/>
                <w:szCs w:val="16"/>
              </w:rPr>
            </w:pPr>
          </w:p>
        </w:tc>
        <w:tc>
          <w:tcPr>
            <w:tcW w:w="1022" w:type="dxa"/>
            <w:noWrap/>
            <w:vAlign w:val="center"/>
          </w:tcPr>
          <w:p w14:paraId="3369EC75" w14:textId="77777777" w:rsidR="006E08A0" w:rsidRPr="00B363AA" w:rsidRDefault="006E08A0" w:rsidP="005F19A0">
            <w:pPr>
              <w:jc w:val="center"/>
              <w:rPr>
                <w:rFonts w:cs="Calibri"/>
                <w:sz w:val="16"/>
                <w:szCs w:val="16"/>
              </w:rPr>
            </w:pPr>
          </w:p>
        </w:tc>
        <w:tc>
          <w:tcPr>
            <w:tcW w:w="1022" w:type="dxa"/>
            <w:noWrap/>
            <w:vAlign w:val="center"/>
          </w:tcPr>
          <w:p w14:paraId="01A11DF9" w14:textId="77777777" w:rsidR="006E08A0" w:rsidRPr="00B363AA" w:rsidRDefault="006E08A0" w:rsidP="005F19A0">
            <w:pPr>
              <w:jc w:val="center"/>
              <w:rPr>
                <w:rFonts w:cs="Calibri"/>
                <w:sz w:val="16"/>
                <w:szCs w:val="16"/>
              </w:rPr>
            </w:pPr>
          </w:p>
        </w:tc>
        <w:tc>
          <w:tcPr>
            <w:tcW w:w="1022" w:type="dxa"/>
            <w:noWrap/>
            <w:vAlign w:val="center"/>
          </w:tcPr>
          <w:p w14:paraId="1D07884A" w14:textId="77777777" w:rsidR="006E08A0" w:rsidRPr="00B363AA" w:rsidRDefault="006E08A0" w:rsidP="005F19A0">
            <w:pPr>
              <w:jc w:val="center"/>
              <w:rPr>
                <w:rFonts w:cs="Calibri"/>
                <w:sz w:val="16"/>
                <w:szCs w:val="16"/>
              </w:rPr>
            </w:pPr>
          </w:p>
        </w:tc>
        <w:tc>
          <w:tcPr>
            <w:tcW w:w="1330" w:type="dxa"/>
            <w:noWrap/>
            <w:vAlign w:val="center"/>
          </w:tcPr>
          <w:p w14:paraId="45044684" w14:textId="77777777" w:rsidR="006E08A0" w:rsidRPr="00B363AA" w:rsidRDefault="006E08A0" w:rsidP="005F19A0">
            <w:pPr>
              <w:jc w:val="center"/>
              <w:rPr>
                <w:rFonts w:cs="Calibri"/>
                <w:sz w:val="16"/>
                <w:szCs w:val="16"/>
              </w:rPr>
            </w:pPr>
          </w:p>
        </w:tc>
      </w:tr>
      <w:tr w:rsidR="006E08A0" w:rsidRPr="00B363AA" w14:paraId="19AEA5D3" w14:textId="77777777" w:rsidTr="005F19A0">
        <w:trPr>
          <w:trHeight w:val="170"/>
          <w:jc w:val="center"/>
        </w:trPr>
        <w:tc>
          <w:tcPr>
            <w:tcW w:w="5119" w:type="dxa"/>
            <w:vAlign w:val="center"/>
            <w:hideMark/>
          </w:tcPr>
          <w:p w14:paraId="5FA883E2" w14:textId="77777777" w:rsidR="006E08A0" w:rsidRPr="00B363AA" w:rsidRDefault="006E08A0" w:rsidP="005F19A0">
            <w:pPr>
              <w:jc w:val="left"/>
              <w:rPr>
                <w:rFonts w:cs="Calibri"/>
                <w:sz w:val="20"/>
                <w:szCs w:val="20"/>
              </w:rPr>
            </w:pPr>
            <w:r w:rsidRPr="00B363AA">
              <w:rPr>
                <w:sz w:val="20"/>
                <w:szCs w:val="20"/>
              </w:rPr>
              <w:t>Engrais</w:t>
            </w:r>
          </w:p>
        </w:tc>
        <w:tc>
          <w:tcPr>
            <w:tcW w:w="1022" w:type="dxa"/>
            <w:noWrap/>
            <w:vAlign w:val="center"/>
          </w:tcPr>
          <w:p w14:paraId="5ED84C17"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2AEC0A23" w14:textId="77777777" w:rsidR="006E08A0" w:rsidRPr="00B363AA" w:rsidRDefault="006E08A0" w:rsidP="005F19A0">
            <w:pPr>
              <w:jc w:val="center"/>
              <w:rPr>
                <w:rFonts w:cs="Calibri"/>
                <w:sz w:val="16"/>
                <w:szCs w:val="16"/>
              </w:rPr>
            </w:pPr>
          </w:p>
        </w:tc>
        <w:tc>
          <w:tcPr>
            <w:tcW w:w="1022" w:type="dxa"/>
            <w:noWrap/>
            <w:vAlign w:val="center"/>
          </w:tcPr>
          <w:p w14:paraId="3C4DBD40" w14:textId="77777777" w:rsidR="006E08A0" w:rsidRPr="00B363AA" w:rsidRDefault="006E08A0" w:rsidP="005F19A0">
            <w:pPr>
              <w:jc w:val="center"/>
              <w:rPr>
                <w:rFonts w:cs="Calibri"/>
                <w:sz w:val="16"/>
                <w:szCs w:val="16"/>
              </w:rPr>
            </w:pPr>
          </w:p>
        </w:tc>
        <w:tc>
          <w:tcPr>
            <w:tcW w:w="1022" w:type="dxa"/>
            <w:noWrap/>
            <w:vAlign w:val="center"/>
          </w:tcPr>
          <w:p w14:paraId="0D62269B" w14:textId="77777777" w:rsidR="006E08A0" w:rsidRPr="00B363AA" w:rsidRDefault="006E08A0" w:rsidP="005F19A0">
            <w:pPr>
              <w:jc w:val="center"/>
              <w:rPr>
                <w:rFonts w:cs="Calibri"/>
                <w:sz w:val="16"/>
                <w:szCs w:val="16"/>
              </w:rPr>
            </w:pPr>
          </w:p>
        </w:tc>
        <w:tc>
          <w:tcPr>
            <w:tcW w:w="1022" w:type="dxa"/>
            <w:noWrap/>
            <w:vAlign w:val="center"/>
          </w:tcPr>
          <w:p w14:paraId="096FC06F" w14:textId="77777777" w:rsidR="006E08A0" w:rsidRPr="00B363AA" w:rsidRDefault="006E08A0" w:rsidP="005F19A0">
            <w:pPr>
              <w:jc w:val="center"/>
              <w:rPr>
                <w:rFonts w:cs="Calibri"/>
                <w:sz w:val="16"/>
                <w:szCs w:val="16"/>
              </w:rPr>
            </w:pPr>
          </w:p>
        </w:tc>
        <w:tc>
          <w:tcPr>
            <w:tcW w:w="1022" w:type="dxa"/>
            <w:noWrap/>
            <w:vAlign w:val="center"/>
          </w:tcPr>
          <w:p w14:paraId="1F3617AD" w14:textId="77777777" w:rsidR="006E08A0" w:rsidRPr="00B363AA" w:rsidRDefault="006E08A0" w:rsidP="005F19A0">
            <w:pPr>
              <w:jc w:val="center"/>
              <w:rPr>
                <w:rFonts w:cs="Calibri"/>
                <w:sz w:val="16"/>
                <w:szCs w:val="16"/>
              </w:rPr>
            </w:pPr>
          </w:p>
        </w:tc>
        <w:tc>
          <w:tcPr>
            <w:tcW w:w="1022" w:type="dxa"/>
            <w:noWrap/>
            <w:vAlign w:val="center"/>
          </w:tcPr>
          <w:p w14:paraId="793707E8" w14:textId="77777777" w:rsidR="006E08A0" w:rsidRPr="00B363AA" w:rsidRDefault="006E08A0" w:rsidP="005F19A0">
            <w:pPr>
              <w:jc w:val="center"/>
              <w:rPr>
                <w:rFonts w:cs="Calibri"/>
                <w:sz w:val="16"/>
                <w:szCs w:val="16"/>
              </w:rPr>
            </w:pPr>
          </w:p>
        </w:tc>
        <w:tc>
          <w:tcPr>
            <w:tcW w:w="1330" w:type="dxa"/>
            <w:noWrap/>
            <w:vAlign w:val="center"/>
          </w:tcPr>
          <w:p w14:paraId="4F375B19" w14:textId="77777777" w:rsidR="006E08A0" w:rsidRPr="00B363AA" w:rsidRDefault="006E08A0" w:rsidP="005F19A0">
            <w:pPr>
              <w:jc w:val="center"/>
              <w:rPr>
                <w:rFonts w:cs="Calibri"/>
                <w:sz w:val="16"/>
                <w:szCs w:val="16"/>
              </w:rPr>
            </w:pPr>
          </w:p>
        </w:tc>
      </w:tr>
      <w:tr w:rsidR="006E08A0" w:rsidRPr="00B363AA" w14:paraId="4D2D7276" w14:textId="77777777" w:rsidTr="005F19A0">
        <w:trPr>
          <w:trHeight w:val="170"/>
          <w:jc w:val="center"/>
        </w:trPr>
        <w:tc>
          <w:tcPr>
            <w:tcW w:w="5119" w:type="dxa"/>
            <w:vAlign w:val="center"/>
            <w:hideMark/>
          </w:tcPr>
          <w:p w14:paraId="5C1C5E07" w14:textId="77777777" w:rsidR="006E08A0" w:rsidRPr="00B363AA" w:rsidRDefault="006E08A0" w:rsidP="005F19A0">
            <w:pPr>
              <w:jc w:val="left"/>
              <w:rPr>
                <w:rFonts w:cs="Calibri"/>
                <w:sz w:val="20"/>
                <w:szCs w:val="20"/>
              </w:rPr>
            </w:pPr>
            <w:r w:rsidRPr="00B363AA">
              <w:rPr>
                <w:rFonts w:cs="Calibri"/>
                <w:sz w:val="20"/>
                <w:szCs w:val="20"/>
              </w:rPr>
              <w:t>Maintien d’un couvert permanent</w:t>
            </w:r>
          </w:p>
        </w:tc>
        <w:tc>
          <w:tcPr>
            <w:tcW w:w="1022" w:type="dxa"/>
            <w:noWrap/>
            <w:vAlign w:val="center"/>
          </w:tcPr>
          <w:p w14:paraId="47500C3B"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64F21D88"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3763CC0A"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0A97691D"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6DA829F7" w14:textId="77777777" w:rsidR="006E08A0" w:rsidRPr="00B363AA" w:rsidRDefault="006E08A0" w:rsidP="005F19A0">
            <w:pPr>
              <w:jc w:val="center"/>
              <w:rPr>
                <w:rFonts w:cs="Calibri"/>
                <w:sz w:val="16"/>
                <w:szCs w:val="16"/>
              </w:rPr>
            </w:pPr>
          </w:p>
        </w:tc>
        <w:tc>
          <w:tcPr>
            <w:tcW w:w="1022" w:type="dxa"/>
            <w:noWrap/>
            <w:vAlign w:val="center"/>
          </w:tcPr>
          <w:p w14:paraId="675EDDEB"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3D745D82" w14:textId="77777777" w:rsidR="006E08A0" w:rsidRPr="00B363AA" w:rsidRDefault="006E08A0" w:rsidP="005F19A0">
            <w:pPr>
              <w:jc w:val="center"/>
              <w:rPr>
                <w:rFonts w:cs="Calibri"/>
                <w:sz w:val="16"/>
                <w:szCs w:val="16"/>
              </w:rPr>
            </w:pPr>
          </w:p>
        </w:tc>
        <w:tc>
          <w:tcPr>
            <w:tcW w:w="1330" w:type="dxa"/>
            <w:noWrap/>
            <w:vAlign w:val="center"/>
          </w:tcPr>
          <w:p w14:paraId="3434159A" w14:textId="77777777" w:rsidR="006E08A0" w:rsidRPr="00B363AA" w:rsidRDefault="006E08A0" w:rsidP="005F19A0">
            <w:pPr>
              <w:jc w:val="center"/>
              <w:rPr>
                <w:rFonts w:cs="Calibri"/>
                <w:sz w:val="16"/>
                <w:szCs w:val="16"/>
              </w:rPr>
            </w:pPr>
            <w:r w:rsidRPr="00B363AA">
              <w:rPr>
                <w:rFonts w:cs="Calibri"/>
                <w:sz w:val="16"/>
                <w:szCs w:val="16"/>
              </w:rPr>
              <w:t>X</w:t>
            </w:r>
          </w:p>
        </w:tc>
      </w:tr>
      <w:tr w:rsidR="006E08A0" w:rsidRPr="00B363AA" w14:paraId="5AB449E6" w14:textId="77777777" w:rsidTr="005F19A0">
        <w:trPr>
          <w:trHeight w:val="170"/>
          <w:jc w:val="center"/>
        </w:trPr>
        <w:tc>
          <w:tcPr>
            <w:tcW w:w="5119" w:type="dxa"/>
            <w:vAlign w:val="center"/>
            <w:hideMark/>
          </w:tcPr>
          <w:p w14:paraId="638CF793" w14:textId="77777777" w:rsidR="006E08A0" w:rsidRPr="00B363AA" w:rsidRDefault="006E08A0" w:rsidP="005F19A0">
            <w:pPr>
              <w:jc w:val="left"/>
              <w:rPr>
                <w:rFonts w:cs="Calibri"/>
                <w:sz w:val="20"/>
                <w:szCs w:val="20"/>
              </w:rPr>
            </w:pPr>
            <w:r w:rsidRPr="00B363AA">
              <w:rPr>
                <w:rFonts w:cs="Calibri"/>
                <w:sz w:val="20"/>
                <w:szCs w:val="20"/>
              </w:rPr>
              <w:t>Intervention de décompaction</w:t>
            </w:r>
          </w:p>
        </w:tc>
        <w:tc>
          <w:tcPr>
            <w:tcW w:w="1022" w:type="dxa"/>
            <w:noWrap/>
            <w:vAlign w:val="center"/>
          </w:tcPr>
          <w:p w14:paraId="3202B305" w14:textId="77777777" w:rsidR="006E08A0" w:rsidRPr="00B363AA" w:rsidRDefault="006E08A0" w:rsidP="005F19A0">
            <w:pPr>
              <w:jc w:val="center"/>
              <w:rPr>
                <w:rFonts w:cs="Calibri"/>
                <w:sz w:val="16"/>
                <w:szCs w:val="16"/>
              </w:rPr>
            </w:pPr>
          </w:p>
        </w:tc>
        <w:tc>
          <w:tcPr>
            <w:tcW w:w="1022" w:type="dxa"/>
            <w:noWrap/>
            <w:vAlign w:val="center"/>
          </w:tcPr>
          <w:p w14:paraId="2C9AA0E2"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431ABE51"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7403F673"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57128F7D" w14:textId="77777777" w:rsidR="006E08A0" w:rsidRPr="00B363AA" w:rsidRDefault="006E08A0" w:rsidP="005F19A0">
            <w:pPr>
              <w:jc w:val="center"/>
              <w:rPr>
                <w:rFonts w:cs="Calibri"/>
                <w:sz w:val="16"/>
                <w:szCs w:val="16"/>
              </w:rPr>
            </w:pPr>
          </w:p>
        </w:tc>
        <w:tc>
          <w:tcPr>
            <w:tcW w:w="1022" w:type="dxa"/>
            <w:noWrap/>
            <w:vAlign w:val="center"/>
          </w:tcPr>
          <w:p w14:paraId="7E179608"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69E3B920" w14:textId="77777777" w:rsidR="006E08A0" w:rsidRPr="00B363AA" w:rsidRDefault="006E08A0" w:rsidP="005F19A0">
            <w:pPr>
              <w:jc w:val="center"/>
              <w:rPr>
                <w:rFonts w:cs="Calibri"/>
                <w:sz w:val="16"/>
                <w:szCs w:val="16"/>
              </w:rPr>
            </w:pPr>
          </w:p>
        </w:tc>
        <w:tc>
          <w:tcPr>
            <w:tcW w:w="1330" w:type="dxa"/>
            <w:noWrap/>
            <w:vAlign w:val="center"/>
          </w:tcPr>
          <w:p w14:paraId="6041E327" w14:textId="77777777" w:rsidR="006E08A0" w:rsidRPr="00B363AA" w:rsidRDefault="006E08A0" w:rsidP="005F19A0">
            <w:pPr>
              <w:jc w:val="center"/>
              <w:rPr>
                <w:rFonts w:cs="Calibri"/>
                <w:sz w:val="16"/>
                <w:szCs w:val="16"/>
              </w:rPr>
            </w:pPr>
          </w:p>
        </w:tc>
      </w:tr>
      <w:tr w:rsidR="006E08A0" w:rsidRPr="00B363AA" w14:paraId="13B86419" w14:textId="77777777" w:rsidTr="005F19A0">
        <w:trPr>
          <w:trHeight w:val="170"/>
          <w:jc w:val="center"/>
        </w:trPr>
        <w:tc>
          <w:tcPr>
            <w:tcW w:w="5119" w:type="dxa"/>
            <w:vAlign w:val="center"/>
            <w:hideMark/>
          </w:tcPr>
          <w:p w14:paraId="5183EAA0" w14:textId="77777777" w:rsidR="006E08A0" w:rsidRPr="00B363AA" w:rsidRDefault="006E08A0" w:rsidP="005F19A0">
            <w:pPr>
              <w:jc w:val="left"/>
              <w:rPr>
                <w:rFonts w:cs="Calibri"/>
                <w:sz w:val="20"/>
                <w:szCs w:val="20"/>
              </w:rPr>
            </w:pPr>
            <w:r w:rsidRPr="00B363AA">
              <w:rPr>
                <w:rFonts w:cs="Calibri"/>
                <w:sz w:val="20"/>
                <w:szCs w:val="20"/>
              </w:rPr>
              <w:t>Exporter les nutriments via les résidus végétaux</w:t>
            </w:r>
          </w:p>
        </w:tc>
        <w:tc>
          <w:tcPr>
            <w:tcW w:w="1022" w:type="dxa"/>
            <w:noWrap/>
            <w:vAlign w:val="center"/>
          </w:tcPr>
          <w:p w14:paraId="4CCCCF72" w14:textId="77777777" w:rsidR="006E08A0" w:rsidRPr="00B363AA" w:rsidRDefault="006E08A0" w:rsidP="005F19A0">
            <w:pPr>
              <w:jc w:val="center"/>
              <w:rPr>
                <w:rFonts w:cs="Calibri"/>
                <w:sz w:val="16"/>
                <w:szCs w:val="16"/>
              </w:rPr>
            </w:pPr>
          </w:p>
        </w:tc>
        <w:tc>
          <w:tcPr>
            <w:tcW w:w="1022" w:type="dxa"/>
            <w:noWrap/>
            <w:vAlign w:val="center"/>
          </w:tcPr>
          <w:p w14:paraId="683F21A7" w14:textId="77777777" w:rsidR="006E08A0" w:rsidRPr="00B363AA" w:rsidRDefault="006E08A0" w:rsidP="005F19A0">
            <w:pPr>
              <w:jc w:val="center"/>
              <w:rPr>
                <w:rFonts w:cs="Calibri"/>
                <w:sz w:val="16"/>
                <w:szCs w:val="16"/>
              </w:rPr>
            </w:pPr>
          </w:p>
        </w:tc>
        <w:tc>
          <w:tcPr>
            <w:tcW w:w="1022" w:type="dxa"/>
            <w:noWrap/>
            <w:vAlign w:val="center"/>
          </w:tcPr>
          <w:p w14:paraId="58FAEA52" w14:textId="77777777" w:rsidR="006E08A0" w:rsidRPr="00B363AA" w:rsidRDefault="006E08A0" w:rsidP="005F19A0">
            <w:pPr>
              <w:jc w:val="center"/>
              <w:rPr>
                <w:rFonts w:cs="Calibri"/>
                <w:sz w:val="16"/>
                <w:szCs w:val="16"/>
              </w:rPr>
            </w:pPr>
          </w:p>
        </w:tc>
        <w:tc>
          <w:tcPr>
            <w:tcW w:w="1022" w:type="dxa"/>
            <w:noWrap/>
            <w:vAlign w:val="center"/>
          </w:tcPr>
          <w:p w14:paraId="2CFC1FC9" w14:textId="77777777" w:rsidR="006E08A0" w:rsidRPr="00B363AA" w:rsidRDefault="006E08A0" w:rsidP="005F19A0">
            <w:pPr>
              <w:jc w:val="center"/>
              <w:rPr>
                <w:rFonts w:cs="Calibri"/>
                <w:sz w:val="16"/>
                <w:szCs w:val="16"/>
              </w:rPr>
            </w:pPr>
          </w:p>
        </w:tc>
        <w:tc>
          <w:tcPr>
            <w:tcW w:w="1022" w:type="dxa"/>
            <w:noWrap/>
            <w:vAlign w:val="center"/>
          </w:tcPr>
          <w:p w14:paraId="5F5C2D3F" w14:textId="77777777" w:rsidR="006E08A0" w:rsidRPr="00B363AA" w:rsidRDefault="006E08A0" w:rsidP="005F19A0">
            <w:pPr>
              <w:jc w:val="center"/>
              <w:rPr>
                <w:rFonts w:cs="Calibri"/>
                <w:sz w:val="16"/>
                <w:szCs w:val="16"/>
              </w:rPr>
            </w:pPr>
          </w:p>
        </w:tc>
        <w:tc>
          <w:tcPr>
            <w:tcW w:w="1022" w:type="dxa"/>
            <w:noWrap/>
            <w:vAlign w:val="center"/>
          </w:tcPr>
          <w:p w14:paraId="6E40B1CF" w14:textId="77777777" w:rsidR="006E08A0" w:rsidRPr="00B363AA" w:rsidRDefault="006E08A0" w:rsidP="005F19A0">
            <w:pPr>
              <w:jc w:val="center"/>
              <w:rPr>
                <w:rFonts w:cs="Calibri"/>
                <w:sz w:val="16"/>
                <w:szCs w:val="16"/>
              </w:rPr>
            </w:pPr>
          </w:p>
        </w:tc>
        <w:tc>
          <w:tcPr>
            <w:tcW w:w="1022" w:type="dxa"/>
            <w:noWrap/>
            <w:vAlign w:val="center"/>
          </w:tcPr>
          <w:p w14:paraId="42F24FEE" w14:textId="77777777" w:rsidR="006E08A0" w:rsidRPr="00B363AA" w:rsidRDefault="006E08A0" w:rsidP="005F19A0">
            <w:pPr>
              <w:jc w:val="center"/>
              <w:rPr>
                <w:rFonts w:cs="Calibri"/>
                <w:sz w:val="16"/>
                <w:szCs w:val="16"/>
              </w:rPr>
            </w:pPr>
            <w:r w:rsidRPr="00B363AA">
              <w:rPr>
                <w:rFonts w:cs="Calibri"/>
                <w:sz w:val="16"/>
                <w:szCs w:val="16"/>
              </w:rPr>
              <w:t>X</w:t>
            </w:r>
          </w:p>
        </w:tc>
        <w:tc>
          <w:tcPr>
            <w:tcW w:w="1330" w:type="dxa"/>
            <w:noWrap/>
            <w:vAlign w:val="center"/>
          </w:tcPr>
          <w:p w14:paraId="64F12F81" w14:textId="77777777" w:rsidR="006E08A0" w:rsidRPr="00B363AA" w:rsidRDefault="006E08A0" w:rsidP="005F19A0">
            <w:pPr>
              <w:jc w:val="center"/>
              <w:rPr>
                <w:rFonts w:cs="Calibri"/>
                <w:sz w:val="16"/>
                <w:szCs w:val="16"/>
              </w:rPr>
            </w:pPr>
          </w:p>
        </w:tc>
      </w:tr>
      <w:tr w:rsidR="006E08A0" w:rsidRPr="00B363AA" w14:paraId="1E7FFBD5" w14:textId="77777777" w:rsidTr="005F19A0">
        <w:trPr>
          <w:trHeight w:val="170"/>
          <w:jc w:val="center"/>
        </w:trPr>
        <w:tc>
          <w:tcPr>
            <w:tcW w:w="5119" w:type="dxa"/>
            <w:vAlign w:val="center"/>
            <w:hideMark/>
          </w:tcPr>
          <w:p w14:paraId="23E4CCB4" w14:textId="77777777" w:rsidR="006E08A0" w:rsidRPr="00B363AA" w:rsidRDefault="006E08A0" w:rsidP="005F19A0">
            <w:pPr>
              <w:jc w:val="left"/>
              <w:rPr>
                <w:rFonts w:cs="Calibri"/>
                <w:sz w:val="20"/>
                <w:szCs w:val="20"/>
              </w:rPr>
            </w:pPr>
            <w:r w:rsidRPr="00B363AA">
              <w:rPr>
                <w:rFonts w:cs="Calibri"/>
                <w:sz w:val="20"/>
                <w:szCs w:val="20"/>
              </w:rPr>
              <w:t>Gestion de la pollution</w:t>
            </w:r>
          </w:p>
        </w:tc>
        <w:tc>
          <w:tcPr>
            <w:tcW w:w="3066" w:type="dxa"/>
            <w:gridSpan w:val="3"/>
            <w:noWrap/>
            <w:vAlign w:val="center"/>
          </w:tcPr>
          <w:p w14:paraId="1B8DE305"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2D4AF130" w14:textId="77777777" w:rsidR="006E08A0" w:rsidRPr="00B363AA" w:rsidRDefault="006E08A0" w:rsidP="005F19A0">
            <w:pPr>
              <w:jc w:val="center"/>
              <w:rPr>
                <w:rFonts w:cs="Calibri"/>
                <w:sz w:val="16"/>
                <w:szCs w:val="16"/>
              </w:rPr>
            </w:pPr>
          </w:p>
        </w:tc>
        <w:tc>
          <w:tcPr>
            <w:tcW w:w="1022" w:type="dxa"/>
            <w:noWrap/>
            <w:vAlign w:val="center"/>
          </w:tcPr>
          <w:p w14:paraId="2F138505"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1AE2EEB4"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0EEC39B9" w14:textId="77777777" w:rsidR="006E08A0" w:rsidRPr="00B363AA" w:rsidRDefault="006E08A0" w:rsidP="005F19A0">
            <w:pPr>
              <w:jc w:val="center"/>
              <w:rPr>
                <w:rFonts w:cs="Calibri"/>
                <w:sz w:val="16"/>
                <w:szCs w:val="16"/>
              </w:rPr>
            </w:pPr>
          </w:p>
        </w:tc>
        <w:tc>
          <w:tcPr>
            <w:tcW w:w="1330" w:type="dxa"/>
            <w:noWrap/>
            <w:vAlign w:val="center"/>
          </w:tcPr>
          <w:p w14:paraId="176F28E1" w14:textId="77777777" w:rsidR="006E08A0" w:rsidRPr="00B363AA" w:rsidRDefault="006E08A0" w:rsidP="005F19A0">
            <w:pPr>
              <w:jc w:val="center"/>
              <w:rPr>
                <w:rFonts w:cs="Calibri"/>
                <w:sz w:val="16"/>
                <w:szCs w:val="16"/>
              </w:rPr>
            </w:pPr>
          </w:p>
        </w:tc>
      </w:tr>
      <w:tr w:rsidR="006E08A0" w:rsidRPr="00B363AA" w14:paraId="3A935CC4" w14:textId="77777777" w:rsidTr="005F19A0">
        <w:trPr>
          <w:trHeight w:val="170"/>
          <w:jc w:val="center"/>
        </w:trPr>
        <w:tc>
          <w:tcPr>
            <w:tcW w:w="5119" w:type="dxa"/>
            <w:vAlign w:val="center"/>
            <w:hideMark/>
          </w:tcPr>
          <w:p w14:paraId="2EECE7C8" w14:textId="77777777" w:rsidR="006E08A0" w:rsidRPr="00B363AA" w:rsidRDefault="006E08A0" w:rsidP="005F19A0">
            <w:pPr>
              <w:jc w:val="left"/>
              <w:rPr>
                <w:rFonts w:cs="Calibri"/>
                <w:sz w:val="20"/>
                <w:szCs w:val="20"/>
              </w:rPr>
            </w:pPr>
            <w:r w:rsidRPr="00B363AA">
              <w:rPr>
                <w:rFonts w:cs="Calibri"/>
                <w:sz w:val="20"/>
                <w:szCs w:val="20"/>
              </w:rPr>
              <w:t>Gestion des EEE</w:t>
            </w:r>
          </w:p>
        </w:tc>
        <w:tc>
          <w:tcPr>
            <w:tcW w:w="3066" w:type="dxa"/>
            <w:gridSpan w:val="3"/>
            <w:noWrap/>
            <w:vAlign w:val="center"/>
          </w:tcPr>
          <w:p w14:paraId="5184AF7C"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6A4CFAFE" w14:textId="77777777" w:rsidR="006E08A0" w:rsidRPr="00B363AA" w:rsidRDefault="006E08A0" w:rsidP="005F19A0">
            <w:pPr>
              <w:jc w:val="center"/>
              <w:rPr>
                <w:rFonts w:cs="Calibri"/>
                <w:sz w:val="16"/>
                <w:szCs w:val="16"/>
              </w:rPr>
            </w:pPr>
          </w:p>
        </w:tc>
        <w:tc>
          <w:tcPr>
            <w:tcW w:w="1022" w:type="dxa"/>
            <w:noWrap/>
            <w:vAlign w:val="center"/>
          </w:tcPr>
          <w:p w14:paraId="2645BF09"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5CBE9129"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15D3CA62" w14:textId="77777777" w:rsidR="006E08A0" w:rsidRPr="00B363AA" w:rsidRDefault="006E08A0" w:rsidP="005F19A0">
            <w:pPr>
              <w:jc w:val="center"/>
              <w:rPr>
                <w:rFonts w:cs="Calibri"/>
                <w:sz w:val="16"/>
                <w:szCs w:val="16"/>
              </w:rPr>
            </w:pPr>
          </w:p>
        </w:tc>
        <w:tc>
          <w:tcPr>
            <w:tcW w:w="1330" w:type="dxa"/>
            <w:noWrap/>
            <w:vAlign w:val="center"/>
          </w:tcPr>
          <w:p w14:paraId="7907C812" w14:textId="77777777" w:rsidR="006E08A0" w:rsidRPr="00B363AA" w:rsidRDefault="006E08A0" w:rsidP="005F19A0">
            <w:pPr>
              <w:jc w:val="center"/>
              <w:rPr>
                <w:rFonts w:cs="Calibri"/>
                <w:sz w:val="16"/>
                <w:szCs w:val="16"/>
              </w:rPr>
            </w:pPr>
          </w:p>
        </w:tc>
      </w:tr>
      <w:tr w:rsidR="006E08A0" w:rsidRPr="00B363AA" w14:paraId="520A1F2A" w14:textId="77777777" w:rsidTr="005F19A0">
        <w:trPr>
          <w:trHeight w:val="170"/>
          <w:jc w:val="center"/>
        </w:trPr>
        <w:tc>
          <w:tcPr>
            <w:tcW w:w="5119" w:type="dxa"/>
            <w:noWrap/>
            <w:vAlign w:val="center"/>
            <w:hideMark/>
          </w:tcPr>
          <w:p w14:paraId="425A995B" w14:textId="77777777" w:rsidR="006E08A0" w:rsidRPr="00B363AA" w:rsidRDefault="006E08A0" w:rsidP="005F19A0">
            <w:pPr>
              <w:jc w:val="left"/>
              <w:rPr>
                <w:rFonts w:cs="Calibri"/>
                <w:sz w:val="20"/>
                <w:szCs w:val="20"/>
              </w:rPr>
            </w:pPr>
            <w:r w:rsidRPr="00B363AA">
              <w:rPr>
                <w:rFonts w:cs="Calibri"/>
                <w:sz w:val="20"/>
                <w:szCs w:val="20"/>
              </w:rPr>
              <w:t>Amendements biologiques</w:t>
            </w:r>
          </w:p>
        </w:tc>
        <w:tc>
          <w:tcPr>
            <w:tcW w:w="1022" w:type="dxa"/>
            <w:noWrap/>
            <w:vAlign w:val="center"/>
          </w:tcPr>
          <w:p w14:paraId="28B9FCD8" w14:textId="77777777" w:rsidR="006E08A0" w:rsidRPr="00B363AA" w:rsidRDefault="006E08A0" w:rsidP="005F19A0">
            <w:pPr>
              <w:jc w:val="center"/>
              <w:rPr>
                <w:rFonts w:cs="Calibri"/>
                <w:sz w:val="16"/>
                <w:szCs w:val="16"/>
              </w:rPr>
            </w:pPr>
          </w:p>
        </w:tc>
        <w:tc>
          <w:tcPr>
            <w:tcW w:w="1022" w:type="dxa"/>
            <w:noWrap/>
            <w:vAlign w:val="center"/>
          </w:tcPr>
          <w:p w14:paraId="0225BA92" w14:textId="77777777" w:rsidR="006E08A0" w:rsidRPr="00B363AA" w:rsidRDefault="006E08A0" w:rsidP="005F19A0">
            <w:pPr>
              <w:jc w:val="center"/>
              <w:rPr>
                <w:rFonts w:cs="Calibri"/>
                <w:sz w:val="16"/>
                <w:szCs w:val="16"/>
              </w:rPr>
            </w:pPr>
          </w:p>
        </w:tc>
        <w:tc>
          <w:tcPr>
            <w:tcW w:w="1022" w:type="dxa"/>
            <w:noWrap/>
            <w:vAlign w:val="center"/>
          </w:tcPr>
          <w:p w14:paraId="7C732D2E" w14:textId="77777777" w:rsidR="006E08A0" w:rsidRPr="00B363AA" w:rsidRDefault="006E08A0" w:rsidP="005F19A0">
            <w:pPr>
              <w:jc w:val="center"/>
              <w:rPr>
                <w:rFonts w:cs="Calibri"/>
                <w:sz w:val="16"/>
                <w:szCs w:val="16"/>
              </w:rPr>
            </w:pPr>
          </w:p>
        </w:tc>
        <w:tc>
          <w:tcPr>
            <w:tcW w:w="1022" w:type="dxa"/>
            <w:noWrap/>
            <w:vAlign w:val="center"/>
          </w:tcPr>
          <w:p w14:paraId="69993C1D" w14:textId="77777777" w:rsidR="006E08A0" w:rsidRPr="00B363AA" w:rsidRDefault="006E08A0" w:rsidP="005F19A0">
            <w:pPr>
              <w:jc w:val="center"/>
              <w:rPr>
                <w:rFonts w:cs="Calibri"/>
                <w:sz w:val="16"/>
                <w:szCs w:val="16"/>
              </w:rPr>
            </w:pPr>
          </w:p>
        </w:tc>
        <w:tc>
          <w:tcPr>
            <w:tcW w:w="1022" w:type="dxa"/>
            <w:noWrap/>
            <w:vAlign w:val="center"/>
          </w:tcPr>
          <w:p w14:paraId="36A425CA" w14:textId="77777777" w:rsidR="006E08A0" w:rsidRPr="00B363AA" w:rsidRDefault="006E08A0" w:rsidP="005F19A0">
            <w:pPr>
              <w:jc w:val="center"/>
              <w:rPr>
                <w:rFonts w:cs="Calibri"/>
                <w:sz w:val="16"/>
                <w:szCs w:val="16"/>
              </w:rPr>
            </w:pPr>
          </w:p>
        </w:tc>
        <w:tc>
          <w:tcPr>
            <w:tcW w:w="1022" w:type="dxa"/>
            <w:noWrap/>
            <w:vAlign w:val="center"/>
          </w:tcPr>
          <w:p w14:paraId="524A7685" w14:textId="77777777" w:rsidR="006E08A0" w:rsidRPr="00B363AA" w:rsidRDefault="006E08A0" w:rsidP="005F19A0">
            <w:pPr>
              <w:jc w:val="center"/>
              <w:rPr>
                <w:rFonts w:cs="Calibri"/>
                <w:sz w:val="16"/>
                <w:szCs w:val="16"/>
              </w:rPr>
            </w:pPr>
            <w:r w:rsidRPr="00B363AA">
              <w:rPr>
                <w:rFonts w:cs="Calibri"/>
                <w:sz w:val="16"/>
                <w:szCs w:val="16"/>
              </w:rPr>
              <w:t>X</w:t>
            </w:r>
          </w:p>
        </w:tc>
        <w:tc>
          <w:tcPr>
            <w:tcW w:w="1022" w:type="dxa"/>
            <w:noWrap/>
            <w:vAlign w:val="center"/>
          </w:tcPr>
          <w:p w14:paraId="0DB1B8BE" w14:textId="77777777" w:rsidR="006E08A0" w:rsidRPr="00B363AA" w:rsidRDefault="006E08A0" w:rsidP="005F19A0">
            <w:pPr>
              <w:jc w:val="center"/>
              <w:rPr>
                <w:rFonts w:cs="Calibri"/>
                <w:sz w:val="16"/>
                <w:szCs w:val="16"/>
              </w:rPr>
            </w:pPr>
          </w:p>
        </w:tc>
        <w:tc>
          <w:tcPr>
            <w:tcW w:w="1330" w:type="dxa"/>
            <w:noWrap/>
            <w:vAlign w:val="center"/>
          </w:tcPr>
          <w:p w14:paraId="7608FE21" w14:textId="77777777" w:rsidR="006E08A0" w:rsidRPr="00B363AA" w:rsidRDefault="006E08A0" w:rsidP="005F19A0">
            <w:pPr>
              <w:jc w:val="center"/>
              <w:rPr>
                <w:rFonts w:cs="Calibri"/>
                <w:sz w:val="16"/>
                <w:szCs w:val="16"/>
              </w:rPr>
            </w:pPr>
          </w:p>
        </w:tc>
      </w:tr>
    </w:tbl>
    <w:p w14:paraId="695A6CBD" w14:textId="77777777" w:rsidR="006E08A0" w:rsidRPr="00B363AA" w:rsidRDefault="006E08A0" w:rsidP="006E08A0">
      <w:pPr>
        <w:sectPr w:rsidR="006E08A0" w:rsidRPr="00B363AA" w:rsidSect="006E08A0">
          <w:pgSz w:w="16838" w:h="11906" w:orient="landscape"/>
          <w:pgMar w:top="1418" w:right="1418" w:bottom="1418" w:left="1418" w:header="709" w:footer="709" w:gutter="0"/>
          <w:pgNumType w:chapStyle="1"/>
          <w:cols w:space="708"/>
          <w:titlePg/>
          <w:docGrid w:linePitch="360"/>
        </w:sectPr>
      </w:pPr>
    </w:p>
    <w:p w14:paraId="4D0A90BC" w14:textId="77777777" w:rsidR="006E08A0" w:rsidRPr="00B363AA" w:rsidRDefault="006E08A0">
      <w:pPr>
        <w:pStyle w:val="Titre2"/>
        <w:numPr>
          <w:ilvl w:val="1"/>
          <w:numId w:val="12"/>
        </w:numPr>
      </w:pPr>
      <w:bookmarkStart w:id="201" w:name="_Toc233387915"/>
      <w:bookmarkStart w:id="202" w:name="_Toc241243017"/>
      <w:r w:rsidRPr="00B363AA">
        <w:lastRenderedPageBreak/>
        <w:t>Mesures compensatoires</w:t>
      </w:r>
      <w:bookmarkEnd w:id="201"/>
      <w:bookmarkEnd w:id="202"/>
    </w:p>
    <w:p w14:paraId="295F62BA" w14:textId="77777777" w:rsidR="006E08A0" w:rsidRPr="00B363AA" w:rsidRDefault="006E08A0" w:rsidP="006E08A0">
      <w:r w:rsidRPr="00B363AA">
        <w:t xml:space="preserve">Les mesures compensatoires ont pour objectif de compenser des pertes de services écosystémiques causées par un projet. Ces mesures peuvent consister soit en une gestion améliorée, soit en une </w:t>
      </w:r>
      <w:proofErr w:type="spellStart"/>
      <w:r w:rsidRPr="00B363AA">
        <w:t>désimperméabilisation</w:t>
      </w:r>
      <w:proofErr w:type="spellEnd"/>
      <w:r w:rsidRPr="00B363AA">
        <w:t xml:space="preserve"> de zones scellées à l’échelle du site. L’impact des mesures compensatoires peut donc </w:t>
      </w:r>
      <w:proofErr w:type="gramStart"/>
      <w:r w:rsidRPr="00B363AA">
        <w:t>estimé</w:t>
      </w:r>
      <w:proofErr w:type="gramEnd"/>
      <w:r w:rsidRPr="00B363AA">
        <w:t xml:space="preserve"> au même titre que les gains de services.</w:t>
      </w:r>
    </w:p>
    <w:p w14:paraId="4B5B38A9" w14:textId="0A2397E6" w:rsidR="006E08A0" w:rsidRPr="00B363AA" w:rsidRDefault="006E08A0" w:rsidP="006E08A0">
      <w:r w:rsidRPr="00B363AA">
        <w:t xml:space="preserve">En tant que perspective, une réflexion à plus grande échelle pourrait s’envisager. Par exemple, le Land de Hesse met en place un système qui oblige les constructeurs à mettre en place des mesures de compensation, et cela peut se faire au-delà de l’échelle du site </w:t>
      </w:r>
      <w:r w:rsidRPr="00B363AA">
        <w:fldChar w:fldCharType="begin"/>
      </w:r>
      <w:r w:rsidR="00432908" w:rsidRPr="00B363AA">
        <w:instrText xml:space="preserve"> ADDIN ZOTERO_ITEM CSL_CITATION {"citationID":"Wyhxrg4x","properties":{"formattedCitation":"(Miller et al., 2023)","plainCitation":"(Miller et al., 2023)","noteIndex":0},"citationItems":[{"id":613,"uris":["http://zotero.org/groups/5684833/items/PJE26W7V"],"itemData":{"id":613,"type":"book","ISBN":"978-3-89531-619-7","publisher":"Umwelt und Geologie Böden und Bodenschutz in Hessen, Heft 16","title":"Kompensation des Schutzguts Boden in Planungs- und Genehmigungsverfahren - Arbeitshilfe zur Ermittlung des Kompensationsbedarfs für das Schutzgut Boden in Hessen und Rheinland-Pfalz","URL":"https://www.hlnug.de/themen/boden/vorsorge/bodenschutz-in-der-planung/kompensation-schutzgut-boden","author":[{"family":"Miller","given":"Ricarda"},{"family":"Busch","given":"Johanna"},{"family":"Friedrich","given":"Klaus"},{"family":"Fritzsch","given":"Dagmar"},{"family":"Goldschmitt","given":"Michael"},{"family":"Handke","given":"Kevin"},{"family":"Pflanz","given":"Dorthe"},{"family":"Sauer","given":"Stephan"},{"family":"Vorderbrügge","given":"Thomas"}],"accessed":{"date-parts":[["2026",6,17]]},"issued":{"date-parts":[["2023"]]}}}],"schema":"https://github.com/citation-style-language/schema/raw/master/csl-citation.json"} </w:instrText>
      </w:r>
      <w:r w:rsidRPr="00B363AA">
        <w:fldChar w:fldCharType="separate"/>
      </w:r>
      <w:r w:rsidR="00432908" w:rsidRPr="00B363AA">
        <w:rPr>
          <w:rFonts w:cs="Calibri"/>
        </w:rPr>
        <w:t>(Miller et al., 2023)</w:t>
      </w:r>
      <w:r w:rsidRPr="00B363AA">
        <w:fldChar w:fldCharType="end"/>
      </w:r>
      <w:r w:rsidRPr="00B363AA">
        <w:t>. Ainsi, un gestionnaire qui dégrade le sol d’une zone donnée devra compenser son impact par exemple en :</w:t>
      </w:r>
    </w:p>
    <w:p w14:paraId="059982FD" w14:textId="77777777" w:rsidR="006E08A0" w:rsidRPr="00B363AA" w:rsidRDefault="006E08A0">
      <w:pPr>
        <w:pStyle w:val="Paragraphedeliste"/>
        <w:numPr>
          <w:ilvl w:val="0"/>
          <w:numId w:val="31"/>
        </w:numPr>
      </w:pPr>
      <w:r w:rsidRPr="00B363AA">
        <w:t>Désimperméabilisant une zone de surface équivalente ailleurs,</w:t>
      </w:r>
    </w:p>
    <w:p w14:paraId="6D42E459" w14:textId="77777777" w:rsidR="006E08A0" w:rsidRPr="00B363AA" w:rsidRDefault="006E08A0">
      <w:pPr>
        <w:pStyle w:val="Paragraphedeliste"/>
        <w:numPr>
          <w:ilvl w:val="0"/>
          <w:numId w:val="31"/>
        </w:numPr>
      </w:pPr>
      <w:r w:rsidRPr="00B363AA">
        <w:t>En finançant la conversion d’un agriculteur vers des techniques culturales plus vertueuses pour le sol (mise en place de mesure pour limiter les risques d’érosion etc.).</w:t>
      </w:r>
    </w:p>
    <w:p w14:paraId="3A3F0C44" w14:textId="77777777" w:rsidR="006E08A0" w:rsidRPr="00B363AA" w:rsidRDefault="006E08A0">
      <w:pPr>
        <w:pStyle w:val="Titre2"/>
        <w:numPr>
          <w:ilvl w:val="1"/>
          <w:numId w:val="12"/>
        </w:numPr>
      </w:pPr>
      <w:bookmarkStart w:id="203" w:name="_Toc233387916"/>
      <w:bookmarkStart w:id="204" w:name="_Toc241243018"/>
      <w:r w:rsidRPr="00B363AA">
        <w:t>Mesures de prévention lors du chantier</w:t>
      </w:r>
      <w:bookmarkEnd w:id="203"/>
      <w:bookmarkEnd w:id="204"/>
    </w:p>
    <w:p w14:paraId="1FC64FC4" w14:textId="77777777" w:rsidR="006E08A0" w:rsidRPr="00B363AA" w:rsidRDefault="006E08A0" w:rsidP="006E08A0">
      <w:r w:rsidRPr="00B363AA">
        <w:t xml:space="preserve">Un chantier peut représenter une menace significative pour la capacité du sol à remplir des services écosystémiques, en raison des mouvements de terre (déblai-remblai), du stockage des terres et des matériaux, de l’implantation des infrastructures de chantier, du charroi, du passage répété d’engins lourds et du stationnement de ceux-ci…  Un sol peut voir sa capacité à remplir des SE fortement réduite au terme du chantier, ce qui peut remettre en cause le diagnostic pré-chantier. </w:t>
      </w:r>
    </w:p>
    <w:p w14:paraId="15EEDB7C" w14:textId="77777777" w:rsidR="006E08A0" w:rsidRPr="00B363AA" w:rsidRDefault="006E08A0" w:rsidP="006E08A0">
      <w:r w:rsidRPr="00B363AA">
        <w:t>L’impact d’un chantier sur le sol peut être considérablement réduit par l’application de quelques principes simples de planification et de gestion du chantier. Plus le chantier est de grande ampleur, plus la réflexion est pertinente.</w:t>
      </w:r>
    </w:p>
    <w:p w14:paraId="0766F041" w14:textId="79BB2EC2" w:rsidR="006E08A0" w:rsidRPr="00B363AA" w:rsidRDefault="006E08A0" w:rsidP="006E08A0">
      <w:r w:rsidRPr="00B363AA">
        <w:t xml:space="preserve">Les principaux leviers d’action, inspirés du Code de Bonnes Pratiques bruxellois « Les sols sains et les chantiers » </w:t>
      </w:r>
      <w:r w:rsidRPr="00B363AA">
        <w:fldChar w:fldCharType="begin"/>
      </w:r>
      <w:r w:rsidR="00432908" w:rsidRPr="00B363AA">
        <w:instrText xml:space="preserve"> ADDIN ZOTERO_ITEM CSL_CITATION {"citationID":"FjcEpUFi","properties":{"formattedCitation":"(Bruxelles Environnement, 2026)","plainCitation":"(Bruxelles Environnement, 2026)","noteIndex":0},"citationItems":[{"id":611,"uris":["http://zotero.org/groups/5684833/items/LSRUU93H"],"itemData":{"id":611,"type":"document","title":"Les sols sains et les chantiers - Mesures de gestion intégrée du sol dans le cadre des chantiers de construction et du traitement des pollutions du sol","URL":"https://alfresco.environnement.brussels/share/s/ujj2OU4sRwGQN2tDjeJgFw","author":[{"family":"Bruxelles Environnement","given":""}],"accessed":{"date-parts":[["2026",6,16]]},"issued":{"date-parts":[["2026"]]}}}],"schema":"https://github.com/citation-style-language/schema/raw/master/csl-citation.json"} </w:instrText>
      </w:r>
      <w:r w:rsidRPr="00B363AA">
        <w:fldChar w:fldCharType="separate"/>
      </w:r>
      <w:r w:rsidR="00432908" w:rsidRPr="00B363AA">
        <w:rPr>
          <w:rFonts w:cs="Calibri"/>
        </w:rPr>
        <w:t>(Bruxelles Environnement, 2026)</w:t>
      </w:r>
      <w:r w:rsidRPr="00B363AA">
        <w:fldChar w:fldCharType="end"/>
      </w:r>
      <w:r w:rsidRPr="00B363AA">
        <w:t>, sont les suivants :</w:t>
      </w:r>
    </w:p>
    <w:p w14:paraId="131B96AD" w14:textId="77777777" w:rsidR="006E08A0" w:rsidRPr="00B363AA" w:rsidRDefault="006E08A0">
      <w:pPr>
        <w:pStyle w:val="Paragraphedeliste"/>
        <w:numPr>
          <w:ilvl w:val="0"/>
          <w:numId w:val="30"/>
        </w:numPr>
      </w:pPr>
      <w:r w:rsidRPr="00B363AA">
        <w:t>Privilégier les zones imperméabilisées pour le stockage des terres, des machines, et pour l’implantation des infrastructures de chantier ;</w:t>
      </w:r>
    </w:p>
    <w:p w14:paraId="24703301" w14:textId="77777777" w:rsidR="006E08A0" w:rsidRPr="00B363AA" w:rsidRDefault="006E08A0">
      <w:pPr>
        <w:pStyle w:val="Paragraphedeliste"/>
        <w:numPr>
          <w:ilvl w:val="0"/>
          <w:numId w:val="30"/>
        </w:numPr>
      </w:pPr>
      <w:r w:rsidRPr="00B363AA">
        <w:t>Délimiter les zones perméables devant rester intactes, afin d’éviter une compaction inutile de ces zones ;</w:t>
      </w:r>
    </w:p>
    <w:p w14:paraId="7F618420" w14:textId="77777777" w:rsidR="006E08A0" w:rsidRPr="00B363AA" w:rsidRDefault="006E08A0">
      <w:pPr>
        <w:pStyle w:val="Paragraphedeliste"/>
        <w:numPr>
          <w:ilvl w:val="0"/>
          <w:numId w:val="30"/>
        </w:numPr>
      </w:pPr>
      <w:r w:rsidRPr="00B363AA">
        <w:t>Limiter l’impact du charroi en termes de tassement du sol, en prévoyant des plaques de roulage, et en évitant de rouler sur des sols très humides (ce qui les rend particulièrement sensibles à la compaction) ;</w:t>
      </w:r>
    </w:p>
    <w:p w14:paraId="5B16CCDD" w14:textId="77777777" w:rsidR="006E08A0" w:rsidRPr="00B363AA" w:rsidRDefault="006E08A0">
      <w:pPr>
        <w:pStyle w:val="Paragraphedeliste"/>
        <w:numPr>
          <w:ilvl w:val="0"/>
          <w:numId w:val="30"/>
        </w:numPr>
      </w:pPr>
      <w:r w:rsidRPr="00B363AA">
        <w:t>Prêter une attention particulière à la présence d’espèces exotiques envahissantes lors des terrassements (voir GRGT partie 5) ;</w:t>
      </w:r>
    </w:p>
    <w:p w14:paraId="14BE2343" w14:textId="77777777" w:rsidR="006E08A0" w:rsidRPr="00B363AA" w:rsidRDefault="006E08A0">
      <w:pPr>
        <w:pStyle w:val="Paragraphedeliste"/>
        <w:numPr>
          <w:ilvl w:val="0"/>
          <w:numId w:val="30"/>
        </w:numPr>
      </w:pPr>
      <w:r w:rsidRPr="00B363AA">
        <w:t>Excaver avec parcimonie et en respectant la délimitation des horizons dans le développement de profil ;</w:t>
      </w:r>
    </w:p>
    <w:p w14:paraId="5D5B872C" w14:textId="77777777" w:rsidR="006E08A0" w:rsidRPr="00B363AA" w:rsidRDefault="006E08A0">
      <w:pPr>
        <w:pStyle w:val="Paragraphedeliste"/>
        <w:numPr>
          <w:ilvl w:val="0"/>
          <w:numId w:val="30"/>
        </w:numPr>
      </w:pPr>
      <w:r w:rsidRPr="00B363AA">
        <w:t>Baliser les remblais en cohérence avec le potentiel du sol et les objectifs de la zone réceptrice.</w:t>
      </w:r>
    </w:p>
    <w:p w14:paraId="1B5D87EA" w14:textId="77777777" w:rsidR="006E08A0" w:rsidRPr="00B363AA" w:rsidRDefault="006E08A0" w:rsidP="006E08A0">
      <w:r w:rsidRPr="00B363AA">
        <w:t>Si respectées, la plupart de ces mesures, relevant du bon sens, permettront de préserver considérablement la qualité du sol au sein du site.</w:t>
      </w:r>
    </w:p>
    <w:p w14:paraId="6E33E92E" w14:textId="77777777" w:rsidR="006E08A0" w:rsidRPr="00B363AA" w:rsidRDefault="006E08A0" w:rsidP="006E08A0"/>
    <w:p w14:paraId="58858D5C" w14:textId="77777777" w:rsidR="006E08A0" w:rsidRPr="00B363AA" w:rsidRDefault="006E08A0">
      <w:pPr>
        <w:pStyle w:val="Titre2"/>
        <w:numPr>
          <w:ilvl w:val="1"/>
          <w:numId w:val="12"/>
        </w:numPr>
      </w:pPr>
      <w:bookmarkStart w:id="205" w:name="_Toc233387917"/>
      <w:bookmarkStart w:id="206" w:name="_Toc241243019"/>
      <w:r w:rsidRPr="00B363AA">
        <w:lastRenderedPageBreak/>
        <w:t>Suivi post-projet</w:t>
      </w:r>
      <w:bookmarkEnd w:id="205"/>
      <w:bookmarkEnd w:id="206"/>
    </w:p>
    <w:p w14:paraId="24713D26" w14:textId="01E79EC3" w:rsidR="00126490" w:rsidRPr="00B363AA" w:rsidRDefault="006E08A0" w:rsidP="0082641C">
      <w:r w:rsidRPr="00B363AA">
        <w:t>Que ce soit pour objectiver les pertes ou les gains de services écosystémiques effectives sur le site du projet, un gestionnaire de site peut s’appuyer sur un second diagnostic (post-projet) pour vérifier que les actions mises en œuvre se sont traduites en amélioration effective de la qualité du sol. Cela permettrait de confronter la situation mesurée avec les prédictions en lien avec (1) les coefficients d’impact, (2) les objectifs d’amélioration.</w:t>
      </w:r>
    </w:p>
    <w:p w14:paraId="17BC72C8" w14:textId="4BE5CAEE" w:rsidR="0047609A" w:rsidRPr="00B363AA" w:rsidRDefault="0047609A" w:rsidP="0047609A">
      <w:pPr>
        <w:jc w:val="left"/>
      </w:pPr>
      <w:r w:rsidRPr="00B363AA">
        <w:br w:type="page"/>
      </w:r>
    </w:p>
    <w:p w14:paraId="033D824C" w14:textId="79965482" w:rsidR="00AE7428" w:rsidRPr="00B363AA" w:rsidRDefault="00861349">
      <w:pPr>
        <w:pStyle w:val="Titre1"/>
        <w:numPr>
          <w:ilvl w:val="0"/>
          <w:numId w:val="12"/>
        </w:numPr>
      </w:pPr>
      <w:bookmarkStart w:id="207" w:name="_Toc230267125"/>
      <w:bookmarkStart w:id="208" w:name="_Toc241243020"/>
      <w:bookmarkEnd w:id="166"/>
      <w:bookmarkEnd w:id="167"/>
      <w:r w:rsidRPr="00B363AA">
        <w:lastRenderedPageBreak/>
        <w:t>Étapes du diagnostic</w:t>
      </w:r>
      <w:bookmarkEnd w:id="207"/>
      <w:bookmarkEnd w:id="208"/>
    </w:p>
    <w:p w14:paraId="5D3A2D8D" w14:textId="1399A647" w:rsidR="00707047" w:rsidRPr="00B363AA" w:rsidRDefault="00707047" w:rsidP="00707047">
      <w:r w:rsidRPr="00B363AA">
        <w:t xml:space="preserve">Les étapes suivantes sont détaillées dans l’Annexe 1 </w:t>
      </w:r>
      <w:r w:rsidR="00D56293" w:rsidRPr="00B363AA">
        <w:t>– Guide Pratique pour le diagnostic.</w:t>
      </w:r>
      <w:r w:rsidR="000841E3" w:rsidRPr="00B363AA">
        <w:t xml:space="preserve"> Étant donné qu’une partie des étapes doit être effectuée en amont de la phase de terrain, les prescriptions suivantes sont rappelées dans le présent guide.</w:t>
      </w:r>
    </w:p>
    <w:p w14:paraId="4A90EBE4" w14:textId="33E36171" w:rsidR="00A216BE" w:rsidRPr="00B363AA" w:rsidRDefault="00A216BE">
      <w:pPr>
        <w:pStyle w:val="Titre2"/>
        <w:numPr>
          <w:ilvl w:val="1"/>
          <w:numId w:val="12"/>
        </w:numPr>
      </w:pPr>
      <w:bookmarkStart w:id="209" w:name="_Toc241243021"/>
      <w:r w:rsidRPr="00B363AA">
        <w:t>Délimitation des zones homogènes</w:t>
      </w:r>
      <w:bookmarkEnd w:id="209"/>
    </w:p>
    <w:p w14:paraId="22338065" w14:textId="24BC0139" w:rsidR="00DE5CA8" w:rsidRPr="00B363AA" w:rsidRDefault="2749A885" w:rsidP="00D85A01">
      <w:r w:rsidRPr="00B363AA">
        <w:t xml:space="preserve">Préalablement aux travaux de terrain, </w:t>
      </w:r>
      <w:r w:rsidR="64028119" w:rsidRPr="00B363AA">
        <w:t>l</w:t>
      </w:r>
      <w:r w:rsidR="00DE5CA8" w:rsidRPr="00B363AA">
        <w:t xml:space="preserve">a première étape du diagnostic IQSW-pro </w:t>
      </w:r>
      <w:r w:rsidR="7364E533" w:rsidRPr="00B363AA">
        <w:t>consiste en une consultation</w:t>
      </w:r>
      <w:r w:rsidR="00236AB5" w:rsidRPr="00B363AA">
        <w:t xml:space="preserve"> </w:t>
      </w:r>
      <w:r w:rsidR="14875961" w:rsidRPr="00B363AA">
        <w:t>d’</w:t>
      </w:r>
      <w:r w:rsidR="00236AB5" w:rsidRPr="00B363AA">
        <w:t xml:space="preserve">une série de couches cartographiques disponibles sur le Géoportail de la </w:t>
      </w:r>
      <w:r w:rsidR="003424A2" w:rsidRPr="00B363AA">
        <w:t>Wallonie</w:t>
      </w:r>
      <w:r w:rsidR="00236AB5" w:rsidRPr="00B363AA">
        <w:t xml:space="preserve">. </w:t>
      </w:r>
      <w:r w:rsidR="00656BA6" w:rsidRPr="00B363AA">
        <w:t xml:space="preserve">Cette étape est </w:t>
      </w:r>
      <w:r w:rsidR="5DEF1311" w:rsidRPr="00B363AA">
        <w:t>nécessaire</w:t>
      </w:r>
      <w:r w:rsidR="004B005A" w:rsidRPr="00B363AA">
        <w:t xml:space="preserve"> </w:t>
      </w:r>
      <w:r w:rsidR="00F64E33" w:rsidRPr="00B363AA">
        <w:t xml:space="preserve">pour </w:t>
      </w:r>
      <w:r w:rsidR="797D118E" w:rsidRPr="00B363AA">
        <w:t>établir une hypothèse de répartition de</w:t>
      </w:r>
      <w:r w:rsidR="00F64E33" w:rsidRPr="00B363AA">
        <w:t xml:space="preserve"> zones homogènes distinctes sur le site</w:t>
      </w:r>
      <w:r w:rsidR="58EC528D" w:rsidRPr="00B363AA">
        <w:t>, qui devra ensuite être validée</w:t>
      </w:r>
      <w:r w:rsidR="00F878F7" w:rsidRPr="00B363AA">
        <w:t xml:space="preserve"> ou </w:t>
      </w:r>
      <w:r w:rsidR="78E7DC76" w:rsidRPr="00B363AA">
        <w:t>adapt</w:t>
      </w:r>
      <w:r w:rsidR="00F878F7" w:rsidRPr="00B363AA">
        <w:t>ée sur base des observations de terrain (couvertures végétales contrastées, signes de compaction, différences pédologiques, etc</w:t>
      </w:r>
      <w:r w:rsidR="56A31EB6" w:rsidRPr="00B363AA">
        <w:t>.</w:t>
      </w:r>
      <w:r w:rsidR="00F878F7" w:rsidRPr="00B363AA">
        <w:t xml:space="preserve">). </w:t>
      </w:r>
      <w:r w:rsidR="00656BA6" w:rsidRPr="00B363AA">
        <w:t xml:space="preserve">Les couches pertinentes sont listées dans le </w:t>
      </w:r>
      <w:r w:rsidRPr="00B363AA">
        <w:fldChar w:fldCharType="begin"/>
      </w:r>
      <w:r w:rsidRPr="00B363AA">
        <w:instrText xml:space="preserve"> REF _Ref233122266 \h </w:instrText>
      </w:r>
      <w:r w:rsidR="003D7F8A" w:rsidRPr="00B363AA">
        <w:instrText xml:space="preserve"> \* MERGEFORMAT </w:instrText>
      </w:r>
      <w:r w:rsidRPr="00B363AA">
        <w:fldChar w:fldCharType="separate"/>
      </w:r>
      <w:r w:rsidR="003D7F8A" w:rsidRPr="00B363AA">
        <w:t>Tableau 8</w:t>
      </w:r>
      <w:r w:rsidRPr="00B363AA">
        <w:fldChar w:fldCharType="end"/>
      </w:r>
      <w:r w:rsidR="00395F78" w:rsidRPr="00B363AA">
        <w:t>.</w:t>
      </w:r>
    </w:p>
    <w:p w14:paraId="1B83339A" w14:textId="04248665" w:rsidR="00F878F7" w:rsidRPr="00B363AA" w:rsidRDefault="00F878F7" w:rsidP="00F878F7">
      <w:pPr>
        <w:pStyle w:val="Lgende"/>
        <w:keepNext/>
        <w:jc w:val="center"/>
        <w:rPr>
          <w:i w:val="0"/>
          <w:iCs w:val="0"/>
        </w:rPr>
      </w:pPr>
      <w:bookmarkStart w:id="210" w:name="_Ref233122266"/>
      <w:bookmarkStart w:id="211" w:name="_Toc233122676"/>
      <w:r w:rsidRPr="00B363AA">
        <w:rPr>
          <w:i w:val="0"/>
          <w:iCs w:val="0"/>
        </w:rPr>
        <w:t xml:space="preserve">Tableau </w:t>
      </w:r>
      <w:r w:rsidRPr="00B363AA">
        <w:rPr>
          <w:i w:val="0"/>
          <w:iCs w:val="0"/>
        </w:rPr>
        <w:fldChar w:fldCharType="begin"/>
      </w:r>
      <w:r w:rsidRPr="00B363AA">
        <w:rPr>
          <w:i w:val="0"/>
          <w:iCs w:val="0"/>
        </w:rPr>
        <w:instrText xml:space="preserve"> SEQ Tableau \* ARABIC </w:instrText>
      </w:r>
      <w:r w:rsidRPr="00B363AA">
        <w:rPr>
          <w:i w:val="0"/>
          <w:iCs w:val="0"/>
        </w:rPr>
        <w:fldChar w:fldCharType="separate"/>
      </w:r>
      <w:r w:rsidR="003D7F8A" w:rsidRPr="00B363AA">
        <w:rPr>
          <w:i w:val="0"/>
          <w:iCs w:val="0"/>
        </w:rPr>
        <w:t>8</w:t>
      </w:r>
      <w:r w:rsidRPr="00B363AA">
        <w:rPr>
          <w:i w:val="0"/>
          <w:iCs w:val="0"/>
        </w:rPr>
        <w:fldChar w:fldCharType="end"/>
      </w:r>
      <w:bookmarkEnd w:id="210"/>
      <w:r w:rsidRPr="00B363AA">
        <w:rPr>
          <w:i w:val="0"/>
          <w:iCs w:val="0"/>
        </w:rPr>
        <w:t xml:space="preserve"> : Liste des couches cartographiques mobilisables en amont du diagnostic IQSW-pro</w:t>
      </w:r>
      <w:bookmarkEnd w:id="211"/>
    </w:p>
    <w:tbl>
      <w:tblPr>
        <w:tblStyle w:val="Grilledutableau"/>
        <w:tblW w:w="9067" w:type="dxa"/>
        <w:tblLook w:val="04A0" w:firstRow="1" w:lastRow="0" w:firstColumn="1" w:lastColumn="0" w:noHBand="0" w:noVBand="1"/>
      </w:tblPr>
      <w:tblGrid>
        <w:gridCol w:w="2547"/>
        <w:gridCol w:w="6520"/>
      </w:tblGrid>
      <w:tr w:rsidR="001E0E2E" w:rsidRPr="00B363AA" w14:paraId="4B0E8AB6" w14:textId="77777777" w:rsidTr="00F878F7">
        <w:trPr>
          <w:trHeight w:val="283"/>
        </w:trPr>
        <w:tc>
          <w:tcPr>
            <w:tcW w:w="25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43181325" w14:textId="5CD0815D" w:rsidR="001E0E2E" w:rsidRPr="00B363AA" w:rsidRDefault="001E0E2E" w:rsidP="00F878F7">
            <w:pPr>
              <w:jc w:val="center"/>
              <w:rPr>
                <w:b/>
                <w:bCs/>
                <w:sz w:val="20"/>
                <w:szCs w:val="20"/>
              </w:rPr>
            </w:pPr>
            <w:r w:rsidRPr="00B363AA">
              <w:rPr>
                <w:b/>
                <w:bCs/>
                <w:sz w:val="20"/>
                <w:szCs w:val="20"/>
              </w:rPr>
              <w:t>Catégorie</w:t>
            </w:r>
            <w:r w:rsidR="00F878F7" w:rsidRPr="00B363AA">
              <w:rPr>
                <w:b/>
                <w:bCs/>
                <w:sz w:val="20"/>
                <w:szCs w:val="20"/>
              </w:rPr>
              <w:t xml:space="preserve"> d’information</w:t>
            </w:r>
          </w:p>
        </w:tc>
        <w:tc>
          <w:tcPr>
            <w:tcW w:w="65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0DA34158" w14:textId="474F4CA7" w:rsidR="001E0E2E" w:rsidRPr="00B363AA" w:rsidRDefault="001E0E2E" w:rsidP="00F878F7">
            <w:pPr>
              <w:jc w:val="center"/>
              <w:rPr>
                <w:b/>
                <w:bCs/>
                <w:sz w:val="20"/>
                <w:szCs w:val="20"/>
              </w:rPr>
            </w:pPr>
            <w:r w:rsidRPr="00B363AA">
              <w:rPr>
                <w:b/>
                <w:bCs/>
                <w:sz w:val="20"/>
                <w:szCs w:val="20"/>
              </w:rPr>
              <w:t xml:space="preserve">Couche </w:t>
            </w:r>
            <w:r w:rsidR="00C43EAA" w:rsidRPr="00B363AA">
              <w:rPr>
                <w:b/>
                <w:bCs/>
                <w:sz w:val="20"/>
                <w:szCs w:val="20"/>
              </w:rPr>
              <w:t xml:space="preserve">cartographique </w:t>
            </w:r>
            <w:r w:rsidRPr="00B363AA">
              <w:rPr>
                <w:b/>
                <w:bCs/>
                <w:sz w:val="20"/>
                <w:szCs w:val="20"/>
              </w:rPr>
              <w:t>mobilisable</w:t>
            </w:r>
          </w:p>
        </w:tc>
      </w:tr>
      <w:tr w:rsidR="001E0E2E" w:rsidRPr="00B363AA" w14:paraId="1B9BB99C" w14:textId="77777777" w:rsidTr="00F878F7">
        <w:trPr>
          <w:trHeight w:val="283"/>
        </w:trPr>
        <w:tc>
          <w:tcPr>
            <w:tcW w:w="2547" w:type="dxa"/>
            <w:vMerge w:val="restart"/>
            <w:tcBorders>
              <w:top w:val="single" w:sz="4" w:space="0" w:color="FFFFFF" w:themeColor="background1"/>
            </w:tcBorders>
            <w:vAlign w:val="center"/>
            <w:hideMark/>
          </w:tcPr>
          <w:p w14:paraId="07EC355F" w14:textId="77777777" w:rsidR="001E0E2E" w:rsidRPr="00B363AA" w:rsidRDefault="001E0E2E" w:rsidP="00F878F7">
            <w:pPr>
              <w:jc w:val="left"/>
              <w:rPr>
                <w:sz w:val="20"/>
                <w:szCs w:val="20"/>
              </w:rPr>
            </w:pPr>
            <w:r w:rsidRPr="00B363AA">
              <w:rPr>
                <w:sz w:val="20"/>
                <w:szCs w:val="20"/>
              </w:rPr>
              <w:t>Occupation</w:t>
            </w:r>
          </w:p>
        </w:tc>
        <w:tc>
          <w:tcPr>
            <w:tcW w:w="6520" w:type="dxa"/>
            <w:tcBorders>
              <w:top w:val="single" w:sz="4" w:space="0" w:color="FFFFFF" w:themeColor="background1"/>
            </w:tcBorders>
            <w:vAlign w:val="center"/>
            <w:hideMark/>
          </w:tcPr>
          <w:p w14:paraId="0BC83B68" w14:textId="77777777" w:rsidR="001E0E2E" w:rsidRPr="00B363AA" w:rsidRDefault="001E0E2E" w:rsidP="00F878F7">
            <w:pPr>
              <w:jc w:val="left"/>
              <w:rPr>
                <w:sz w:val="20"/>
                <w:szCs w:val="20"/>
              </w:rPr>
            </w:pPr>
            <w:r w:rsidRPr="00B363AA">
              <w:rPr>
                <w:sz w:val="20"/>
                <w:szCs w:val="20"/>
              </w:rPr>
              <w:t>Plan de secteur</w:t>
            </w:r>
          </w:p>
        </w:tc>
      </w:tr>
      <w:tr w:rsidR="001E0E2E" w:rsidRPr="00B363AA" w14:paraId="39EF088A" w14:textId="77777777" w:rsidTr="00F878F7">
        <w:trPr>
          <w:trHeight w:val="283"/>
        </w:trPr>
        <w:tc>
          <w:tcPr>
            <w:tcW w:w="2547" w:type="dxa"/>
            <w:vMerge/>
            <w:vAlign w:val="center"/>
            <w:hideMark/>
          </w:tcPr>
          <w:p w14:paraId="402C4B52" w14:textId="58586698" w:rsidR="001E0E2E" w:rsidRPr="00B363AA" w:rsidRDefault="001E0E2E" w:rsidP="00F878F7">
            <w:pPr>
              <w:jc w:val="left"/>
              <w:rPr>
                <w:sz w:val="20"/>
                <w:szCs w:val="20"/>
              </w:rPr>
            </w:pPr>
          </w:p>
        </w:tc>
        <w:tc>
          <w:tcPr>
            <w:tcW w:w="6520" w:type="dxa"/>
            <w:vAlign w:val="center"/>
            <w:hideMark/>
          </w:tcPr>
          <w:p w14:paraId="7E5264B9" w14:textId="77777777" w:rsidR="001E0E2E" w:rsidRPr="00B363AA" w:rsidRDefault="001E0E2E" w:rsidP="00F878F7">
            <w:pPr>
              <w:jc w:val="left"/>
              <w:rPr>
                <w:sz w:val="20"/>
                <w:szCs w:val="20"/>
              </w:rPr>
            </w:pPr>
            <w:r w:rsidRPr="00B363AA">
              <w:rPr>
                <w:sz w:val="20"/>
                <w:szCs w:val="20"/>
              </w:rPr>
              <w:t>WALOUS (Occupation du sol) 2023</w:t>
            </w:r>
          </w:p>
        </w:tc>
      </w:tr>
      <w:tr w:rsidR="001E0E2E" w:rsidRPr="00B363AA" w14:paraId="3A09FD41" w14:textId="77777777" w:rsidTr="00F878F7">
        <w:trPr>
          <w:trHeight w:val="283"/>
        </w:trPr>
        <w:tc>
          <w:tcPr>
            <w:tcW w:w="2547" w:type="dxa"/>
            <w:vMerge/>
            <w:vAlign w:val="center"/>
            <w:hideMark/>
          </w:tcPr>
          <w:p w14:paraId="22276F60" w14:textId="6C56C88B" w:rsidR="001E0E2E" w:rsidRPr="00B363AA" w:rsidRDefault="001E0E2E" w:rsidP="00F878F7">
            <w:pPr>
              <w:jc w:val="left"/>
              <w:rPr>
                <w:sz w:val="20"/>
                <w:szCs w:val="20"/>
              </w:rPr>
            </w:pPr>
          </w:p>
        </w:tc>
        <w:tc>
          <w:tcPr>
            <w:tcW w:w="6520" w:type="dxa"/>
            <w:vAlign w:val="center"/>
            <w:hideMark/>
          </w:tcPr>
          <w:p w14:paraId="5DE87629" w14:textId="77777777" w:rsidR="001E0E2E" w:rsidRPr="00B363AA" w:rsidRDefault="001E0E2E" w:rsidP="00F878F7">
            <w:pPr>
              <w:jc w:val="left"/>
              <w:rPr>
                <w:sz w:val="20"/>
                <w:szCs w:val="20"/>
              </w:rPr>
            </w:pPr>
            <w:r w:rsidRPr="00B363AA">
              <w:rPr>
                <w:sz w:val="20"/>
                <w:szCs w:val="20"/>
              </w:rPr>
              <w:t>SIGEC (sols agricoles)</w:t>
            </w:r>
          </w:p>
        </w:tc>
      </w:tr>
      <w:tr w:rsidR="001E0E2E" w:rsidRPr="00B363AA" w14:paraId="03256347" w14:textId="77777777" w:rsidTr="00F878F7">
        <w:trPr>
          <w:trHeight w:val="283"/>
        </w:trPr>
        <w:tc>
          <w:tcPr>
            <w:tcW w:w="2547" w:type="dxa"/>
            <w:vMerge w:val="restart"/>
            <w:vAlign w:val="center"/>
            <w:hideMark/>
          </w:tcPr>
          <w:p w14:paraId="2C4571D8" w14:textId="77777777" w:rsidR="001E0E2E" w:rsidRPr="00B363AA" w:rsidRDefault="001E0E2E" w:rsidP="00F878F7">
            <w:pPr>
              <w:jc w:val="left"/>
              <w:rPr>
                <w:sz w:val="20"/>
                <w:szCs w:val="20"/>
              </w:rPr>
            </w:pPr>
            <w:r w:rsidRPr="00B363AA">
              <w:rPr>
                <w:sz w:val="20"/>
                <w:szCs w:val="20"/>
              </w:rPr>
              <w:t>Pédologie</w:t>
            </w:r>
          </w:p>
        </w:tc>
        <w:tc>
          <w:tcPr>
            <w:tcW w:w="6520" w:type="dxa"/>
            <w:vAlign w:val="center"/>
            <w:hideMark/>
          </w:tcPr>
          <w:p w14:paraId="7F2D2D07" w14:textId="77777777" w:rsidR="001E0E2E" w:rsidRPr="00B363AA" w:rsidRDefault="001E0E2E" w:rsidP="00F878F7">
            <w:pPr>
              <w:jc w:val="left"/>
              <w:rPr>
                <w:sz w:val="20"/>
                <w:szCs w:val="20"/>
              </w:rPr>
            </w:pPr>
            <w:r w:rsidRPr="00B363AA">
              <w:rPr>
                <w:sz w:val="20"/>
                <w:szCs w:val="20"/>
              </w:rPr>
              <w:t>Carte Numérique des Sols de Wallonie (CNSW)</w:t>
            </w:r>
          </w:p>
        </w:tc>
      </w:tr>
      <w:tr w:rsidR="001E0E2E" w:rsidRPr="00B363AA" w14:paraId="5D89046C" w14:textId="77777777" w:rsidTr="00F878F7">
        <w:trPr>
          <w:trHeight w:val="283"/>
        </w:trPr>
        <w:tc>
          <w:tcPr>
            <w:tcW w:w="2547" w:type="dxa"/>
            <w:vMerge/>
            <w:vAlign w:val="center"/>
            <w:hideMark/>
          </w:tcPr>
          <w:p w14:paraId="4C5E467A" w14:textId="77D1858C" w:rsidR="001E0E2E" w:rsidRPr="00B363AA" w:rsidRDefault="001E0E2E" w:rsidP="00F878F7">
            <w:pPr>
              <w:jc w:val="left"/>
              <w:rPr>
                <w:sz w:val="20"/>
                <w:szCs w:val="20"/>
              </w:rPr>
            </w:pPr>
          </w:p>
        </w:tc>
        <w:tc>
          <w:tcPr>
            <w:tcW w:w="6520" w:type="dxa"/>
            <w:vAlign w:val="center"/>
            <w:hideMark/>
          </w:tcPr>
          <w:p w14:paraId="57C28C30" w14:textId="77777777" w:rsidR="001E0E2E" w:rsidRPr="00B363AA" w:rsidRDefault="001E0E2E" w:rsidP="00F878F7">
            <w:pPr>
              <w:jc w:val="left"/>
              <w:rPr>
                <w:sz w:val="20"/>
                <w:szCs w:val="20"/>
              </w:rPr>
            </w:pPr>
            <w:r w:rsidRPr="00B363AA">
              <w:rPr>
                <w:sz w:val="20"/>
                <w:szCs w:val="20"/>
              </w:rPr>
              <w:t>Carte des principaux types de sol</w:t>
            </w:r>
          </w:p>
        </w:tc>
      </w:tr>
      <w:tr w:rsidR="001E0E2E" w:rsidRPr="00B363AA" w14:paraId="15041704" w14:textId="77777777" w:rsidTr="00F878F7">
        <w:trPr>
          <w:trHeight w:val="283"/>
        </w:trPr>
        <w:tc>
          <w:tcPr>
            <w:tcW w:w="2547" w:type="dxa"/>
            <w:vMerge w:val="restart"/>
            <w:vAlign w:val="center"/>
            <w:hideMark/>
          </w:tcPr>
          <w:p w14:paraId="6C7B8E28" w14:textId="2BBD384B" w:rsidR="001E0E2E" w:rsidRPr="00B363AA" w:rsidRDefault="001E0E2E" w:rsidP="00F878F7">
            <w:pPr>
              <w:jc w:val="left"/>
              <w:rPr>
                <w:sz w:val="20"/>
                <w:szCs w:val="20"/>
              </w:rPr>
            </w:pPr>
            <w:r w:rsidRPr="00B363AA">
              <w:rPr>
                <w:sz w:val="20"/>
                <w:szCs w:val="20"/>
              </w:rPr>
              <w:t>Historique/Activités humaines/Pollution</w:t>
            </w:r>
          </w:p>
        </w:tc>
        <w:tc>
          <w:tcPr>
            <w:tcW w:w="6520" w:type="dxa"/>
            <w:vAlign w:val="center"/>
            <w:hideMark/>
          </w:tcPr>
          <w:p w14:paraId="5B097616" w14:textId="77777777" w:rsidR="001E0E2E" w:rsidRPr="00B363AA" w:rsidRDefault="001E0E2E" w:rsidP="00F878F7">
            <w:pPr>
              <w:jc w:val="left"/>
              <w:rPr>
                <w:sz w:val="20"/>
                <w:szCs w:val="20"/>
              </w:rPr>
            </w:pPr>
            <w:proofErr w:type="spellStart"/>
            <w:r w:rsidRPr="00B363AA">
              <w:rPr>
                <w:sz w:val="20"/>
                <w:szCs w:val="20"/>
              </w:rPr>
              <w:t>Orthophotoplans</w:t>
            </w:r>
            <w:proofErr w:type="spellEnd"/>
            <w:r w:rsidRPr="00B363AA">
              <w:rPr>
                <w:sz w:val="20"/>
                <w:szCs w:val="20"/>
              </w:rPr>
              <w:t xml:space="preserve"> (min 20 dernières années)</w:t>
            </w:r>
          </w:p>
        </w:tc>
      </w:tr>
      <w:tr w:rsidR="001E0E2E" w:rsidRPr="00B363AA" w14:paraId="531EEAAB" w14:textId="77777777" w:rsidTr="00F878F7">
        <w:trPr>
          <w:trHeight w:val="283"/>
        </w:trPr>
        <w:tc>
          <w:tcPr>
            <w:tcW w:w="2547" w:type="dxa"/>
            <w:vMerge/>
            <w:vAlign w:val="center"/>
            <w:hideMark/>
          </w:tcPr>
          <w:p w14:paraId="58F3B2F1" w14:textId="6BBCEBA2" w:rsidR="001E0E2E" w:rsidRPr="00B363AA" w:rsidRDefault="001E0E2E" w:rsidP="00F878F7">
            <w:pPr>
              <w:jc w:val="left"/>
              <w:rPr>
                <w:sz w:val="20"/>
                <w:szCs w:val="20"/>
              </w:rPr>
            </w:pPr>
          </w:p>
        </w:tc>
        <w:tc>
          <w:tcPr>
            <w:tcW w:w="6520" w:type="dxa"/>
            <w:vAlign w:val="center"/>
            <w:hideMark/>
          </w:tcPr>
          <w:p w14:paraId="1824B420" w14:textId="77777777" w:rsidR="001E0E2E" w:rsidRPr="00B363AA" w:rsidRDefault="001E0E2E" w:rsidP="00F878F7">
            <w:pPr>
              <w:jc w:val="left"/>
              <w:rPr>
                <w:sz w:val="20"/>
                <w:szCs w:val="20"/>
              </w:rPr>
            </w:pPr>
            <w:r w:rsidRPr="00B363AA">
              <w:rPr>
                <w:sz w:val="20"/>
                <w:szCs w:val="20"/>
              </w:rPr>
              <w:t>Banque de Données de l’État des Sols (BDES)</w:t>
            </w:r>
          </w:p>
        </w:tc>
      </w:tr>
      <w:tr w:rsidR="001E0E2E" w:rsidRPr="00B363AA" w14:paraId="4ABD9F96" w14:textId="77777777" w:rsidTr="00F878F7">
        <w:trPr>
          <w:trHeight w:val="283"/>
        </w:trPr>
        <w:tc>
          <w:tcPr>
            <w:tcW w:w="2547" w:type="dxa"/>
            <w:vMerge w:val="restart"/>
            <w:vAlign w:val="center"/>
            <w:hideMark/>
          </w:tcPr>
          <w:p w14:paraId="641D810E" w14:textId="77777777" w:rsidR="001E0E2E" w:rsidRPr="00B363AA" w:rsidRDefault="001E0E2E" w:rsidP="00F878F7">
            <w:pPr>
              <w:jc w:val="left"/>
              <w:rPr>
                <w:sz w:val="20"/>
                <w:szCs w:val="20"/>
              </w:rPr>
            </w:pPr>
            <w:r w:rsidRPr="00B363AA">
              <w:rPr>
                <w:sz w:val="20"/>
                <w:szCs w:val="20"/>
              </w:rPr>
              <w:t>Topographie</w:t>
            </w:r>
          </w:p>
        </w:tc>
        <w:tc>
          <w:tcPr>
            <w:tcW w:w="6520" w:type="dxa"/>
            <w:vAlign w:val="center"/>
            <w:hideMark/>
          </w:tcPr>
          <w:p w14:paraId="5AECD53E" w14:textId="77777777" w:rsidR="001E0E2E" w:rsidRPr="00B363AA" w:rsidRDefault="001E0E2E" w:rsidP="00F878F7">
            <w:pPr>
              <w:jc w:val="left"/>
              <w:rPr>
                <w:sz w:val="20"/>
                <w:szCs w:val="20"/>
              </w:rPr>
            </w:pPr>
            <w:r w:rsidRPr="00B363AA">
              <w:rPr>
                <w:sz w:val="20"/>
                <w:szCs w:val="20"/>
              </w:rPr>
              <w:t>Modèle Numérique de Terrain</w:t>
            </w:r>
          </w:p>
        </w:tc>
      </w:tr>
      <w:tr w:rsidR="001E0E2E" w:rsidRPr="00B363AA" w14:paraId="260E2563" w14:textId="77777777" w:rsidTr="00F878F7">
        <w:trPr>
          <w:trHeight w:val="283"/>
        </w:trPr>
        <w:tc>
          <w:tcPr>
            <w:tcW w:w="2547" w:type="dxa"/>
            <w:vMerge/>
            <w:vAlign w:val="center"/>
            <w:hideMark/>
          </w:tcPr>
          <w:p w14:paraId="67A02531" w14:textId="54FC3F3C" w:rsidR="001E0E2E" w:rsidRPr="00B363AA" w:rsidRDefault="001E0E2E" w:rsidP="00F878F7">
            <w:pPr>
              <w:jc w:val="left"/>
              <w:rPr>
                <w:sz w:val="20"/>
                <w:szCs w:val="20"/>
              </w:rPr>
            </w:pPr>
          </w:p>
        </w:tc>
        <w:tc>
          <w:tcPr>
            <w:tcW w:w="6520" w:type="dxa"/>
            <w:vAlign w:val="center"/>
            <w:hideMark/>
          </w:tcPr>
          <w:p w14:paraId="05BFB1A1" w14:textId="77777777" w:rsidR="001E0E2E" w:rsidRPr="00B363AA" w:rsidRDefault="001E0E2E" w:rsidP="00F878F7">
            <w:pPr>
              <w:jc w:val="left"/>
              <w:rPr>
                <w:sz w:val="20"/>
                <w:szCs w:val="20"/>
              </w:rPr>
            </w:pPr>
            <w:r w:rsidRPr="00B363AA">
              <w:rPr>
                <w:sz w:val="20"/>
                <w:szCs w:val="20"/>
              </w:rPr>
              <w:t>Modèle Numérique des Pentes</w:t>
            </w:r>
          </w:p>
        </w:tc>
      </w:tr>
      <w:tr w:rsidR="001E0E2E" w:rsidRPr="00B363AA" w14:paraId="20605464" w14:textId="77777777" w:rsidTr="00F878F7">
        <w:trPr>
          <w:trHeight w:val="283"/>
        </w:trPr>
        <w:tc>
          <w:tcPr>
            <w:tcW w:w="2547" w:type="dxa"/>
            <w:vMerge w:val="restart"/>
            <w:vAlign w:val="center"/>
            <w:hideMark/>
          </w:tcPr>
          <w:p w14:paraId="07BD0DC7" w14:textId="77777777" w:rsidR="001E0E2E" w:rsidRPr="00B363AA" w:rsidRDefault="001E0E2E" w:rsidP="00F878F7">
            <w:pPr>
              <w:jc w:val="left"/>
              <w:rPr>
                <w:sz w:val="20"/>
                <w:szCs w:val="20"/>
              </w:rPr>
            </w:pPr>
            <w:r w:rsidRPr="00B363AA">
              <w:rPr>
                <w:sz w:val="20"/>
                <w:szCs w:val="20"/>
              </w:rPr>
              <w:t>Érosion, ruissellement, inondations</w:t>
            </w:r>
          </w:p>
        </w:tc>
        <w:tc>
          <w:tcPr>
            <w:tcW w:w="6520" w:type="dxa"/>
            <w:vAlign w:val="center"/>
            <w:hideMark/>
          </w:tcPr>
          <w:p w14:paraId="7AC6315A" w14:textId="77777777" w:rsidR="001E0E2E" w:rsidRPr="00B363AA" w:rsidRDefault="001E0E2E" w:rsidP="00F878F7">
            <w:pPr>
              <w:jc w:val="left"/>
              <w:rPr>
                <w:sz w:val="20"/>
                <w:szCs w:val="20"/>
              </w:rPr>
            </w:pPr>
            <w:r w:rsidRPr="00B363AA">
              <w:rPr>
                <w:sz w:val="20"/>
                <w:szCs w:val="20"/>
              </w:rPr>
              <w:t>ERRUISSOL - Risque d'érosion hydrique diffuse</w:t>
            </w:r>
          </w:p>
        </w:tc>
      </w:tr>
      <w:tr w:rsidR="001E0E2E" w:rsidRPr="00B363AA" w14:paraId="1E5EA35F" w14:textId="77777777" w:rsidTr="00F878F7">
        <w:trPr>
          <w:trHeight w:val="283"/>
        </w:trPr>
        <w:tc>
          <w:tcPr>
            <w:tcW w:w="2547" w:type="dxa"/>
            <w:vMerge/>
            <w:vAlign w:val="center"/>
            <w:hideMark/>
          </w:tcPr>
          <w:p w14:paraId="2A923C33" w14:textId="739FFC8F" w:rsidR="001E0E2E" w:rsidRPr="00B363AA" w:rsidRDefault="001E0E2E" w:rsidP="00F878F7">
            <w:pPr>
              <w:jc w:val="left"/>
              <w:rPr>
                <w:sz w:val="20"/>
                <w:szCs w:val="20"/>
              </w:rPr>
            </w:pPr>
          </w:p>
        </w:tc>
        <w:tc>
          <w:tcPr>
            <w:tcW w:w="6520" w:type="dxa"/>
            <w:vAlign w:val="center"/>
            <w:hideMark/>
          </w:tcPr>
          <w:p w14:paraId="471C2906" w14:textId="77777777" w:rsidR="001E0E2E" w:rsidRPr="00B363AA" w:rsidRDefault="001E0E2E" w:rsidP="00F878F7">
            <w:pPr>
              <w:jc w:val="left"/>
              <w:rPr>
                <w:sz w:val="20"/>
                <w:szCs w:val="20"/>
              </w:rPr>
            </w:pPr>
            <w:r w:rsidRPr="00B363AA">
              <w:rPr>
                <w:sz w:val="20"/>
                <w:szCs w:val="20"/>
              </w:rPr>
              <w:t>ERRUISSOL - Risque de ruissellement diffus</w:t>
            </w:r>
          </w:p>
        </w:tc>
      </w:tr>
      <w:tr w:rsidR="001E0E2E" w:rsidRPr="00B363AA" w14:paraId="5582783C" w14:textId="77777777" w:rsidTr="00F878F7">
        <w:trPr>
          <w:trHeight w:val="283"/>
        </w:trPr>
        <w:tc>
          <w:tcPr>
            <w:tcW w:w="2547" w:type="dxa"/>
            <w:vMerge/>
            <w:vAlign w:val="center"/>
            <w:hideMark/>
          </w:tcPr>
          <w:p w14:paraId="2FAE4556" w14:textId="0B771CFE" w:rsidR="001E0E2E" w:rsidRPr="00B363AA" w:rsidRDefault="001E0E2E" w:rsidP="00F878F7">
            <w:pPr>
              <w:jc w:val="left"/>
              <w:rPr>
                <w:sz w:val="20"/>
                <w:szCs w:val="20"/>
              </w:rPr>
            </w:pPr>
          </w:p>
        </w:tc>
        <w:tc>
          <w:tcPr>
            <w:tcW w:w="6520" w:type="dxa"/>
            <w:vAlign w:val="center"/>
            <w:hideMark/>
          </w:tcPr>
          <w:p w14:paraId="4BA6B534" w14:textId="77777777" w:rsidR="001E0E2E" w:rsidRPr="00B363AA" w:rsidRDefault="001E0E2E" w:rsidP="00F878F7">
            <w:pPr>
              <w:jc w:val="left"/>
              <w:rPr>
                <w:sz w:val="20"/>
                <w:szCs w:val="20"/>
              </w:rPr>
            </w:pPr>
            <w:r w:rsidRPr="00B363AA">
              <w:rPr>
                <w:sz w:val="20"/>
                <w:szCs w:val="20"/>
              </w:rPr>
              <w:t>Carte de sensibilité à l’érosion</w:t>
            </w:r>
          </w:p>
        </w:tc>
      </w:tr>
      <w:tr w:rsidR="001E0E2E" w:rsidRPr="00B363AA" w14:paraId="2CF5B256" w14:textId="77777777" w:rsidTr="00F878F7">
        <w:trPr>
          <w:trHeight w:val="283"/>
        </w:trPr>
        <w:tc>
          <w:tcPr>
            <w:tcW w:w="2547" w:type="dxa"/>
            <w:vMerge/>
            <w:vAlign w:val="center"/>
            <w:hideMark/>
          </w:tcPr>
          <w:p w14:paraId="094B88AA" w14:textId="5BA8F44E" w:rsidR="001E0E2E" w:rsidRPr="00B363AA" w:rsidRDefault="001E0E2E" w:rsidP="00F878F7">
            <w:pPr>
              <w:jc w:val="left"/>
              <w:rPr>
                <w:sz w:val="20"/>
                <w:szCs w:val="20"/>
              </w:rPr>
            </w:pPr>
          </w:p>
        </w:tc>
        <w:tc>
          <w:tcPr>
            <w:tcW w:w="6520" w:type="dxa"/>
            <w:vAlign w:val="center"/>
            <w:hideMark/>
          </w:tcPr>
          <w:p w14:paraId="31C6A6B1" w14:textId="77777777" w:rsidR="001E0E2E" w:rsidRPr="00B363AA" w:rsidRDefault="001E0E2E" w:rsidP="00F878F7">
            <w:pPr>
              <w:jc w:val="left"/>
              <w:rPr>
                <w:sz w:val="20"/>
                <w:szCs w:val="20"/>
              </w:rPr>
            </w:pPr>
            <w:r w:rsidRPr="00B363AA">
              <w:rPr>
                <w:sz w:val="20"/>
                <w:szCs w:val="20"/>
              </w:rPr>
              <w:t>Aléas d’inondation</w:t>
            </w:r>
          </w:p>
        </w:tc>
      </w:tr>
      <w:tr w:rsidR="001E0E2E" w:rsidRPr="00B363AA" w14:paraId="17634DA9" w14:textId="77777777" w:rsidTr="00F878F7">
        <w:trPr>
          <w:trHeight w:val="283"/>
        </w:trPr>
        <w:tc>
          <w:tcPr>
            <w:tcW w:w="2547" w:type="dxa"/>
            <w:vMerge w:val="restart"/>
            <w:vAlign w:val="center"/>
            <w:hideMark/>
          </w:tcPr>
          <w:p w14:paraId="68C76581" w14:textId="77777777" w:rsidR="001E0E2E" w:rsidRPr="00B363AA" w:rsidRDefault="001E0E2E" w:rsidP="00F878F7">
            <w:pPr>
              <w:jc w:val="left"/>
              <w:rPr>
                <w:sz w:val="20"/>
                <w:szCs w:val="20"/>
              </w:rPr>
            </w:pPr>
            <w:r w:rsidRPr="00B363AA">
              <w:rPr>
                <w:sz w:val="20"/>
                <w:szCs w:val="20"/>
              </w:rPr>
              <w:t>Biodiversité</w:t>
            </w:r>
          </w:p>
        </w:tc>
        <w:tc>
          <w:tcPr>
            <w:tcW w:w="6520" w:type="dxa"/>
            <w:vAlign w:val="center"/>
            <w:hideMark/>
          </w:tcPr>
          <w:p w14:paraId="448E0504" w14:textId="77777777" w:rsidR="001E0E2E" w:rsidRPr="00B363AA" w:rsidRDefault="001E0E2E" w:rsidP="00F878F7">
            <w:pPr>
              <w:jc w:val="left"/>
              <w:rPr>
                <w:sz w:val="20"/>
                <w:szCs w:val="20"/>
              </w:rPr>
            </w:pPr>
            <w:r w:rsidRPr="00B363AA">
              <w:rPr>
                <w:sz w:val="20"/>
                <w:szCs w:val="20"/>
              </w:rPr>
              <w:t>Contextes écologiques marginaux et sensibles</w:t>
            </w:r>
          </w:p>
        </w:tc>
      </w:tr>
      <w:tr w:rsidR="001E0E2E" w:rsidRPr="00B363AA" w14:paraId="428C5269" w14:textId="77777777" w:rsidTr="00F878F7">
        <w:trPr>
          <w:trHeight w:val="283"/>
        </w:trPr>
        <w:tc>
          <w:tcPr>
            <w:tcW w:w="2547" w:type="dxa"/>
            <w:vMerge/>
            <w:vAlign w:val="center"/>
            <w:hideMark/>
          </w:tcPr>
          <w:p w14:paraId="57A712C0" w14:textId="3F99F1B5" w:rsidR="001E0E2E" w:rsidRPr="00B363AA" w:rsidRDefault="001E0E2E" w:rsidP="00F878F7">
            <w:pPr>
              <w:jc w:val="left"/>
              <w:rPr>
                <w:sz w:val="20"/>
                <w:szCs w:val="20"/>
              </w:rPr>
            </w:pPr>
          </w:p>
        </w:tc>
        <w:tc>
          <w:tcPr>
            <w:tcW w:w="6520" w:type="dxa"/>
            <w:vAlign w:val="center"/>
            <w:hideMark/>
          </w:tcPr>
          <w:p w14:paraId="3F873F18" w14:textId="77777777" w:rsidR="001E0E2E" w:rsidRPr="00B363AA" w:rsidRDefault="001E0E2E" w:rsidP="00F878F7">
            <w:pPr>
              <w:jc w:val="left"/>
              <w:rPr>
                <w:sz w:val="20"/>
                <w:szCs w:val="20"/>
              </w:rPr>
            </w:pPr>
            <w:r w:rsidRPr="00B363AA">
              <w:rPr>
                <w:sz w:val="20"/>
                <w:szCs w:val="20"/>
              </w:rPr>
              <w:t>Conservation de la Nature - Parcs naturels/</w:t>
            </w:r>
            <w:proofErr w:type="spellStart"/>
            <w:r w:rsidRPr="00B363AA">
              <w:rPr>
                <w:sz w:val="20"/>
                <w:szCs w:val="20"/>
              </w:rPr>
              <w:t>ZHIB_sites</w:t>
            </w:r>
            <w:proofErr w:type="spellEnd"/>
            <w:r w:rsidRPr="00B363AA">
              <w:rPr>
                <w:sz w:val="20"/>
                <w:szCs w:val="20"/>
              </w:rPr>
              <w:t xml:space="preserve"> RAMSAR</w:t>
            </w:r>
          </w:p>
        </w:tc>
      </w:tr>
      <w:tr w:rsidR="001E0E2E" w:rsidRPr="00B363AA" w14:paraId="741A76E0" w14:textId="77777777" w:rsidTr="00F878F7">
        <w:trPr>
          <w:trHeight w:val="283"/>
        </w:trPr>
        <w:tc>
          <w:tcPr>
            <w:tcW w:w="2547" w:type="dxa"/>
            <w:vMerge w:val="restart"/>
            <w:vAlign w:val="center"/>
            <w:hideMark/>
          </w:tcPr>
          <w:p w14:paraId="1C42660E" w14:textId="77777777" w:rsidR="001E0E2E" w:rsidRPr="00B363AA" w:rsidRDefault="001E0E2E" w:rsidP="00F878F7">
            <w:pPr>
              <w:jc w:val="left"/>
              <w:rPr>
                <w:sz w:val="20"/>
                <w:szCs w:val="20"/>
              </w:rPr>
            </w:pPr>
            <w:r w:rsidRPr="00B363AA">
              <w:rPr>
                <w:sz w:val="20"/>
                <w:szCs w:val="20"/>
              </w:rPr>
              <w:t>Nappes souterraines</w:t>
            </w:r>
          </w:p>
        </w:tc>
        <w:tc>
          <w:tcPr>
            <w:tcW w:w="6520" w:type="dxa"/>
            <w:vAlign w:val="center"/>
            <w:hideMark/>
          </w:tcPr>
          <w:p w14:paraId="3A51EDBE" w14:textId="77777777" w:rsidR="001E0E2E" w:rsidRPr="00B363AA" w:rsidRDefault="001E0E2E" w:rsidP="00F878F7">
            <w:pPr>
              <w:jc w:val="left"/>
              <w:rPr>
                <w:sz w:val="20"/>
                <w:szCs w:val="20"/>
              </w:rPr>
            </w:pPr>
            <w:r w:rsidRPr="00B363AA">
              <w:rPr>
                <w:sz w:val="20"/>
                <w:szCs w:val="20"/>
              </w:rPr>
              <w:t>Masses d'eau souterraine (MESO) Version 2017</w:t>
            </w:r>
          </w:p>
        </w:tc>
      </w:tr>
      <w:tr w:rsidR="001E0E2E" w:rsidRPr="00B363AA" w14:paraId="66F1EC98" w14:textId="77777777" w:rsidTr="00F878F7">
        <w:trPr>
          <w:trHeight w:val="283"/>
        </w:trPr>
        <w:tc>
          <w:tcPr>
            <w:tcW w:w="2547" w:type="dxa"/>
            <w:vMerge/>
            <w:vAlign w:val="center"/>
            <w:hideMark/>
          </w:tcPr>
          <w:p w14:paraId="364F5BF2" w14:textId="5069D2F3" w:rsidR="001E0E2E" w:rsidRPr="00B363AA" w:rsidRDefault="001E0E2E" w:rsidP="00F878F7">
            <w:pPr>
              <w:jc w:val="left"/>
              <w:rPr>
                <w:sz w:val="20"/>
                <w:szCs w:val="20"/>
              </w:rPr>
            </w:pPr>
          </w:p>
        </w:tc>
        <w:tc>
          <w:tcPr>
            <w:tcW w:w="6520" w:type="dxa"/>
            <w:vAlign w:val="center"/>
            <w:hideMark/>
          </w:tcPr>
          <w:p w14:paraId="1D873466" w14:textId="77777777" w:rsidR="001E0E2E" w:rsidRPr="00B363AA" w:rsidRDefault="001E0E2E" w:rsidP="00F878F7">
            <w:pPr>
              <w:jc w:val="left"/>
              <w:rPr>
                <w:sz w:val="20"/>
                <w:szCs w:val="20"/>
              </w:rPr>
            </w:pPr>
            <w:r w:rsidRPr="00B363AA">
              <w:rPr>
                <w:sz w:val="20"/>
                <w:szCs w:val="20"/>
              </w:rPr>
              <w:t>Protection des captages</w:t>
            </w:r>
          </w:p>
        </w:tc>
      </w:tr>
      <w:tr w:rsidR="001E0E2E" w:rsidRPr="00B363AA" w14:paraId="53674EE7" w14:textId="77777777" w:rsidTr="00F878F7">
        <w:trPr>
          <w:trHeight w:val="283"/>
        </w:trPr>
        <w:tc>
          <w:tcPr>
            <w:tcW w:w="2547" w:type="dxa"/>
            <w:vMerge/>
            <w:vAlign w:val="center"/>
            <w:hideMark/>
          </w:tcPr>
          <w:p w14:paraId="6A0E5E41" w14:textId="06CE9A69" w:rsidR="001E0E2E" w:rsidRPr="00B363AA" w:rsidRDefault="001E0E2E" w:rsidP="00F878F7">
            <w:pPr>
              <w:jc w:val="left"/>
              <w:rPr>
                <w:sz w:val="20"/>
                <w:szCs w:val="20"/>
              </w:rPr>
            </w:pPr>
          </w:p>
        </w:tc>
        <w:tc>
          <w:tcPr>
            <w:tcW w:w="6520" w:type="dxa"/>
            <w:vAlign w:val="center"/>
            <w:hideMark/>
          </w:tcPr>
          <w:p w14:paraId="4442D80D" w14:textId="77777777" w:rsidR="001E0E2E" w:rsidRPr="00B363AA" w:rsidRDefault="001E0E2E" w:rsidP="00F878F7">
            <w:pPr>
              <w:jc w:val="left"/>
              <w:rPr>
                <w:sz w:val="20"/>
                <w:szCs w:val="20"/>
              </w:rPr>
            </w:pPr>
            <w:r w:rsidRPr="00B363AA">
              <w:rPr>
                <w:sz w:val="20"/>
                <w:szCs w:val="20"/>
              </w:rPr>
              <w:t>Périmètres de contraintes karstiques</w:t>
            </w:r>
          </w:p>
        </w:tc>
      </w:tr>
      <w:tr w:rsidR="001E0E2E" w:rsidRPr="00B363AA" w14:paraId="2E954E65" w14:textId="77777777" w:rsidTr="00F878F7">
        <w:trPr>
          <w:trHeight w:val="283"/>
        </w:trPr>
        <w:tc>
          <w:tcPr>
            <w:tcW w:w="2547" w:type="dxa"/>
            <w:vAlign w:val="center"/>
            <w:hideMark/>
          </w:tcPr>
          <w:p w14:paraId="3D4AC823" w14:textId="77777777" w:rsidR="001E0E2E" w:rsidRPr="00B363AA" w:rsidRDefault="001E0E2E" w:rsidP="00F878F7">
            <w:pPr>
              <w:jc w:val="left"/>
              <w:rPr>
                <w:sz w:val="20"/>
                <w:szCs w:val="20"/>
              </w:rPr>
            </w:pPr>
            <w:r w:rsidRPr="00B363AA">
              <w:rPr>
                <w:sz w:val="20"/>
                <w:szCs w:val="20"/>
              </w:rPr>
              <w:t>Patrimoine</w:t>
            </w:r>
          </w:p>
        </w:tc>
        <w:tc>
          <w:tcPr>
            <w:tcW w:w="6520" w:type="dxa"/>
            <w:vAlign w:val="center"/>
            <w:hideMark/>
          </w:tcPr>
          <w:p w14:paraId="78ECC6D8" w14:textId="77777777" w:rsidR="001E0E2E" w:rsidRPr="00B363AA" w:rsidRDefault="001E0E2E" w:rsidP="00F878F7">
            <w:pPr>
              <w:jc w:val="left"/>
              <w:rPr>
                <w:sz w:val="20"/>
                <w:szCs w:val="20"/>
              </w:rPr>
            </w:pPr>
            <w:r w:rsidRPr="00B363AA">
              <w:rPr>
                <w:sz w:val="20"/>
                <w:szCs w:val="20"/>
              </w:rPr>
              <w:t>Carte archéologique</w:t>
            </w:r>
          </w:p>
        </w:tc>
      </w:tr>
    </w:tbl>
    <w:p w14:paraId="4AC97B36" w14:textId="77777777" w:rsidR="00F64E33" w:rsidRPr="00B363AA" w:rsidRDefault="00F64E33" w:rsidP="00D85A01"/>
    <w:p w14:paraId="2A485ED7" w14:textId="5BF801D4" w:rsidR="00CA28DC" w:rsidRPr="00B363AA" w:rsidRDefault="003B7918">
      <w:pPr>
        <w:pStyle w:val="Titre2"/>
        <w:numPr>
          <w:ilvl w:val="1"/>
          <w:numId w:val="12"/>
        </w:numPr>
      </w:pPr>
      <w:bookmarkStart w:id="212" w:name="_Toc241243022"/>
      <w:r w:rsidRPr="00B363AA">
        <w:t>Établissement de la stratégie</w:t>
      </w:r>
      <w:r w:rsidR="00F104AA" w:rsidRPr="00B363AA">
        <w:t xml:space="preserve"> d’échantillonnage</w:t>
      </w:r>
      <w:bookmarkEnd w:id="212"/>
    </w:p>
    <w:p w14:paraId="1164CBA2" w14:textId="2AA30AAE" w:rsidR="00A924E8" w:rsidRPr="00B363AA" w:rsidRDefault="00AE0C49" w:rsidP="00A924E8">
      <w:r w:rsidRPr="00B363AA">
        <w:t xml:space="preserve">Le site étudié sera découpé en différentes zones homogènes, </w:t>
      </w:r>
      <w:r w:rsidR="00334E4A" w:rsidRPr="00B363AA">
        <w:t xml:space="preserve">qui elles-mêmes pourront, en fonction de leur superficie, être sous-découpées en zones d’échantillonnage. La zone d’échantillonnage </w:t>
      </w:r>
      <w:r w:rsidR="00395F78" w:rsidRPr="00B363AA">
        <w:t>correspond</w:t>
      </w:r>
      <w:r w:rsidR="72E55953" w:rsidRPr="00B363AA">
        <w:t xml:space="preserve"> à </w:t>
      </w:r>
      <w:r w:rsidR="00334E4A" w:rsidRPr="00B363AA">
        <w:t xml:space="preserve">l’échelle </w:t>
      </w:r>
      <w:r w:rsidR="3419EBFE" w:rsidRPr="00B363AA">
        <w:t>de</w:t>
      </w:r>
      <w:r w:rsidR="00731184" w:rsidRPr="00B363AA">
        <w:t xml:space="preserve"> </w:t>
      </w:r>
      <w:r w:rsidR="3419EBFE" w:rsidRPr="00B363AA">
        <w:t>calcul des</w:t>
      </w:r>
      <w:r w:rsidR="00334E4A" w:rsidRPr="00B363AA">
        <w:t xml:space="preserve"> indices IQSW-pro.</w:t>
      </w:r>
      <w:r w:rsidR="00041A10" w:rsidRPr="00B363AA">
        <w:t xml:space="preserve"> La </w:t>
      </w:r>
      <w:r w:rsidR="00A00287" w:rsidRPr="00B363AA">
        <w:fldChar w:fldCharType="begin"/>
      </w:r>
      <w:r w:rsidR="00A00287" w:rsidRPr="00B363AA">
        <w:instrText xml:space="preserve"> REF _Ref241226539 \h </w:instrText>
      </w:r>
      <w:r w:rsidR="00637C11" w:rsidRPr="00B363AA">
        <w:instrText xml:space="preserve"> \* MERGEFORMAT </w:instrText>
      </w:r>
      <w:r w:rsidR="00A00287" w:rsidRPr="00B363AA">
        <w:fldChar w:fldCharType="separate"/>
      </w:r>
      <w:r w:rsidR="00637C11" w:rsidRPr="00B363AA">
        <w:t>Figure 10</w:t>
      </w:r>
      <w:r w:rsidR="00A00287" w:rsidRPr="00B363AA">
        <w:fldChar w:fldCharType="end"/>
      </w:r>
      <w:r w:rsidR="00A00287" w:rsidRPr="00B363AA">
        <w:t xml:space="preserve"> </w:t>
      </w:r>
      <w:r w:rsidR="00041A10" w:rsidRPr="00B363AA">
        <w:t>présente la logique de découpage du site en vue du diagnostic</w:t>
      </w:r>
      <w:r w:rsidR="0098008F" w:rsidRPr="00B363AA">
        <w:t>.</w:t>
      </w:r>
    </w:p>
    <w:p w14:paraId="0125553B" w14:textId="77777777" w:rsidR="000E1D98" w:rsidRPr="00B363AA" w:rsidRDefault="00476119" w:rsidP="000E1D98">
      <w:pPr>
        <w:keepNext/>
      </w:pPr>
      <w:r w:rsidRPr="00B363AA">
        <w:rPr>
          <w:noProof/>
        </w:rPr>
        <w:lastRenderedPageBreak/>
        <w:drawing>
          <wp:inline distT="0" distB="0" distL="0" distR="0" wp14:anchorId="2CA3ABEB" wp14:editId="12935893">
            <wp:extent cx="5759450" cy="4302760"/>
            <wp:effectExtent l="0" t="0" r="0" b="2540"/>
            <wp:docPr id="1676794735"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794735" name="Image 167679473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59450" cy="4302760"/>
                    </a:xfrm>
                    <a:prstGeom prst="rect">
                      <a:avLst/>
                    </a:prstGeom>
                  </pic:spPr>
                </pic:pic>
              </a:graphicData>
            </a:graphic>
          </wp:inline>
        </w:drawing>
      </w:r>
    </w:p>
    <w:p w14:paraId="48D029A2" w14:textId="540690B4" w:rsidR="000E1D98" w:rsidRPr="00B363AA" w:rsidRDefault="000E1D98" w:rsidP="000E1D98">
      <w:pPr>
        <w:pStyle w:val="Lgende"/>
        <w:jc w:val="center"/>
        <w:rPr>
          <w:i w:val="0"/>
          <w:iCs w:val="0"/>
        </w:rPr>
      </w:pPr>
      <w:bookmarkStart w:id="213" w:name="_Ref241226539"/>
      <w:bookmarkStart w:id="214" w:name="_Toc241229825"/>
      <w:r w:rsidRPr="00B363AA">
        <w:rPr>
          <w:i w:val="0"/>
          <w:iCs w:val="0"/>
        </w:rPr>
        <w:t xml:space="preserve">Figure </w:t>
      </w:r>
      <w:r w:rsidRPr="00B363AA">
        <w:rPr>
          <w:i w:val="0"/>
          <w:iCs w:val="0"/>
        </w:rPr>
        <w:fldChar w:fldCharType="begin"/>
      </w:r>
      <w:r w:rsidRPr="00B363AA">
        <w:rPr>
          <w:i w:val="0"/>
          <w:iCs w:val="0"/>
        </w:rPr>
        <w:instrText xml:space="preserve"> SEQ Figure \* ARABIC </w:instrText>
      </w:r>
      <w:r w:rsidRPr="00B363AA">
        <w:rPr>
          <w:i w:val="0"/>
          <w:iCs w:val="0"/>
        </w:rPr>
        <w:fldChar w:fldCharType="separate"/>
      </w:r>
      <w:r w:rsidR="00637C11" w:rsidRPr="00B363AA">
        <w:rPr>
          <w:i w:val="0"/>
          <w:iCs w:val="0"/>
        </w:rPr>
        <w:t>10</w:t>
      </w:r>
      <w:r w:rsidRPr="00B363AA">
        <w:rPr>
          <w:i w:val="0"/>
          <w:iCs w:val="0"/>
        </w:rPr>
        <w:fldChar w:fldCharType="end"/>
      </w:r>
      <w:bookmarkEnd w:id="213"/>
      <w:r w:rsidRPr="00B363AA">
        <w:rPr>
          <w:i w:val="0"/>
          <w:iCs w:val="0"/>
        </w:rPr>
        <w:t xml:space="preserve"> : Exemple de répartition spatiale des zones d'échantillonnage, des points de mesures in situ et des lieux de prélèvement des échantillons élémentaires en fonction de la délimitation des zones homogènes et de leur superficie</w:t>
      </w:r>
      <w:bookmarkEnd w:id="214"/>
    </w:p>
    <w:p w14:paraId="043BA521" w14:textId="580F7543" w:rsidR="00A36984" w:rsidRPr="00B363AA" w:rsidRDefault="00562B66" w:rsidP="00A36984">
      <w:r w:rsidRPr="00B363AA">
        <w:t xml:space="preserve">Le </w:t>
      </w:r>
      <w:r w:rsidR="000159A6" w:rsidRPr="00B363AA">
        <w:fldChar w:fldCharType="begin"/>
      </w:r>
      <w:r w:rsidR="000159A6" w:rsidRPr="00B363AA">
        <w:instrText xml:space="preserve"> REF _Ref233122978 \h </w:instrText>
      </w:r>
      <w:r w:rsidR="003D7F8A" w:rsidRPr="00B363AA">
        <w:instrText xml:space="preserve"> \* MERGEFORMAT </w:instrText>
      </w:r>
      <w:r w:rsidR="000159A6" w:rsidRPr="00B363AA">
        <w:fldChar w:fldCharType="separate"/>
      </w:r>
      <w:r w:rsidR="003D7F8A" w:rsidRPr="00B363AA">
        <w:t>Tableau 9</w:t>
      </w:r>
      <w:r w:rsidR="000159A6" w:rsidRPr="00B363AA">
        <w:fldChar w:fldCharType="end"/>
      </w:r>
      <w:r w:rsidR="000159A6" w:rsidRPr="00B363AA">
        <w:t xml:space="preserve"> </w:t>
      </w:r>
      <w:r w:rsidR="00A36984" w:rsidRPr="00B363AA">
        <w:t xml:space="preserve">précise, en fonction de la superficie de la zone homogène étudiée : </w:t>
      </w:r>
    </w:p>
    <w:p w14:paraId="4A4D6D5F" w14:textId="77777777" w:rsidR="00A36984" w:rsidRPr="00B363AA" w:rsidRDefault="00A36984" w:rsidP="00A36984">
      <w:pPr>
        <w:pStyle w:val="Paragraphedeliste"/>
        <w:numPr>
          <w:ilvl w:val="0"/>
          <w:numId w:val="30"/>
        </w:numPr>
      </w:pPr>
      <w:r w:rsidRPr="00B363AA">
        <w:t>Le nombre d’échantillons composites à prélever (un échantillon composite = une zone d’échantillonnage),</w:t>
      </w:r>
    </w:p>
    <w:p w14:paraId="663F9179" w14:textId="77777777" w:rsidR="00A36984" w:rsidRPr="00B363AA" w:rsidRDefault="00A36984" w:rsidP="00A36984">
      <w:pPr>
        <w:pStyle w:val="Paragraphedeliste"/>
        <w:numPr>
          <w:ilvl w:val="0"/>
          <w:numId w:val="30"/>
        </w:numPr>
      </w:pPr>
      <w:r w:rsidRPr="00B363AA">
        <w:t xml:space="preserve">Le nombre d’échantillons élémentaires constitutifs d’un échantillon composite, </w:t>
      </w:r>
    </w:p>
    <w:p w14:paraId="2349816E" w14:textId="0AEC7692" w:rsidR="0051081A" w:rsidRPr="00B363AA" w:rsidRDefault="00A36984" w:rsidP="00562B66">
      <w:pPr>
        <w:pStyle w:val="Paragraphedeliste"/>
        <w:numPr>
          <w:ilvl w:val="0"/>
          <w:numId w:val="30"/>
        </w:numPr>
      </w:pPr>
      <w:r w:rsidRPr="00B363AA">
        <w:t>Le nombre de points de mesures in situ (en ce compris la mesure de la masse volumique apparente, de la charge volumique en éléments grossiers, la réalisation d’un test VESS, d’un test d’infiltration et de la réalisation et description d'un profil tarière sur un mètre de profondeur).</w:t>
      </w:r>
    </w:p>
    <w:p w14:paraId="7C4D6F82" w14:textId="77D972A0" w:rsidR="0051081A" w:rsidRPr="00B363AA" w:rsidRDefault="00F7333A" w:rsidP="00562B66">
      <w:r w:rsidRPr="00B363AA">
        <w:t>La stratégie est conforme aux préconisations du Décret sols (</w:t>
      </w:r>
      <w:r w:rsidR="00AF088C" w:rsidRPr="00B363AA">
        <w:t>nombre de forages et d’échantillons prévus par le GREC v6 - stratégie R2</w:t>
      </w:r>
      <w:r w:rsidR="00751F0B" w:rsidRPr="00B363AA">
        <w:rPr>
          <w:rStyle w:val="Appelnotedebasdep"/>
        </w:rPr>
        <w:footnoteReference w:id="14"/>
      </w:r>
      <w:r w:rsidR="00AF088C" w:rsidRPr="00B363AA">
        <w:t>, adapté à une épaisseur de sol de 30 cm</w:t>
      </w:r>
      <w:r w:rsidRPr="00B363AA">
        <w:t>).</w:t>
      </w:r>
    </w:p>
    <w:p w14:paraId="4ADC1333" w14:textId="1ED71484" w:rsidR="00E24F0A" w:rsidRPr="00B363AA" w:rsidRDefault="0051081A" w:rsidP="0051081A">
      <w:pPr>
        <w:jc w:val="left"/>
      </w:pPr>
      <w:r w:rsidRPr="00B363AA">
        <w:br w:type="page"/>
      </w:r>
    </w:p>
    <w:p w14:paraId="67D88CE0" w14:textId="72F98E44" w:rsidR="003B7918" w:rsidRPr="00B363AA" w:rsidRDefault="003B7918" w:rsidP="003B7918">
      <w:pPr>
        <w:pStyle w:val="Lgende"/>
        <w:keepNext/>
        <w:jc w:val="center"/>
        <w:rPr>
          <w:i w:val="0"/>
          <w:iCs w:val="0"/>
        </w:rPr>
      </w:pPr>
      <w:bookmarkStart w:id="215" w:name="_Ref233122978"/>
      <w:bookmarkStart w:id="216" w:name="_Toc233122677"/>
      <w:r w:rsidRPr="00B363AA">
        <w:rPr>
          <w:i w:val="0"/>
          <w:iCs w:val="0"/>
        </w:rPr>
        <w:lastRenderedPageBreak/>
        <w:t xml:space="preserve">Tableau </w:t>
      </w:r>
      <w:r w:rsidRPr="00B363AA">
        <w:rPr>
          <w:i w:val="0"/>
          <w:iCs w:val="0"/>
        </w:rPr>
        <w:fldChar w:fldCharType="begin"/>
      </w:r>
      <w:r w:rsidRPr="00B363AA">
        <w:rPr>
          <w:i w:val="0"/>
          <w:iCs w:val="0"/>
        </w:rPr>
        <w:instrText xml:space="preserve"> SEQ Tableau \* ARABIC </w:instrText>
      </w:r>
      <w:r w:rsidRPr="00B363AA">
        <w:rPr>
          <w:i w:val="0"/>
          <w:iCs w:val="0"/>
        </w:rPr>
        <w:fldChar w:fldCharType="separate"/>
      </w:r>
      <w:r w:rsidR="003D7F8A" w:rsidRPr="00B363AA">
        <w:rPr>
          <w:i w:val="0"/>
          <w:iCs w:val="0"/>
        </w:rPr>
        <w:t>9</w:t>
      </w:r>
      <w:r w:rsidRPr="00B363AA">
        <w:rPr>
          <w:i w:val="0"/>
          <w:iCs w:val="0"/>
        </w:rPr>
        <w:fldChar w:fldCharType="end"/>
      </w:r>
      <w:bookmarkEnd w:id="215"/>
      <w:r w:rsidRPr="00B363AA">
        <w:rPr>
          <w:i w:val="0"/>
          <w:iCs w:val="0"/>
        </w:rPr>
        <w:t xml:space="preserve"> : Nombre d'échantillons composites, nombre d'échantillons élémentaires à prélever pour constituer un composite et nombre de points où effectuer un pack de mesures in situ</w:t>
      </w:r>
      <w:bookmarkEnd w:id="216"/>
    </w:p>
    <w:tbl>
      <w:tblPr>
        <w:tblW w:w="9072" w:type="dxa"/>
        <w:tblLayout w:type="fixed"/>
        <w:tblCellMar>
          <w:left w:w="70" w:type="dxa"/>
          <w:right w:w="70" w:type="dxa"/>
        </w:tblCellMar>
        <w:tblLook w:val="04A0" w:firstRow="1" w:lastRow="0" w:firstColumn="1" w:lastColumn="0" w:noHBand="0" w:noVBand="1"/>
      </w:tblPr>
      <w:tblGrid>
        <w:gridCol w:w="2122"/>
        <w:gridCol w:w="868"/>
        <w:gridCol w:w="869"/>
        <w:gridCol w:w="869"/>
        <w:gridCol w:w="869"/>
        <w:gridCol w:w="868"/>
        <w:gridCol w:w="869"/>
        <w:gridCol w:w="869"/>
        <w:gridCol w:w="869"/>
      </w:tblGrid>
      <w:tr w:rsidR="003B7918" w:rsidRPr="00B363AA" w14:paraId="17C7D5A8" w14:textId="77777777" w:rsidTr="004306AE">
        <w:trPr>
          <w:trHeight w:val="303"/>
        </w:trPr>
        <w:tc>
          <w:tcPr>
            <w:tcW w:w="2122" w:type="dxa"/>
            <w:vMerge w:val="restart"/>
            <w:tcBorders>
              <w:top w:val="single" w:sz="4" w:space="0" w:color="auto"/>
              <w:left w:val="single" w:sz="4" w:space="0" w:color="auto"/>
              <w:right w:val="single" w:sz="4" w:space="0" w:color="FFFFFF" w:themeColor="background1"/>
            </w:tcBorders>
            <w:shd w:val="clear" w:color="auto" w:fill="0E2841" w:themeFill="text2"/>
            <w:noWrap/>
            <w:vAlign w:val="center"/>
            <w:hideMark/>
          </w:tcPr>
          <w:p w14:paraId="79A1554C" w14:textId="77777777" w:rsidR="003B7918" w:rsidRPr="00B363AA" w:rsidRDefault="003B7918" w:rsidP="004306AE">
            <w:pPr>
              <w:spacing w:after="0" w:line="240" w:lineRule="auto"/>
              <w:jc w:val="center"/>
              <w:rPr>
                <w:rFonts w:ascii="Times New Roman" w:eastAsia="Times New Roman" w:hAnsi="Times New Roman" w:cs="Times New Roman"/>
                <w:color w:val="FFFFFF" w:themeColor="background1"/>
                <w:kern w:val="0"/>
                <w:sz w:val="18"/>
                <w:szCs w:val="18"/>
                <w:lang w:eastAsia="fr-BE"/>
                <w14:ligatures w14:val="none"/>
              </w:rPr>
            </w:pPr>
            <w:r w:rsidRPr="00B363AA">
              <w:rPr>
                <w:rFonts w:ascii="Aptos Narrow" w:eastAsia="Times New Roman" w:hAnsi="Aptos Narrow" w:cs="Arial"/>
                <w:color w:val="FFFFFF" w:themeColor="background1"/>
                <w:kern w:val="0"/>
                <w:sz w:val="18"/>
                <w:szCs w:val="18"/>
                <w:lang w:eastAsia="fr-BE"/>
                <w14:ligatures w14:val="none"/>
              </w:rPr>
              <w:t>Nombre</w:t>
            </w:r>
          </w:p>
        </w:tc>
        <w:tc>
          <w:tcPr>
            <w:tcW w:w="6950" w:type="dxa"/>
            <w:gridSpan w:val="8"/>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3D524257" w14:textId="77777777" w:rsidR="003B7918" w:rsidRPr="00B363AA"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B363AA">
              <w:rPr>
                <w:rFonts w:ascii="Aptos Narrow" w:eastAsia="Times New Roman" w:hAnsi="Aptos Narrow" w:cs="Arial"/>
                <w:color w:val="FFFFFF" w:themeColor="background1"/>
                <w:kern w:val="0"/>
                <w:sz w:val="18"/>
                <w:szCs w:val="18"/>
                <w:lang w:eastAsia="fr-BE"/>
                <w14:ligatures w14:val="none"/>
              </w:rPr>
              <w:t>Taille zone homogène</w:t>
            </w:r>
          </w:p>
        </w:tc>
      </w:tr>
      <w:tr w:rsidR="003B7918" w:rsidRPr="00B363AA" w14:paraId="2A0A6EF0" w14:textId="77777777" w:rsidTr="47ED106C">
        <w:trPr>
          <w:trHeight w:val="303"/>
        </w:trPr>
        <w:tc>
          <w:tcPr>
            <w:tcW w:w="2122" w:type="dxa"/>
            <w:vMerge/>
            <w:noWrap/>
            <w:vAlign w:val="center"/>
            <w:hideMark/>
          </w:tcPr>
          <w:p w14:paraId="685C3D89" w14:textId="77777777" w:rsidR="003B7918" w:rsidRPr="00B363AA" w:rsidRDefault="003B7918" w:rsidP="004306AE">
            <w:pPr>
              <w:spacing w:after="0" w:line="240" w:lineRule="auto"/>
              <w:jc w:val="center"/>
              <w:rPr>
                <w:rFonts w:ascii="Aptos Narrow" w:eastAsia="Times New Roman" w:hAnsi="Aptos Narrow" w:cs="Arial"/>
                <w:b/>
                <w:bCs/>
                <w:color w:val="FFFFFF" w:themeColor="background1"/>
                <w:kern w:val="0"/>
                <w:sz w:val="18"/>
                <w:szCs w:val="18"/>
                <w:lang w:eastAsia="fr-BE"/>
                <w14:ligatures w14:val="none"/>
              </w:rPr>
            </w:pPr>
          </w:p>
        </w:tc>
        <w:tc>
          <w:tcPr>
            <w:tcW w:w="868"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hideMark/>
          </w:tcPr>
          <w:p w14:paraId="35B190C1" w14:textId="77777777" w:rsidR="003B7918" w:rsidRPr="00B363AA"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B363AA">
              <w:rPr>
                <w:rFonts w:ascii="Aptos Narrow" w:eastAsia="Times New Roman" w:hAnsi="Aptos Narrow" w:cs="Arial"/>
                <w:color w:val="FFFFFF" w:themeColor="background1"/>
                <w:kern w:val="0"/>
                <w:sz w:val="18"/>
                <w:szCs w:val="18"/>
                <w:lang w:eastAsia="fr-BE"/>
                <w14:ligatures w14:val="none"/>
              </w:rPr>
              <w:t>&lt; 500 m²</w:t>
            </w:r>
          </w:p>
        </w:tc>
        <w:tc>
          <w:tcPr>
            <w:tcW w:w="869"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0E2841" w:themeFill="text2"/>
            <w:vAlign w:val="center"/>
            <w:hideMark/>
          </w:tcPr>
          <w:p w14:paraId="780B09BC" w14:textId="77777777" w:rsidR="003B7918" w:rsidRPr="00B363AA"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B363AA">
              <w:rPr>
                <w:rFonts w:ascii="Aptos Narrow" w:eastAsia="Times New Roman" w:hAnsi="Aptos Narrow" w:cs="Arial"/>
                <w:color w:val="FFFFFF" w:themeColor="background1"/>
                <w:kern w:val="0"/>
                <w:sz w:val="18"/>
                <w:szCs w:val="18"/>
                <w:lang w:eastAsia="fr-BE"/>
                <w14:ligatures w14:val="none"/>
              </w:rPr>
              <w:t>500 - 2000 m²</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5A817864" w14:textId="77777777" w:rsidR="003B7918" w:rsidRPr="00B363AA"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B363AA">
              <w:rPr>
                <w:rFonts w:ascii="Aptos Narrow" w:eastAsia="Times New Roman" w:hAnsi="Aptos Narrow" w:cs="Arial"/>
                <w:color w:val="FFFFFF" w:themeColor="background1"/>
                <w:kern w:val="0"/>
                <w:sz w:val="18"/>
                <w:szCs w:val="18"/>
                <w:lang w:eastAsia="fr-BE"/>
                <w14:ligatures w14:val="none"/>
              </w:rPr>
              <w:t>2000 - 5000 m²</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33F4815A" w14:textId="77777777" w:rsidR="003B7918" w:rsidRPr="00B363AA"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B363AA">
              <w:rPr>
                <w:rFonts w:ascii="Aptos Narrow" w:eastAsia="Times New Roman" w:hAnsi="Aptos Narrow" w:cs="Arial"/>
                <w:color w:val="FFFFFF" w:themeColor="background1"/>
                <w:kern w:val="0"/>
                <w:sz w:val="18"/>
                <w:szCs w:val="18"/>
                <w:lang w:eastAsia="fr-BE"/>
                <w14:ligatures w14:val="none"/>
              </w:rPr>
              <w:t>0,5-1 ha</w:t>
            </w:r>
          </w:p>
        </w:tc>
        <w:tc>
          <w:tcPr>
            <w:tcW w:w="8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4613182F" w14:textId="77777777" w:rsidR="003B7918" w:rsidRPr="00B363AA"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B363AA">
              <w:rPr>
                <w:rFonts w:ascii="Aptos Narrow" w:eastAsia="Times New Roman" w:hAnsi="Aptos Narrow" w:cs="Arial"/>
                <w:color w:val="FFFFFF" w:themeColor="background1"/>
                <w:kern w:val="0"/>
                <w:sz w:val="18"/>
                <w:szCs w:val="18"/>
                <w:lang w:eastAsia="fr-BE"/>
                <w14:ligatures w14:val="none"/>
              </w:rPr>
              <w:t>1-2 ha</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6593AFA5" w14:textId="77777777" w:rsidR="003B7918" w:rsidRPr="00B363AA"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B363AA">
              <w:rPr>
                <w:rFonts w:ascii="Aptos Narrow" w:eastAsia="Times New Roman" w:hAnsi="Aptos Narrow" w:cs="Arial"/>
                <w:color w:val="FFFFFF" w:themeColor="background1"/>
                <w:kern w:val="0"/>
                <w:sz w:val="18"/>
                <w:szCs w:val="18"/>
                <w:lang w:eastAsia="fr-BE"/>
                <w14:ligatures w14:val="none"/>
              </w:rPr>
              <w:t>2-3 ha</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6DC62E59" w14:textId="77777777" w:rsidR="003B7918" w:rsidRPr="00B363AA"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B363AA">
              <w:rPr>
                <w:rFonts w:ascii="Aptos Narrow" w:eastAsia="Times New Roman" w:hAnsi="Aptos Narrow" w:cs="Arial"/>
                <w:color w:val="FFFFFF" w:themeColor="background1"/>
                <w:kern w:val="0"/>
                <w:sz w:val="18"/>
                <w:szCs w:val="18"/>
                <w:lang w:eastAsia="fr-BE"/>
                <w14:ligatures w14:val="none"/>
              </w:rPr>
              <w:t>3-4 ha</w:t>
            </w:r>
          </w:p>
        </w:tc>
        <w:tc>
          <w:tcPr>
            <w:tcW w:w="86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E2841" w:themeFill="text2"/>
            <w:vAlign w:val="center"/>
            <w:hideMark/>
          </w:tcPr>
          <w:p w14:paraId="66ECEB44" w14:textId="77777777" w:rsidR="003B7918" w:rsidRPr="00B363AA" w:rsidRDefault="003B7918" w:rsidP="004306AE">
            <w:pPr>
              <w:spacing w:after="0" w:line="240" w:lineRule="auto"/>
              <w:jc w:val="center"/>
              <w:rPr>
                <w:rFonts w:ascii="Aptos Narrow" w:eastAsia="Times New Roman" w:hAnsi="Aptos Narrow" w:cs="Arial"/>
                <w:color w:val="FFFFFF" w:themeColor="background1"/>
                <w:kern w:val="0"/>
                <w:sz w:val="18"/>
                <w:szCs w:val="18"/>
                <w:lang w:eastAsia="fr-BE"/>
                <w14:ligatures w14:val="none"/>
              </w:rPr>
            </w:pPr>
            <w:r w:rsidRPr="00B363AA">
              <w:rPr>
                <w:rFonts w:ascii="Aptos Narrow" w:eastAsia="Times New Roman" w:hAnsi="Aptos Narrow" w:cs="Arial"/>
                <w:color w:val="FFFFFF" w:themeColor="background1"/>
                <w:kern w:val="0"/>
                <w:sz w:val="18"/>
                <w:szCs w:val="18"/>
                <w:lang w:eastAsia="fr-BE"/>
                <w14:ligatures w14:val="none"/>
              </w:rPr>
              <w:t>4-5 ha</w:t>
            </w:r>
          </w:p>
        </w:tc>
      </w:tr>
      <w:tr w:rsidR="003B7918" w:rsidRPr="00B363AA" w14:paraId="77CB0BAD" w14:textId="77777777" w:rsidTr="004306AE">
        <w:trPr>
          <w:trHeight w:val="283"/>
        </w:trPr>
        <w:tc>
          <w:tcPr>
            <w:tcW w:w="2122" w:type="dxa"/>
            <w:tcBorders>
              <w:top w:val="nil"/>
              <w:left w:val="single" w:sz="4" w:space="0" w:color="auto"/>
              <w:bottom w:val="single" w:sz="4" w:space="0" w:color="auto"/>
              <w:right w:val="single" w:sz="4" w:space="0" w:color="auto"/>
            </w:tcBorders>
            <w:shd w:val="clear" w:color="auto" w:fill="E8E8E8" w:themeFill="background2"/>
            <w:noWrap/>
            <w:vAlign w:val="center"/>
            <w:hideMark/>
          </w:tcPr>
          <w:p w14:paraId="6D4EC1DB" w14:textId="77777777" w:rsidR="003B7918" w:rsidRPr="00B363AA" w:rsidRDefault="003B7918" w:rsidP="004306AE">
            <w:pPr>
              <w:spacing w:after="0" w:line="240" w:lineRule="auto"/>
              <w:jc w:val="left"/>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Échantillon composite</w:t>
            </w:r>
          </w:p>
        </w:tc>
        <w:tc>
          <w:tcPr>
            <w:tcW w:w="868" w:type="dxa"/>
            <w:tcBorders>
              <w:top w:val="nil"/>
              <w:left w:val="nil"/>
              <w:bottom w:val="single" w:sz="4" w:space="0" w:color="auto"/>
              <w:right w:val="single" w:sz="4" w:space="0" w:color="auto"/>
            </w:tcBorders>
            <w:noWrap/>
            <w:vAlign w:val="center"/>
            <w:hideMark/>
          </w:tcPr>
          <w:p w14:paraId="016FD224"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1</w:t>
            </w:r>
          </w:p>
        </w:tc>
        <w:tc>
          <w:tcPr>
            <w:tcW w:w="869" w:type="dxa"/>
            <w:tcBorders>
              <w:top w:val="nil"/>
              <w:left w:val="nil"/>
              <w:bottom w:val="single" w:sz="4" w:space="0" w:color="auto"/>
              <w:right w:val="single" w:sz="4" w:space="0" w:color="auto"/>
            </w:tcBorders>
            <w:noWrap/>
            <w:vAlign w:val="center"/>
            <w:hideMark/>
          </w:tcPr>
          <w:p w14:paraId="39DD71FD"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1</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7F6AD89D"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1</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4105054F"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2</w:t>
            </w:r>
          </w:p>
        </w:tc>
        <w:tc>
          <w:tcPr>
            <w:tcW w:w="868" w:type="dxa"/>
            <w:tcBorders>
              <w:top w:val="single" w:sz="4" w:space="0" w:color="FFFFFF" w:themeColor="background1"/>
              <w:left w:val="nil"/>
              <w:bottom w:val="single" w:sz="4" w:space="0" w:color="auto"/>
              <w:right w:val="single" w:sz="4" w:space="0" w:color="auto"/>
            </w:tcBorders>
            <w:noWrap/>
            <w:vAlign w:val="center"/>
            <w:hideMark/>
          </w:tcPr>
          <w:p w14:paraId="78A96E5A"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2</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16FB7DEA"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2</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491A405E"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2</w:t>
            </w:r>
          </w:p>
        </w:tc>
        <w:tc>
          <w:tcPr>
            <w:tcW w:w="869" w:type="dxa"/>
            <w:tcBorders>
              <w:top w:val="single" w:sz="4" w:space="0" w:color="FFFFFF" w:themeColor="background1"/>
              <w:left w:val="nil"/>
              <w:bottom w:val="single" w:sz="4" w:space="0" w:color="auto"/>
              <w:right w:val="single" w:sz="4" w:space="0" w:color="auto"/>
            </w:tcBorders>
            <w:noWrap/>
            <w:vAlign w:val="center"/>
            <w:hideMark/>
          </w:tcPr>
          <w:p w14:paraId="0F241F22"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2</w:t>
            </w:r>
          </w:p>
        </w:tc>
      </w:tr>
      <w:tr w:rsidR="003B7918" w:rsidRPr="00B363AA" w14:paraId="6802C4D2" w14:textId="77777777" w:rsidTr="004306AE">
        <w:trPr>
          <w:trHeight w:val="283"/>
        </w:trPr>
        <w:tc>
          <w:tcPr>
            <w:tcW w:w="2122" w:type="dxa"/>
            <w:tcBorders>
              <w:top w:val="nil"/>
              <w:left w:val="single" w:sz="4" w:space="0" w:color="auto"/>
              <w:bottom w:val="single" w:sz="4" w:space="0" w:color="auto"/>
              <w:right w:val="single" w:sz="4" w:space="0" w:color="auto"/>
            </w:tcBorders>
            <w:shd w:val="clear" w:color="auto" w:fill="E8E8E8" w:themeFill="background2"/>
            <w:noWrap/>
            <w:vAlign w:val="center"/>
            <w:hideMark/>
          </w:tcPr>
          <w:p w14:paraId="438BF21F" w14:textId="77777777" w:rsidR="003B7918" w:rsidRPr="00B363AA" w:rsidRDefault="003B7918" w:rsidP="004306AE">
            <w:pPr>
              <w:spacing w:after="0" w:line="240" w:lineRule="auto"/>
              <w:jc w:val="left"/>
              <w:rPr>
                <w:rFonts w:ascii="Aptos Narrow" w:eastAsia="Times New Roman" w:hAnsi="Aptos Narrow" w:cs="Arial"/>
                <w:color w:val="747474" w:themeColor="background2" w:themeShade="80"/>
                <w:kern w:val="0"/>
                <w:sz w:val="18"/>
                <w:szCs w:val="18"/>
                <w:lang w:eastAsia="fr-BE"/>
                <w14:ligatures w14:val="none"/>
              </w:rPr>
            </w:pPr>
            <w:r w:rsidRPr="00B363AA">
              <w:rPr>
                <w:rFonts w:ascii="Aptos Narrow" w:eastAsia="Times New Roman" w:hAnsi="Aptos Narrow" w:cs="Arial"/>
                <w:color w:val="747474" w:themeColor="background2" w:themeShade="80"/>
                <w:kern w:val="0"/>
                <w:sz w:val="18"/>
                <w:szCs w:val="18"/>
                <w:lang w:eastAsia="fr-BE"/>
                <w14:ligatures w14:val="none"/>
              </w:rPr>
              <w:t>Échantillons élémentaires</w:t>
            </w:r>
          </w:p>
        </w:tc>
        <w:tc>
          <w:tcPr>
            <w:tcW w:w="868" w:type="dxa"/>
            <w:tcBorders>
              <w:top w:val="nil"/>
              <w:left w:val="nil"/>
              <w:bottom w:val="single" w:sz="4" w:space="0" w:color="auto"/>
              <w:right w:val="single" w:sz="4" w:space="0" w:color="auto"/>
            </w:tcBorders>
            <w:noWrap/>
            <w:vAlign w:val="center"/>
            <w:hideMark/>
          </w:tcPr>
          <w:p w14:paraId="6AD455EB" w14:textId="77777777" w:rsidR="003B7918" w:rsidRPr="00B363AA"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B363AA">
              <w:rPr>
                <w:rFonts w:ascii="Aptos Narrow" w:eastAsia="Times New Roman" w:hAnsi="Aptos Narrow" w:cs="Arial"/>
                <w:color w:val="747474" w:themeColor="background2" w:themeShade="80"/>
                <w:kern w:val="0"/>
                <w:sz w:val="18"/>
                <w:szCs w:val="18"/>
                <w:lang w:eastAsia="fr-BE"/>
                <w14:ligatures w14:val="none"/>
              </w:rPr>
              <w:t>8</w:t>
            </w:r>
          </w:p>
        </w:tc>
        <w:tc>
          <w:tcPr>
            <w:tcW w:w="869" w:type="dxa"/>
            <w:tcBorders>
              <w:top w:val="nil"/>
              <w:left w:val="nil"/>
              <w:bottom w:val="single" w:sz="4" w:space="0" w:color="auto"/>
              <w:right w:val="single" w:sz="4" w:space="0" w:color="auto"/>
            </w:tcBorders>
            <w:noWrap/>
            <w:vAlign w:val="center"/>
            <w:hideMark/>
          </w:tcPr>
          <w:p w14:paraId="6EF0FD39" w14:textId="77777777" w:rsidR="003B7918" w:rsidRPr="00B363AA"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B363AA">
              <w:rPr>
                <w:rFonts w:ascii="Aptos Narrow" w:eastAsia="Times New Roman" w:hAnsi="Aptos Narrow" w:cs="Arial"/>
                <w:color w:val="747474" w:themeColor="background2" w:themeShade="80"/>
                <w:kern w:val="0"/>
                <w:sz w:val="18"/>
                <w:szCs w:val="18"/>
                <w:lang w:eastAsia="fr-BE"/>
                <w14:ligatures w14:val="none"/>
              </w:rPr>
              <w:t>12</w:t>
            </w:r>
          </w:p>
        </w:tc>
        <w:tc>
          <w:tcPr>
            <w:tcW w:w="869" w:type="dxa"/>
            <w:tcBorders>
              <w:top w:val="nil"/>
              <w:left w:val="nil"/>
              <w:bottom w:val="single" w:sz="4" w:space="0" w:color="auto"/>
              <w:right w:val="single" w:sz="4" w:space="0" w:color="auto"/>
            </w:tcBorders>
            <w:noWrap/>
            <w:vAlign w:val="center"/>
            <w:hideMark/>
          </w:tcPr>
          <w:p w14:paraId="2E2F606E" w14:textId="77777777" w:rsidR="003B7918" w:rsidRPr="00B363AA"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B363AA">
              <w:rPr>
                <w:rFonts w:ascii="Aptos Narrow" w:eastAsia="Times New Roman" w:hAnsi="Aptos Narrow" w:cs="Arial"/>
                <w:color w:val="747474" w:themeColor="background2" w:themeShade="80"/>
                <w:kern w:val="0"/>
                <w:sz w:val="18"/>
                <w:szCs w:val="18"/>
                <w:lang w:eastAsia="fr-BE"/>
                <w14:ligatures w14:val="none"/>
              </w:rPr>
              <w:t>15</w:t>
            </w:r>
          </w:p>
        </w:tc>
        <w:tc>
          <w:tcPr>
            <w:tcW w:w="869" w:type="dxa"/>
            <w:tcBorders>
              <w:top w:val="nil"/>
              <w:left w:val="nil"/>
              <w:bottom w:val="single" w:sz="4" w:space="0" w:color="auto"/>
              <w:right w:val="single" w:sz="4" w:space="0" w:color="auto"/>
            </w:tcBorders>
            <w:noWrap/>
            <w:vAlign w:val="center"/>
            <w:hideMark/>
          </w:tcPr>
          <w:p w14:paraId="6A932504" w14:textId="77777777" w:rsidR="003B7918" w:rsidRPr="00B363AA"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B363AA">
              <w:rPr>
                <w:rFonts w:ascii="Aptos Narrow" w:eastAsia="Times New Roman" w:hAnsi="Aptos Narrow" w:cs="Arial"/>
                <w:color w:val="747474" w:themeColor="background2" w:themeShade="80"/>
                <w:kern w:val="0"/>
                <w:sz w:val="18"/>
                <w:szCs w:val="18"/>
                <w:lang w:eastAsia="fr-BE"/>
                <w14:ligatures w14:val="none"/>
              </w:rPr>
              <w:t>22</w:t>
            </w:r>
          </w:p>
        </w:tc>
        <w:tc>
          <w:tcPr>
            <w:tcW w:w="868" w:type="dxa"/>
            <w:tcBorders>
              <w:top w:val="nil"/>
              <w:left w:val="nil"/>
              <w:bottom w:val="single" w:sz="4" w:space="0" w:color="auto"/>
              <w:right w:val="single" w:sz="4" w:space="0" w:color="auto"/>
            </w:tcBorders>
            <w:noWrap/>
            <w:vAlign w:val="center"/>
            <w:hideMark/>
          </w:tcPr>
          <w:p w14:paraId="29FFE81D" w14:textId="77777777" w:rsidR="003B7918" w:rsidRPr="00B363AA"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B363AA">
              <w:rPr>
                <w:rFonts w:ascii="Aptos Narrow" w:eastAsia="Times New Roman" w:hAnsi="Aptos Narrow" w:cs="Arial"/>
                <w:color w:val="747474" w:themeColor="background2" w:themeShade="80"/>
                <w:kern w:val="0"/>
                <w:sz w:val="18"/>
                <w:szCs w:val="18"/>
                <w:lang w:eastAsia="fr-BE"/>
                <w14:ligatures w14:val="none"/>
              </w:rPr>
              <w:t>28</w:t>
            </w:r>
          </w:p>
        </w:tc>
        <w:tc>
          <w:tcPr>
            <w:tcW w:w="869" w:type="dxa"/>
            <w:tcBorders>
              <w:top w:val="nil"/>
              <w:left w:val="nil"/>
              <w:bottom w:val="single" w:sz="4" w:space="0" w:color="auto"/>
              <w:right w:val="single" w:sz="4" w:space="0" w:color="auto"/>
            </w:tcBorders>
            <w:noWrap/>
            <w:vAlign w:val="center"/>
            <w:hideMark/>
          </w:tcPr>
          <w:p w14:paraId="59787C52" w14:textId="77777777" w:rsidR="003B7918" w:rsidRPr="00B363AA"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B363AA">
              <w:rPr>
                <w:rFonts w:ascii="Aptos Narrow" w:eastAsia="Times New Roman" w:hAnsi="Aptos Narrow" w:cs="Arial"/>
                <w:color w:val="747474" w:themeColor="background2" w:themeShade="80"/>
                <w:kern w:val="0"/>
                <w:sz w:val="18"/>
                <w:szCs w:val="18"/>
                <w:lang w:eastAsia="fr-BE"/>
                <w14:ligatures w14:val="none"/>
              </w:rPr>
              <w:t>32</w:t>
            </w:r>
          </w:p>
        </w:tc>
        <w:tc>
          <w:tcPr>
            <w:tcW w:w="869" w:type="dxa"/>
            <w:tcBorders>
              <w:top w:val="nil"/>
              <w:left w:val="nil"/>
              <w:bottom w:val="single" w:sz="4" w:space="0" w:color="auto"/>
              <w:right w:val="single" w:sz="4" w:space="0" w:color="auto"/>
            </w:tcBorders>
            <w:noWrap/>
            <w:vAlign w:val="center"/>
            <w:hideMark/>
          </w:tcPr>
          <w:p w14:paraId="7E46432E" w14:textId="77777777" w:rsidR="003B7918" w:rsidRPr="00B363AA"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B363AA">
              <w:rPr>
                <w:rFonts w:ascii="Aptos Narrow" w:eastAsia="Times New Roman" w:hAnsi="Aptos Narrow" w:cs="Arial"/>
                <w:color w:val="747474" w:themeColor="background2" w:themeShade="80"/>
                <w:kern w:val="0"/>
                <w:sz w:val="18"/>
                <w:szCs w:val="18"/>
                <w:lang w:eastAsia="fr-BE"/>
                <w14:ligatures w14:val="none"/>
              </w:rPr>
              <w:t>36</w:t>
            </w:r>
          </w:p>
        </w:tc>
        <w:tc>
          <w:tcPr>
            <w:tcW w:w="869" w:type="dxa"/>
            <w:tcBorders>
              <w:top w:val="nil"/>
              <w:left w:val="nil"/>
              <w:bottom w:val="single" w:sz="4" w:space="0" w:color="auto"/>
              <w:right w:val="single" w:sz="4" w:space="0" w:color="auto"/>
            </w:tcBorders>
            <w:noWrap/>
            <w:vAlign w:val="center"/>
            <w:hideMark/>
          </w:tcPr>
          <w:p w14:paraId="688C4367" w14:textId="77777777" w:rsidR="003B7918" w:rsidRPr="00B363AA" w:rsidRDefault="003B7918" w:rsidP="004306AE">
            <w:pPr>
              <w:spacing w:after="0" w:line="240" w:lineRule="auto"/>
              <w:jc w:val="center"/>
              <w:rPr>
                <w:rFonts w:ascii="Aptos Narrow" w:eastAsia="Times New Roman" w:hAnsi="Aptos Narrow" w:cs="Arial"/>
                <w:color w:val="747474" w:themeColor="background2" w:themeShade="80"/>
                <w:kern w:val="0"/>
                <w:sz w:val="18"/>
                <w:szCs w:val="18"/>
                <w:lang w:eastAsia="fr-BE"/>
                <w14:ligatures w14:val="none"/>
              </w:rPr>
            </w:pPr>
            <w:r w:rsidRPr="00B363AA">
              <w:rPr>
                <w:rFonts w:ascii="Aptos Narrow" w:eastAsia="Times New Roman" w:hAnsi="Aptos Narrow" w:cs="Arial"/>
                <w:color w:val="747474" w:themeColor="background2" w:themeShade="80"/>
                <w:kern w:val="0"/>
                <w:sz w:val="18"/>
                <w:szCs w:val="18"/>
                <w:lang w:eastAsia="fr-BE"/>
                <w14:ligatures w14:val="none"/>
              </w:rPr>
              <w:t>38</w:t>
            </w:r>
          </w:p>
        </w:tc>
      </w:tr>
      <w:tr w:rsidR="003B7918" w:rsidRPr="00B363AA" w14:paraId="53CFFD12" w14:textId="77777777" w:rsidTr="004306AE">
        <w:trPr>
          <w:trHeight w:val="283"/>
        </w:trPr>
        <w:tc>
          <w:tcPr>
            <w:tcW w:w="2122" w:type="dxa"/>
            <w:tcBorders>
              <w:top w:val="nil"/>
              <w:left w:val="single" w:sz="4" w:space="0" w:color="auto"/>
              <w:bottom w:val="single" w:sz="4" w:space="0" w:color="auto"/>
              <w:right w:val="single" w:sz="4" w:space="0" w:color="auto"/>
            </w:tcBorders>
            <w:shd w:val="clear" w:color="auto" w:fill="E8E8E8" w:themeFill="background2"/>
            <w:vAlign w:val="center"/>
            <w:hideMark/>
          </w:tcPr>
          <w:p w14:paraId="4D459689" w14:textId="77777777" w:rsidR="003B7918" w:rsidRPr="00B363AA" w:rsidRDefault="003B7918" w:rsidP="004306AE">
            <w:pPr>
              <w:spacing w:after="0" w:line="240" w:lineRule="auto"/>
              <w:jc w:val="left"/>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Point de mesures in situ</w:t>
            </w:r>
          </w:p>
        </w:tc>
        <w:tc>
          <w:tcPr>
            <w:tcW w:w="868" w:type="dxa"/>
            <w:tcBorders>
              <w:top w:val="nil"/>
              <w:left w:val="nil"/>
              <w:bottom w:val="single" w:sz="4" w:space="0" w:color="auto"/>
              <w:right w:val="single" w:sz="4" w:space="0" w:color="auto"/>
            </w:tcBorders>
            <w:noWrap/>
            <w:vAlign w:val="center"/>
            <w:hideMark/>
          </w:tcPr>
          <w:p w14:paraId="01ACF558"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3</w:t>
            </w:r>
          </w:p>
        </w:tc>
        <w:tc>
          <w:tcPr>
            <w:tcW w:w="869" w:type="dxa"/>
            <w:tcBorders>
              <w:top w:val="nil"/>
              <w:left w:val="nil"/>
              <w:bottom w:val="single" w:sz="4" w:space="0" w:color="auto"/>
              <w:right w:val="single" w:sz="4" w:space="0" w:color="auto"/>
            </w:tcBorders>
            <w:noWrap/>
            <w:vAlign w:val="center"/>
            <w:hideMark/>
          </w:tcPr>
          <w:p w14:paraId="634CCFD6"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4</w:t>
            </w:r>
          </w:p>
        </w:tc>
        <w:tc>
          <w:tcPr>
            <w:tcW w:w="869" w:type="dxa"/>
            <w:tcBorders>
              <w:top w:val="nil"/>
              <w:left w:val="nil"/>
              <w:bottom w:val="single" w:sz="4" w:space="0" w:color="auto"/>
              <w:right w:val="single" w:sz="4" w:space="0" w:color="auto"/>
            </w:tcBorders>
            <w:noWrap/>
            <w:vAlign w:val="center"/>
            <w:hideMark/>
          </w:tcPr>
          <w:p w14:paraId="14CE3EA8"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6</w:t>
            </w:r>
          </w:p>
        </w:tc>
        <w:tc>
          <w:tcPr>
            <w:tcW w:w="869" w:type="dxa"/>
            <w:tcBorders>
              <w:top w:val="nil"/>
              <w:left w:val="nil"/>
              <w:bottom w:val="single" w:sz="4" w:space="0" w:color="auto"/>
              <w:right w:val="single" w:sz="4" w:space="0" w:color="auto"/>
            </w:tcBorders>
            <w:noWrap/>
            <w:vAlign w:val="center"/>
            <w:hideMark/>
          </w:tcPr>
          <w:p w14:paraId="47466B74"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8</w:t>
            </w:r>
          </w:p>
        </w:tc>
        <w:tc>
          <w:tcPr>
            <w:tcW w:w="868" w:type="dxa"/>
            <w:tcBorders>
              <w:top w:val="nil"/>
              <w:left w:val="nil"/>
              <w:bottom w:val="single" w:sz="4" w:space="0" w:color="auto"/>
              <w:right w:val="single" w:sz="4" w:space="0" w:color="auto"/>
            </w:tcBorders>
            <w:noWrap/>
            <w:vAlign w:val="center"/>
            <w:hideMark/>
          </w:tcPr>
          <w:p w14:paraId="7395125C"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10</w:t>
            </w:r>
          </w:p>
        </w:tc>
        <w:tc>
          <w:tcPr>
            <w:tcW w:w="869" w:type="dxa"/>
            <w:tcBorders>
              <w:top w:val="nil"/>
              <w:left w:val="nil"/>
              <w:bottom w:val="single" w:sz="4" w:space="0" w:color="auto"/>
              <w:right w:val="single" w:sz="4" w:space="0" w:color="auto"/>
            </w:tcBorders>
            <w:noWrap/>
            <w:vAlign w:val="center"/>
            <w:hideMark/>
          </w:tcPr>
          <w:p w14:paraId="38EE4FBB"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12</w:t>
            </w:r>
          </w:p>
        </w:tc>
        <w:tc>
          <w:tcPr>
            <w:tcW w:w="869" w:type="dxa"/>
            <w:tcBorders>
              <w:top w:val="nil"/>
              <w:left w:val="nil"/>
              <w:bottom w:val="single" w:sz="4" w:space="0" w:color="auto"/>
              <w:right w:val="single" w:sz="4" w:space="0" w:color="auto"/>
            </w:tcBorders>
            <w:noWrap/>
            <w:vAlign w:val="center"/>
            <w:hideMark/>
          </w:tcPr>
          <w:p w14:paraId="29757999"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14</w:t>
            </w:r>
          </w:p>
        </w:tc>
        <w:tc>
          <w:tcPr>
            <w:tcW w:w="869" w:type="dxa"/>
            <w:tcBorders>
              <w:top w:val="nil"/>
              <w:left w:val="nil"/>
              <w:bottom w:val="single" w:sz="4" w:space="0" w:color="auto"/>
              <w:right w:val="single" w:sz="4" w:space="0" w:color="auto"/>
            </w:tcBorders>
            <w:noWrap/>
            <w:vAlign w:val="center"/>
            <w:hideMark/>
          </w:tcPr>
          <w:p w14:paraId="1AC6B30F" w14:textId="77777777" w:rsidR="003B7918" w:rsidRPr="00B363AA" w:rsidRDefault="003B7918" w:rsidP="004306AE">
            <w:pPr>
              <w:spacing w:after="0" w:line="240" w:lineRule="auto"/>
              <w:jc w:val="center"/>
              <w:rPr>
                <w:rFonts w:ascii="Aptos Narrow" w:eastAsia="Times New Roman" w:hAnsi="Aptos Narrow" w:cs="Arial"/>
                <w:b/>
                <w:bCs/>
                <w:color w:val="000000" w:themeColor="text1"/>
                <w:kern w:val="0"/>
                <w:sz w:val="18"/>
                <w:szCs w:val="18"/>
                <w:lang w:eastAsia="fr-BE"/>
                <w14:ligatures w14:val="none"/>
              </w:rPr>
            </w:pPr>
            <w:r w:rsidRPr="00B363AA">
              <w:rPr>
                <w:rFonts w:ascii="Aptos Narrow" w:eastAsia="Times New Roman" w:hAnsi="Aptos Narrow" w:cs="Arial"/>
                <w:b/>
                <w:bCs/>
                <w:color w:val="000000" w:themeColor="text1"/>
                <w:kern w:val="0"/>
                <w:sz w:val="18"/>
                <w:szCs w:val="18"/>
                <w:lang w:eastAsia="fr-BE"/>
                <w14:ligatures w14:val="none"/>
              </w:rPr>
              <w:t>16</w:t>
            </w:r>
          </w:p>
        </w:tc>
      </w:tr>
    </w:tbl>
    <w:p w14:paraId="172D7693" w14:textId="77777777" w:rsidR="003B7918" w:rsidRPr="00B363AA" w:rsidRDefault="003B7918" w:rsidP="003B7918"/>
    <w:p w14:paraId="5D15A421" w14:textId="7E554419" w:rsidR="009837B8" w:rsidRPr="00B363AA" w:rsidRDefault="3012F62A" w:rsidP="003B7918">
      <w:r w:rsidRPr="00B363AA">
        <w:t>Le paquet d’analyses</w:t>
      </w:r>
      <w:r w:rsidR="009837B8" w:rsidRPr="00B363AA">
        <w:t xml:space="preserve"> IQSW-pro sera mesuré dans chacune des zones d’échantillonnage</w:t>
      </w:r>
      <w:r w:rsidR="00B8452A" w:rsidRPr="00B363AA">
        <w:t>.</w:t>
      </w:r>
    </w:p>
    <w:p w14:paraId="3397A909" w14:textId="78244F38" w:rsidR="00DA293A" w:rsidRPr="00B363AA" w:rsidRDefault="003B7918">
      <w:pPr>
        <w:pStyle w:val="Titre2"/>
        <w:numPr>
          <w:ilvl w:val="1"/>
          <w:numId w:val="12"/>
        </w:numPr>
      </w:pPr>
      <w:bookmarkStart w:id="217" w:name="_Toc241243023"/>
      <w:r w:rsidRPr="00B363AA">
        <w:t>Travaux</w:t>
      </w:r>
      <w:r w:rsidR="00145E17" w:rsidRPr="00B363AA">
        <w:t xml:space="preserve"> de terrain</w:t>
      </w:r>
      <w:bookmarkEnd w:id="217"/>
    </w:p>
    <w:p w14:paraId="40096254" w14:textId="30EC73CD" w:rsidR="002E1FC5" w:rsidRPr="00B363AA" w:rsidRDefault="002E1FC5" w:rsidP="002E1FC5">
      <w:r w:rsidRPr="00B363AA">
        <w:t xml:space="preserve">La phase de terrain comprend une description de la zone homogène, le prélèvement d’un échantillon composite de surface (0-30 cm) et une série de mesures in situ. </w:t>
      </w:r>
    </w:p>
    <w:p w14:paraId="0B60CA06" w14:textId="2809C2CC" w:rsidR="00C21E59" w:rsidRPr="00B363AA" w:rsidRDefault="00C21E59">
      <w:pPr>
        <w:pStyle w:val="Titre2"/>
        <w:numPr>
          <w:ilvl w:val="1"/>
          <w:numId w:val="12"/>
        </w:numPr>
      </w:pPr>
      <w:bookmarkStart w:id="218" w:name="_Toc230267142"/>
      <w:bookmarkStart w:id="219" w:name="_Toc241243024"/>
      <w:r w:rsidRPr="00B363AA">
        <w:t>Analyses de laboratoire</w:t>
      </w:r>
      <w:bookmarkEnd w:id="218"/>
      <w:bookmarkEnd w:id="219"/>
    </w:p>
    <w:p w14:paraId="45B0D6E7" w14:textId="232C5FBF" w:rsidR="008D08AF" w:rsidRPr="00B363AA" w:rsidRDefault="0044715F" w:rsidP="00C21E59">
      <w:r w:rsidRPr="00B363AA">
        <w:t xml:space="preserve">Les échantillons prélevés sont </w:t>
      </w:r>
      <w:r w:rsidR="006614B5" w:rsidRPr="00B363AA">
        <w:t xml:space="preserve">analysés suivant les préconisations </w:t>
      </w:r>
      <w:r w:rsidR="0047609A" w:rsidRPr="00B363AA">
        <w:t xml:space="preserve">du </w:t>
      </w:r>
      <w:r w:rsidR="0047609A" w:rsidRPr="00B363AA">
        <w:fldChar w:fldCharType="begin"/>
      </w:r>
      <w:r w:rsidR="0047609A" w:rsidRPr="00B363AA">
        <w:instrText xml:space="preserve"> REF _Ref241226875 \h </w:instrText>
      </w:r>
      <w:r w:rsidR="0047609A" w:rsidRPr="00B363AA">
        <w:fldChar w:fldCharType="separate"/>
      </w:r>
      <w:r w:rsidR="0047609A" w:rsidRPr="00B363AA">
        <w:t>Tableau 1</w:t>
      </w:r>
      <w:r w:rsidR="0047609A" w:rsidRPr="00B363AA">
        <w:fldChar w:fldCharType="end"/>
      </w:r>
      <w:r w:rsidR="0047609A" w:rsidRPr="00B363AA">
        <w:t>.</w:t>
      </w:r>
    </w:p>
    <w:p w14:paraId="7432E093" w14:textId="6B3B9EF8" w:rsidR="00B17CBE" w:rsidRPr="00B363AA" w:rsidRDefault="005E11E3">
      <w:pPr>
        <w:pStyle w:val="Titre2"/>
        <w:numPr>
          <w:ilvl w:val="1"/>
          <w:numId w:val="12"/>
        </w:numPr>
      </w:pPr>
      <w:bookmarkStart w:id="220" w:name="_Toc241243025"/>
      <w:r w:rsidRPr="00B363AA">
        <w:t>Encodage et i</w:t>
      </w:r>
      <w:r w:rsidR="009A39CD" w:rsidRPr="00B363AA">
        <w:t>nterprétation des résultats</w:t>
      </w:r>
      <w:bookmarkEnd w:id="220"/>
    </w:p>
    <w:p w14:paraId="6823A64A" w14:textId="186567F8" w:rsidR="00F5672E" w:rsidRPr="00B363AA" w:rsidRDefault="006614B5" w:rsidP="00107989">
      <w:r w:rsidRPr="00B363AA">
        <w:t xml:space="preserve">Les résultats des analyses </w:t>
      </w:r>
      <w:r w:rsidR="27FB233B" w:rsidRPr="00B363AA">
        <w:t xml:space="preserve">et mesures </w:t>
      </w:r>
      <w:r w:rsidR="27FB233B" w:rsidRPr="00B363AA">
        <w:rPr>
          <w:i/>
          <w:iCs/>
        </w:rPr>
        <w:t>in situ</w:t>
      </w:r>
      <w:r w:rsidRPr="00B363AA">
        <w:t xml:space="preserve"> sont </w:t>
      </w:r>
      <w:r w:rsidR="003E6B2C" w:rsidRPr="00B363AA">
        <w:t>utilisés</w:t>
      </w:r>
      <w:r w:rsidRPr="00B363AA">
        <w:t xml:space="preserve"> pour calculer les scores des indicateurs, </w:t>
      </w:r>
      <w:r w:rsidR="1D98CF3D" w:rsidRPr="00B363AA">
        <w:t xml:space="preserve">permettant le calcul des scores de fonction, de </w:t>
      </w:r>
      <w:r w:rsidR="000100FD" w:rsidRPr="00B363AA">
        <w:t>service écosystémique</w:t>
      </w:r>
      <w:r w:rsidR="1D98CF3D" w:rsidRPr="00B363AA">
        <w:t xml:space="preserve"> et </w:t>
      </w:r>
      <w:proofErr w:type="gramStart"/>
      <w:r w:rsidR="1D98CF3D" w:rsidRPr="00B363AA">
        <w:t>au final</w:t>
      </w:r>
      <w:proofErr w:type="gramEnd"/>
      <w:r w:rsidR="1D98CF3D" w:rsidRPr="00B363AA">
        <w:t xml:space="preserve"> </w:t>
      </w:r>
      <w:r w:rsidR="031D9867" w:rsidRPr="00B363AA">
        <w:t>des</w:t>
      </w:r>
      <w:r w:rsidRPr="00B363AA">
        <w:t xml:space="preserve"> indices IQSW-pro (voir partie </w:t>
      </w:r>
      <w:r w:rsidRPr="00B363AA">
        <w:fldChar w:fldCharType="begin"/>
      </w:r>
      <w:r w:rsidRPr="00B363AA">
        <w:instrText xml:space="preserve"> REF _Ref232208232 \r \h </w:instrText>
      </w:r>
      <w:r w:rsidRPr="00B363AA">
        <w:fldChar w:fldCharType="separate"/>
      </w:r>
      <w:r w:rsidR="001A7BE1" w:rsidRPr="00B363AA">
        <w:t>3.4</w:t>
      </w:r>
      <w:r w:rsidRPr="00B363AA">
        <w:fldChar w:fldCharType="end"/>
      </w:r>
      <w:r w:rsidRPr="00B363AA">
        <w:t xml:space="preserve">). </w:t>
      </w:r>
      <w:r w:rsidR="003E6B2C" w:rsidRPr="00B363AA">
        <w:t>Le rapport devra contenir</w:t>
      </w:r>
      <w:r w:rsidR="00F5672E" w:rsidRPr="00B363AA">
        <w:t xml:space="preserve"> différents niveaux d’information :</w:t>
      </w:r>
    </w:p>
    <w:p w14:paraId="5799385D" w14:textId="2520D130" w:rsidR="00136E04" w:rsidRPr="00B363AA" w:rsidRDefault="00136E04" w:rsidP="00F5672E">
      <w:pPr>
        <w:pStyle w:val="Paragraphedeliste"/>
        <w:numPr>
          <w:ilvl w:val="0"/>
          <w:numId w:val="3"/>
        </w:numPr>
      </w:pPr>
      <w:r w:rsidRPr="00B363AA">
        <w:t>La description précise du site étudiée (plan des zones homogènes etc.),</w:t>
      </w:r>
    </w:p>
    <w:p w14:paraId="0B4482BA" w14:textId="2F9BB263" w:rsidR="00107989" w:rsidRPr="00B363AA" w:rsidRDefault="00F5672E" w:rsidP="00F5672E">
      <w:pPr>
        <w:pStyle w:val="Paragraphedeliste"/>
        <w:numPr>
          <w:ilvl w:val="0"/>
          <w:numId w:val="3"/>
        </w:numPr>
      </w:pPr>
      <w:r w:rsidRPr="00B363AA">
        <w:t>Le</w:t>
      </w:r>
      <w:r w:rsidR="0DE52700" w:rsidRPr="00B363AA">
        <w:t>(s)</w:t>
      </w:r>
      <w:r w:rsidRPr="00B363AA">
        <w:t xml:space="preserve"> bulletin</w:t>
      </w:r>
      <w:r w:rsidR="425E8DF1" w:rsidRPr="00B363AA">
        <w:t>(s)</w:t>
      </w:r>
      <w:r w:rsidRPr="00B363AA">
        <w:t xml:space="preserve"> d’analyses complet</w:t>
      </w:r>
      <w:r w:rsidR="1B4B9803" w:rsidRPr="00B363AA">
        <w:t>(s)</w:t>
      </w:r>
      <w:r w:rsidRPr="00B363AA">
        <w:t xml:space="preserve"> des paramètres (valeurs chiffrées),</w:t>
      </w:r>
    </w:p>
    <w:p w14:paraId="6C8BBDBF" w14:textId="0D8EE609" w:rsidR="635B320E" w:rsidRPr="00B363AA" w:rsidRDefault="635B320E" w:rsidP="47ED106C">
      <w:pPr>
        <w:pStyle w:val="Paragraphedeliste"/>
        <w:numPr>
          <w:ilvl w:val="0"/>
          <w:numId w:val="3"/>
        </w:numPr>
      </w:pPr>
      <w:r w:rsidRPr="00B363AA">
        <w:t>L’interprétation de chaque indicateur,</w:t>
      </w:r>
    </w:p>
    <w:p w14:paraId="3C3FA967" w14:textId="64161DCF" w:rsidR="00F5672E" w:rsidRPr="00B363AA" w:rsidRDefault="00F5672E" w:rsidP="00F5672E">
      <w:pPr>
        <w:pStyle w:val="Paragraphedeliste"/>
        <w:numPr>
          <w:ilvl w:val="0"/>
          <w:numId w:val="3"/>
        </w:numPr>
        <w:rPr>
          <w:szCs w:val="22"/>
        </w:rPr>
      </w:pPr>
      <w:r w:rsidRPr="00B363AA">
        <w:t>Les scores de fonctions, de contraintes</w:t>
      </w:r>
      <w:r w:rsidR="0DE5C5C3" w:rsidRPr="00B363AA">
        <w:t xml:space="preserve"> et, </w:t>
      </w:r>
      <w:r w:rsidR="0DE5C5C3" w:rsidRPr="00B363AA">
        <w:rPr>
          <w:i/>
          <w:iCs/>
        </w:rPr>
        <w:t xml:space="preserve">in fine, </w:t>
      </w:r>
      <w:r w:rsidR="0DE5C5C3" w:rsidRPr="00B363AA">
        <w:t xml:space="preserve">de services </w:t>
      </w:r>
      <w:r w:rsidRPr="00B363AA">
        <w:t>et les sorties graphiques associées</w:t>
      </w:r>
      <w:r w:rsidR="00136E04" w:rsidRPr="00B363AA">
        <w:t xml:space="preserve"> (</w:t>
      </w:r>
      <w:r w:rsidR="00AC7876" w:rsidRPr="00B363AA">
        <w:t>qualité et santé)</w:t>
      </w:r>
      <w:r w:rsidRPr="00B363AA">
        <w:t>,</w:t>
      </w:r>
    </w:p>
    <w:p w14:paraId="35656FA4" w14:textId="3F82692A" w:rsidR="00F5672E" w:rsidRPr="00B363AA" w:rsidRDefault="00136E04" w:rsidP="00F5672E">
      <w:pPr>
        <w:pStyle w:val="Paragraphedeliste"/>
        <w:numPr>
          <w:ilvl w:val="0"/>
          <w:numId w:val="3"/>
        </w:numPr>
      </w:pPr>
      <w:r w:rsidRPr="00B363AA">
        <w:t>Le</w:t>
      </w:r>
      <w:r w:rsidR="08DA31DC" w:rsidRPr="00B363AA">
        <w:t>s</w:t>
      </w:r>
      <w:r w:rsidRPr="00B363AA">
        <w:t xml:space="preserve"> score</w:t>
      </w:r>
      <w:r w:rsidR="6861E57B" w:rsidRPr="00B363AA">
        <w:t>s</w:t>
      </w:r>
      <w:r w:rsidRPr="00B363AA">
        <w:t xml:space="preserve"> IQSW-pro globa</w:t>
      </w:r>
      <w:r w:rsidR="2C883521" w:rsidRPr="00B363AA">
        <w:t>ux (IQSW et ISSW)</w:t>
      </w:r>
      <w:r w:rsidR="00AC7876" w:rsidRPr="00B363AA">
        <w:t>,</w:t>
      </w:r>
    </w:p>
    <w:p w14:paraId="256BB6B6" w14:textId="790F9B20" w:rsidR="005110FA" w:rsidRPr="00B363AA" w:rsidRDefault="00AC7876" w:rsidP="00AC7876">
      <w:pPr>
        <w:pStyle w:val="Paragraphedeliste"/>
        <w:numPr>
          <w:ilvl w:val="0"/>
          <w:numId w:val="3"/>
        </w:numPr>
      </w:pPr>
      <w:r w:rsidRPr="00B363AA">
        <w:t>Les recommandations et conseils de gestion adaptés à l’état du sol.</w:t>
      </w:r>
    </w:p>
    <w:p w14:paraId="7DF271DC" w14:textId="247BB639" w:rsidR="001D0846" w:rsidRPr="00B363AA" w:rsidRDefault="001D0846">
      <w:pPr>
        <w:jc w:val="left"/>
      </w:pPr>
      <w:r w:rsidRPr="00B363AA">
        <w:br w:type="page"/>
      </w:r>
    </w:p>
    <w:p w14:paraId="59CAB35E" w14:textId="111C27DC" w:rsidR="00EB53C4" w:rsidRPr="00B363AA" w:rsidRDefault="00EB53C4" w:rsidP="004E0AA3">
      <w:pPr>
        <w:pStyle w:val="Titre1"/>
      </w:pPr>
      <w:bookmarkStart w:id="221" w:name="_Toc230267154"/>
      <w:bookmarkStart w:id="222" w:name="_Toc241243026"/>
      <w:r w:rsidRPr="00B363AA">
        <w:lastRenderedPageBreak/>
        <w:t>Bibliographie</w:t>
      </w:r>
      <w:bookmarkEnd w:id="221"/>
      <w:bookmarkEnd w:id="222"/>
    </w:p>
    <w:p w14:paraId="2435D7BC" w14:textId="77777777" w:rsidR="007F1D3E" w:rsidRPr="00C343A2" w:rsidRDefault="00FF48D4" w:rsidP="007F1D3E">
      <w:pPr>
        <w:pStyle w:val="Bibliographie"/>
        <w:rPr>
          <w:lang w:val="en-GB"/>
        </w:rPr>
      </w:pPr>
      <w:r w:rsidRPr="00B363AA">
        <w:t xml:space="preserve"> </w:t>
      </w:r>
      <w:r w:rsidR="00CB5E37" w:rsidRPr="00B363AA">
        <w:fldChar w:fldCharType="begin"/>
      </w:r>
      <w:r w:rsidR="007F1D3E" w:rsidRPr="00B363AA">
        <w:instrText xml:space="preserve"> ADDIN ZOTERO_BIBL {"uncited":[],"omitted":[],"custom":[]} CSL_BIBLIOGRAPHY </w:instrText>
      </w:r>
      <w:r w:rsidR="00CB5E37" w:rsidRPr="00B363AA">
        <w:fldChar w:fldCharType="separate"/>
      </w:r>
      <w:r w:rsidR="007F1D3E" w:rsidRPr="00B363AA">
        <w:t xml:space="preserve">Ampoorter, E., De Frenne, P., Hermy, M., &amp; Verheyen, K. (2011). </w:t>
      </w:r>
      <w:r w:rsidR="007F1D3E" w:rsidRPr="00C343A2">
        <w:rPr>
          <w:lang w:val="en-GB"/>
        </w:rPr>
        <w:t xml:space="preserve">Effects of soil compaction on growth and survival of tree </w:t>
      </w:r>
      <w:proofErr w:type="gramStart"/>
      <w:r w:rsidR="007F1D3E" w:rsidRPr="00C343A2">
        <w:rPr>
          <w:lang w:val="en-GB"/>
        </w:rPr>
        <w:t>saplings :</w:t>
      </w:r>
      <w:proofErr w:type="gramEnd"/>
      <w:r w:rsidR="007F1D3E" w:rsidRPr="00C343A2">
        <w:rPr>
          <w:lang w:val="en-GB"/>
        </w:rPr>
        <w:t xml:space="preserve"> A meta-analysis. </w:t>
      </w:r>
      <w:r w:rsidR="007F1D3E" w:rsidRPr="00C343A2">
        <w:rPr>
          <w:i/>
          <w:iCs/>
          <w:lang w:val="en-GB"/>
        </w:rPr>
        <w:t>Basic and Applied Ecology</w:t>
      </w:r>
      <w:r w:rsidR="007F1D3E" w:rsidRPr="00C343A2">
        <w:rPr>
          <w:lang w:val="en-GB"/>
        </w:rPr>
        <w:t xml:space="preserve">, </w:t>
      </w:r>
      <w:r w:rsidR="007F1D3E" w:rsidRPr="00C343A2">
        <w:rPr>
          <w:i/>
          <w:iCs/>
          <w:lang w:val="en-GB"/>
        </w:rPr>
        <w:t>12</w:t>
      </w:r>
      <w:r w:rsidR="007F1D3E" w:rsidRPr="00C343A2">
        <w:rPr>
          <w:lang w:val="en-GB"/>
        </w:rPr>
        <w:t>(5), 394</w:t>
      </w:r>
      <w:r w:rsidR="007F1D3E" w:rsidRPr="00C343A2">
        <w:rPr>
          <w:rFonts w:ascii="Cambria Math" w:hAnsi="Cambria Math" w:cs="Cambria Math"/>
          <w:lang w:val="en-GB"/>
        </w:rPr>
        <w:t>‑</w:t>
      </w:r>
      <w:r w:rsidR="007F1D3E" w:rsidRPr="00C343A2">
        <w:rPr>
          <w:lang w:val="en-GB"/>
        </w:rPr>
        <w:t>402. https://doi.org/10.1016/j.baae.2011.06.003</w:t>
      </w:r>
    </w:p>
    <w:p w14:paraId="40A20A5C" w14:textId="77777777" w:rsidR="007F1D3E" w:rsidRPr="00B363AA" w:rsidRDefault="007F1D3E" w:rsidP="007F1D3E">
      <w:pPr>
        <w:pStyle w:val="Bibliographie"/>
      </w:pPr>
      <w:r w:rsidRPr="00C343A2">
        <w:rPr>
          <w:lang w:val="en-GB"/>
        </w:rPr>
        <w:t xml:space="preserve">Bah, B., Engels, P., </w:t>
      </w:r>
      <w:proofErr w:type="spellStart"/>
      <w:r w:rsidRPr="00C343A2">
        <w:rPr>
          <w:lang w:val="en-GB"/>
        </w:rPr>
        <w:t>Legrain</w:t>
      </w:r>
      <w:proofErr w:type="spellEnd"/>
      <w:r w:rsidRPr="00C343A2">
        <w:rPr>
          <w:lang w:val="en-GB"/>
        </w:rPr>
        <w:t xml:space="preserve">, X., &amp; Colinet, G. (2007). </w:t>
      </w:r>
      <w:r w:rsidRPr="00B363AA">
        <w:rPr>
          <w:i/>
          <w:iCs/>
        </w:rPr>
        <w:t>Légende de la Carte Numérique des Sols de Wallonie (Belgique) sur base de la légende originale de la Carte des sols de la Belgique de l’IRSIA à 1/20.000</w:t>
      </w:r>
      <w:r w:rsidRPr="00B363AA">
        <w:t>. Faculté universitaire des Sciences agronomiques de Gembloux – Laboratoire de Géopédologie, en relation avec le PCNSW (convention pour le compte de la Région Wallonne – DGA). https://www.fichierecologique.be/resources/LCNSW_V2.pdf</w:t>
      </w:r>
    </w:p>
    <w:p w14:paraId="237434B4" w14:textId="77777777" w:rsidR="007F1D3E" w:rsidRPr="00C343A2" w:rsidRDefault="007F1D3E" w:rsidP="007F1D3E">
      <w:pPr>
        <w:pStyle w:val="Bibliographie"/>
        <w:rPr>
          <w:lang w:val="en-GB"/>
        </w:rPr>
      </w:pPr>
      <w:r w:rsidRPr="00B363AA">
        <w:t xml:space="preserve">Baize, D., Duval, O., &amp; Richard, G. (2013). </w:t>
      </w:r>
      <w:r w:rsidRPr="00B363AA">
        <w:rPr>
          <w:i/>
          <w:iCs/>
        </w:rPr>
        <w:t>Les sols et leurs structures</w:t>
      </w:r>
      <w:r w:rsidRPr="00B363AA">
        <w:t xml:space="preserve">. </w:t>
      </w:r>
      <w:r w:rsidRPr="00C343A2">
        <w:rPr>
          <w:lang w:val="en-GB"/>
        </w:rPr>
        <w:t xml:space="preserve">Editions </w:t>
      </w:r>
      <w:proofErr w:type="spellStart"/>
      <w:r w:rsidRPr="00C343A2">
        <w:rPr>
          <w:lang w:val="en-GB"/>
        </w:rPr>
        <w:t>Quae</w:t>
      </w:r>
      <w:proofErr w:type="spellEnd"/>
      <w:r w:rsidRPr="00C343A2">
        <w:rPr>
          <w:lang w:val="en-GB"/>
        </w:rPr>
        <w:t>. https://hal.inrae.fr/hal-02805939</w:t>
      </w:r>
    </w:p>
    <w:p w14:paraId="3C16A998" w14:textId="77777777" w:rsidR="007F1D3E" w:rsidRPr="00C343A2" w:rsidRDefault="007F1D3E" w:rsidP="007F1D3E">
      <w:pPr>
        <w:pStyle w:val="Bibliographie"/>
        <w:rPr>
          <w:lang w:val="en-GB"/>
        </w:rPr>
      </w:pPr>
      <w:r w:rsidRPr="00C343A2">
        <w:rPr>
          <w:lang w:val="en-GB"/>
        </w:rPr>
        <w:t xml:space="preserve">Ball, B. C., Guimarães, R. M. L., Cloy, J. M., Hargreaves, P. R., Shepherd, T. G., &amp; McKenzie, B. M. (2017). Visual soil </w:t>
      </w:r>
      <w:proofErr w:type="gramStart"/>
      <w:r w:rsidRPr="00C343A2">
        <w:rPr>
          <w:lang w:val="en-GB"/>
        </w:rPr>
        <w:t>evaluation :</w:t>
      </w:r>
      <w:proofErr w:type="gramEnd"/>
      <w:r w:rsidRPr="00C343A2">
        <w:rPr>
          <w:lang w:val="en-GB"/>
        </w:rPr>
        <w:t xml:space="preserve"> A summary of some applications and potential developments for agriculture. </w:t>
      </w:r>
      <w:r w:rsidRPr="00C343A2">
        <w:rPr>
          <w:i/>
          <w:iCs/>
          <w:lang w:val="en-GB"/>
        </w:rPr>
        <w:t>Soil and Tillage Research, Visual soil evaluation and soil compaction research</w:t>
      </w:r>
      <w:r w:rsidRPr="00C343A2">
        <w:rPr>
          <w:lang w:val="en-GB"/>
        </w:rPr>
        <w:t xml:space="preserve">, </w:t>
      </w:r>
      <w:r w:rsidRPr="00C343A2">
        <w:rPr>
          <w:i/>
          <w:iCs/>
          <w:lang w:val="en-GB"/>
        </w:rPr>
        <w:t>173</w:t>
      </w:r>
      <w:r w:rsidRPr="00C343A2">
        <w:rPr>
          <w:lang w:val="en-GB"/>
        </w:rPr>
        <w:t>, 114</w:t>
      </w:r>
      <w:r w:rsidRPr="00C343A2">
        <w:rPr>
          <w:rFonts w:ascii="Cambria Math" w:hAnsi="Cambria Math" w:cs="Cambria Math"/>
          <w:lang w:val="en-GB"/>
        </w:rPr>
        <w:t>‑</w:t>
      </w:r>
      <w:r w:rsidRPr="00C343A2">
        <w:rPr>
          <w:lang w:val="en-GB"/>
        </w:rPr>
        <w:t>124. https://doi.org/10.1016/j.still.2016.07.006</w:t>
      </w:r>
    </w:p>
    <w:p w14:paraId="4C74FBA4" w14:textId="77777777" w:rsidR="007F1D3E" w:rsidRPr="00C343A2" w:rsidRDefault="007F1D3E" w:rsidP="007F1D3E">
      <w:pPr>
        <w:pStyle w:val="Bibliographie"/>
        <w:rPr>
          <w:lang w:val="en-GB"/>
        </w:rPr>
      </w:pPr>
      <w:proofErr w:type="spellStart"/>
      <w:r w:rsidRPr="00B363AA">
        <w:t>Baritz</w:t>
      </w:r>
      <w:proofErr w:type="spellEnd"/>
      <w:r w:rsidRPr="00B363AA">
        <w:t xml:space="preserve">, R., Amelung, W., Trombetti, M., Hijbeek, R., Romkens, P., &amp; de Vries, W. (2023). </w:t>
      </w:r>
      <w:r w:rsidRPr="00C343A2">
        <w:rPr>
          <w:i/>
          <w:iCs/>
          <w:lang w:val="en-GB"/>
        </w:rPr>
        <w:t xml:space="preserve">Soil monitoring in </w:t>
      </w:r>
      <w:proofErr w:type="gramStart"/>
      <w:r w:rsidRPr="00C343A2">
        <w:rPr>
          <w:i/>
          <w:iCs/>
          <w:lang w:val="en-GB"/>
        </w:rPr>
        <w:t>Europe :</w:t>
      </w:r>
      <w:proofErr w:type="gramEnd"/>
      <w:r w:rsidRPr="00C343A2">
        <w:rPr>
          <w:i/>
          <w:iCs/>
          <w:lang w:val="en-GB"/>
        </w:rPr>
        <w:t xml:space="preserve"> Indicators and thresholds for soil quality assessments</w:t>
      </w:r>
      <w:r w:rsidRPr="00C343A2">
        <w:rPr>
          <w:lang w:val="en-GB"/>
        </w:rPr>
        <w:t xml:space="preserve"> (N</w:t>
      </w:r>
      <w:r w:rsidRPr="00C343A2">
        <w:rPr>
          <w:vertAlign w:val="superscript"/>
          <w:lang w:val="en-GB"/>
        </w:rPr>
        <w:t>o</w:t>
      </w:r>
      <w:r w:rsidRPr="00C343A2">
        <w:rPr>
          <w:lang w:val="en-GB"/>
        </w:rPr>
        <w:t xml:space="preserve"> 08/2022). European Environment Agency. https://data.europa.eu/doi/10.2800/956606</w:t>
      </w:r>
    </w:p>
    <w:p w14:paraId="3EE6B119" w14:textId="77777777" w:rsidR="007F1D3E" w:rsidRPr="00C343A2" w:rsidRDefault="007F1D3E" w:rsidP="007F1D3E">
      <w:pPr>
        <w:pStyle w:val="Bibliographie"/>
        <w:rPr>
          <w:lang w:val="en-GB"/>
        </w:rPr>
      </w:pPr>
      <w:proofErr w:type="spellStart"/>
      <w:r w:rsidRPr="00C343A2">
        <w:rPr>
          <w:lang w:val="en-GB"/>
        </w:rPr>
        <w:t>Baveye</w:t>
      </w:r>
      <w:proofErr w:type="spellEnd"/>
      <w:r w:rsidRPr="00C343A2">
        <w:rPr>
          <w:lang w:val="en-GB"/>
        </w:rPr>
        <w:t xml:space="preserve">, P. C. (2021). Soil health at a crossroad. </w:t>
      </w:r>
      <w:r w:rsidRPr="00C343A2">
        <w:rPr>
          <w:i/>
          <w:iCs/>
          <w:lang w:val="en-GB"/>
        </w:rPr>
        <w:t>Soil Use and Management</w:t>
      </w:r>
      <w:r w:rsidRPr="00C343A2">
        <w:rPr>
          <w:lang w:val="en-GB"/>
        </w:rPr>
        <w:t xml:space="preserve">, </w:t>
      </w:r>
      <w:r w:rsidRPr="00C343A2">
        <w:rPr>
          <w:i/>
          <w:iCs/>
          <w:lang w:val="en-GB"/>
        </w:rPr>
        <w:t>37</w:t>
      </w:r>
      <w:r w:rsidRPr="00C343A2">
        <w:rPr>
          <w:lang w:val="en-GB"/>
        </w:rPr>
        <w:t>(2), 215</w:t>
      </w:r>
      <w:r w:rsidRPr="00C343A2">
        <w:rPr>
          <w:rFonts w:ascii="Cambria Math" w:hAnsi="Cambria Math" w:cs="Cambria Math"/>
          <w:lang w:val="en-GB"/>
        </w:rPr>
        <w:t>‑</w:t>
      </w:r>
      <w:r w:rsidRPr="00C343A2">
        <w:rPr>
          <w:lang w:val="en-GB"/>
        </w:rPr>
        <w:t>219. https://doi.org/10.1111/sum.12703</w:t>
      </w:r>
    </w:p>
    <w:p w14:paraId="3324E2DA" w14:textId="77777777" w:rsidR="007F1D3E" w:rsidRPr="00B363AA" w:rsidRDefault="007F1D3E" w:rsidP="007F1D3E">
      <w:pPr>
        <w:pStyle w:val="Bibliographie"/>
      </w:pPr>
      <w:r w:rsidRPr="00B363AA">
        <w:t xml:space="preserve">Bielders, C., Javaux, M., Roisin, C., &amp; Vanclooster, M. (2013). </w:t>
      </w:r>
      <w:r w:rsidRPr="00B363AA">
        <w:rPr>
          <w:i/>
          <w:iCs/>
        </w:rPr>
        <w:t>Vers des indicateurs de fonctionnement du sol (INFOSOL) : Approche méthodologique de développement d’indicateurs pédologiques pour les fonctions édaphiques de régulation hydrique et de support physique pour les plantes</w:t>
      </w:r>
      <w:r w:rsidRPr="00B363AA">
        <w:t xml:space="preserve"> (UCL-Université Catholique de Louvain). Article UCL-Université Catholique de Louvain. https://dial.uclouvain.be/pr/boreal/fr/object/boreal%3A127913</w:t>
      </w:r>
    </w:p>
    <w:p w14:paraId="291F85B6" w14:textId="77777777" w:rsidR="007F1D3E" w:rsidRPr="00B363AA" w:rsidRDefault="007F1D3E" w:rsidP="007F1D3E">
      <w:pPr>
        <w:pStyle w:val="Bibliographie"/>
      </w:pPr>
      <w:r w:rsidRPr="00B363AA">
        <w:lastRenderedPageBreak/>
        <w:t xml:space="preserve">Bruxelles Environnement. (2024). </w:t>
      </w:r>
      <w:r w:rsidRPr="00B363AA">
        <w:rPr>
          <w:i/>
          <w:iCs/>
        </w:rPr>
        <w:t>Stratégie Good Soil—Vers une gestion intégrée et durable des sols bruxellois</w:t>
      </w:r>
      <w:r w:rsidRPr="00B363AA">
        <w:t>. https://alfresco.environnement.brussels/share/s/vVqIl4nASkOJwrgNEQ5irQ</w:t>
      </w:r>
    </w:p>
    <w:p w14:paraId="395959A7" w14:textId="77777777" w:rsidR="007F1D3E" w:rsidRPr="00B363AA" w:rsidRDefault="007F1D3E" w:rsidP="007F1D3E">
      <w:pPr>
        <w:pStyle w:val="Bibliographie"/>
      </w:pPr>
      <w:r w:rsidRPr="00B363AA">
        <w:t xml:space="preserve">Bruxelles Environnement. (2026). </w:t>
      </w:r>
      <w:r w:rsidRPr="00B363AA">
        <w:rPr>
          <w:i/>
          <w:iCs/>
        </w:rPr>
        <w:t>Les sols sains et les chantiers—Mesures de gestion intégrée du sol dans le cadre des chantiers de construction et du traitement des pollutions du sol</w:t>
      </w:r>
      <w:r w:rsidRPr="00B363AA">
        <w:t>. https://alfresco.environnement.brussels/share/s/ujj2OU4sRwGQN2tDjeJgFw</w:t>
      </w:r>
    </w:p>
    <w:p w14:paraId="33D140E6" w14:textId="77777777" w:rsidR="007F1D3E" w:rsidRPr="00C343A2" w:rsidRDefault="007F1D3E" w:rsidP="007F1D3E">
      <w:pPr>
        <w:pStyle w:val="Bibliographie"/>
        <w:rPr>
          <w:lang w:val="en-GB"/>
        </w:rPr>
      </w:pPr>
      <w:r w:rsidRPr="00B363AA">
        <w:t xml:space="preserve">Calzolari, C., Ungaro, F., Maienza, A., Marchi, N., &amp; Tarocco, P. (2019). </w:t>
      </w:r>
      <w:r w:rsidRPr="00C343A2">
        <w:rPr>
          <w:i/>
          <w:iCs/>
          <w:lang w:val="en-GB"/>
        </w:rPr>
        <w:t>Guidelines for assessing soil ecosystem services in urban environment and their management—LIFE15 ENV/IT/000225 GUIDELINES ACTION B1.3</w:t>
      </w:r>
      <w:r w:rsidRPr="00C343A2">
        <w:rPr>
          <w:lang w:val="en-GB"/>
        </w:rPr>
        <w:t>. https://iris.cnr.it/handle/20.500.14243/362331</w:t>
      </w:r>
    </w:p>
    <w:p w14:paraId="7DB37A3D" w14:textId="77777777" w:rsidR="007F1D3E" w:rsidRPr="00C343A2" w:rsidRDefault="007F1D3E" w:rsidP="007F1D3E">
      <w:pPr>
        <w:pStyle w:val="Bibliographie"/>
        <w:rPr>
          <w:lang w:val="en-GB"/>
        </w:rPr>
      </w:pPr>
      <w:r w:rsidRPr="00C343A2">
        <w:rPr>
          <w:lang w:val="en-GB"/>
        </w:rPr>
        <w:t xml:space="preserve">Ceulemans, T., Stevens, C. J., Duchateau, L., </w:t>
      </w:r>
      <w:proofErr w:type="spellStart"/>
      <w:r w:rsidRPr="00C343A2">
        <w:rPr>
          <w:lang w:val="en-GB"/>
        </w:rPr>
        <w:t>Jacquemyn</w:t>
      </w:r>
      <w:proofErr w:type="spellEnd"/>
      <w:r w:rsidRPr="00C343A2">
        <w:rPr>
          <w:lang w:val="en-GB"/>
        </w:rPr>
        <w:t>, H., Gowing, D. J. G., Merckx, R., Wallace, H., van </w:t>
      </w:r>
      <w:proofErr w:type="spellStart"/>
      <w:r w:rsidRPr="00C343A2">
        <w:rPr>
          <w:lang w:val="en-GB"/>
        </w:rPr>
        <w:t>Rooijen</w:t>
      </w:r>
      <w:proofErr w:type="spellEnd"/>
      <w:r w:rsidRPr="00C343A2">
        <w:rPr>
          <w:lang w:val="en-GB"/>
        </w:rPr>
        <w:t xml:space="preserve">, N., Goethem, T., </w:t>
      </w:r>
      <w:proofErr w:type="spellStart"/>
      <w:r w:rsidRPr="00C343A2">
        <w:rPr>
          <w:lang w:val="en-GB"/>
        </w:rPr>
        <w:t>Bobbink</w:t>
      </w:r>
      <w:proofErr w:type="spellEnd"/>
      <w:r w:rsidRPr="00C343A2">
        <w:rPr>
          <w:lang w:val="en-GB"/>
        </w:rPr>
        <w:t xml:space="preserve">, R., Dorland, E., </w:t>
      </w:r>
      <w:proofErr w:type="spellStart"/>
      <w:r w:rsidRPr="00C343A2">
        <w:rPr>
          <w:lang w:val="en-GB"/>
        </w:rPr>
        <w:t>Gaudnik</w:t>
      </w:r>
      <w:proofErr w:type="spellEnd"/>
      <w:r w:rsidRPr="00C343A2">
        <w:rPr>
          <w:lang w:val="en-GB"/>
        </w:rPr>
        <w:t xml:space="preserve">, C., Alard, D., </w:t>
      </w:r>
      <w:proofErr w:type="spellStart"/>
      <w:r w:rsidRPr="00C343A2">
        <w:rPr>
          <w:lang w:val="en-GB"/>
        </w:rPr>
        <w:t>Corcket</w:t>
      </w:r>
      <w:proofErr w:type="spellEnd"/>
      <w:r w:rsidRPr="00C343A2">
        <w:rPr>
          <w:lang w:val="en-GB"/>
        </w:rPr>
        <w:t xml:space="preserve">, E., Muller, S., Dise, N. B., Dupré, C., Diekmann, M., &amp; </w:t>
      </w:r>
      <w:proofErr w:type="spellStart"/>
      <w:r w:rsidRPr="00C343A2">
        <w:rPr>
          <w:lang w:val="en-GB"/>
        </w:rPr>
        <w:t>Honnay</w:t>
      </w:r>
      <w:proofErr w:type="spellEnd"/>
      <w:r w:rsidRPr="00C343A2">
        <w:rPr>
          <w:lang w:val="en-GB"/>
        </w:rPr>
        <w:t xml:space="preserve">, O. (2014). Soil phosphorus constrains biodiversity across European grasslands. </w:t>
      </w:r>
      <w:r w:rsidRPr="00C343A2">
        <w:rPr>
          <w:i/>
          <w:iCs/>
          <w:lang w:val="en-GB"/>
        </w:rPr>
        <w:t>Global Change Biology</w:t>
      </w:r>
      <w:r w:rsidRPr="00C343A2">
        <w:rPr>
          <w:lang w:val="en-GB"/>
        </w:rPr>
        <w:t xml:space="preserve">, </w:t>
      </w:r>
      <w:r w:rsidRPr="00C343A2">
        <w:rPr>
          <w:i/>
          <w:iCs/>
          <w:lang w:val="en-GB"/>
        </w:rPr>
        <w:t>20</w:t>
      </w:r>
      <w:r w:rsidRPr="00C343A2">
        <w:rPr>
          <w:lang w:val="en-GB"/>
        </w:rPr>
        <w:t>(12), 3814</w:t>
      </w:r>
      <w:r w:rsidRPr="00C343A2">
        <w:rPr>
          <w:rFonts w:ascii="Cambria Math" w:hAnsi="Cambria Math" w:cs="Cambria Math"/>
          <w:lang w:val="en-GB"/>
        </w:rPr>
        <w:t>‑</w:t>
      </w:r>
      <w:r w:rsidRPr="00C343A2">
        <w:rPr>
          <w:lang w:val="en-GB"/>
        </w:rPr>
        <w:t>3822. https://doi.org/10.1111/gcb.12650</w:t>
      </w:r>
    </w:p>
    <w:p w14:paraId="69656953" w14:textId="77777777" w:rsidR="007F1D3E" w:rsidRPr="00B363AA" w:rsidRDefault="007F1D3E" w:rsidP="007F1D3E">
      <w:pPr>
        <w:pStyle w:val="Bibliographie"/>
      </w:pPr>
      <w:proofErr w:type="spellStart"/>
      <w:r w:rsidRPr="00C343A2">
        <w:rPr>
          <w:lang w:val="en-GB"/>
        </w:rPr>
        <w:t>Chartin</w:t>
      </w:r>
      <w:proofErr w:type="spellEnd"/>
      <w:r w:rsidRPr="00C343A2">
        <w:rPr>
          <w:lang w:val="en-GB"/>
        </w:rPr>
        <w:t xml:space="preserve">, C., Kruger, I., Stevens, A., Wesemael, B. V., &amp; Carnol, M. (2015). </w:t>
      </w:r>
      <w:r w:rsidRPr="00B363AA">
        <w:rPr>
          <w:i/>
          <w:iCs/>
        </w:rPr>
        <w:t>« Carbone organique, biomasse et activité microbienne des sols : Vers un indicateur de la qualité des sols en Wallonie »</w:t>
      </w:r>
      <w:r w:rsidRPr="00B363AA">
        <w:t>.</w:t>
      </w:r>
    </w:p>
    <w:p w14:paraId="72867608" w14:textId="77777777" w:rsidR="007F1D3E" w:rsidRPr="00B363AA" w:rsidRDefault="007F1D3E" w:rsidP="007F1D3E">
      <w:pPr>
        <w:pStyle w:val="Bibliographie"/>
      </w:pPr>
      <w:r w:rsidRPr="00B363AA">
        <w:t xml:space="preserve">Chauvin, C. (2025). </w:t>
      </w:r>
      <w:r w:rsidRPr="00B363AA">
        <w:rPr>
          <w:i/>
          <w:iCs/>
        </w:rPr>
        <w:t>La nématofaune : Un bio-indicateur pour suivre et évaluer le fonctionnement biologique des sols</w:t>
      </w:r>
      <w:r w:rsidRPr="00B363AA">
        <w:t>. https://www.parcduverdon.fr/wp-content/uploads/2025/10/202509_JT_REGAIN_3.Qualite_biologique_nematodes_ELISOL.pdf</w:t>
      </w:r>
    </w:p>
    <w:p w14:paraId="2B6B0BCA" w14:textId="77777777" w:rsidR="007F1D3E" w:rsidRPr="00C343A2" w:rsidRDefault="007F1D3E" w:rsidP="007F1D3E">
      <w:pPr>
        <w:pStyle w:val="Bibliographie"/>
        <w:rPr>
          <w:lang w:val="en-GB"/>
        </w:rPr>
      </w:pPr>
      <w:r w:rsidRPr="00C343A2">
        <w:rPr>
          <w:lang w:val="en-GB"/>
        </w:rPr>
        <w:t xml:space="preserve">Chen, S., </w:t>
      </w:r>
      <w:proofErr w:type="spellStart"/>
      <w:r w:rsidRPr="00C343A2">
        <w:rPr>
          <w:lang w:val="en-GB"/>
        </w:rPr>
        <w:t>Arrouays</w:t>
      </w:r>
      <w:proofErr w:type="spellEnd"/>
      <w:r w:rsidRPr="00C343A2">
        <w:rPr>
          <w:lang w:val="en-GB"/>
        </w:rPr>
        <w:t xml:space="preserve">, D., Angers, D. A., Martin, M. P., &amp; Walter, C. (2019). Soil carbon stocks under different land uses and the applicability of the soil carbon saturation concept. </w:t>
      </w:r>
      <w:r w:rsidRPr="00C343A2">
        <w:rPr>
          <w:i/>
          <w:iCs/>
          <w:lang w:val="en-GB"/>
        </w:rPr>
        <w:t>Soil and Tillage Research, Soil Carbon and Climate Change: the 4 per Mille Initiative</w:t>
      </w:r>
      <w:r w:rsidRPr="00C343A2">
        <w:rPr>
          <w:lang w:val="en-GB"/>
        </w:rPr>
        <w:t xml:space="preserve">, </w:t>
      </w:r>
      <w:r w:rsidRPr="00C343A2">
        <w:rPr>
          <w:i/>
          <w:iCs/>
          <w:lang w:val="en-GB"/>
        </w:rPr>
        <w:t>188</w:t>
      </w:r>
      <w:r w:rsidRPr="00C343A2">
        <w:rPr>
          <w:lang w:val="en-GB"/>
        </w:rPr>
        <w:t>, 53</w:t>
      </w:r>
      <w:r w:rsidRPr="00C343A2">
        <w:rPr>
          <w:rFonts w:ascii="Cambria Math" w:hAnsi="Cambria Math" w:cs="Cambria Math"/>
          <w:lang w:val="en-GB"/>
        </w:rPr>
        <w:t>‑</w:t>
      </w:r>
      <w:r w:rsidRPr="00C343A2">
        <w:rPr>
          <w:lang w:val="en-GB"/>
        </w:rPr>
        <w:t>58. https://doi.org/10.1016/j.still.2018.11.001</w:t>
      </w:r>
    </w:p>
    <w:p w14:paraId="44B01A07" w14:textId="77777777" w:rsidR="007F1D3E" w:rsidRPr="00B363AA" w:rsidRDefault="007F1D3E" w:rsidP="007F1D3E">
      <w:pPr>
        <w:pStyle w:val="Bibliographie"/>
      </w:pPr>
      <w:r w:rsidRPr="00C343A2">
        <w:rPr>
          <w:lang w:val="en-GB"/>
        </w:rPr>
        <w:t xml:space="preserve">Costantini, E. A. C. (2023). Possible policies and actions to protect the soil cultural and natural heritage of Europe. </w:t>
      </w:r>
      <w:proofErr w:type="spellStart"/>
      <w:r w:rsidRPr="00B363AA">
        <w:rPr>
          <w:i/>
          <w:iCs/>
        </w:rPr>
        <w:t>Geoderma</w:t>
      </w:r>
      <w:proofErr w:type="spellEnd"/>
      <w:r w:rsidRPr="00B363AA">
        <w:rPr>
          <w:i/>
          <w:iCs/>
        </w:rPr>
        <w:t xml:space="preserve"> Regional</w:t>
      </w:r>
      <w:r w:rsidRPr="00B363AA">
        <w:t xml:space="preserve">, </w:t>
      </w:r>
      <w:r w:rsidRPr="00B363AA">
        <w:rPr>
          <w:i/>
          <w:iCs/>
        </w:rPr>
        <w:t>32</w:t>
      </w:r>
      <w:r w:rsidRPr="00B363AA">
        <w:t>, e00599. https://doi.org/10.1016/j.geodrs.2022.e00599</w:t>
      </w:r>
    </w:p>
    <w:p w14:paraId="32E3499F" w14:textId="77777777" w:rsidR="007F1D3E" w:rsidRPr="00B363AA" w:rsidRDefault="007F1D3E" w:rsidP="007F1D3E">
      <w:pPr>
        <w:pStyle w:val="Bibliographie"/>
      </w:pPr>
      <w:r w:rsidRPr="00B363AA">
        <w:t xml:space="preserve">Cousin, I., Desrousseaux, M., Angers, D., Augusto, L., Ay, J.-S., Baysse-Lainé, A., Branchu, P., Brauman, A. A., Prévost-Bouré, N. C., Compagnone, C., Gros, R., Hermon, C., Keller, C., Laroche, B., </w:t>
      </w:r>
      <w:r w:rsidRPr="00B363AA">
        <w:lastRenderedPageBreak/>
        <w:t xml:space="preserve">Meulemans, G., Montagne, D., Pérès, G., Saby, N. P. A., Vaudour, E., … Leenhardt, S. (2025). </w:t>
      </w:r>
      <w:r w:rsidRPr="00B363AA">
        <w:rPr>
          <w:i/>
          <w:iCs/>
        </w:rPr>
        <w:t>Préserver la qualité des sols : Vers un référentiel d’indicateurs. Rapport d’étude</w:t>
      </w:r>
      <w:r w:rsidRPr="00B363AA">
        <w:t xml:space="preserve"> (p. 780 p.) [Report, INRAE]. https://doi.org/10.17180/qnpx-x742</w:t>
      </w:r>
    </w:p>
    <w:p w14:paraId="548C32C0" w14:textId="77777777" w:rsidR="007F1D3E" w:rsidRPr="00B363AA" w:rsidRDefault="007F1D3E" w:rsidP="007F1D3E">
      <w:pPr>
        <w:pStyle w:val="Bibliographie"/>
      </w:pPr>
      <w:r w:rsidRPr="00B363AA">
        <w:t xml:space="preserve">Cugnon, T. (2025, novembre 19). </w:t>
      </w:r>
      <w:r w:rsidRPr="00B363AA">
        <w:rPr>
          <w:i/>
          <w:iCs/>
        </w:rPr>
        <w:t>Saison 2 Agri-webinaire : « Comprendre son conseil de fertilisation » | Walakis</w:t>
      </w:r>
      <w:r w:rsidRPr="00B363AA">
        <w:t>. https://walakis.be/fr/ressources/saison-2-agri-webinaire-comprendre-son-conseil-de-fertilisation</w:t>
      </w:r>
    </w:p>
    <w:p w14:paraId="2183CF5C" w14:textId="77777777" w:rsidR="007F1D3E" w:rsidRPr="00B363AA" w:rsidRDefault="007F1D3E" w:rsidP="007F1D3E">
      <w:pPr>
        <w:pStyle w:val="Bibliographie"/>
      </w:pPr>
      <w:r w:rsidRPr="00B363AA">
        <w:t xml:space="preserve">de Groot, R. S., Wilson, M. A., &amp; Boumans, R. M. J. (2002). </w:t>
      </w:r>
      <w:r w:rsidRPr="00C343A2">
        <w:rPr>
          <w:lang w:val="en-GB"/>
        </w:rPr>
        <w:t xml:space="preserve">A typology for the classification, description and valuation of ecosystem functions, goods and services. </w:t>
      </w:r>
      <w:proofErr w:type="spellStart"/>
      <w:r w:rsidRPr="00B363AA">
        <w:rPr>
          <w:i/>
          <w:iCs/>
        </w:rPr>
        <w:t>Ecological</w:t>
      </w:r>
      <w:proofErr w:type="spellEnd"/>
      <w:r w:rsidRPr="00B363AA">
        <w:rPr>
          <w:i/>
          <w:iCs/>
        </w:rPr>
        <w:t xml:space="preserve"> </w:t>
      </w:r>
      <w:proofErr w:type="spellStart"/>
      <w:r w:rsidRPr="00B363AA">
        <w:rPr>
          <w:i/>
          <w:iCs/>
        </w:rPr>
        <w:t>Economics</w:t>
      </w:r>
      <w:proofErr w:type="spellEnd"/>
      <w:r w:rsidRPr="00B363AA">
        <w:t xml:space="preserve">, </w:t>
      </w:r>
      <w:r w:rsidRPr="00B363AA">
        <w:rPr>
          <w:i/>
          <w:iCs/>
        </w:rPr>
        <w:t>41</w:t>
      </w:r>
      <w:r w:rsidRPr="00B363AA">
        <w:t>(3), 393</w:t>
      </w:r>
      <w:r w:rsidRPr="00B363AA">
        <w:rPr>
          <w:rFonts w:ascii="Cambria Math" w:hAnsi="Cambria Math" w:cs="Cambria Math"/>
        </w:rPr>
        <w:t>‑</w:t>
      </w:r>
      <w:r w:rsidRPr="00B363AA">
        <w:t>408. https://doi.org/10.1016/S0921-8009(02)00089-7</w:t>
      </w:r>
    </w:p>
    <w:p w14:paraId="58B6CD91" w14:textId="77777777" w:rsidR="007F1D3E" w:rsidRPr="00B363AA" w:rsidRDefault="007F1D3E" w:rsidP="007F1D3E">
      <w:pPr>
        <w:pStyle w:val="Bibliographie"/>
      </w:pPr>
      <w:r w:rsidRPr="00B363AA">
        <w:t xml:space="preserve">Dombret, L. (2022). Interpréter l’analyse de terre pour la culture maraîchère : Comprendre les résultats (3/3). </w:t>
      </w:r>
      <w:r w:rsidRPr="00B363AA">
        <w:rPr>
          <w:i/>
          <w:iCs/>
        </w:rPr>
        <w:t>Biowallonie</w:t>
      </w:r>
      <w:r w:rsidRPr="00B363AA">
        <w:t xml:space="preserve">, </w:t>
      </w:r>
      <w:r w:rsidRPr="00B363AA">
        <w:rPr>
          <w:i/>
          <w:iCs/>
        </w:rPr>
        <w:t>Itinéraires BIO</w:t>
      </w:r>
      <w:r w:rsidRPr="00B363AA">
        <w:t>(63). https://www.biowallonie.com/wp-content/uploads/2022/04/Brochure_A4_ITBIO63_web.pdf</w:t>
      </w:r>
    </w:p>
    <w:p w14:paraId="77F92903" w14:textId="77777777" w:rsidR="007F1D3E" w:rsidRPr="00C343A2" w:rsidRDefault="007F1D3E" w:rsidP="007F1D3E">
      <w:pPr>
        <w:pStyle w:val="Bibliographie"/>
        <w:rPr>
          <w:lang w:val="en-GB"/>
        </w:rPr>
      </w:pPr>
      <w:r w:rsidRPr="00C343A2">
        <w:rPr>
          <w:lang w:val="en-GB"/>
        </w:rPr>
        <w:t xml:space="preserve">Doran, J. W., &amp; Zeiss, M. R. (2000). Soil health and </w:t>
      </w:r>
      <w:proofErr w:type="gramStart"/>
      <w:r w:rsidRPr="00C343A2">
        <w:rPr>
          <w:lang w:val="en-GB"/>
        </w:rPr>
        <w:t>sustainability :</w:t>
      </w:r>
      <w:proofErr w:type="gramEnd"/>
      <w:r w:rsidRPr="00C343A2">
        <w:rPr>
          <w:lang w:val="en-GB"/>
        </w:rPr>
        <w:t xml:space="preserve"> Managing the biotic component of soil quality. </w:t>
      </w:r>
      <w:r w:rsidRPr="00C343A2">
        <w:rPr>
          <w:i/>
          <w:iCs/>
          <w:lang w:val="en-GB"/>
        </w:rPr>
        <w:t>Applied Soil Ecology, Special issue: Managing the Biotic component of Soil Quality</w:t>
      </w:r>
      <w:r w:rsidRPr="00C343A2">
        <w:rPr>
          <w:lang w:val="en-GB"/>
        </w:rPr>
        <w:t xml:space="preserve">, </w:t>
      </w:r>
      <w:r w:rsidRPr="00C343A2">
        <w:rPr>
          <w:i/>
          <w:iCs/>
          <w:lang w:val="en-GB"/>
        </w:rPr>
        <w:t>15</w:t>
      </w:r>
      <w:r w:rsidRPr="00C343A2">
        <w:rPr>
          <w:lang w:val="en-GB"/>
        </w:rPr>
        <w:t>(1), 3</w:t>
      </w:r>
      <w:r w:rsidRPr="00C343A2">
        <w:rPr>
          <w:rFonts w:ascii="Cambria Math" w:hAnsi="Cambria Math" w:cs="Cambria Math"/>
          <w:lang w:val="en-GB"/>
        </w:rPr>
        <w:t>‑</w:t>
      </w:r>
      <w:r w:rsidRPr="00C343A2">
        <w:rPr>
          <w:lang w:val="en-GB"/>
        </w:rPr>
        <w:t>11. https://doi.org/10.1016/S0929-1393(00)00067-6</w:t>
      </w:r>
    </w:p>
    <w:p w14:paraId="2CA7432A" w14:textId="77777777" w:rsidR="007F1D3E" w:rsidRPr="00C343A2" w:rsidRDefault="007F1D3E" w:rsidP="007F1D3E">
      <w:pPr>
        <w:pStyle w:val="Bibliographie"/>
        <w:rPr>
          <w:lang w:val="en-GB"/>
        </w:rPr>
      </w:pPr>
      <w:r w:rsidRPr="00C343A2">
        <w:rPr>
          <w:lang w:val="en-GB"/>
        </w:rPr>
        <w:t xml:space="preserve">Faber, J. H., Hanegraaf, M., Gillikin, A., Hendriks, C., Kuikman, P., Cousin, I., Bispo, A., Obiang-Ndong, G., Montagne, D., Taylor, A., Bengtsson, J., ten Damme, L., Meurer, K. H. E., &amp; </w:t>
      </w:r>
      <w:proofErr w:type="spellStart"/>
      <w:r w:rsidRPr="00C343A2">
        <w:rPr>
          <w:lang w:val="en-GB"/>
        </w:rPr>
        <w:t>Viketoft</w:t>
      </w:r>
      <w:proofErr w:type="spellEnd"/>
      <w:r w:rsidRPr="00C343A2">
        <w:rPr>
          <w:lang w:val="en-GB"/>
        </w:rPr>
        <w:t xml:space="preserve">, M. (2022). </w:t>
      </w:r>
      <w:r w:rsidRPr="00C343A2">
        <w:rPr>
          <w:i/>
          <w:iCs/>
          <w:lang w:val="en-GB"/>
        </w:rPr>
        <w:t xml:space="preserve">EJP SOIL Internal Project SIREN Deliverable </w:t>
      </w:r>
      <w:proofErr w:type="gramStart"/>
      <w:r w:rsidRPr="00C343A2">
        <w:rPr>
          <w:i/>
          <w:iCs/>
          <w:lang w:val="en-GB"/>
        </w:rPr>
        <w:t>2 :</w:t>
      </w:r>
      <w:proofErr w:type="gramEnd"/>
      <w:r w:rsidRPr="00C343A2">
        <w:rPr>
          <w:i/>
          <w:iCs/>
          <w:lang w:val="en-GB"/>
        </w:rPr>
        <w:t xml:space="preserve"> Stocktaking for Agricultural Soil Quality and Ecosystem Services Indicators and their Reference Values (SIREN)</w:t>
      </w:r>
      <w:r w:rsidRPr="00C343A2">
        <w:rPr>
          <w:lang w:val="en-GB"/>
        </w:rPr>
        <w:t>. https://doi.org/10.5281/zenodo.15187757</w:t>
      </w:r>
    </w:p>
    <w:p w14:paraId="27C86B77" w14:textId="77777777" w:rsidR="007F1D3E" w:rsidRPr="00C343A2" w:rsidRDefault="007F1D3E" w:rsidP="007F1D3E">
      <w:pPr>
        <w:pStyle w:val="Bibliographie"/>
        <w:rPr>
          <w:lang w:val="en-GB"/>
        </w:rPr>
      </w:pPr>
      <w:r w:rsidRPr="00C343A2">
        <w:rPr>
          <w:lang w:val="en-GB"/>
        </w:rPr>
        <w:t xml:space="preserve">FAO (Food and Agriculture Organization of the United Nations). (2026). </w:t>
      </w:r>
      <w:r w:rsidRPr="00C343A2">
        <w:rPr>
          <w:i/>
          <w:iCs/>
          <w:lang w:val="en-GB"/>
        </w:rPr>
        <w:t>Global Soil Health</w:t>
      </w:r>
      <w:r w:rsidRPr="00C343A2">
        <w:rPr>
          <w:lang w:val="en-GB"/>
        </w:rPr>
        <w:t>. FAO SOILS PORTAL. https://www.fao.org/soils-portal/soil-degradation-restoration/global-soil-health-indicators-and-assessment/global-soil-health/en/</w:t>
      </w:r>
    </w:p>
    <w:p w14:paraId="4ECF7977" w14:textId="77777777" w:rsidR="007F1D3E" w:rsidRPr="00B363AA" w:rsidRDefault="007F1D3E" w:rsidP="007F1D3E">
      <w:pPr>
        <w:pStyle w:val="Bibliographie"/>
      </w:pPr>
      <w:r w:rsidRPr="00B363AA">
        <w:rPr>
          <w:i/>
          <w:iCs/>
        </w:rPr>
        <w:t>Fichier écologique des essences</w:t>
      </w:r>
      <w:r w:rsidRPr="00B363AA">
        <w:t>. (s. d.). Consulté 2 juin 2026, à l’adresse https://www.fichierecologique.be/#!/</w:t>
      </w:r>
    </w:p>
    <w:p w14:paraId="08739DC7" w14:textId="77777777" w:rsidR="007F1D3E" w:rsidRPr="00C343A2" w:rsidRDefault="007F1D3E" w:rsidP="007F1D3E">
      <w:pPr>
        <w:pStyle w:val="Bibliographie"/>
        <w:rPr>
          <w:lang w:val="en-GB"/>
        </w:rPr>
      </w:pPr>
      <w:r w:rsidRPr="00B363AA">
        <w:lastRenderedPageBreak/>
        <w:t xml:space="preserve">Genot, V., Renneson, M., Bock, L., &amp; Colinet, G. (2011). </w:t>
      </w:r>
      <w:r w:rsidRPr="00B363AA">
        <w:rPr>
          <w:i/>
          <w:iCs/>
        </w:rPr>
        <w:t>Un conseil de fumure raisonné—Le cas du phosphore</w:t>
      </w:r>
      <w:r w:rsidRPr="00B363AA">
        <w:t xml:space="preserve">. </w:t>
      </w:r>
      <w:r w:rsidRPr="00C343A2">
        <w:rPr>
          <w:lang w:val="en-GB"/>
        </w:rPr>
        <w:t>REQUASUD. https://www.requasud.be/wp-content/uploads/2017/07/brochure_cr2451_requasud_ld.pdf</w:t>
      </w:r>
    </w:p>
    <w:p w14:paraId="5678A313" w14:textId="77777777" w:rsidR="007F1D3E" w:rsidRPr="00B363AA" w:rsidRDefault="007F1D3E" w:rsidP="007F1D3E">
      <w:pPr>
        <w:pStyle w:val="Bibliographie"/>
      </w:pPr>
      <w:r w:rsidRPr="00C343A2">
        <w:rPr>
          <w:lang w:val="en-GB"/>
        </w:rPr>
        <w:t xml:space="preserve">Géronnez, L., </w:t>
      </w:r>
      <w:proofErr w:type="spellStart"/>
      <w:r w:rsidRPr="00C343A2">
        <w:rPr>
          <w:lang w:val="en-GB"/>
        </w:rPr>
        <w:t>Vialay</w:t>
      </w:r>
      <w:proofErr w:type="spellEnd"/>
      <w:r w:rsidRPr="00C343A2">
        <w:rPr>
          <w:lang w:val="en-GB"/>
        </w:rPr>
        <w:t xml:space="preserve">, G., &amp; Zaman, J. (2025). </w:t>
      </w:r>
      <w:r w:rsidRPr="00B363AA">
        <w:rPr>
          <w:i/>
          <w:iCs/>
        </w:rPr>
        <w:t>Quelles actions possibles pour concilier le « zéro artificialisation nette » (ZAN) et accessibilité financière du logement ? Où produire si le sol compte ?</w:t>
      </w:r>
      <w:r w:rsidRPr="00B363AA">
        <w:t xml:space="preserve"> (p. 44). SPW / EDIWALL. https://ediwall.wallonie.be/quelles-actions-possibles-pour-concilier-le-zero-artificialisation-nette-zan-et-accessibilite-financiere-du-logement-ou-produire-si-le-sol-compte-2025-135835</w:t>
      </w:r>
    </w:p>
    <w:p w14:paraId="6D14EA30" w14:textId="77777777" w:rsidR="007F1D3E" w:rsidRPr="00B363AA" w:rsidRDefault="007F1D3E" w:rsidP="007F1D3E">
      <w:pPr>
        <w:pStyle w:val="Bibliographie"/>
      </w:pPr>
      <w:r w:rsidRPr="00B363AA">
        <w:t xml:space="preserve">Gouvernement wallon. (2018). </w:t>
      </w:r>
      <w:r w:rsidRPr="00B363AA">
        <w:rPr>
          <w:i/>
          <w:iCs/>
        </w:rPr>
        <w:t>Décret relatif à la gestion et à l’assainissement des sols du 1er mars 2018</w:t>
      </w:r>
      <w:r w:rsidRPr="00B363AA">
        <w:t>. https://wallex.wallonie.be/eli/loi-decret/2018/03/01/2018070014/2018/04/01</w:t>
      </w:r>
    </w:p>
    <w:p w14:paraId="56692EEB" w14:textId="77777777" w:rsidR="007F1D3E" w:rsidRPr="00B363AA" w:rsidRDefault="007F1D3E" w:rsidP="007F1D3E">
      <w:pPr>
        <w:pStyle w:val="Bibliographie"/>
      </w:pPr>
      <w:r w:rsidRPr="00B363AA">
        <w:t xml:space="preserve">Graitson, E. (2006). Inventaire et caractérisation des sites calaminaires en Région Wallonne. </w:t>
      </w:r>
      <w:r w:rsidRPr="00B363AA">
        <w:rPr>
          <w:i/>
          <w:iCs/>
        </w:rPr>
        <w:t>Natura Mosana</w:t>
      </w:r>
      <w:r w:rsidRPr="00B363AA">
        <w:t xml:space="preserve">, </w:t>
      </w:r>
      <w:r w:rsidRPr="00B363AA">
        <w:rPr>
          <w:i/>
          <w:iCs/>
        </w:rPr>
        <w:t>vol.58, n° 4</w:t>
      </w:r>
      <w:r w:rsidRPr="00B363AA">
        <w:t>(1). https://orbi.uliege.be/handle/2268/32149</w:t>
      </w:r>
    </w:p>
    <w:p w14:paraId="1C39D466" w14:textId="77777777" w:rsidR="007F1D3E" w:rsidRPr="00B363AA" w:rsidRDefault="007F1D3E" w:rsidP="007F1D3E">
      <w:pPr>
        <w:pStyle w:val="Bibliographie"/>
      </w:pPr>
      <w:r w:rsidRPr="00B363AA">
        <w:t xml:space="preserve">Janssens, F., &amp; Peeters, A. (1999). </w:t>
      </w:r>
      <w:r w:rsidRPr="00B363AA">
        <w:rPr>
          <w:i/>
          <w:iCs/>
        </w:rPr>
        <w:t>Talus et pré fleuris : Mode d’emploi. Un guide pour l’aménagement écologique d’espaces verts</w:t>
      </w:r>
      <w:r w:rsidRPr="00B363AA">
        <w:t>. https://dial.uclouvain.be/pr/boreal/object/boreal:84530</w:t>
      </w:r>
    </w:p>
    <w:p w14:paraId="71961D86" w14:textId="77777777" w:rsidR="007F1D3E" w:rsidRPr="00C343A2" w:rsidRDefault="007F1D3E" w:rsidP="007F1D3E">
      <w:pPr>
        <w:pStyle w:val="Bibliographie"/>
        <w:rPr>
          <w:lang w:val="en-GB"/>
        </w:rPr>
      </w:pPr>
      <w:r w:rsidRPr="00C343A2">
        <w:rPr>
          <w:lang w:val="en-GB"/>
        </w:rPr>
        <w:t xml:space="preserve">Johannes, A., Matter, A., Schulin, R., Weisskopf, P., </w:t>
      </w:r>
      <w:proofErr w:type="spellStart"/>
      <w:r w:rsidRPr="00C343A2">
        <w:rPr>
          <w:lang w:val="en-GB"/>
        </w:rPr>
        <w:t>Baveye</w:t>
      </w:r>
      <w:proofErr w:type="spellEnd"/>
      <w:r w:rsidRPr="00C343A2">
        <w:rPr>
          <w:lang w:val="en-GB"/>
        </w:rPr>
        <w:t xml:space="preserve">, P. C., &amp; Boivin, P. (2017). Optimal organic carbon values for soil structure quality of arable soils. Does clay content matter? </w:t>
      </w:r>
      <w:proofErr w:type="spellStart"/>
      <w:r w:rsidRPr="00C343A2">
        <w:rPr>
          <w:i/>
          <w:iCs/>
          <w:lang w:val="en-GB"/>
        </w:rPr>
        <w:t>Geoderma</w:t>
      </w:r>
      <w:proofErr w:type="spellEnd"/>
      <w:r w:rsidRPr="00C343A2">
        <w:rPr>
          <w:lang w:val="en-GB"/>
        </w:rPr>
        <w:t xml:space="preserve">, </w:t>
      </w:r>
      <w:r w:rsidRPr="00C343A2">
        <w:rPr>
          <w:i/>
          <w:iCs/>
          <w:lang w:val="en-GB"/>
        </w:rPr>
        <w:t>302</w:t>
      </w:r>
      <w:r w:rsidRPr="00C343A2">
        <w:rPr>
          <w:lang w:val="en-GB"/>
        </w:rPr>
        <w:t>, 14</w:t>
      </w:r>
      <w:r w:rsidRPr="00C343A2">
        <w:rPr>
          <w:rFonts w:ascii="Cambria Math" w:hAnsi="Cambria Math" w:cs="Cambria Math"/>
          <w:lang w:val="en-GB"/>
        </w:rPr>
        <w:t>‑</w:t>
      </w:r>
      <w:r w:rsidRPr="00C343A2">
        <w:rPr>
          <w:lang w:val="en-GB"/>
        </w:rPr>
        <w:t>21. https://doi.org/10.1016/j.geoderma.2017.04.021</w:t>
      </w:r>
    </w:p>
    <w:p w14:paraId="26F7A108" w14:textId="77777777" w:rsidR="007F1D3E" w:rsidRPr="00C343A2" w:rsidRDefault="007F1D3E" w:rsidP="007F1D3E">
      <w:pPr>
        <w:pStyle w:val="Bibliographie"/>
        <w:rPr>
          <w:lang w:val="en-GB"/>
        </w:rPr>
      </w:pPr>
      <w:r w:rsidRPr="00C343A2">
        <w:rPr>
          <w:lang w:val="en-GB"/>
        </w:rPr>
        <w:t xml:space="preserve">Karlen, D. L., Mausbach, M. J., Doran, J. W., Cline, R. G., Harris, R. F., &amp; Schuman, G. E. (1997). Soil </w:t>
      </w:r>
      <w:proofErr w:type="gramStart"/>
      <w:r w:rsidRPr="00C343A2">
        <w:rPr>
          <w:lang w:val="en-GB"/>
        </w:rPr>
        <w:t>Quality :</w:t>
      </w:r>
      <w:proofErr w:type="gramEnd"/>
      <w:r w:rsidRPr="00C343A2">
        <w:rPr>
          <w:lang w:val="en-GB"/>
        </w:rPr>
        <w:t xml:space="preserve"> A Concept, Definition, and Framework for Evaluation (A Guest Editorial). </w:t>
      </w:r>
      <w:r w:rsidRPr="00C343A2">
        <w:rPr>
          <w:i/>
          <w:iCs/>
          <w:lang w:val="en-GB"/>
        </w:rPr>
        <w:t>Soil Science Society of America Journal</w:t>
      </w:r>
      <w:r w:rsidRPr="00C343A2">
        <w:rPr>
          <w:lang w:val="en-GB"/>
        </w:rPr>
        <w:t xml:space="preserve">, </w:t>
      </w:r>
      <w:r w:rsidRPr="00C343A2">
        <w:rPr>
          <w:i/>
          <w:iCs/>
          <w:lang w:val="en-GB"/>
        </w:rPr>
        <w:t>61</w:t>
      </w:r>
      <w:r w:rsidRPr="00C343A2">
        <w:rPr>
          <w:lang w:val="en-GB"/>
        </w:rPr>
        <w:t>(1), 4</w:t>
      </w:r>
      <w:r w:rsidRPr="00C343A2">
        <w:rPr>
          <w:rFonts w:ascii="Cambria Math" w:hAnsi="Cambria Math" w:cs="Cambria Math"/>
          <w:lang w:val="en-GB"/>
        </w:rPr>
        <w:t>‑</w:t>
      </w:r>
      <w:r w:rsidRPr="00C343A2">
        <w:rPr>
          <w:lang w:val="en-GB"/>
        </w:rPr>
        <w:t>10. https://doi.org/10.2136/sssaj1997.03615995006100010001x</w:t>
      </w:r>
    </w:p>
    <w:p w14:paraId="04E9736C" w14:textId="77777777" w:rsidR="007F1D3E" w:rsidRPr="00C343A2" w:rsidRDefault="007F1D3E" w:rsidP="007F1D3E">
      <w:pPr>
        <w:pStyle w:val="Bibliographie"/>
        <w:rPr>
          <w:lang w:val="en-GB"/>
        </w:rPr>
      </w:pPr>
      <w:r w:rsidRPr="00C343A2">
        <w:rPr>
          <w:lang w:val="en-GB"/>
        </w:rPr>
        <w:t>Kay, B. D. (1990). Rates of Change of Soil Structure Under Different Cropping Systems. In B. A. Stewart (</w:t>
      </w:r>
      <w:proofErr w:type="spellStart"/>
      <w:r w:rsidRPr="00C343A2">
        <w:rPr>
          <w:lang w:val="en-GB"/>
        </w:rPr>
        <w:t>Éd</w:t>
      </w:r>
      <w:proofErr w:type="spellEnd"/>
      <w:r w:rsidRPr="00C343A2">
        <w:rPr>
          <w:lang w:val="en-GB"/>
        </w:rPr>
        <w:t xml:space="preserve">.), </w:t>
      </w:r>
      <w:r w:rsidRPr="00C343A2">
        <w:rPr>
          <w:i/>
          <w:iCs/>
          <w:lang w:val="en-GB"/>
        </w:rPr>
        <w:t xml:space="preserve">Advances in Soil Science </w:t>
      </w:r>
      <w:proofErr w:type="gramStart"/>
      <w:r w:rsidRPr="00C343A2">
        <w:rPr>
          <w:i/>
          <w:iCs/>
          <w:lang w:val="en-GB"/>
        </w:rPr>
        <w:t>12 :</w:t>
      </w:r>
      <w:proofErr w:type="gramEnd"/>
      <w:r w:rsidRPr="00C343A2">
        <w:rPr>
          <w:i/>
          <w:iCs/>
          <w:lang w:val="en-GB"/>
        </w:rPr>
        <w:t xml:space="preserve"> Volume 12</w:t>
      </w:r>
      <w:r w:rsidRPr="00C343A2">
        <w:rPr>
          <w:lang w:val="en-GB"/>
        </w:rPr>
        <w:t xml:space="preserve"> (p. 1</w:t>
      </w:r>
      <w:r w:rsidRPr="00C343A2">
        <w:rPr>
          <w:rFonts w:ascii="Cambria Math" w:hAnsi="Cambria Math" w:cs="Cambria Math"/>
          <w:lang w:val="en-GB"/>
        </w:rPr>
        <w:t>‑</w:t>
      </w:r>
      <w:r w:rsidRPr="00C343A2">
        <w:rPr>
          <w:lang w:val="en-GB"/>
        </w:rPr>
        <w:t>52). Springer. https://doi.org/10.1007/978-1-4612-3316-9_1</w:t>
      </w:r>
    </w:p>
    <w:p w14:paraId="0AFD9C9A" w14:textId="77777777" w:rsidR="007F1D3E" w:rsidRPr="00C343A2" w:rsidRDefault="007F1D3E" w:rsidP="007F1D3E">
      <w:pPr>
        <w:pStyle w:val="Bibliographie"/>
        <w:rPr>
          <w:lang w:val="en-GB"/>
        </w:rPr>
      </w:pPr>
      <w:proofErr w:type="spellStart"/>
      <w:r w:rsidRPr="00C343A2">
        <w:rPr>
          <w:lang w:val="en-GB"/>
        </w:rPr>
        <w:lastRenderedPageBreak/>
        <w:t>Kibblewhite</w:t>
      </w:r>
      <w:proofErr w:type="spellEnd"/>
      <w:r w:rsidRPr="00C343A2">
        <w:rPr>
          <w:lang w:val="en-GB"/>
        </w:rPr>
        <w:t xml:space="preserve">, M. G., Ritz, K., &amp; Swift, M. J. (2008). Soil health in agricultural systems. </w:t>
      </w:r>
      <w:r w:rsidRPr="00C343A2">
        <w:rPr>
          <w:i/>
          <w:iCs/>
          <w:lang w:val="en-GB"/>
        </w:rPr>
        <w:t>Philosophical Transactions of the Royal Society of London. Series B, Biological Sciences</w:t>
      </w:r>
      <w:r w:rsidRPr="00C343A2">
        <w:rPr>
          <w:lang w:val="en-GB"/>
        </w:rPr>
        <w:t xml:space="preserve">, </w:t>
      </w:r>
      <w:r w:rsidRPr="00C343A2">
        <w:rPr>
          <w:i/>
          <w:iCs/>
          <w:lang w:val="en-GB"/>
        </w:rPr>
        <w:t>363</w:t>
      </w:r>
      <w:r w:rsidRPr="00C343A2">
        <w:rPr>
          <w:lang w:val="en-GB"/>
        </w:rPr>
        <w:t>(1492), 685</w:t>
      </w:r>
      <w:r w:rsidRPr="00C343A2">
        <w:rPr>
          <w:rFonts w:ascii="Cambria Math" w:hAnsi="Cambria Math" w:cs="Cambria Math"/>
          <w:lang w:val="en-GB"/>
        </w:rPr>
        <w:t>‑</w:t>
      </w:r>
      <w:r w:rsidRPr="00C343A2">
        <w:rPr>
          <w:lang w:val="en-GB"/>
        </w:rPr>
        <w:t>701. https://doi.org/10.1098/rstb.2007.2178</w:t>
      </w:r>
    </w:p>
    <w:p w14:paraId="3E6D736C" w14:textId="77777777" w:rsidR="007F1D3E" w:rsidRPr="00C343A2" w:rsidRDefault="007F1D3E" w:rsidP="007F1D3E">
      <w:pPr>
        <w:pStyle w:val="Bibliographie"/>
        <w:rPr>
          <w:lang w:val="en-GB"/>
        </w:rPr>
      </w:pPr>
      <w:r w:rsidRPr="00C343A2">
        <w:rPr>
          <w:lang w:val="en-GB"/>
        </w:rPr>
        <w:t xml:space="preserve">Laliberté, E., Grace, J. B., Huston, M. A., Lambers, H., Teste, F. P., Turner, B. L., &amp; Wardle, D. A. (2013). How does pedogenesis drive plant diversity? </w:t>
      </w:r>
      <w:r w:rsidRPr="00C343A2">
        <w:rPr>
          <w:i/>
          <w:iCs/>
          <w:lang w:val="en-GB"/>
        </w:rPr>
        <w:t>Trends in Ecology &amp; Evolution</w:t>
      </w:r>
      <w:r w:rsidRPr="00C343A2">
        <w:rPr>
          <w:lang w:val="en-GB"/>
        </w:rPr>
        <w:t xml:space="preserve">, </w:t>
      </w:r>
      <w:r w:rsidRPr="00C343A2">
        <w:rPr>
          <w:i/>
          <w:iCs/>
          <w:lang w:val="en-GB"/>
        </w:rPr>
        <w:t>28</w:t>
      </w:r>
      <w:r w:rsidRPr="00C343A2">
        <w:rPr>
          <w:lang w:val="en-GB"/>
        </w:rPr>
        <w:t>(6), 331</w:t>
      </w:r>
      <w:r w:rsidRPr="00C343A2">
        <w:rPr>
          <w:rFonts w:ascii="Cambria Math" w:hAnsi="Cambria Math" w:cs="Cambria Math"/>
          <w:lang w:val="en-GB"/>
        </w:rPr>
        <w:t>‑</w:t>
      </w:r>
      <w:r w:rsidRPr="00C343A2">
        <w:rPr>
          <w:lang w:val="en-GB"/>
        </w:rPr>
        <w:t>340. https://doi.org/10.1016/j.tree.2013.02.008</w:t>
      </w:r>
    </w:p>
    <w:p w14:paraId="07F1C7E9" w14:textId="77777777" w:rsidR="007F1D3E" w:rsidRPr="00B363AA" w:rsidRDefault="007F1D3E" w:rsidP="007F1D3E">
      <w:pPr>
        <w:pStyle w:val="Bibliographie"/>
      </w:pPr>
      <w:r w:rsidRPr="00B363AA">
        <w:t xml:space="preserve">Le </w:t>
      </w:r>
      <w:proofErr w:type="spellStart"/>
      <w:r w:rsidRPr="00B363AA">
        <w:t>Guedard</w:t>
      </w:r>
      <w:proofErr w:type="spellEnd"/>
      <w:r w:rsidRPr="00B363AA">
        <w:t xml:space="preserve">, M., Bessoule, J.-J., Faure, O., Fayolle, G., Nau, J.-F., Villenave, C., Ceremonie, H., Pauget, B., &amp; Peres, G. (2017). </w:t>
      </w:r>
      <w:r w:rsidRPr="00B363AA">
        <w:rPr>
          <w:i/>
          <w:iCs/>
        </w:rPr>
        <w:t>La librairie ADEME - Bio-indicateurs de l’état des sols (Les)</w:t>
      </w:r>
      <w:r w:rsidRPr="00B363AA">
        <w:t xml:space="preserve"> (ADERA, LEB Aquitaine Transfert, CNRS BORDEAUX, ECOLE NATIONALE SUPERIEURE DES MINES DE SAINT-ETIENNE, EODD Ingénieurs Conseils, &amp; AGROCAMPUS OUEST, Éds.; N</w:t>
      </w:r>
      <w:r w:rsidRPr="00B363AA">
        <w:rPr>
          <w:vertAlign w:val="superscript"/>
        </w:rPr>
        <w:t>o</w:t>
      </w:r>
      <w:r w:rsidRPr="00B363AA">
        <w:t xml:space="preserve"> 010216). https://librairie.ademe.fr/urbanisme-territoires-et-sols/1971-bio-indicateurs-de-l-etat-des-sols-les-9791029708244.html</w:t>
      </w:r>
    </w:p>
    <w:p w14:paraId="618EE8AB" w14:textId="77777777" w:rsidR="007F1D3E" w:rsidRPr="00C343A2" w:rsidRDefault="007F1D3E" w:rsidP="007F1D3E">
      <w:pPr>
        <w:pStyle w:val="Bibliographie"/>
        <w:rPr>
          <w:lang w:val="en-GB"/>
        </w:rPr>
      </w:pPr>
      <w:r w:rsidRPr="00C343A2">
        <w:rPr>
          <w:lang w:val="en-GB"/>
        </w:rPr>
        <w:t>Lehmann, J., Bossio, D. A., Kögel-</w:t>
      </w:r>
      <w:proofErr w:type="spellStart"/>
      <w:r w:rsidRPr="00C343A2">
        <w:rPr>
          <w:lang w:val="en-GB"/>
        </w:rPr>
        <w:t>Knabner</w:t>
      </w:r>
      <w:proofErr w:type="spellEnd"/>
      <w:r w:rsidRPr="00C343A2">
        <w:rPr>
          <w:lang w:val="en-GB"/>
        </w:rPr>
        <w:t xml:space="preserve">, I., &amp; </w:t>
      </w:r>
      <w:proofErr w:type="spellStart"/>
      <w:r w:rsidRPr="00C343A2">
        <w:rPr>
          <w:lang w:val="en-GB"/>
        </w:rPr>
        <w:t>Rillig</w:t>
      </w:r>
      <w:proofErr w:type="spellEnd"/>
      <w:r w:rsidRPr="00C343A2">
        <w:rPr>
          <w:lang w:val="en-GB"/>
        </w:rPr>
        <w:t xml:space="preserve">, M. C. (2020). The concept and </w:t>
      </w:r>
      <w:proofErr w:type="gramStart"/>
      <w:r w:rsidRPr="00C343A2">
        <w:rPr>
          <w:lang w:val="en-GB"/>
        </w:rPr>
        <w:t>future prospects</w:t>
      </w:r>
      <w:proofErr w:type="gramEnd"/>
      <w:r w:rsidRPr="00C343A2">
        <w:rPr>
          <w:lang w:val="en-GB"/>
        </w:rPr>
        <w:t xml:space="preserve"> of soil health. </w:t>
      </w:r>
      <w:r w:rsidRPr="00C343A2">
        <w:rPr>
          <w:i/>
          <w:iCs/>
          <w:lang w:val="en-GB"/>
        </w:rPr>
        <w:t>Nature Reviews Earth &amp; Environment</w:t>
      </w:r>
      <w:r w:rsidRPr="00C343A2">
        <w:rPr>
          <w:lang w:val="en-GB"/>
        </w:rPr>
        <w:t xml:space="preserve">, </w:t>
      </w:r>
      <w:r w:rsidRPr="00C343A2">
        <w:rPr>
          <w:i/>
          <w:iCs/>
          <w:lang w:val="en-GB"/>
        </w:rPr>
        <w:t>1</w:t>
      </w:r>
      <w:r w:rsidRPr="00C343A2">
        <w:rPr>
          <w:lang w:val="en-GB"/>
        </w:rPr>
        <w:t>(10), 544</w:t>
      </w:r>
      <w:r w:rsidRPr="00C343A2">
        <w:rPr>
          <w:rFonts w:ascii="Cambria Math" w:hAnsi="Cambria Math" w:cs="Cambria Math"/>
          <w:lang w:val="en-GB"/>
        </w:rPr>
        <w:t>‑</w:t>
      </w:r>
      <w:r w:rsidRPr="00C343A2">
        <w:rPr>
          <w:lang w:val="en-GB"/>
        </w:rPr>
        <w:t>553. https://doi.org/10.1038/s43017-020-0080-8</w:t>
      </w:r>
    </w:p>
    <w:p w14:paraId="4280DCB6" w14:textId="77777777" w:rsidR="007F1D3E" w:rsidRPr="00C343A2" w:rsidRDefault="007F1D3E" w:rsidP="007F1D3E">
      <w:pPr>
        <w:pStyle w:val="Bibliographie"/>
        <w:rPr>
          <w:lang w:val="en-GB"/>
        </w:rPr>
      </w:pPr>
      <w:r w:rsidRPr="00B363AA">
        <w:t xml:space="preserve">Mariage, C. (2019). </w:t>
      </w:r>
      <w:r w:rsidRPr="00B363AA">
        <w:rPr>
          <w:i/>
          <w:iCs/>
        </w:rPr>
        <w:t>Les matières organiques et la fertilité du sol</w:t>
      </w:r>
      <w:r w:rsidRPr="00B363AA">
        <w:t xml:space="preserve">. </w:t>
      </w:r>
      <w:r w:rsidRPr="00C343A2">
        <w:rPr>
          <w:lang w:val="en-GB"/>
        </w:rPr>
        <w:t>REQUASUD. https://www.requasud.be/assets/pdf/publications/presentations/fiche_explicative_carbone_v01.pdf</w:t>
      </w:r>
    </w:p>
    <w:p w14:paraId="649FFDDE" w14:textId="77777777" w:rsidR="007F1D3E" w:rsidRPr="00C343A2" w:rsidRDefault="007F1D3E" w:rsidP="007F1D3E">
      <w:pPr>
        <w:pStyle w:val="Bibliographie"/>
        <w:rPr>
          <w:lang w:val="en-GB"/>
        </w:rPr>
      </w:pPr>
      <w:r w:rsidRPr="00C343A2">
        <w:rPr>
          <w:lang w:val="en-GB"/>
        </w:rPr>
        <w:t xml:space="preserve">Miller, R., Busch, J., Friedrich, K., Fritzsch, D., </w:t>
      </w:r>
      <w:proofErr w:type="spellStart"/>
      <w:r w:rsidRPr="00C343A2">
        <w:rPr>
          <w:lang w:val="en-GB"/>
        </w:rPr>
        <w:t>Goldschmitt</w:t>
      </w:r>
      <w:proofErr w:type="spellEnd"/>
      <w:r w:rsidRPr="00C343A2">
        <w:rPr>
          <w:lang w:val="en-GB"/>
        </w:rPr>
        <w:t xml:space="preserve">, M., Handke, K., Pflanz, D., Sauer, S., &amp; </w:t>
      </w:r>
      <w:proofErr w:type="spellStart"/>
      <w:r w:rsidRPr="00C343A2">
        <w:rPr>
          <w:lang w:val="en-GB"/>
        </w:rPr>
        <w:t>Vorderbrügge</w:t>
      </w:r>
      <w:proofErr w:type="spellEnd"/>
      <w:r w:rsidRPr="00C343A2">
        <w:rPr>
          <w:lang w:val="en-GB"/>
        </w:rPr>
        <w:t xml:space="preserve">, T. (2023). </w:t>
      </w:r>
      <w:proofErr w:type="spellStart"/>
      <w:r w:rsidRPr="00C343A2">
        <w:rPr>
          <w:i/>
          <w:iCs/>
          <w:lang w:val="en-GB"/>
        </w:rPr>
        <w:t>Kompensation</w:t>
      </w:r>
      <w:proofErr w:type="spellEnd"/>
      <w:r w:rsidRPr="00C343A2">
        <w:rPr>
          <w:i/>
          <w:iCs/>
          <w:lang w:val="en-GB"/>
        </w:rPr>
        <w:t xml:space="preserve"> des </w:t>
      </w:r>
      <w:proofErr w:type="spellStart"/>
      <w:r w:rsidRPr="00C343A2">
        <w:rPr>
          <w:i/>
          <w:iCs/>
          <w:lang w:val="en-GB"/>
        </w:rPr>
        <w:t>Schutzguts</w:t>
      </w:r>
      <w:proofErr w:type="spellEnd"/>
      <w:r w:rsidRPr="00C343A2">
        <w:rPr>
          <w:i/>
          <w:iCs/>
          <w:lang w:val="en-GB"/>
        </w:rPr>
        <w:t xml:space="preserve"> Boden in </w:t>
      </w:r>
      <w:proofErr w:type="spellStart"/>
      <w:r w:rsidRPr="00C343A2">
        <w:rPr>
          <w:i/>
          <w:iCs/>
          <w:lang w:val="en-GB"/>
        </w:rPr>
        <w:t>Planungs</w:t>
      </w:r>
      <w:proofErr w:type="spellEnd"/>
      <w:r w:rsidRPr="00C343A2">
        <w:rPr>
          <w:i/>
          <w:iCs/>
          <w:lang w:val="en-GB"/>
        </w:rPr>
        <w:t xml:space="preserve">- und </w:t>
      </w:r>
      <w:proofErr w:type="spellStart"/>
      <w:r w:rsidRPr="00C343A2">
        <w:rPr>
          <w:i/>
          <w:iCs/>
          <w:lang w:val="en-GB"/>
        </w:rPr>
        <w:t>Genehmigungsverfahren</w:t>
      </w:r>
      <w:proofErr w:type="spellEnd"/>
      <w:r w:rsidRPr="00C343A2">
        <w:rPr>
          <w:i/>
          <w:iCs/>
          <w:lang w:val="en-GB"/>
        </w:rPr>
        <w:t>—</w:t>
      </w:r>
      <w:proofErr w:type="spellStart"/>
      <w:r w:rsidRPr="00C343A2">
        <w:rPr>
          <w:i/>
          <w:iCs/>
          <w:lang w:val="en-GB"/>
        </w:rPr>
        <w:t>Arbeitshilfe</w:t>
      </w:r>
      <w:proofErr w:type="spellEnd"/>
      <w:r w:rsidRPr="00C343A2">
        <w:rPr>
          <w:i/>
          <w:iCs/>
          <w:lang w:val="en-GB"/>
        </w:rPr>
        <w:t xml:space="preserve"> </w:t>
      </w:r>
      <w:proofErr w:type="spellStart"/>
      <w:r w:rsidRPr="00C343A2">
        <w:rPr>
          <w:i/>
          <w:iCs/>
          <w:lang w:val="en-GB"/>
        </w:rPr>
        <w:t>zur</w:t>
      </w:r>
      <w:proofErr w:type="spellEnd"/>
      <w:r w:rsidRPr="00C343A2">
        <w:rPr>
          <w:i/>
          <w:iCs/>
          <w:lang w:val="en-GB"/>
        </w:rPr>
        <w:t xml:space="preserve"> </w:t>
      </w:r>
      <w:proofErr w:type="spellStart"/>
      <w:r w:rsidRPr="00C343A2">
        <w:rPr>
          <w:i/>
          <w:iCs/>
          <w:lang w:val="en-GB"/>
        </w:rPr>
        <w:t>Ermittlung</w:t>
      </w:r>
      <w:proofErr w:type="spellEnd"/>
      <w:r w:rsidRPr="00C343A2">
        <w:rPr>
          <w:i/>
          <w:iCs/>
          <w:lang w:val="en-GB"/>
        </w:rPr>
        <w:t xml:space="preserve"> des </w:t>
      </w:r>
      <w:proofErr w:type="spellStart"/>
      <w:r w:rsidRPr="00C343A2">
        <w:rPr>
          <w:i/>
          <w:iCs/>
          <w:lang w:val="en-GB"/>
        </w:rPr>
        <w:t>Kompensationsbedarfs</w:t>
      </w:r>
      <w:proofErr w:type="spellEnd"/>
      <w:r w:rsidRPr="00C343A2">
        <w:rPr>
          <w:i/>
          <w:iCs/>
          <w:lang w:val="en-GB"/>
        </w:rPr>
        <w:t xml:space="preserve"> für das </w:t>
      </w:r>
      <w:proofErr w:type="spellStart"/>
      <w:r w:rsidRPr="00C343A2">
        <w:rPr>
          <w:i/>
          <w:iCs/>
          <w:lang w:val="en-GB"/>
        </w:rPr>
        <w:t>Schutzgut</w:t>
      </w:r>
      <w:proofErr w:type="spellEnd"/>
      <w:r w:rsidRPr="00C343A2">
        <w:rPr>
          <w:i/>
          <w:iCs/>
          <w:lang w:val="en-GB"/>
        </w:rPr>
        <w:t xml:space="preserve"> Boden in Hessen und </w:t>
      </w:r>
      <w:proofErr w:type="spellStart"/>
      <w:r w:rsidRPr="00C343A2">
        <w:rPr>
          <w:i/>
          <w:iCs/>
          <w:lang w:val="en-GB"/>
        </w:rPr>
        <w:t>Rheinland</w:t>
      </w:r>
      <w:proofErr w:type="spellEnd"/>
      <w:r w:rsidRPr="00C343A2">
        <w:rPr>
          <w:i/>
          <w:iCs/>
          <w:lang w:val="en-GB"/>
        </w:rPr>
        <w:t>-Pfalz</w:t>
      </w:r>
      <w:r w:rsidRPr="00C343A2">
        <w:rPr>
          <w:lang w:val="en-GB"/>
        </w:rPr>
        <w:t xml:space="preserve">. Umwelt und </w:t>
      </w:r>
      <w:proofErr w:type="spellStart"/>
      <w:r w:rsidRPr="00C343A2">
        <w:rPr>
          <w:lang w:val="en-GB"/>
        </w:rPr>
        <w:t>Geologie</w:t>
      </w:r>
      <w:proofErr w:type="spellEnd"/>
      <w:r w:rsidRPr="00C343A2">
        <w:rPr>
          <w:lang w:val="en-GB"/>
        </w:rPr>
        <w:t xml:space="preserve"> </w:t>
      </w:r>
      <w:proofErr w:type="spellStart"/>
      <w:r w:rsidRPr="00C343A2">
        <w:rPr>
          <w:lang w:val="en-GB"/>
        </w:rPr>
        <w:t>Böden</w:t>
      </w:r>
      <w:proofErr w:type="spellEnd"/>
      <w:r w:rsidRPr="00C343A2">
        <w:rPr>
          <w:lang w:val="en-GB"/>
        </w:rPr>
        <w:t xml:space="preserve"> und </w:t>
      </w:r>
      <w:proofErr w:type="spellStart"/>
      <w:r w:rsidRPr="00C343A2">
        <w:rPr>
          <w:lang w:val="en-GB"/>
        </w:rPr>
        <w:t>Bodenschutz</w:t>
      </w:r>
      <w:proofErr w:type="spellEnd"/>
      <w:r w:rsidRPr="00C343A2">
        <w:rPr>
          <w:lang w:val="en-GB"/>
        </w:rPr>
        <w:t xml:space="preserve"> in Hessen, Heft 16. https://www.hlnug.de/themen/boden/vorsorge/bodenschutz-in-der-planung/kompensation-schutzgut-boden</w:t>
      </w:r>
    </w:p>
    <w:p w14:paraId="68DB1FFD" w14:textId="77777777" w:rsidR="007F1D3E" w:rsidRPr="00C343A2" w:rsidRDefault="007F1D3E" w:rsidP="007F1D3E">
      <w:pPr>
        <w:pStyle w:val="Bibliographie"/>
        <w:rPr>
          <w:lang w:val="en-GB"/>
        </w:rPr>
      </w:pPr>
      <w:r w:rsidRPr="00C343A2">
        <w:rPr>
          <w:lang w:val="en-GB"/>
        </w:rPr>
        <w:t xml:space="preserve">Mukherjee, A., &amp; Lal, R. (2014). Comparison of Soil Quality Index Using Three Methods. </w:t>
      </w:r>
      <w:r w:rsidRPr="00C343A2">
        <w:rPr>
          <w:i/>
          <w:iCs/>
          <w:lang w:val="en-GB"/>
        </w:rPr>
        <w:t>PLOS ONE</w:t>
      </w:r>
      <w:r w:rsidRPr="00C343A2">
        <w:rPr>
          <w:lang w:val="en-GB"/>
        </w:rPr>
        <w:t xml:space="preserve">, </w:t>
      </w:r>
      <w:r w:rsidRPr="00C343A2">
        <w:rPr>
          <w:i/>
          <w:iCs/>
          <w:lang w:val="en-GB"/>
        </w:rPr>
        <w:t>9</w:t>
      </w:r>
      <w:r w:rsidRPr="00C343A2">
        <w:rPr>
          <w:lang w:val="en-GB"/>
        </w:rPr>
        <w:t>(8), e105981. https://doi.org/10.1371/journal.pone.0105981</w:t>
      </w:r>
    </w:p>
    <w:p w14:paraId="39670DCB" w14:textId="77777777" w:rsidR="007F1D3E" w:rsidRPr="00C343A2" w:rsidRDefault="007F1D3E" w:rsidP="007F1D3E">
      <w:pPr>
        <w:pStyle w:val="Bibliographie"/>
        <w:rPr>
          <w:lang w:val="en-GB"/>
        </w:rPr>
      </w:pPr>
      <w:r w:rsidRPr="00C343A2">
        <w:rPr>
          <w:lang w:val="en-GB"/>
        </w:rPr>
        <w:lastRenderedPageBreak/>
        <w:t xml:space="preserve">O’Geen, A. T. (2013). </w:t>
      </w:r>
      <w:r w:rsidRPr="00C343A2">
        <w:rPr>
          <w:i/>
          <w:iCs/>
          <w:lang w:val="en-GB"/>
        </w:rPr>
        <w:t>Soil Water Dynamics</w:t>
      </w:r>
      <w:r w:rsidRPr="00C343A2">
        <w:rPr>
          <w:lang w:val="en-GB"/>
        </w:rPr>
        <w:t>. Nature Education Knowledge 4(5):9. https://www.nature.com/scitable/knowledge/library/soil-water-dynamics-103089121/</w:t>
      </w:r>
    </w:p>
    <w:p w14:paraId="4188F944" w14:textId="77777777" w:rsidR="007F1D3E" w:rsidRPr="00C343A2" w:rsidRDefault="007F1D3E" w:rsidP="007F1D3E">
      <w:pPr>
        <w:pStyle w:val="Bibliographie"/>
        <w:rPr>
          <w:lang w:val="en-GB"/>
        </w:rPr>
      </w:pPr>
      <w:r w:rsidRPr="00C343A2">
        <w:rPr>
          <w:lang w:val="en-GB"/>
        </w:rPr>
        <w:t xml:space="preserve">Rabot, E., </w:t>
      </w:r>
      <w:proofErr w:type="spellStart"/>
      <w:r w:rsidRPr="00C343A2">
        <w:rPr>
          <w:lang w:val="en-GB"/>
        </w:rPr>
        <w:t>Guiresse</w:t>
      </w:r>
      <w:proofErr w:type="spellEnd"/>
      <w:r w:rsidRPr="00C343A2">
        <w:rPr>
          <w:lang w:val="en-GB"/>
        </w:rPr>
        <w:t xml:space="preserve">, M., </w:t>
      </w:r>
      <w:proofErr w:type="spellStart"/>
      <w:r w:rsidRPr="00C343A2">
        <w:rPr>
          <w:lang w:val="en-GB"/>
        </w:rPr>
        <w:t>Pittatore</w:t>
      </w:r>
      <w:proofErr w:type="spellEnd"/>
      <w:r w:rsidRPr="00C343A2">
        <w:rPr>
          <w:lang w:val="en-GB"/>
        </w:rPr>
        <w:t xml:space="preserve">, Y., Angelini, M., Keller, C., &amp; </w:t>
      </w:r>
      <w:proofErr w:type="spellStart"/>
      <w:r w:rsidRPr="00C343A2">
        <w:rPr>
          <w:lang w:val="en-GB"/>
        </w:rPr>
        <w:t>Lagacherie</w:t>
      </w:r>
      <w:proofErr w:type="spellEnd"/>
      <w:r w:rsidRPr="00C343A2">
        <w:rPr>
          <w:lang w:val="en-GB"/>
        </w:rPr>
        <w:t xml:space="preserve">, P. (2022). Development and spatialization of a soil potential multifunctionality index for agriculture (Agri-SPMI) at the regional scale. Case study in the Occitanie region (France). </w:t>
      </w:r>
      <w:r w:rsidRPr="00C343A2">
        <w:rPr>
          <w:i/>
          <w:iCs/>
          <w:lang w:val="en-GB"/>
        </w:rPr>
        <w:t>Soil Security</w:t>
      </w:r>
      <w:r w:rsidRPr="00C343A2">
        <w:rPr>
          <w:lang w:val="en-GB"/>
        </w:rPr>
        <w:t xml:space="preserve">, </w:t>
      </w:r>
      <w:r w:rsidRPr="00C343A2">
        <w:rPr>
          <w:i/>
          <w:iCs/>
          <w:lang w:val="en-GB"/>
        </w:rPr>
        <w:t>6</w:t>
      </w:r>
      <w:r w:rsidRPr="00C343A2">
        <w:rPr>
          <w:lang w:val="en-GB"/>
        </w:rPr>
        <w:t>, 100034. https://doi.org/10.1016/j.soisec.2022.100034</w:t>
      </w:r>
    </w:p>
    <w:p w14:paraId="3ECF7B59" w14:textId="77777777" w:rsidR="007F1D3E" w:rsidRPr="00B363AA" w:rsidRDefault="007F1D3E" w:rsidP="007F1D3E">
      <w:pPr>
        <w:pStyle w:val="Bibliographie"/>
      </w:pPr>
      <w:r w:rsidRPr="00B363AA">
        <w:t xml:space="preserve">SPW. (2026). </w:t>
      </w:r>
      <w:r w:rsidRPr="00B363AA">
        <w:rPr>
          <w:i/>
          <w:iCs/>
        </w:rPr>
        <w:t>MAEC Sol—MR14—Portail de l’agriculture wallonne</w:t>
      </w:r>
      <w:r w:rsidRPr="00B363AA">
        <w:t>. Agriculture en Wallonie. https://agriculture.wallonie.be/home/aides/pac-2023-2027-description-des-interventions/mesures-agro-environnementales-et-climatiques/maec-sol---mr14.html</w:t>
      </w:r>
    </w:p>
    <w:p w14:paraId="38BBD069" w14:textId="77777777" w:rsidR="007F1D3E" w:rsidRPr="00B363AA" w:rsidRDefault="007F1D3E" w:rsidP="007F1D3E">
      <w:pPr>
        <w:pStyle w:val="Bibliographie"/>
      </w:pPr>
      <w:r w:rsidRPr="00B363AA">
        <w:t xml:space="preserve">SPW Mobilité Infrastructures. (2026). </w:t>
      </w:r>
      <w:r w:rsidRPr="00B363AA">
        <w:rPr>
          <w:i/>
          <w:iCs/>
        </w:rPr>
        <w:t>Cahier des Charges type Qualiroutes—Chapitre C : Matériaux et produits de construction</w:t>
      </w:r>
      <w:r w:rsidRPr="00B363AA">
        <w:t xml:space="preserve"> (Version approuvé par le Gouvernement wallon en date du 20 juillet 2011). Service Public de Wallonie. https://infrastructures.wallonie.be/cms/render/live/fr/sites/routes/pouvoirs-locaux/nos-thematiques/routes/qualite--construction/qualiroutes.html</w:t>
      </w:r>
    </w:p>
    <w:p w14:paraId="18372623" w14:textId="77777777" w:rsidR="007F1D3E" w:rsidRPr="00B363AA" w:rsidRDefault="007F1D3E" w:rsidP="007F1D3E">
      <w:pPr>
        <w:pStyle w:val="Bibliographie"/>
      </w:pPr>
      <w:r w:rsidRPr="00B363AA">
        <w:t xml:space="preserve">UE 2025/2360. (2025). </w:t>
      </w:r>
      <w:r w:rsidRPr="00B363AA">
        <w:rPr>
          <w:i/>
          <w:iCs/>
        </w:rPr>
        <w:t>Directive (UE) 2025/2360 du Parlement européen et du Conseil du 12 novembre 2025 relative à la surveillance et à la résilience des sols (directive sur la surveillance des sols)</w:t>
      </w:r>
      <w:r w:rsidRPr="00B363AA">
        <w:t>. https://eur-lex.europa.eu/eli/dir/2025/2360/oj?eliuri=eli%3Adir%3A2025%3A2360%3Aoj&amp;locale=fr</w:t>
      </w:r>
    </w:p>
    <w:p w14:paraId="16BEC5F7" w14:textId="77777777" w:rsidR="007F1D3E" w:rsidRPr="00B363AA" w:rsidRDefault="007F1D3E" w:rsidP="007F1D3E">
      <w:pPr>
        <w:pStyle w:val="Bibliographie"/>
      </w:pPr>
      <w:r w:rsidRPr="00B363AA">
        <w:t xml:space="preserve">UE COM/2021/699. (2021). </w:t>
      </w:r>
      <w:r w:rsidRPr="00B363AA">
        <w:rPr>
          <w:i/>
          <w:iCs/>
        </w:rPr>
        <w:t>Stratégie de l’UE pour la protection des sols à l’horizon 2030</w:t>
      </w:r>
      <w:r w:rsidRPr="00B363AA">
        <w:t>. https://eur-lex.europa.eu/legal-content/FR/TXT/?uri=CELEX%3A52021DC0699&amp;lang1=FR&amp;from=EN&amp;lang3=choose&amp;lang2=choose&amp;_csrf=a78b6a5f-f9e9-44c3-85cc-836ba47b3c12</w:t>
      </w:r>
    </w:p>
    <w:p w14:paraId="2FBD3F84" w14:textId="77777777" w:rsidR="007F1D3E" w:rsidRPr="00C343A2" w:rsidRDefault="007F1D3E" w:rsidP="007F1D3E">
      <w:pPr>
        <w:pStyle w:val="Bibliographie"/>
        <w:rPr>
          <w:lang w:val="en-GB"/>
        </w:rPr>
      </w:pPr>
      <w:r w:rsidRPr="00C343A2">
        <w:rPr>
          <w:lang w:val="en-GB"/>
        </w:rPr>
        <w:t xml:space="preserve">Vogel, H.-J., Eberhardt, E., Franko, U., Lang, B., </w:t>
      </w:r>
      <w:proofErr w:type="spellStart"/>
      <w:r w:rsidRPr="00C343A2">
        <w:rPr>
          <w:lang w:val="en-GB"/>
        </w:rPr>
        <w:t>Ließ</w:t>
      </w:r>
      <w:proofErr w:type="spellEnd"/>
      <w:r w:rsidRPr="00C343A2">
        <w:rPr>
          <w:lang w:val="en-GB"/>
        </w:rPr>
        <w:t xml:space="preserve">, M., Weller, U., </w:t>
      </w:r>
      <w:proofErr w:type="spellStart"/>
      <w:r w:rsidRPr="00C343A2">
        <w:rPr>
          <w:lang w:val="en-GB"/>
        </w:rPr>
        <w:t>Wiesmeier</w:t>
      </w:r>
      <w:proofErr w:type="spellEnd"/>
      <w:r w:rsidRPr="00C343A2">
        <w:rPr>
          <w:lang w:val="en-GB"/>
        </w:rPr>
        <w:t xml:space="preserve">, M., &amp; </w:t>
      </w:r>
      <w:proofErr w:type="spellStart"/>
      <w:r w:rsidRPr="00C343A2">
        <w:rPr>
          <w:lang w:val="en-GB"/>
        </w:rPr>
        <w:t>Wollschläger</w:t>
      </w:r>
      <w:proofErr w:type="spellEnd"/>
      <w:r w:rsidRPr="00C343A2">
        <w:rPr>
          <w:lang w:val="en-GB"/>
        </w:rPr>
        <w:t xml:space="preserve">, U. (2019). Quantitative Evaluation of Soil </w:t>
      </w:r>
      <w:proofErr w:type="gramStart"/>
      <w:r w:rsidRPr="00C343A2">
        <w:rPr>
          <w:lang w:val="en-GB"/>
        </w:rPr>
        <w:t>Functions :</w:t>
      </w:r>
      <w:proofErr w:type="gramEnd"/>
      <w:r w:rsidRPr="00C343A2">
        <w:rPr>
          <w:lang w:val="en-GB"/>
        </w:rPr>
        <w:t xml:space="preserve"> Potential and State. </w:t>
      </w:r>
      <w:r w:rsidRPr="00C343A2">
        <w:rPr>
          <w:i/>
          <w:iCs/>
          <w:lang w:val="en-GB"/>
        </w:rPr>
        <w:t>Frontiers in Environmental Science</w:t>
      </w:r>
      <w:r w:rsidRPr="00C343A2">
        <w:rPr>
          <w:lang w:val="en-GB"/>
        </w:rPr>
        <w:t xml:space="preserve">, </w:t>
      </w:r>
      <w:r w:rsidRPr="00C343A2">
        <w:rPr>
          <w:i/>
          <w:iCs/>
          <w:lang w:val="en-GB"/>
        </w:rPr>
        <w:t>7</w:t>
      </w:r>
      <w:r w:rsidRPr="00C343A2">
        <w:rPr>
          <w:lang w:val="en-GB"/>
        </w:rPr>
        <w:t>. https://doi.org/10.3389/fenvs.2019.00164</w:t>
      </w:r>
    </w:p>
    <w:p w14:paraId="0A3A79EE" w14:textId="77777777" w:rsidR="007F1D3E" w:rsidRPr="00C343A2" w:rsidRDefault="007F1D3E" w:rsidP="007F1D3E">
      <w:pPr>
        <w:pStyle w:val="Bibliographie"/>
        <w:rPr>
          <w:lang w:val="en-GB"/>
        </w:rPr>
      </w:pPr>
      <w:r w:rsidRPr="00C343A2">
        <w:rPr>
          <w:lang w:val="en-GB"/>
        </w:rPr>
        <w:lastRenderedPageBreak/>
        <w:t xml:space="preserve">Weninger, T., Ramler, D., Bondi, G., </w:t>
      </w:r>
      <w:proofErr w:type="spellStart"/>
      <w:r w:rsidRPr="00C343A2">
        <w:rPr>
          <w:lang w:val="en-GB"/>
        </w:rPr>
        <w:t>Asins</w:t>
      </w:r>
      <w:proofErr w:type="spellEnd"/>
      <w:r w:rsidRPr="00C343A2">
        <w:rPr>
          <w:lang w:val="en-GB"/>
        </w:rPr>
        <w:t xml:space="preserve">, S., O’Sullivan, L., </w:t>
      </w:r>
      <w:proofErr w:type="spellStart"/>
      <w:r w:rsidRPr="00C343A2">
        <w:rPr>
          <w:lang w:val="en-GB"/>
        </w:rPr>
        <w:t>Assennato</w:t>
      </w:r>
      <w:proofErr w:type="spellEnd"/>
      <w:r w:rsidRPr="00C343A2">
        <w:rPr>
          <w:lang w:val="en-GB"/>
        </w:rPr>
        <w:t xml:space="preserve">, F., </w:t>
      </w:r>
      <w:proofErr w:type="spellStart"/>
      <w:r w:rsidRPr="00C343A2">
        <w:rPr>
          <w:lang w:val="en-GB"/>
        </w:rPr>
        <w:t>Astover</w:t>
      </w:r>
      <w:proofErr w:type="spellEnd"/>
      <w:r w:rsidRPr="00C343A2">
        <w:rPr>
          <w:lang w:val="en-GB"/>
        </w:rPr>
        <w:t xml:space="preserve">, A., Bispo, A., </w:t>
      </w:r>
      <w:proofErr w:type="spellStart"/>
      <w:r w:rsidRPr="00C343A2">
        <w:rPr>
          <w:lang w:val="en-GB"/>
        </w:rPr>
        <w:t>Borůvka</w:t>
      </w:r>
      <w:proofErr w:type="spellEnd"/>
      <w:r w:rsidRPr="00C343A2">
        <w:rPr>
          <w:lang w:val="en-GB"/>
        </w:rPr>
        <w:t xml:space="preserve">, L., Buttafuoco, G., </w:t>
      </w:r>
      <w:proofErr w:type="spellStart"/>
      <w:r w:rsidRPr="00C343A2">
        <w:rPr>
          <w:lang w:val="en-GB"/>
        </w:rPr>
        <w:t>Calzolari</w:t>
      </w:r>
      <w:proofErr w:type="spellEnd"/>
      <w:r w:rsidRPr="00C343A2">
        <w:rPr>
          <w:lang w:val="en-GB"/>
        </w:rPr>
        <w:t xml:space="preserve">, C., Castanheira, N., Cousin, I., van den Elsen, E., Foldal, C., Hessel, R., </w:t>
      </w:r>
      <w:proofErr w:type="spellStart"/>
      <w:r w:rsidRPr="00C343A2">
        <w:rPr>
          <w:lang w:val="en-GB"/>
        </w:rPr>
        <w:t>Kadžiulienė</w:t>
      </w:r>
      <w:proofErr w:type="spellEnd"/>
      <w:r w:rsidRPr="00C343A2">
        <w:rPr>
          <w:lang w:val="en-GB"/>
        </w:rPr>
        <w:t>, Ž., Kukk, L., Molina, M. J., … Klimkowicz-</w:t>
      </w:r>
      <w:proofErr w:type="spellStart"/>
      <w:r w:rsidRPr="00C343A2">
        <w:rPr>
          <w:lang w:val="en-GB"/>
        </w:rPr>
        <w:t>Pawlas</w:t>
      </w:r>
      <w:proofErr w:type="spellEnd"/>
      <w:r w:rsidRPr="00C343A2">
        <w:rPr>
          <w:lang w:val="en-GB"/>
        </w:rPr>
        <w:t xml:space="preserve">, A. (2024). Do we speak one language on the way to sustainable soil management in Europe? A terminology check via an EU-wide survey. </w:t>
      </w:r>
      <w:r w:rsidRPr="00C343A2">
        <w:rPr>
          <w:i/>
          <w:iCs/>
          <w:lang w:val="en-GB"/>
        </w:rPr>
        <w:t>European Journal of Soil Science</w:t>
      </w:r>
      <w:r w:rsidRPr="00C343A2">
        <w:rPr>
          <w:lang w:val="en-GB"/>
        </w:rPr>
        <w:t xml:space="preserve">, </w:t>
      </w:r>
      <w:r w:rsidRPr="00C343A2">
        <w:rPr>
          <w:i/>
          <w:iCs/>
          <w:lang w:val="en-GB"/>
        </w:rPr>
        <w:t>75</w:t>
      </w:r>
      <w:r w:rsidRPr="00C343A2">
        <w:rPr>
          <w:lang w:val="en-GB"/>
        </w:rPr>
        <w:t>(2), e13476. https://doi.org/10.1111/ejss.13476</w:t>
      </w:r>
    </w:p>
    <w:p w14:paraId="0064642D" w14:textId="77777777" w:rsidR="007F1D3E" w:rsidRPr="00B363AA" w:rsidRDefault="007F1D3E" w:rsidP="007F1D3E">
      <w:pPr>
        <w:pStyle w:val="Bibliographie"/>
      </w:pPr>
      <w:r w:rsidRPr="00C343A2">
        <w:rPr>
          <w:lang w:val="en-GB"/>
        </w:rPr>
        <w:t xml:space="preserve">Wienhold, Karlen, Andrews, &amp; Stott. (2009). Protocol for indicator scoring in the soil management assessment framework (SMAF). </w:t>
      </w:r>
      <w:proofErr w:type="spellStart"/>
      <w:r w:rsidRPr="00B363AA">
        <w:rPr>
          <w:i/>
          <w:iCs/>
        </w:rPr>
        <w:t>ResearchGate</w:t>
      </w:r>
      <w:proofErr w:type="spellEnd"/>
      <w:r w:rsidRPr="00B363AA">
        <w:t>. https://doi.org/10.1017/S1742170509990093</w:t>
      </w:r>
    </w:p>
    <w:p w14:paraId="3B73438D" w14:textId="5A27FE2A" w:rsidR="00347D0A" w:rsidRPr="00B363AA" w:rsidRDefault="00CB5E37" w:rsidP="00EB114A">
      <w:pPr>
        <w:pStyle w:val="Bibliographie"/>
      </w:pPr>
      <w:r w:rsidRPr="00B363AA">
        <w:fldChar w:fldCharType="end"/>
      </w:r>
    </w:p>
    <w:p w14:paraId="57BA89AB" w14:textId="2462EE83" w:rsidR="0021405A" w:rsidRPr="00B363AA" w:rsidRDefault="0021405A" w:rsidP="0021405A">
      <w:pPr>
        <w:jc w:val="left"/>
      </w:pPr>
      <w:r w:rsidRPr="00B363AA">
        <w:br w:type="page"/>
      </w:r>
    </w:p>
    <w:p w14:paraId="4842C021" w14:textId="77777777" w:rsidR="0021405A" w:rsidRPr="00B363AA" w:rsidRDefault="0021405A" w:rsidP="0021405A">
      <w:pPr>
        <w:pStyle w:val="Titre1"/>
      </w:pPr>
      <w:bookmarkStart w:id="223" w:name="_Toc241243027"/>
      <w:r w:rsidRPr="00B363AA">
        <w:lastRenderedPageBreak/>
        <w:t>Financement et porteurs de projet</w:t>
      </w:r>
      <w:bookmarkEnd w:id="223"/>
    </w:p>
    <w:p w14:paraId="6888849A" w14:textId="38C69B5D" w:rsidR="0021405A" w:rsidRPr="00B363AA" w:rsidRDefault="0021405A" w:rsidP="0021405A">
      <w:r w:rsidRPr="00B363AA">
        <w:t>L’Indice de Qualité des Sols Wallons (IQSW-pro) a été développé dans le cadre d’un projet financé par le Plan de relance de la Wallonie (Convention O3.07.05-23-1343) et porté par la Direction de la Protection des Sols (DPS), SPW ARNE. L’outil a été développé par un consortium formé par l’</w:t>
      </w:r>
      <w:proofErr w:type="spellStart"/>
      <w:r w:rsidRPr="00B363AA">
        <w:t>UCLouvain</w:t>
      </w:r>
      <w:proofErr w:type="spellEnd"/>
      <w:r w:rsidRPr="00B363AA">
        <w:t>, le Centre wallon de recherches agronomiques (CRA-W) et le bureau d’études ARIES Consultants.</w:t>
      </w:r>
    </w:p>
    <w:p w14:paraId="385E5EDF" w14:textId="18DFCAD8" w:rsidR="0051081A" w:rsidRPr="00B363AA" w:rsidRDefault="0051081A" w:rsidP="0051081A">
      <w:pPr>
        <w:jc w:val="left"/>
      </w:pPr>
      <w:r w:rsidRPr="00B363AA">
        <w:br w:type="page"/>
      </w:r>
    </w:p>
    <w:p w14:paraId="3C3513D7" w14:textId="2883EF85" w:rsidR="0021405A" w:rsidRPr="00B363AA" w:rsidRDefault="0021405A" w:rsidP="0021405A">
      <w:pPr>
        <w:pStyle w:val="Titre1"/>
      </w:pPr>
      <w:bookmarkStart w:id="224" w:name="_Toc241243028"/>
      <w:r w:rsidRPr="00B363AA">
        <w:lastRenderedPageBreak/>
        <w:t>Remerciements</w:t>
      </w:r>
      <w:bookmarkEnd w:id="224"/>
    </w:p>
    <w:p w14:paraId="5B46EEC1" w14:textId="5CDB882B" w:rsidR="0021405A" w:rsidRPr="00B363AA" w:rsidRDefault="0021405A" w:rsidP="0021405A">
      <w:r w:rsidRPr="00B363AA">
        <w:t>Nous tenions à adresser nos sincères remerciements à toutes les parties prenantes ayant contribué au projet. Tout d’abord, la Région wallonne pour son soutien financier à travers le plan de relance de la Wallonie (PRW 115.2.), ainsi qu’à la Direction de la Protection des Sols (DPS, SPW ARNE)</w:t>
      </w:r>
      <w:r w:rsidR="00967817" w:rsidRPr="00B363AA">
        <w:t xml:space="preserve"> et tout particulièrement à Michel Amand, </w:t>
      </w:r>
      <w:r w:rsidR="00496349" w:rsidRPr="00B363AA">
        <w:t xml:space="preserve">Meggie Carte, </w:t>
      </w:r>
      <w:r w:rsidR="00A35BB5" w:rsidRPr="00B363AA">
        <w:t xml:space="preserve">Benoit </w:t>
      </w:r>
      <w:proofErr w:type="spellStart"/>
      <w:r w:rsidR="00A35BB5" w:rsidRPr="00B363AA">
        <w:t>Vanderhofstadt</w:t>
      </w:r>
      <w:proofErr w:type="spellEnd"/>
      <w:r w:rsidR="00A35BB5" w:rsidRPr="00B363AA">
        <w:t xml:space="preserve"> </w:t>
      </w:r>
      <w:r w:rsidR="00A66D64" w:rsidRPr="00B363AA">
        <w:t xml:space="preserve">et Esther </w:t>
      </w:r>
      <w:proofErr w:type="spellStart"/>
      <w:r w:rsidR="00A66D64" w:rsidRPr="00B363AA">
        <w:t>Goidts</w:t>
      </w:r>
      <w:proofErr w:type="spellEnd"/>
      <w:r w:rsidR="00496349" w:rsidRPr="00B363AA">
        <w:t xml:space="preserve"> </w:t>
      </w:r>
      <w:r w:rsidRPr="00B363AA">
        <w:t xml:space="preserve">qui </w:t>
      </w:r>
      <w:r w:rsidR="00967817" w:rsidRPr="00B363AA">
        <w:t>ont</w:t>
      </w:r>
      <w:r w:rsidRPr="00B363AA">
        <w:t xml:space="preserve"> permis d’établir les lignes directrices essentielles au développement de l’outil. Merci également aux </w:t>
      </w:r>
      <w:r w:rsidR="00663888" w:rsidRPr="00B363AA">
        <w:t xml:space="preserve">autres </w:t>
      </w:r>
      <w:r w:rsidRPr="00B363AA">
        <w:t>membres du</w:t>
      </w:r>
      <w:r w:rsidR="008B1A4C" w:rsidRPr="00B363AA">
        <w:t xml:space="preserve"> </w:t>
      </w:r>
      <w:r w:rsidRPr="00B363AA">
        <w:t>C</w:t>
      </w:r>
      <w:r w:rsidR="008B1A4C" w:rsidRPr="00B363AA">
        <w:t>omité</w:t>
      </w:r>
      <w:r w:rsidRPr="00B363AA">
        <w:t xml:space="preserve"> </w:t>
      </w:r>
      <w:r w:rsidR="008B1A4C" w:rsidRPr="00B363AA">
        <w:t xml:space="preserve">d’Accompagnement </w:t>
      </w:r>
      <w:r w:rsidRPr="00B363AA">
        <w:t>pour leurs éclairages, qui ont permis de maintenir une cohérence avec les développements en cours en Région wallonne</w:t>
      </w:r>
      <w:r w:rsidR="00E23D42" w:rsidRPr="00B363AA">
        <w:t xml:space="preserve"> : </w:t>
      </w:r>
      <w:r w:rsidR="00A136F5" w:rsidRPr="00B363AA">
        <w:t>Joëlle Bastin</w:t>
      </w:r>
      <w:r w:rsidR="0099036A" w:rsidRPr="00B363AA">
        <w:t xml:space="preserve"> (SPW-ARNE-DSD)</w:t>
      </w:r>
      <w:r w:rsidR="00714FE7" w:rsidRPr="00B363AA">
        <w:t>, Patrick Engels</w:t>
      </w:r>
      <w:r w:rsidR="000613AB" w:rsidRPr="00B363AA">
        <w:t xml:space="preserve"> (SPW-ARNE-DEMNA-DCD)</w:t>
      </w:r>
      <w:r w:rsidR="00714FE7" w:rsidRPr="00B363AA">
        <w:t xml:space="preserve">, </w:t>
      </w:r>
      <w:r w:rsidR="00C01248" w:rsidRPr="00B363AA">
        <w:t>Emmanuel Maes</w:t>
      </w:r>
      <w:r w:rsidR="00E76D7C" w:rsidRPr="00B363AA">
        <w:t xml:space="preserve"> (SPW-ARNE-DEMNA-DEE)</w:t>
      </w:r>
      <w:r w:rsidR="00C01248" w:rsidRPr="00B363AA">
        <w:t>,</w:t>
      </w:r>
      <w:r w:rsidR="003E6764" w:rsidRPr="00B363AA">
        <w:t xml:space="preserve"> Hélène Cordonnier</w:t>
      </w:r>
      <w:r w:rsidR="006163F5" w:rsidRPr="00B363AA">
        <w:t xml:space="preserve"> et</w:t>
      </w:r>
      <w:r w:rsidR="003E6764" w:rsidRPr="00B363AA">
        <w:t xml:space="preserve"> </w:t>
      </w:r>
      <w:r w:rsidR="00BE31E4" w:rsidRPr="00B363AA">
        <w:t>Brieuc Michel</w:t>
      </w:r>
      <w:r w:rsidR="006163F5" w:rsidRPr="00B363AA">
        <w:t xml:space="preserve"> (SPW-ARNE-DDRCB-GISER)</w:t>
      </w:r>
      <w:r w:rsidR="00BE31E4" w:rsidRPr="00B363AA">
        <w:t xml:space="preserve">, </w:t>
      </w:r>
      <w:r w:rsidR="002F458B" w:rsidRPr="00B363AA">
        <w:t>Pierre Courtois</w:t>
      </w:r>
      <w:r w:rsidR="00B3364B" w:rsidRPr="00B363AA">
        <w:t xml:space="preserve"> (SPW-ARNE-DDRCB-DRD)</w:t>
      </w:r>
      <w:r w:rsidR="002F458B" w:rsidRPr="00B363AA">
        <w:t xml:space="preserve">, </w:t>
      </w:r>
      <w:r w:rsidR="00E752A7" w:rsidRPr="00B363AA">
        <w:t>Arnaud Stas</w:t>
      </w:r>
      <w:r w:rsidR="00B3364B" w:rsidRPr="00B363AA">
        <w:t xml:space="preserve"> </w:t>
      </w:r>
      <w:r w:rsidR="00570B54" w:rsidRPr="00B363AA">
        <w:t>et</w:t>
      </w:r>
      <w:r w:rsidR="00E752A7" w:rsidRPr="00B363AA">
        <w:t xml:space="preserve"> </w:t>
      </w:r>
      <w:r w:rsidR="00F02EED" w:rsidRPr="00B363AA">
        <w:t>Arnaud Warin</w:t>
      </w:r>
      <w:r w:rsidR="00570B54" w:rsidRPr="00B363AA">
        <w:t xml:space="preserve"> (</w:t>
      </w:r>
      <w:r w:rsidR="007E2E78" w:rsidRPr="00B363AA">
        <w:t>SPW-ARNE-DEE</w:t>
      </w:r>
      <w:r w:rsidR="00570B54" w:rsidRPr="00B363AA">
        <w:t>)</w:t>
      </w:r>
      <w:r w:rsidR="00F02EED" w:rsidRPr="00B363AA">
        <w:t xml:space="preserve">, </w:t>
      </w:r>
      <w:r w:rsidR="00290BC8" w:rsidRPr="00B363AA">
        <w:t xml:space="preserve">Grégoire </w:t>
      </w:r>
      <w:proofErr w:type="spellStart"/>
      <w:r w:rsidR="00290BC8" w:rsidRPr="00B363AA">
        <w:t>Delneuville</w:t>
      </w:r>
      <w:proofErr w:type="spellEnd"/>
      <w:r w:rsidR="007E2E78" w:rsidRPr="00B363AA">
        <w:t xml:space="preserve"> et </w:t>
      </w:r>
      <w:r w:rsidR="000D3FBC" w:rsidRPr="00B363AA">
        <w:t>Hélène Laurent</w:t>
      </w:r>
      <w:r w:rsidR="0041449E" w:rsidRPr="00B363AA">
        <w:t xml:space="preserve"> (SPW-ARNE-DSD-DAS)</w:t>
      </w:r>
      <w:r w:rsidR="000D3FBC" w:rsidRPr="00B363AA">
        <w:t xml:space="preserve">, </w:t>
      </w:r>
      <w:r w:rsidR="003D4FE7" w:rsidRPr="00B363AA">
        <w:t>Sylviane Thomas</w:t>
      </w:r>
      <w:r w:rsidR="0048160B" w:rsidRPr="00B363AA">
        <w:t xml:space="preserve"> (</w:t>
      </w:r>
      <w:proofErr w:type="spellStart"/>
      <w:r w:rsidR="0048160B" w:rsidRPr="00B363AA">
        <w:t>AwAC</w:t>
      </w:r>
      <w:proofErr w:type="spellEnd"/>
      <w:r w:rsidR="0048160B" w:rsidRPr="00B363AA">
        <w:t>)</w:t>
      </w:r>
      <w:r w:rsidR="003D4FE7" w:rsidRPr="00B363AA">
        <w:t xml:space="preserve">, </w:t>
      </w:r>
      <w:r w:rsidR="0032503D" w:rsidRPr="00B363AA">
        <w:t>Eloïse Pignon</w:t>
      </w:r>
      <w:r w:rsidR="00835CAC" w:rsidRPr="00B363AA">
        <w:t xml:space="preserve"> (</w:t>
      </w:r>
      <w:r w:rsidR="008B1A4C" w:rsidRPr="00B363AA">
        <w:t>c</w:t>
      </w:r>
      <w:r w:rsidR="00835CAC" w:rsidRPr="00B363AA">
        <w:t>abinet Coppieters)</w:t>
      </w:r>
      <w:r w:rsidR="0032503D" w:rsidRPr="00B363AA">
        <w:t xml:space="preserve">, </w:t>
      </w:r>
      <w:proofErr w:type="spellStart"/>
      <w:r w:rsidR="0036654A" w:rsidRPr="00B363AA">
        <w:t>Malorie</w:t>
      </w:r>
      <w:proofErr w:type="spellEnd"/>
      <w:r w:rsidR="0036654A" w:rsidRPr="00B363AA">
        <w:t xml:space="preserve"> </w:t>
      </w:r>
      <w:proofErr w:type="spellStart"/>
      <w:r w:rsidR="0036654A" w:rsidRPr="00B363AA">
        <w:t>Renneson</w:t>
      </w:r>
      <w:proofErr w:type="spellEnd"/>
      <w:r w:rsidR="00F939CB" w:rsidRPr="00B363AA">
        <w:t xml:space="preserve"> (CPAR La Hulpe)</w:t>
      </w:r>
      <w:r w:rsidR="00C67A65" w:rsidRPr="00B363AA">
        <w:t>, Florence Ferber</w:t>
      </w:r>
      <w:r w:rsidR="00F939CB" w:rsidRPr="00B363AA">
        <w:t xml:space="preserve"> (CRA-W)</w:t>
      </w:r>
      <w:r w:rsidR="00C67A65" w:rsidRPr="00B363AA">
        <w:t>.</w:t>
      </w:r>
    </w:p>
    <w:p w14:paraId="4B423F2D" w14:textId="77777777" w:rsidR="0021405A" w:rsidRPr="00B363AA" w:rsidRDefault="0021405A" w:rsidP="0021405A">
      <w:r w:rsidRPr="00B363AA">
        <w:t>Nous remercions nos collègues, membres du consortium « interne », à savoir Arnaud Delfairière (ARIES Consultants) pour la gestion de la campagne de terrain et ses recherches bibliographiques ; Frédérique Hupin (journaliste indépendante) pour sa vision, ses idées sur la stratégie de communication et sa contribution significative dans l’établissement du réseau d’acteurs sol wallons. Merci à Christophe Rousseau (CRIE de Villers-la-Ville) pour avoir apporté une vision inspirante en lien avec les enjeux de communication. Merci à eux pour leur aide précieuse dans l’organisation des séances de consultation des parties prenantes.</w:t>
      </w:r>
    </w:p>
    <w:p w14:paraId="477E6BC0" w14:textId="23B8F449" w:rsidR="0021405A" w:rsidRPr="00B363AA" w:rsidRDefault="0021405A" w:rsidP="0021405A">
      <w:r w:rsidRPr="00B363AA">
        <w:t>Nous sommes également très reconnaissants envers nos partenaires proches, tous les membres du consortium qui ont apporté leur pierre à l’édifice de l’IQSW-pro, à travers de nombreuses réunions passionnantes et riches en idées novatrices : Charles Bielders, Hugues Titeux, Mathieu Javaux et Quentin Ponette (</w:t>
      </w:r>
      <w:proofErr w:type="spellStart"/>
      <w:r w:rsidRPr="00B363AA">
        <w:t>UCLouvain</w:t>
      </w:r>
      <w:proofErr w:type="spellEnd"/>
      <w:r w:rsidRPr="00B363AA">
        <w:t xml:space="preserve">) ; merci à nos collègues (CRA-W) des projets PRW connexes, Véronique Leclercq (PRW 115.1), Caroline </w:t>
      </w:r>
      <w:proofErr w:type="spellStart"/>
      <w:r w:rsidRPr="00B363AA">
        <w:t>Chartin</w:t>
      </w:r>
      <w:proofErr w:type="spellEnd"/>
      <w:r w:rsidRPr="00B363AA">
        <w:t xml:space="preserve"> (PRW 114 et 115.1), Florian </w:t>
      </w:r>
      <w:proofErr w:type="spellStart"/>
      <w:r w:rsidRPr="00B363AA">
        <w:t>Brigode</w:t>
      </w:r>
      <w:proofErr w:type="spellEnd"/>
      <w:r w:rsidRPr="00B363AA">
        <w:t xml:space="preserve"> (PRW 115.3) et Bruno Huygebaert, coordinateur des projets.</w:t>
      </w:r>
      <w:r w:rsidR="00C343A2">
        <w:t xml:space="preserve"> Merci également à Antoine Motet pour son support dans l’établissement des protocoles de terrain.</w:t>
      </w:r>
    </w:p>
    <w:p w14:paraId="57F88CC0" w14:textId="151E270E" w:rsidR="0021405A" w:rsidRPr="00B363AA" w:rsidRDefault="0021405A" w:rsidP="0021405A">
      <w:r w:rsidRPr="00B363AA">
        <w:t>Merci également à Romane Dupont, Pierre Langouche et Antoine Sulon qui ont réalisé leur travail de fin d’études au sein de la faculté des bioingénieurs</w:t>
      </w:r>
      <w:r w:rsidR="004C2C94" w:rsidRPr="00B363AA">
        <w:t xml:space="preserve"> de l’</w:t>
      </w:r>
      <w:proofErr w:type="spellStart"/>
      <w:r w:rsidR="004C2C94" w:rsidRPr="00B363AA">
        <w:t>UCLouvain</w:t>
      </w:r>
      <w:proofErr w:type="spellEnd"/>
      <w:r w:rsidRPr="00B363AA">
        <w:t xml:space="preserve"> sur la thématique des indices de qualité des sols en Wallonie. Leur travail a largement contribué à consolider l’outil à travers des questions de recherche pertinentes.</w:t>
      </w:r>
    </w:p>
    <w:p w14:paraId="753C8015" w14:textId="77777777" w:rsidR="0021405A" w:rsidRPr="00B363AA" w:rsidRDefault="0021405A" w:rsidP="0021405A">
      <w:r w:rsidRPr="00B363AA">
        <w:t xml:space="preserve">Nous remercions également les prestataires d’analyse avec qui nous avons eu l’occasion d’échanger et de consolider la méthodologie, en particulier John Rivière et Déborah </w:t>
      </w:r>
      <w:proofErr w:type="spellStart"/>
      <w:r w:rsidRPr="00B363AA">
        <w:t>Lanterbecq</w:t>
      </w:r>
      <w:proofErr w:type="spellEnd"/>
      <w:r w:rsidRPr="00B363AA">
        <w:t xml:space="preserve"> (HEPH Condorcet) pour leurs contributions scientifiques au sujet de l’interprétation des indicateurs microbiens.</w:t>
      </w:r>
    </w:p>
    <w:p w14:paraId="4EF56677" w14:textId="2D0A99C5" w:rsidR="0021405A" w:rsidRPr="0021405A" w:rsidRDefault="0021405A" w:rsidP="0021405A">
      <w:r w:rsidRPr="00B363AA">
        <w:t>Nous souhaitons également exprimer toute notre gratitude à toutes les personnes qui ont contribué au projet en participant aux séances de consultation des parties prenantes (colloque de lancement, groupes de réflexion) ou simplement à travers des échanges informels inspirants. De ces échanges ont découlé des avancées méthodologiques qui constituent des pierres angulaires de l’outil final.</w:t>
      </w:r>
    </w:p>
    <w:sectPr w:rsidR="0021405A" w:rsidRPr="0021405A" w:rsidSect="009B5F57">
      <w:pgSz w:w="11906" w:h="16838"/>
      <w:pgMar w:top="1418" w:right="1418" w:bottom="1418" w:left="1418" w:header="709" w:footer="709"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D8CBB" w14:textId="77777777" w:rsidR="0066079B" w:rsidRPr="00B363AA" w:rsidRDefault="0066079B" w:rsidP="0051203A">
      <w:pPr>
        <w:spacing w:after="0" w:line="240" w:lineRule="auto"/>
      </w:pPr>
      <w:r w:rsidRPr="00B363AA">
        <w:separator/>
      </w:r>
    </w:p>
  </w:endnote>
  <w:endnote w:type="continuationSeparator" w:id="0">
    <w:p w14:paraId="76C0C602" w14:textId="77777777" w:rsidR="0066079B" w:rsidRPr="00B363AA" w:rsidRDefault="0066079B" w:rsidP="0051203A">
      <w:pPr>
        <w:spacing w:after="0" w:line="240" w:lineRule="auto"/>
      </w:pPr>
      <w:r w:rsidRPr="00B363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Narrow">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C6E6" w14:textId="77777777" w:rsidR="00626511" w:rsidRPr="00B363AA" w:rsidRDefault="0062651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D0814" w14:textId="45496226" w:rsidR="0051203A" w:rsidRPr="00B363AA" w:rsidRDefault="009B5F57" w:rsidP="009B5F57">
    <w:pPr>
      <w:pStyle w:val="Pieddepage"/>
    </w:pPr>
    <w:r w:rsidRPr="00B363AA">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214"/>
    </w:tblGrid>
    <w:tr w:rsidR="009B5F57" w:rsidRPr="00B363AA" w14:paraId="3DBB360A" w14:textId="77777777" w:rsidTr="009B5F57">
      <w:tc>
        <w:tcPr>
          <w:tcW w:w="846" w:type="dxa"/>
          <w:shd w:val="clear" w:color="auto" w:fill="9BA823"/>
        </w:tcPr>
        <w:p w14:paraId="35D5EFC3" w14:textId="77777777" w:rsidR="009B5F57" w:rsidRPr="00B363AA" w:rsidRDefault="009B5F57">
          <w:pPr>
            <w:pStyle w:val="Pieddepage"/>
            <w:rPr>
              <w:color w:val="9BA823"/>
              <w:sz w:val="18"/>
              <w:szCs w:val="18"/>
            </w:rPr>
          </w:pPr>
        </w:p>
      </w:tc>
      <w:tc>
        <w:tcPr>
          <w:tcW w:w="8214" w:type="dxa"/>
          <w:tcBorders>
            <w:top w:val="single" w:sz="24" w:space="0" w:color="9BA823"/>
          </w:tcBorders>
        </w:tcPr>
        <w:p w14:paraId="6B5BD9B0" w14:textId="7A4FB97A" w:rsidR="009B5F57" w:rsidRPr="00B363AA" w:rsidRDefault="009B5F57">
          <w:pPr>
            <w:pStyle w:val="Pieddepage"/>
            <w:rPr>
              <w:color w:val="9BA823"/>
              <w:sz w:val="18"/>
              <w:szCs w:val="18"/>
            </w:rPr>
          </w:pPr>
          <w:r w:rsidRPr="00B363AA">
            <w:rPr>
              <w:sz w:val="18"/>
              <w:szCs w:val="18"/>
            </w:rPr>
            <w:t xml:space="preserve">Service public de Wallonie | </w:t>
          </w:r>
          <w:r w:rsidRPr="00B363AA">
            <w:rPr>
              <w:color w:val="9BA823"/>
              <w:sz w:val="18"/>
              <w:szCs w:val="18"/>
            </w:rPr>
            <w:t>SPW Agriculture, Ressources naturelles et Environnement</w:t>
          </w:r>
        </w:p>
      </w:tc>
    </w:tr>
  </w:tbl>
  <w:p w14:paraId="18105FEF" w14:textId="30C1382E" w:rsidR="009B5F57" w:rsidRPr="00B363AA" w:rsidRDefault="009B5F57">
    <w:pPr>
      <w:pStyle w:val="Pieddepage"/>
      <w:rPr>
        <w:color w:val="9BA823"/>
        <w:sz w:val="2"/>
        <w:szCs w:val="2"/>
      </w:rPr>
    </w:pPr>
  </w:p>
  <w:p w14:paraId="4421BA9F" w14:textId="72765663" w:rsidR="009B5F57" w:rsidRPr="00B363AA" w:rsidRDefault="009B5F57" w:rsidP="009B5F57">
    <w:pPr>
      <w:pStyle w:val="Pieddepage"/>
      <w:jc w:val="right"/>
      <w:rPr>
        <w:sz w:val="18"/>
        <w:szCs w:val="18"/>
      </w:rPr>
    </w:pPr>
    <w:r w:rsidRPr="00B363AA">
      <w:rPr>
        <w:sz w:val="18"/>
        <w:szCs w:val="18"/>
      </w:rPr>
      <w:fldChar w:fldCharType="begin"/>
    </w:r>
    <w:r w:rsidRPr="00B363AA">
      <w:rPr>
        <w:sz w:val="18"/>
        <w:szCs w:val="18"/>
      </w:rPr>
      <w:instrText>PAGE   \* MERGEFORMAT</w:instrText>
    </w:r>
    <w:r w:rsidRPr="00B363AA">
      <w:rPr>
        <w:sz w:val="18"/>
        <w:szCs w:val="18"/>
      </w:rPr>
      <w:fldChar w:fldCharType="separate"/>
    </w:r>
    <w:r w:rsidRPr="00B363AA">
      <w:rPr>
        <w:sz w:val="18"/>
        <w:szCs w:val="18"/>
      </w:rPr>
      <w:t>1</w:t>
    </w:r>
    <w:r w:rsidRPr="00B363AA">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B28D0" w14:textId="77777777" w:rsidR="00626511" w:rsidRPr="00B363AA" w:rsidRDefault="006265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0259D" w14:textId="77777777" w:rsidR="0066079B" w:rsidRPr="00B363AA" w:rsidRDefault="0066079B" w:rsidP="0051203A">
      <w:pPr>
        <w:spacing w:after="0" w:line="240" w:lineRule="auto"/>
      </w:pPr>
      <w:r w:rsidRPr="00B363AA">
        <w:separator/>
      </w:r>
    </w:p>
  </w:footnote>
  <w:footnote w:type="continuationSeparator" w:id="0">
    <w:p w14:paraId="6A8ABCBC" w14:textId="77777777" w:rsidR="0066079B" w:rsidRPr="00B363AA" w:rsidRDefault="0066079B" w:rsidP="0051203A">
      <w:pPr>
        <w:spacing w:after="0" w:line="240" w:lineRule="auto"/>
      </w:pPr>
      <w:r w:rsidRPr="00B363AA">
        <w:continuationSeparator/>
      </w:r>
    </w:p>
  </w:footnote>
  <w:footnote w:id="1">
    <w:p w14:paraId="327ADA8E" w14:textId="011234BC" w:rsidR="00597A59" w:rsidRPr="00B363AA" w:rsidRDefault="00597A59">
      <w:pPr>
        <w:pStyle w:val="Notedebasdepage"/>
      </w:pPr>
      <w:r w:rsidRPr="00B363AA">
        <w:rPr>
          <w:rStyle w:val="Appelnotedebasdep"/>
        </w:rPr>
        <w:footnoteRef/>
      </w:r>
      <w:r w:rsidRPr="00B363AA">
        <w:t xml:space="preserve"> </w:t>
      </w:r>
      <w:r w:rsidR="00210D78" w:rsidRPr="00B363AA">
        <w:t xml:space="preserve">Parallèlement au volet professionnel, un volet « citoyen » a mené à la création de l’IQSW-citoyen, un outil </w:t>
      </w:r>
      <w:r w:rsidR="0040641B" w:rsidRPr="00B363AA">
        <w:t>de diagnostic de la qualité du sol destiné au grand public.</w:t>
      </w:r>
    </w:p>
  </w:footnote>
  <w:footnote w:id="2">
    <w:p w14:paraId="76D45F22" w14:textId="312CF2AA" w:rsidR="007E364E" w:rsidRPr="00B363AA" w:rsidRDefault="007E364E">
      <w:pPr>
        <w:pStyle w:val="Notedebasdepage"/>
      </w:pPr>
      <w:r w:rsidRPr="00B363AA">
        <w:rPr>
          <w:rStyle w:val="Appelnotedebasdep"/>
        </w:rPr>
        <w:footnoteRef/>
      </w:r>
      <w:r w:rsidRPr="00B363AA">
        <w:t xml:space="preserve"> Le Décret sols, en vigueur en Wallonie, vise à </w:t>
      </w:r>
      <w:r w:rsidR="00962821" w:rsidRPr="00B363AA">
        <w:t>« </w:t>
      </w:r>
      <w:r w:rsidRPr="00B363AA">
        <w:t>préserver et à améliorer la qualité du sol, à prévenir l'appauvrissement du sol ainsi que l'apparition de la pollution du sol, à identifier les sources potentielles de pollution, à organiser les investigations permettant d'établir l'existence d'une pollution et à déterminer les modalités de l'assainissement des sols pollués</w:t>
      </w:r>
      <w:r w:rsidR="00962821" w:rsidRPr="00B363AA">
        <w:t> »</w:t>
      </w:r>
      <w:r w:rsidRPr="00B363AA">
        <w:t xml:space="preserve">. Texte accessible via </w:t>
      </w:r>
      <w:hyperlink r:id="rId1" w:history="1">
        <w:r w:rsidR="00D41282" w:rsidRPr="00B363AA">
          <w:rPr>
            <w:rStyle w:val="Lienhypertexte"/>
          </w:rPr>
          <w:t>https://wallex.wallonie.be/eli/loi-decret/2018/03/01/2018070014/2018/04/01</w:t>
        </w:r>
      </w:hyperlink>
      <w:r w:rsidR="00D41282" w:rsidRPr="00B363AA">
        <w:t xml:space="preserve">. </w:t>
      </w:r>
      <w:r w:rsidR="00173F14" w:rsidRPr="00B363AA">
        <w:t xml:space="preserve">Le Décret sols distingue les usages de sol selon cinq grands types : </w:t>
      </w:r>
      <w:r w:rsidR="00C10F62" w:rsidRPr="00B363AA">
        <w:t xml:space="preserve">type I </w:t>
      </w:r>
      <w:r w:rsidR="00D9351B" w:rsidRPr="00B363AA">
        <w:t>N</w:t>
      </w:r>
      <w:r w:rsidR="00C10F62" w:rsidRPr="00B363AA">
        <w:t xml:space="preserve">aturel, type II </w:t>
      </w:r>
      <w:r w:rsidR="00D9351B" w:rsidRPr="00B363AA">
        <w:t>Agricole, type III Résidentiel, type IV Récréatif et commercial, type V Industriel</w:t>
      </w:r>
      <w:r w:rsidR="00531914" w:rsidRPr="00B363AA">
        <w:t xml:space="preserve"> (</w:t>
      </w:r>
      <w:r w:rsidR="00D9351B" w:rsidRPr="00B363AA">
        <w:t>table de correspondance disponible en A</w:t>
      </w:r>
      <w:r w:rsidR="00531914" w:rsidRPr="00B363AA">
        <w:t>nnexes 2 et 3</w:t>
      </w:r>
      <w:r w:rsidR="00D9351B" w:rsidRPr="00B363AA">
        <w:t xml:space="preserve"> du décret</w:t>
      </w:r>
      <w:r w:rsidR="00531914" w:rsidRPr="00B363AA">
        <w:t>).</w:t>
      </w:r>
    </w:p>
  </w:footnote>
  <w:footnote w:id="3">
    <w:p w14:paraId="4C3AB9AB" w14:textId="7A0441A4" w:rsidR="00A25C09" w:rsidRPr="00B363AA" w:rsidRDefault="00A25C09">
      <w:pPr>
        <w:pStyle w:val="Notedebasdepage"/>
      </w:pPr>
      <w:r w:rsidRPr="00B363AA">
        <w:rPr>
          <w:rStyle w:val="Appelnotedebasdep"/>
        </w:rPr>
        <w:footnoteRef/>
      </w:r>
      <w:r w:rsidRPr="00B363AA">
        <w:t xml:space="preserve"> </w:t>
      </w:r>
      <w:r w:rsidR="00A837F0" w:rsidRPr="00B363AA">
        <w:t xml:space="preserve">Guide de Référence pour l’Étude de Risques (GRER), </w:t>
      </w:r>
      <w:r w:rsidRPr="00B363AA">
        <w:t xml:space="preserve">Code Wallon </w:t>
      </w:r>
      <w:r w:rsidR="00FB4ED0" w:rsidRPr="00B363AA">
        <w:t>de Bonnes Pratiques (CWBP), a</w:t>
      </w:r>
      <w:r w:rsidRPr="00B363AA">
        <w:t xml:space="preserve">ccessible sur </w:t>
      </w:r>
      <w:hyperlink r:id="rId2" w:history="1">
        <w:r w:rsidRPr="00B363AA">
          <w:rPr>
            <w:rStyle w:val="Lienhypertexte"/>
          </w:rPr>
          <w:t>https://environnement.wallonie.be/home/milieux/sol/les-professionnels-du-sol/experts-et-labos/outils-de-reference/cwbp/etude-de-risque.html</w:t>
        </w:r>
      </w:hyperlink>
      <w:r w:rsidRPr="00B363AA">
        <w:t xml:space="preserve">. </w:t>
      </w:r>
    </w:p>
  </w:footnote>
  <w:footnote w:id="4">
    <w:p w14:paraId="7EEE3115" w14:textId="44C71D04" w:rsidR="00892410" w:rsidRPr="00B363AA" w:rsidRDefault="00892410" w:rsidP="00892410">
      <w:pPr>
        <w:pStyle w:val="Notedebasdepage"/>
      </w:pPr>
      <w:r w:rsidRPr="00B363AA">
        <w:rPr>
          <w:rStyle w:val="Appelnotedebasdep"/>
        </w:rPr>
        <w:footnoteRef/>
      </w:r>
      <w:r w:rsidRPr="00B363AA">
        <w:t xml:space="preserve"> La MAEC « Sol » (MR14) est une mesure agro-environnementale et climatique visant à compenser les coûts d’amélioration et de maintien du taux de carbone organique dans les sols de l’exploitation à un niveau qui reflète une situation favorable en termes de qualité du sol </w:t>
      </w:r>
      <w:r w:rsidRPr="00B363AA">
        <w:fldChar w:fldCharType="begin"/>
      </w:r>
      <w:r w:rsidR="00432908" w:rsidRPr="00B363AA">
        <w:instrText xml:space="preserve"> ADDIN ZOTERO_ITEM CSL_CITATION {"citationID":"BorzusBJ","properties":{"unsorted":false,"formattedCitation":"(SPW, 2026)","plainCitation":"(SPW, 2026)","noteIndex":4},"citationItems":[{"id":576,"uris":["http://zotero.org/groups/5684833/items/BV6WX899"],"itemData":{"id":576,"type":"webpage","container-title":"Agriculture en Wallonie","language":"fr","title":"MAEC Sol - MR14 - Portail de l'agriculture wallonne","URL":"https://agriculture.wallonie.be/home/aides/pac-2023-2027-description-des-interventions/mesures-agro-environnementales-et-climatiques/maec-sol---mr14.html","author":[{"family":"SPW","given":""}],"accessed":{"date-parts":[["2026",6,8]]},"issued":{"date-parts":[["2026"]]}}}],"schema":"https://github.com/citation-style-language/schema/raw/master/csl-citation.json"} </w:instrText>
      </w:r>
      <w:r w:rsidRPr="00B363AA">
        <w:fldChar w:fldCharType="separate"/>
      </w:r>
      <w:r w:rsidRPr="00B363AA">
        <w:rPr>
          <w:rFonts w:cs="Calibri"/>
        </w:rPr>
        <w:t>(SPW, 2026)</w:t>
      </w:r>
      <w:r w:rsidRPr="00B363AA">
        <w:fldChar w:fldCharType="end"/>
      </w:r>
      <w:r w:rsidRPr="00B363AA">
        <w:t>.</w:t>
      </w:r>
    </w:p>
  </w:footnote>
  <w:footnote w:id="5">
    <w:p w14:paraId="6E7F3C19" w14:textId="71E36C85" w:rsidR="004F0509" w:rsidRPr="00B363AA" w:rsidRDefault="004F0509">
      <w:pPr>
        <w:pStyle w:val="Notedebasdepage"/>
      </w:pPr>
      <w:r w:rsidRPr="00B363AA">
        <w:rPr>
          <w:rStyle w:val="Appelnotedebasdep"/>
        </w:rPr>
        <w:footnoteRef/>
      </w:r>
      <w:r w:rsidRPr="00B363AA">
        <w:t xml:space="preserve"> </w:t>
      </w:r>
      <w:r w:rsidR="00C2424C" w:rsidRPr="00B363AA">
        <w:t>Les auteurs font généralement appel au terme « scoring function » en anglais.</w:t>
      </w:r>
    </w:p>
  </w:footnote>
  <w:footnote w:id="6">
    <w:p w14:paraId="12DDFA67" w14:textId="77777777" w:rsidR="00892410" w:rsidRPr="00B363AA" w:rsidRDefault="00892410" w:rsidP="00892410">
      <w:pPr>
        <w:pStyle w:val="Notedebasdepage"/>
      </w:pPr>
      <w:r w:rsidRPr="00B363AA">
        <w:rPr>
          <w:rStyle w:val="Appelnotedebasdep"/>
        </w:rPr>
        <w:footnoteRef/>
      </w:r>
      <w:r w:rsidRPr="00B363AA">
        <w:t xml:space="preserve"> Parmi ces sites, une dizaine a été revisitée pour capturer une première image de la variabilité temporelle des paramètres.</w:t>
      </w:r>
    </w:p>
  </w:footnote>
  <w:footnote w:id="7">
    <w:p w14:paraId="359FFD86" w14:textId="79BB6D27" w:rsidR="00671608" w:rsidRPr="00B363AA" w:rsidRDefault="00671608">
      <w:pPr>
        <w:pStyle w:val="Notedebasdepage"/>
      </w:pPr>
      <w:r w:rsidRPr="00B363AA">
        <w:rPr>
          <w:rStyle w:val="Appelnotedebasdep"/>
        </w:rPr>
        <w:footnoteRef/>
      </w:r>
      <w:r w:rsidRPr="00B363AA">
        <w:t xml:space="preserve"> </w:t>
      </w:r>
      <w:r w:rsidR="00F1708B" w:rsidRPr="00B363AA">
        <w:t xml:space="preserve">Comme précisé plus loin (voir partie </w:t>
      </w:r>
      <w:r w:rsidR="00F1708B" w:rsidRPr="00B363AA">
        <w:fldChar w:fldCharType="begin"/>
      </w:r>
      <w:r w:rsidR="00F1708B" w:rsidRPr="00B363AA">
        <w:instrText xml:space="preserve"> REF _Ref241073950 \r \h </w:instrText>
      </w:r>
      <w:r w:rsidR="00F1708B" w:rsidRPr="00B363AA">
        <w:fldChar w:fldCharType="separate"/>
      </w:r>
      <w:r w:rsidR="00724334" w:rsidRPr="00B363AA">
        <w:t>4.3.5.1</w:t>
      </w:r>
      <w:r w:rsidR="00F1708B" w:rsidRPr="00B363AA">
        <w:fldChar w:fldCharType="end"/>
      </w:r>
      <w:r w:rsidR="00F1708B" w:rsidRPr="00B363AA">
        <w:t xml:space="preserve">), le sous-service </w:t>
      </w:r>
      <w:r w:rsidR="00F1708B" w:rsidRPr="00B363AA">
        <w:rPr>
          <w:i/>
          <w:iCs/>
        </w:rPr>
        <w:t>Production – cultures</w:t>
      </w:r>
      <w:r w:rsidR="00F1708B" w:rsidRPr="00B363AA">
        <w:t xml:space="preserve"> correspond aux critères d’une terre dite « arable ».</w:t>
      </w:r>
    </w:p>
  </w:footnote>
  <w:footnote w:id="8">
    <w:p w14:paraId="748CF4D9" w14:textId="019CD2BF" w:rsidR="00083D93" w:rsidRPr="00B363AA" w:rsidRDefault="00083D93">
      <w:pPr>
        <w:pStyle w:val="Notedebasdepage"/>
      </w:pPr>
      <w:r w:rsidRPr="00B363AA">
        <w:rPr>
          <w:rStyle w:val="Appelnotedebasdep"/>
        </w:rPr>
        <w:footnoteRef/>
      </w:r>
      <w:r w:rsidRPr="00B363AA">
        <w:t xml:space="preserve"> </w:t>
      </w:r>
      <w:r w:rsidR="00D6307A" w:rsidRPr="00B363AA">
        <w:t xml:space="preserve">À la différence des autres services, celui-ci n’est pas </w:t>
      </w:r>
      <w:r w:rsidR="00194DDE" w:rsidRPr="00B363AA">
        <w:t xml:space="preserve">scoré quantitativement, mais uniquement interprété qualitativement, voir partie </w:t>
      </w:r>
      <w:r w:rsidR="00194DDE" w:rsidRPr="00B363AA">
        <w:fldChar w:fldCharType="begin"/>
      </w:r>
      <w:r w:rsidR="00194DDE" w:rsidRPr="00B363AA">
        <w:instrText xml:space="preserve"> REF _Ref241069708 \r \h </w:instrText>
      </w:r>
      <w:r w:rsidR="00194DDE" w:rsidRPr="00B363AA">
        <w:fldChar w:fldCharType="separate"/>
      </w:r>
      <w:r w:rsidR="00724334" w:rsidRPr="00B363AA">
        <w:t>4.7</w:t>
      </w:r>
      <w:r w:rsidR="00194DDE" w:rsidRPr="00B363AA">
        <w:fldChar w:fldCharType="end"/>
      </w:r>
      <w:r w:rsidR="00194DDE" w:rsidRPr="00B363AA">
        <w:t xml:space="preserve">. </w:t>
      </w:r>
    </w:p>
  </w:footnote>
  <w:footnote w:id="9">
    <w:p w14:paraId="339F57BE" w14:textId="3780358A" w:rsidR="00E74D2D" w:rsidRPr="00B363AA" w:rsidRDefault="00E74D2D">
      <w:pPr>
        <w:pStyle w:val="Notedebasdepage"/>
      </w:pPr>
      <w:r w:rsidRPr="00B363AA">
        <w:rPr>
          <w:rStyle w:val="Appelnotedebasdep"/>
        </w:rPr>
        <w:footnoteRef/>
      </w:r>
      <w:r w:rsidRPr="00B363AA">
        <w:t xml:space="preserve"> Bien que les seuils d’interprétation pour l’évaluation des fonctions </w:t>
      </w:r>
      <w:r w:rsidR="00A21E2F" w:rsidRPr="00B363AA">
        <w:rPr>
          <w:i/>
          <w:iCs/>
        </w:rPr>
        <w:t>Fourniture en nutriments</w:t>
      </w:r>
      <w:r w:rsidR="007E4233" w:rsidRPr="00B363AA">
        <w:t xml:space="preserve">, </w:t>
      </w:r>
      <w:r w:rsidR="007E4233" w:rsidRPr="00B363AA">
        <w:rPr>
          <w:i/>
          <w:iCs/>
        </w:rPr>
        <w:t>Fourniture d’eau</w:t>
      </w:r>
      <w:r w:rsidR="007E4233" w:rsidRPr="00B363AA">
        <w:t xml:space="preserve"> et </w:t>
      </w:r>
      <w:r w:rsidR="007E4233" w:rsidRPr="00B363AA">
        <w:rPr>
          <w:i/>
          <w:iCs/>
        </w:rPr>
        <w:t>Structure</w:t>
      </w:r>
      <w:r w:rsidR="007E4233" w:rsidRPr="00B363AA">
        <w:t xml:space="preserve"> pour les potagers soient les mêmes que ceux utilisés pour les cultures, les valeurs de risque employées pour </w:t>
      </w:r>
      <w:r w:rsidR="00165D8C" w:rsidRPr="00B363AA">
        <w:t>calculer le coefficient de contrainte correspondent à un usage type III pour les potagers et type II pour les cultures</w:t>
      </w:r>
      <w:r w:rsidR="00012D54" w:rsidRPr="00B363AA">
        <w:t xml:space="preserve"> (voir partie </w:t>
      </w:r>
      <w:r w:rsidR="00012D54" w:rsidRPr="00B363AA">
        <w:fldChar w:fldCharType="begin"/>
      </w:r>
      <w:r w:rsidR="00012D54" w:rsidRPr="00B363AA">
        <w:instrText xml:space="preserve"> REF _Ref232256841 \r \h </w:instrText>
      </w:r>
      <w:r w:rsidR="00012D54" w:rsidRPr="00B363AA">
        <w:fldChar w:fldCharType="separate"/>
      </w:r>
      <w:r w:rsidR="001A7BE1" w:rsidRPr="00B363AA">
        <w:t>4.3.2.1</w:t>
      </w:r>
      <w:r w:rsidR="00012D54" w:rsidRPr="00B363AA">
        <w:fldChar w:fldCharType="end"/>
      </w:r>
      <w:r w:rsidR="00165D8C" w:rsidRPr="00B363AA">
        <w:t>.</w:t>
      </w:r>
      <w:r w:rsidR="00012D54" w:rsidRPr="00B363AA">
        <w:t>)</w:t>
      </w:r>
    </w:p>
  </w:footnote>
  <w:footnote w:id="10">
    <w:p w14:paraId="6ED9D44B" w14:textId="159372FA" w:rsidR="005130E1" w:rsidRPr="00B363AA" w:rsidRDefault="005130E1">
      <w:pPr>
        <w:pStyle w:val="Notedebasdepage"/>
      </w:pPr>
      <w:r w:rsidRPr="00B363AA">
        <w:rPr>
          <w:rStyle w:val="Appelnotedebasdep"/>
        </w:rPr>
        <w:footnoteRef/>
      </w:r>
      <w:r w:rsidRPr="00B363AA">
        <w:t xml:space="preserve"> </w:t>
      </w:r>
      <w:hyperlink r:id="rId3" w:history="1">
        <w:r w:rsidRPr="00B363AA">
          <w:rPr>
            <w:rStyle w:val="Lienhypertexte"/>
          </w:rPr>
          <w:t>https://geoportail.wallonie.be/catalogue/b18318eb-5e91-48ae-a6a5-6f49d06b15a1.html</w:t>
        </w:r>
      </w:hyperlink>
      <w:r w:rsidRPr="00B363AA">
        <w:t xml:space="preserve"> </w:t>
      </w:r>
    </w:p>
  </w:footnote>
  <w:footnote w:id="11">
    <w:p w14:paraId="4BAB72F8" w14:textId="2EABFC40" w:rsidR="00311503" w:rsidRPr="00B363AA" w:rsidRDefault="00311503">
      <w:pPr>
        <w:pStyle w:val="Notedebasdepage"/>
      </w:pPr>
      <w:r w:rsidRPr="00B363AA">
        <w:rPr>
          <w:rStyle w:val="Appelnotedebasdep"/>
        </w:rPr>
        <w:footnoteRef/>
      </w:r>
      <w:r w:rsidRPr="00B363AA">
        <w:t xml:space="preserve"> </w:t>
      </w:r>
      <w:hyperlink r:id="rId4" w:history="1">
        <w:r w:rsidRPr="00B363AA">
          <w:rPr>
            <w:rStyle w:val="Lienhypertexte"/>
          </w:rPr>
          <w:t>https://geoportail.wallonie.be/catalogue/9e11aa59-e36e-4440-99e9-8da32abbee83.html</w:t>
        </w:r>
      </w:hyperlink>
      <w:r w:rsidRPr="00B363AA">
        <w:t xml:space="preserve"> </w:t>
      </w:r>
    </w:p>
  </w:footnote>
  <w:footnote w:id="12">
    <w:p w14:paraId="27A60429" w14:textId="77777777" w:rsidR="00087DF7" w:rsidRPr="00B363AA" w:rsidRDefault="00087DF7" w:rsidP="00087DF7">
      <w:pPr>
        <w:pStyle w:val="Notedebasdepage"/>
      </w:pPr>
      <w:r w:rsidRPr="00B363AA">
        <w:rPr>
          <w:rStyle w:val="Appelnotedebasdep"/>
        </w:rPr>
        <w:footnoteRef/>
      </w:r>
      <w:r w:rsidRPr="00B363AA">
        <w:t xml:space="preserve"> Plus d’informations sur </w:t>
      </w:r>
      <w:hyperlink r:id="rId5" w:history="1">
        <w:r w:rsidRPr="00B363AA">
          <w:rPr>
            <w:rStyle w:val="Lienhypertexte"/>
          </w:rPr>
          <w:t>https://qualite-sols.ch/</w:t>
        </w:r>
      </w:hyperlink>
      <w:r w:rsidRPr="00B363AA">
        <w:t xml:space="preserve"> </w:t>
      </w:r>
    </w:p>
  </w:footnote>
  <w:footnote w:id="13">
    <w:p w14:paraId="4BF89BF1" w14:textId="77777777" w:rsidR="006E08A0" w:rsidRPr="00B363AA" w:rsidRDefault="006E08A0" w:rsidP="006E08A0">
      <w:pPr>
        <w:pStyle w:val="Notedebasdepage"/>
      </w:pPr>
      <w:r w:rsidRPr="00B363AA">
        <w:rPr>
          <w:rStyle w:val="Appelnotedebasdep"/>
        </w:rPr>
        <w:footnoteRef/>
      </w:r>
      <w:r w:rsidRPr="00B363AA">
        <w:t xml:space="preserve"> </w:t>
      </w:r>
      <w:hyperlink r:id="rId6" w:history="1">
        <w:r w:rsidRPr="00B363AA">
          <w:rPr>
            <w:rStyle w:val="Lienhypertexte"/>
          </w:rPr>
          <w:t>https://www.ecologie.gouv.fr/politiques-publiques/artificialisation-sols</w:t>
        </w:r>
      </w:hyperlink>
      <w:r w:rsidRPr="00B363AA">
        <w:t xml:space="preserve"> </w:t>
      </w:r>
    </w:p>
  </w:footnote>
  <w:footnote w:id="14">
    <w:p w14:paraId="24224A7A" w14:textId="4093E381" w:rsidR="00751F0B" w:rsidRPr="001D60BA" w:rsidRDefault="00751F0B">
      <w:pPr>
        <w:pStyle w:val="Notedebasdepage"/>
      </w:pPr>
      <w:r w:rsidRPr="00B363AA">
        <w:rPr>
          <w:rStyle w:val="Appelnotedebasdep"/>
        </w:rPr>
        <w:footnoteRef/>
      </w:r>
      <w:r w:rsidRPr="00B363AA">
        <w:t xml:space="preserve"> </w:t>
      </w:r>
      <w:r w:rsidR="001D60BA" w:rsidRPr="00B363AA">
        <w:t>Guide de Référence pour l'Étude de Caractérisation</w:t>
      </w:r>
      <w:r w:rsidR="009E65DF" w:rsidRPr="00B363AA">
        <w:t xml:space="preserve"> (GREC), Code Wallon de Bonnes Pratiques (CWBP), accessible sur </w:t>
      </w:r>
      <w:hyperlink r:id="rId7" w:history="1">
        <w:r w:rsidR="0061036C" w:rsidRPr="00B363AA">
          <w:rPr>
            <w:rStyle w:val="Lienhypertexte"/>
          </w:rPr>
          <w:t>https://environnement.wallonie.be/home/milieux/sol/les-professionnels-du-sol/experts-et-labos/outils-de-reference/cwbp/etude-de-caracterisation.html</w:t>
        </w:r>
      </w:hyperlink>
      <w:r w:rsidR="009E65DF" w:rsidRPr="00B363AA">
        <w:t>.</w:t>
      </w:r>
      <w:r w:rsidR="0061036C" w:rsidRPr="00B363AA">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2595F" w14:textId="77777777" w:rsidR="00626511" w:rsidRPr="00B363AA" w:rsidRDefault="0062651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CC81" w14:textId="35B4ED58" w:rsidR="0051203A" w:rsidRPr="00B363AA" w:rsidRDefault="004E37AB">
    <w:pPr>
      <w:pStyle w:val="En-tte"/>
    </w:pPr>
    <w:r w:rsidRPr="00B363AA">
      <w:rPr>
        <w:noProof/>
      </w:rPr>
      <mc:AlternateContent>
        <mc:Choice Requires="wps">
          <w:drawing>
            <wp:anchor distT="0" distB="0" distL="114300" distR="114300" simplePos="0" relativeHeight="251660288" behindDoc="0" locked="0" layoutInCell="0" allowOverlap="1" wp14:anchorId="23FECFC3" wp14:editId="41D630E4">
              <wp:simplePos x="0" y="0"/>
              <wp:positionH relativeFrom="margin">
                <wp:align>left</wp:align>
              </wp:positionH>
              <wp:positionV relativeFrom="topMargin">
                <wp:align>center</wp:align>
              </wp:positionV>
              <wp:extent cx="5943600" cy="173736"/>
              <wp:effectExtent l="0" t="0" r="0" b="635"/>
              <wp:wrapNone/>
              <wp:docPr id="220" name="Zone de texte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CEEE5" w14:textId="0B329DC6" w:rsidR="004E37AB" w:rsidRPr="00B363AA" w:rsidRDefault="00F50C6B">
                          <w:pPr>
                            <w:spacing w:after="0" w:line="240" w:lineRule="auto"/>
                            <w:jc w:val="right"/>
                          </w:pPr>
                          <w:r w:rsidRPr="00B363AA">
                            <w:t>Guide méthodologique IQSW-pro</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3FECFC3" id="_x0000_t202" coordsize="21600,21600" o:spt="202" path="m,l,21600r21600,l21600,xe">
              <v:stroke joinstyle="miter"/>
              <v:path gradientshapeok="t" o:connecttype="rect"/>
            </v:shapetype>
            <v:shape id="Zone de texte 229" o:spid="_x0000_s1027" type="#_x0000_t202" style="position:absolute;left:0;text-align:left;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615CEEE5" w14:textId="0B329DC6" w:rsidR="004E37AB" w:rsidRPr="00B363AA" w:rsidRDefault="00F50C6B">
                    <w:pPr>
                      <w:spacing w:after="0" w:line="240" w:lineRule="auto"/>
                      <w:jc w:val="right"/>
                    </w:pPr>
                    <w:r w:rsidRPr="00B363AA">
                      <w:t>Guide méthodologique IQSW-pro</w:t>
                    </w:r>
                  </w:p>
                </w:txbxContent>
              </v:textbox>
              <w10:wrap anchorx="margin" anchory="margin"/>
            </v:shape>
          </w:pict>
        </mc:Fallback>
      </mc:AlternateContent>
    </w:r>
    <w:r w:rsidRPr="00B363AA">
      <w:rPr>
        <w:noProof/>
      </w:rPr>
      <mc:AlternateContent>
        <mc:Choice Requires="wps">
          <w:drawing>
            <wp:anchor distT="0" distB="0" distL="114300" distR="114300" simplePos="0" relativeHeight="251657216" behindDoc="0" locked="0" layoutInCell="0" allowOverlap="1" wp14:anchorId="0A13407E" wp14:editId="335A40F1">
              <wp:simplePos x="0" y="0"/>
              <wp:positionH relativeFrom="page">
                <wp:align>right</wp:align>
              </wp:positionH>
              <wp:positionV relativeFrom="topMargin">
                <wp:align>center</wp:align>
              </wp:positionV>
              <wp:extent cx="911860" cy="170815"/>
              <wp:effectExtent l="0" t="0" r="0" b="635"/>
              <wp:wrapNone/>
              <wp:docPr id="221" name="Zone de texte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9BA823"/>
                      </a:solidFill>
                      <a:ln>
                        <a:noFill/>
                      </a:ln>
                    </wps:spPr>
                    <wps:txbx>
                      <w:txbxContent>
                        <w:p w14:paraId="4545A693" w14:textId="703E5F6C" w:rsidR="004E37AB" w:rsidRPr="00B363AA" w:rsidRDefault="004E37AB">
                          <w:pPr>
                            <w:spacing w:after="0" w:line="240" w:lineRule="auto"/>
                            <w:rPr>
                              <w:color w:val="FFFFFF" w:themeColor="background1"/>
                            </w:rPr>
                          </w:pP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0A13407E" id="Zone de texte 231" o:spid="_x0000_s1028" type="#_x0000_t202" style="position:absolute;left:0;text-align:left;margin-left:20.6pt;margin-top:0;width:71.8pt;height:13.45pt;z-index:251657216;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" o:allowincell="f" fillcolor="#9ba823" stroked="f">
              <v:textbox style="mso-fit-shape-to-text:t" inset=",0,,0">
                <w:txbxContent>
                  <w:p w14:paraId="4545A693" w14:textId="703E5F6C" w:rsidR="004E37AB" w:rsidRPr="00B363AA" w:rsidRDefault="004E37AB">
                    <w:pPr>
                      <w:spacing w:after="0" w:line="240" w:lineRule="auto"/>
                      <w:rPr>
                        <w:color w:val="FFFFFF" w:themeColor="background1"/>
                      </w:rPr>
                    </w:pPr>
                  </w:p>
                </w:txbxContent>
              </v:textbox>
              <w10:wrap anchorx="page"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E6AAD" w14:textId="77777777" w:rsidR="00626511" w:rsidRPr="00B363AA" w:rsidRDefault="0062651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54AF04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8E4D58"/>
    <w:multiLevelType w:val="hybridMultilevel"/>
    <w:tmpl w:val="F370D032"/>
    <w:lvl w:ilvl="0" w:tplc="080C0001">
      <w:start w:val="1"/>
      <w:numFmt w:val="bullet"/>
      <w:lvlText w:val=""/>
      <w:lvlJc w:val="left"/>
      <w:pPr>
        <w:ind w:left="774" w:hanging="360"/>
      </w:pPr>
      <w:rPr>
        <w:rFonts w:ascii="Symbol" w:hAnsi="Symbol" w:hint="default"/>
      </w:rPr>
    </w:lvl>
    <w:lvl w:ilvl="1" w:tplc="080C0003" w:tentative="1">
      <w:start w:val="1"/>
      <w:numFmt w:val="bullet"/>
      <w:lvlText w:val="o"/>
      <w:lvlJc w:val="left"/>
      <w:pPr>
        <w:ind w:left="1494" w:hanging="360"/>
      </w:pPr>
      <w:rPr>
        <w:rFonts w:ascii="Courier New" w:hAnsi="Courier New" w:cs="Courier New" w:hint="default"/>
      </w:rPr>
    </w:lvl>
    <w:lvl w:ilvl="2" w:tplc="080C0005" w:tentative="1">
      <w:start w:val="1"/>
      <w:numFmt w:val="bullet"/>
      <w:lvlText w:val=""/>
      <w:lvlJc w:val="left"/>
      <w:pPr>
        <w:ind w:left="2214" w:hanging="360"/>
      </w:pPr>
      <w:rPr>
        <w:rFonts w:ascii="Wingdings" w:hAnsi="Wingdings" w:hint="default"/>
      </w:rPr>
    </w:lvl>
    <w:lvl w:ilvl="3" w:tplc="080C0001" w:tentative="1">
      <w:start w:val="1"/>
      <w:numFmt w:val="bullet"/>
      <w:lvlText w:val=""/>
      <w:lvlJc w:val="left"/>
      <w:pPr>
        <w:ind w:left="2934" w:hanging="360"/>
      </w:pPr>
      <w:rPr>
        <w:rFonts w:ascii="Symbol" w:hAnsi="Symbol" w:hint="default"/>
      </w:rPr>
    </w:lvl>
    <w:lvl w:ilvl="4" w:tplc="080C0003" w:tentative="1">
      <w:start w:val="1"/>
      <w:numFmt w:val="bullet"/>
      <w:lvlText w:val="o"/>
      <w:lvlJc w:val="left"/>
      <w:pPr>
        <w:ind w:left="3654" w:hanging="360"/>
      </w:pPr>
      <w:rPr>
        <w:rFonts w:ascii="Courier New" w:hAnsi="Courier New" w:cs="Courier New" w:hint="default"/>
      </w:rPr>
    </w:lvl>
    <w:lvl w:ilvl="5" w:tplc="080C0005" w:tentative="1">
      <w:start w:val="1"/>
      <w:numFmt w:val="bullet"/>
      <w:lvlText w:val=""/>
      <w:lvlJc w:val="left"/>
      <w:pPr>
        <w:ind w:left="4374" w:hanging="360"/>
      </w:pPr>
      <w:rPr>
        <w:rFonts w:ascii="Wingdings" w:hAnsi="Wingdings" w:hint="default"/>
      </w:rPr>
    </w:lvl>
    <w:lvl w:ilvl="6" w:tplc="080C0001" w:tentative="1">
      <w:start w:val="1"/>
      <w:numFmt w:val="bullet"/>
      <w:lvlText w:val=""/>
      <w:lvlJc w:val="left"/>
      <w:pPr>
        <w:ind w:left="5094" w:hanging="360"/>
      </w:pPr>
      <w:rPr>
        <w:rFonts w:ascii="Symbol" w:hAnsi="Symbol" w:hint="default"/>
      </w:rPr>
    </w:lvl>
    <w:lvl w:ilvl="7" w:tplc="080C0003" w:tentative="1">
      <w:start w:val="1"/>
      <w:numFmt w:val="bullet"/>
      <w:lvlText w:val="o"/>
      <w:lvlJc w:val="left"/>
      <w:pPr>
        <w:ind w:left="5814" w:hanging="360"/>
      </w:pPr>
      <w:rPr>
        <w:rFonts w:ascii="Courier New" w:hAnsi="Courier New" w:cs="Courier New" w:hint="default"/>
      </w:rPr>
    </w:lvl>
    <w:lvl w:ilvl="8" w:tplc="080C0005" w:tentative="1">
      <w:start w:val="1"/>
      <w:numFmt w:val="bullet"/>
      <w:lvlText w:val=""/>
      <w:lvlJc w:val="left"/>
      <w:pPr>
        <w:ind w:left="6534" w:hanging="360"/>
      </w:pPr>
      <w:rPr>
        <w:rFonts w:ascii="Wingdings" w:hAnsi="Wingdings" w:hint="default"/>
      </w:rPr>
    </w:lvl>
  </w:abstractNum>
  <w:abstractNum w:abstractNumId="2" w15:restartNumberingAfterBreak="0">
    <w:nsid w:val="0788233E"/>
    <w:multiLevelType w:val="hybridMultilevel"/>
    <w:tmpl w:val="517ED63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D4119A8"/>
    <w:multiLevelType w:val="hybridMultilevel"/>
    <w:tmpl w:val="54C684DC"/>
    <w:lvl w:ilvl="0" w:tplc="21BA50EE">
      <w:start w:val="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E225512"/>
    <w:multiLevelType w:val="hybridMultilevel"/>
    <w:tmpl w:val="1A2C5800"/>
    <w:lvl w:ilvl="0" w:tplc="7A546988">
      <w:start w:val="105"/>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2E929BD"/>
    <w:multiLevelType w:val="hybridMultilevel"/>
    <w:tmpl w:val="070A807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16CF48AD"/>
    <w:multiLevelType w:val="hybridMultilevel"/>
    <w:tmpl w:val="F23CA256"/>
    <w:lvl w:ilvl="0" w:tplc="5FE08056">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7F701CE"/>
    <w:multiLevelType w:val="hybridMultilevel"/>
    <w:tmpl w:val="F1BA2A0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94A50A5"/>
    <w:multiLevelType w:val="multilevel"/>
    <w:tmpl w:val="CAA6F960"/>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1.%3."/>
      <w:lvlJc w:val="left"/>
      <w:pPr>
        <w:ind w:left="2160" w:hanging="360"/>
      </w:pPr>
      <w:rPr>
        <w:rFonts w:hint="default"/>
      </w:rPr>
    </w:lvl>
    <w:lvl w:ilvl="3">
      <w:start w:val="1"/>
      <w:numFmt w:val="decimal"/>
      <w:pStyle w:val="Titre4"/>
      <w:lvlText w:val="1.1.1.%4."/>
      <w:lvlJc w:val="left"/>
      <w:pPr>
        <w:ind w:left="2880" w:hanging="360"/>
      </w:pPr>
      <w:rPr>
        <w:rFonts w:hint="default"/>
      </w:rPr>
    </w:lvl>
    <w:lvl w:ilvl="4">
      <w:start w:val="1"/>
      <w:numFmt w:val="none"/>
      <w:pStyle w:val="Titre5"/>
      <w:lvlText w:val=""/>
      <w:lvlJc w:val="left"/>
      <w:pPr>
        <w:ind w:left="3600" w:hanging="360"/>
      </w:pPr>
      <w:rPr>
        <w:rFont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B3330E1"/>
    <w:multiLevelType w:val="hybridMultilevel"/>
    <w:tmpl w:val="B79A3044"/>
    <w:lvl w:ilvl="0" w:tplc="7A546988">
      <w:start w:val="105"/>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F2054EC"/>
    <w:multiLevelType w:val="hybridMultilevel"/>
    <w:tmpl w:val="53F65DC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3790787"/>
    <w:multiLevelType w:val="hybridMultilevel"/>
    <w:tmpl w:val="FF866810"/>
    <w:lvl w:ilvl="0" w:tplc="9660890C">
      <w:start w:val="4"/>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3A22BA6"/>
    <w:multiLevelType w:val="hybridMultilevel"/>
    <w:tmpl w:val="28D8449E"/>
    <w:lvl w:ilvl="0" w:tplc="ECCE230E">
      <w:start w:val="4"/>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277D23CF"/>
    <w:multiLevelType w:val="multilevel"/>
    <w:tmpl w:val="DE22436C"/>
    <w:lvl w:ilvl="0">
      <w:start w:val="1"/>
      <w:numFmt w:val="decimal"/>
      <w:lvlText w:val="%1."/>
      <w:lvlJc w:val="left"/>
      <w:pPr>
        <w:ind w:left="675" w:hanging="675"/>
      </w:pPr>
      <w:rPr>
        <w:rFonts w:hint="default"/>
      </w:rPr>
    </w:lvl>
    <w:lvl w:ilvl="1">
      <w:start w:val="1"/>
      <w:numFmt w:val="decimal"/>
      <w:lvlText w:val="%1.%2."/>
      <w:lvlJc w:val="left"/>
      <w:pPr>
        <w:ind w:left="720" w:hanging="720"/>
      </w:pPr>
      <w:rPr>
        <w:rFonts w:ascii="Calibri" w:hAnsi="Calibri" w:cs="Calibri"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03A6566"/>
    <w:multiLevelType w:val="hybridMultilevel"/>
    <w:tmpl w:val="A12CBB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3153056E"/>
    <w:multiLevelType w:val="hybridMultilevel"/>
    <w:tmpl w:val="0A407AC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341B329F"/>
    <w:multiLevelType w:val="hybridMultilevel"/>
    <w:tmpl w:val="7244141C"/>
    <w:lvl w:ilvl="0" w:tplc="3012A7EE">
      <w:start w:val="3"/>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AE65BDF"/>
    <w:multiLevelType w:val="hybridMultilevel"/>
    <w:tmpl w:val="8F7C23D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8" w15:restartNumberingAfterBreak="0">
    <w:nsid w:val="3F4E60E6"/>
    <w:multiLevelType w:val="hybridMultilevel"/>
    <w:tmpl w:val="53EA96D8"/>
    <w:lvl w:ilvl="0" w:tplc="1624D26E">
      <w:start w:val="2"/>
      <w:numFmt w:val="bullet"/>
      <w:lvlText w:val="-"/>
      <w:lvlJc w:val="left"/>
      <w:pPr>
        <w:ind w:left="720" w:hanging="360"/>
      </w:pPr>
      <w:rPr>
        <w:rFonts w:ascii="Aptos" w:eastAsiaTheme="minorHAnsi" w:hAnsi="Aptos"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3140C51"/>
    <w:multiLevelType w:val="hybridMultilevel"/>
    <w:tmpl w:val="56741BA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44AE7C4C"/>
    <w:multiLevelType w:val="hybridMultilevel"/>
    <w:tmpl w:val="7D12A97C"/>
    <w:lvl w:ilvl="0" w:tplc="9660890C">
      <w:start w:val="4"/>
      <w:numFmt w:val="bullet"/>
      <w:lvlText w:val="-"/>
      <w:lvlJc w:val="left"/>
      <w:pPr>
        <w:ind w:left="1080" w:hanging="360"/>
      </w:pPr>
      <w:rPr>
        <w:rFonts w:ascii="Calibri" w:eastAsiaTheme="minorHAns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1" w15:restartNumberingAfterBreak="0">
    <w:nsid w:val="44DD0301"/>
    <w:multiLevelType w:val="hybridMultilevel"/>
    <w:tmpl w:val="C4707BB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45480B7D"/>
    <w:multiLevelType w:val="hybridMultilevel"/>
    <w:tmpl w:val="4898436E"/>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45737CD3"/>
    <w:multiLevelType w:val="hybridMultilevel"/>
    <w:tmpl w:val="1332BE6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99F1932"/>
    <w:multiLevelType w:val="hybridMultilevel"/>
    <w:tmpl w:val="A0CAE26E"/>
    <w:lvl w:ilvl="0" w:tplc="869C9B10">
      <w:start w:val="1"/>
      <w:numFmt w:val="bullet"/>
      <w:lvlText w:val="-"/>
      <w:lvlJc w:val="left"/>
      <w:pPr>
        <w:ind w:left="720" w:hanging="360"/>
      </w:pPr>
      <w:rPr>
        <w:rFonts w:ascii="Aptos" w:hAnsi="Apto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4C3379FC"/>
    <w:multiLevelType w:val="multilevel"/>
    <w:tmpl w:val="474489DA"/>
    <w:lvl w:ilvl="0">
      <w:start w:val="1"/>
      <w:numFmt w:val="decimal"/>
      <w:lvlText w:val="(%1)"/>
      <w:lvlJc w:val="left"/>
      <w:pPr>
        <w:ind w:left="675" w:hanging="675"/>
      </w:pPr>
      <w:rPr>
        <w:rFonts w:ascii="Calibri" w:eastAsiaTheme="minorHAnsi" w:hAnsi="Calibri" w:cstheme="minorBidi"/>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CFD5880"/>
    <w:multiLevelType w:val="hybridMultilevel"/>
    <w:tmpl w:val="8F9E1948"/>
    <w:lvl w:ilvl="0" w:tplc="A2EE1C88">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27" w15:restartNumberingAfterBreak="0">
    <w:nsid w:val="4E8A500B"/>
    <w:multiLevelType w:val="hybridMultilevel"/>
    <w:tmpl w:val="F3D60D6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521E0A41"/>
    <w:multiLevelType w:val="hybridMultilevel"/>
    <w:tmpl w:val="3C923C12"/>
    <w:lvl w:ilvl="0" w:tplc="2094170A">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53EF31D2"/>
    <w:multiLevelType w:val="hybridMultilevel"/>
    <w:tmpl w:val="F2F2BC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56AD7D16"/>
    <w:multiLevelType w:val="hybridMultilevel"/>
    <w:tmpl w:val="FC26D80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7E368CB"/>
    <w:multiLevelType w:val="hybridMultilevel"/>
    <w:tmpl w:val="E1F4CD4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60A85957"/>
    <w:multiLevelType w:val="hybridMultilevel"/>
    <w:tmpl w:val="4280741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61A41B77"/>
    <w:multiLevelType w:val="hybridMultilevel"/>
    <w:tmpl w:val="E1B6BA74"/>
    <w:lvl w:ilvl="0" w:tplc="080C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4" w15:restartNumberingAfterBreak="0">
    <w:nsid w:val="63CC4C9D"/>
    <w:multiLevelType w:val="hybridMultilevel"/>
    <w:tmpl w:val="93D2891E"/>
    <w:lvl w:ilvl="0" w:tplc="7A546988">
      <w:start w:val="105"/>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641E2CE3"/>
    <w:multiLevelType w:val="hybridMultilevel"/>
    <w:tmpl w:val="B6EAA1B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67BF4A20"/>
    <w:multiLevelType w:val="hybridMultilevel"/>
    <w:tmpl w:val="80E6766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6E410C78"/>
    <w:multiLevelType w:val="hybridMultilevel"/>
    <w:tmpl w:val="25B2AB74"/>
    <w:lvl w:ilvl="0" w:tplc="08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1C42E96"/>
    <w:multiLevelType w:val="hybridMultilevel"/>
    <w:tmpl w:val="DB747FBC"/>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9" w15:restartNumberingAfterBreak="0">
    <w:nsid w:val="72BF645D"/>
    <w:multiLevelType w:val="hybridMultilevel"/>
    <w:tmpl w:val="19229E56"/>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742A3566"/>
    <w:multiLevelType w:val="multilevel"/>
    <w:tmpl w:val="DE22436C"/>
    <w:lvl w:ilvl="0">
      <w:start w:val="1"/>
      <w:numFmt w:val="decimal"/>
      <w:lvlText w:val="%1."/>
      <w:lvlJc w:val="left"/>
      <w:pPr>
        <w:ind w:left="675" w:hanging="675"/>
      </w:pPr>
      <w:rPr>
        <w:rFonts w:hint="default"/>
      </w:rPr>
    </w:lvl>
    <w:lvl w:ilvl="1">
      <w:start w:val="1"/>
      <w:numFmt w:val="decimal"/>
      <w:lvlText w:val="%1.%2."/>
      <w:lvlJc w:val="left"/>
      <w:pPr>
        <w:ind w:left="720" w:hanging="720"/>
      </w:pPr>
      <w:rPr>
        <w:rFonts w:ascii="Calibri" w:hAnsi="Calibri" w:cs="Calibri"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6EA492D"/>
    <w:multiLevelType w:val="hybridMultilevel"/>
    <w:tmpl w:val="DEBA246E"/>
    <w:lvl w:ilvl="0" w:tplc="3012A7EE">
      <w:start w:val="3"/>
      <w:numFmt w:val="bullet"/>
      <w:lvlText w:val="-"/>
      <w:lvlJc w:val="left"/>
      <w:pPr>
        <w:ind w:left="360" w:hanging="360"/>
      </w:pPr>
      <w:rPr>
        <w:rFonts w:ascii="Calibri" w:eastAsiaTheme="minorHAnsi"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2" w15:restartNumberingAfterBreak="0">
    <w:nsid w:val="7CB035FB"/>
    <w:multiLevelType w:val="multilevel"/>
    <w:tmpl w:val="3878DE06"/>
    <w:styleLink w:val="Listeactuelle1"/>
    <w:lvl w:ilvl="0">
      <w:start w:val="1"/>
      <w:numFmt w:val="decimal"/>
      <w:lvlText w:val="%1."/>
      <w:lvlJc w:val="left"/>
      <w:pPr>
        <w:ind w:left="720" w:hanging="360"/>
      </w:pPr>
      <w:rPr>
        <w:rFonts w:ascii="Calibri" w:eastAsiaTheme="majorEastAsia" w:hAnsi="Calibri" w:cstheme="majorBid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16cid:durableId="269313669">
    <w:abstractNumId w:val="31"/>
  </w:num>
  <w:num w:numId="2" w16cid:durableId="1308903472">
    <w:abstractNumId w:val="10"/>
  </w:num>
  <w:num w:numId="3" w16cid:durableId="2132436675">
    <w:abstractNumId w:val="18"/>
  </w:num>
  <w:num w:numId="4" w16cid:durableId="1857500959">
    <w:abstractNumId w:val="27"/>
  </w:num>
  <w:num w:numId="5" w16cid:durableId="268047054">
    <w:abstractNumId w:val="7"/>
  </w:num>
  <w:num w:numId="6" w16cid:durableId="1753116669">
    <w:abstractNumId w:val="2"/>
  </w:num>
  <w:num w:numId="7" w16cid:durableId="2085833560">
    <w:abstractNumId w:val="4"/>
  </w:num>
  <w:num w:numId="8" w16cid:durableId="1079600889">
    <w:abstractNumId w:val="8"/>
  </w:num>
  <w:num w:numId="9" w16cid:durableId="1715619317">
    <w:abstractNumId w:val="5"/>
  </w:num>
  <w:num w:numId="10" w16cid:durableId="1836454690">
    <w:abstractNumId w:val="17"/>
  </w:num>
  <w:num w:numId="11" w16cid:durableId="799231427">
    <w:abstractNumId w:val="42"/>
  </w:num>
  <w:num w:numId="12" w16cid:durableId="1445617990">
    <w:abstractNumId w:val="40"/>
  </w:num>
  <w:num w:numId="13" w16cid:durableId="245695621">
    <w:abstractNumId w:val="41"/>
  </w:num>
  <w:num w:numId="14" w16cid:durableId="1670601299">
    <w:abstractNumId w:val="33"/>
  </w:num>
  <w:num w:numId="15" w16cid:durableId="245187304">
    <w:abstractNumId w:val="37"/>
  </w:num>
  <w:num w:numId="16" w16cid:durableId="2036614780">
    <w:abstractNumId w:val="24"/>
  </w:num>
  <w:num w:numId="17" w16cid:durableId="1182164535">
    <w:abstractNumId w:val="9"/>
  </w:num>
  <w:num w:numId="18" w16cid:durableId="789131662">
    <w:abstractNumId w:val="34"/>
  </w:num>
  <w:num w:numId="19" w16cid:durableId="1913738346">
    <w:abstractNumId w:val="6"/>
  </w:num>
  <w:num w:numId="20" w16cid:durableId="1670600875">
    <w:abstractNumId w:val="32"/>
  </w:num>
  <w:num w:numId="21" w16cid:durableId="2021540939">
    <w:abstractNumId w:val="14"/>
  </w:num>
  <w:num w:numId="22" w16cid:durableId="1864636441">
    <w:abstractNumId w:val="16"/>
  </w:num>
  <w:num w:numId="23" w16cid:durableId="24647225">
    <w:abstractNumId w:val="25"/>
  </w:num>
  <w:num w:numId="24" w16cid:durableId="2107918200">
    <w:abstractNumId w:val="28"/>
  </w:num>
  <w:num w:numId="25" w16cid:durableId="523592495">
    <w:abstractNumId w:val="29"/>
  </w:num>
  <w:num w:numId="26" w16cid:durableId="2037341876">
    <w:abstractNumId w:val="0"/>
  </w:num>
  <w:num w:numId="27" w16cid:durableId="1370648380">
    <w:abstractNumId w:val="3"/>
  </w:num>
  <w:num w:numId="28" w16cid:durableId="1689209148">
    <w:abstractNumId w:val="19"/>
  </w:num>
  <w:num w:numId="29" w16cid:durableId="610555264">
    <w:abstractNumId w:val="11"/>
  </w:num>
  <w:num w:numId="30" w16cid:durableId="671566141">
    <w:abstractNumId w:val="12"/>
  </w:num>
  <w:num w:numId="31" w16cid:durableId="796873771">
    <w:abstractNumId w:val="20"/>
  </w:num>
  <w:num w:numId="32" w16cid:durableId="1251280260">
    <w:abstractNumId w:val="26"/>
  </w:num>
  <w:num w:numId="33" w16cid:durableId="1961691676">
    <w:abstractNumId w:val="1"/>
  </w:num>
  <w:num w:numId="34" w16cid:durableId="486215594">
    <w:abstractNumId w:val="8"/>
  </w:num>
  <w:num w:numId="35" w16cid:durableId="1622495867">
    <w:abstractNumId w:val="38"/>
  </w:num>
  <w:num w:numId="36" w16cid:durableId="1217469882">
    <w:abstractNumId w:val="13"/>
  </w:num>
  <w:num w:numId="37" w16cid:durableId="928584787">
    <w:abstractNumId w:val="36"/>
  </w:num>
  <w:num w:numId="38" w16cid:durableId="2004308685">
    <w:abstractNumId w:val="23"/>
  </w:num>
  <w:num w:numId="39" w16cid:durableId="1871380697">
    <w:abstractNumId w:val="15"/>
  </w:num>
  <w:num w:numId="40" w16cid:durableId="1179125998">
    <w:abstractNumId w:val="22"/>
  </w:num>
  <w:num w:numId="41" w16cid:durableId="249461550">
    <w:abstractNumId w:val="35"/>
  </w:num>
  <w:num w:numId="42" w16cid:durableId="820658378">
    <w:abstractNumId w:val="21"/>
  </w:num>
  <w:num w:numId="43" w16cid:durableId="1206720191">
    <w:abstractNumId w:val="30"/>
  </w:num>
  <w:num w:numId="44" w16cid:durableId="2003701629">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03A"/>
    <w:rsid w:val="00001066"/>
    <w:rsid w:val="00001C66"/>
    <w:rsid w:val="0000294D"/>
    <w:rsid w:val="0000352D"/>
    <w:rsid w:val="00004040"/>
    <w:rsid w:val="00004707"/>
    <w:rsid w:val="000059BE"/>
    <w:rsid w:val="00005D14"/>
    <w:rsid w:val="00006DB2"/>
    <w:rsid w:val="0000762B"/>
    <w:rsid w:val="00007667"/>
    <w:rsid w:val="00007C87"/>
    <w:rsid w:val="000100FD"/>
    <w:rsid w:val="00010291"/>
    <w:rsid w:val="00010820"/>
    <w:rsid w:val="0001197B"/>
    <w:rsid w:val="00011C3C"/>
    <w:rsid w:val="0001265A"/>
    <w:rsid w:val="0001294B"/>
    <w:rsid w:val="00012AA7"/>
    <w:rsid w:val="00012D54"/>
    <w:rsid w:val="00012DBE"/>
    <w:rsid w:val="00013272"/>
    <w:rsid w:val="000132B8"/>
    <w:rsid w:val="00013A2B"/>
    <w:rsid w:val="00013ECE"/>
    <w:rsid w:val="000145A5"/>
    <w:rsid w:val="000148EF"/>
    <w:rsid w:val="000149A8"/>
    <w:rsid w:val="000149C6"/>
    <w:rsid w:val="000154ED"/>
    <w:rsid w:val="00015655"/>
    <w:rsid w:val="00015861"/>
    <w:rsid w:val="000159A6"/>
    <w:rsid w:val="00015B51"/>
    <w:rsid w:val="00015FF5"/>
    <w:rsid w:val="00016379"/>
    <w:rsid w:val="0001696A"/>
    <w:rsid w:val="000171B6"/>
    <w:rsid w:val="00017DD2"/>
    <w:rsid w:val="00020060"/>
    <w:rsid w:val="0002079A"/>
    <w:rsid w:val="000209DE"/>
    <w:rsid w:val="00020CC4"/>
    <w:rsid w:val="00020E65"/>
    <w:rsid w:val="00020EB3"/>
    <w:rsid w:val="00021EBF"/>
    <w:rsid w:val="00022007"/>
    <w:rsid w:val="000224AA"/>
    <w:rsid w:val="00023085"/>
    <w:rsid w:val="00023385"/>
    <w:rsid w:val="000234AD"/>
    <w:rsid w:val="00023891"/>
    <w:rsid w:val="00023DA9"/>
    <w:rsid w:val="00024405"/>
    <w:rsid w:val="0002445E"/>
    <w:rsid w:val="00024810"/>
    <w:rsid w:val="000255DF"/>
    <w:rsid w:val="00025CCE"/>
    <w:rsid w:val="00025E78"/>
    <w:rsid w:val="00026F75"/>
    <w:rsid w:val="00027968"/>
    <w:rsid w:val="00027AA6"/>
    <w:rsid w:val="00030771"/>
    <w:rsid w:val="00030846"/>
    <w:rsid w:val="00030CBA"/>
    <w:rsid w:val="0003177C"/>
    <w:rsid w:val="00031CF8"/>
    <w:rsid w:val="00031FAC"/>
    <w:rsid w:val="00032B22"/>
    <w:rsid w:val="00032D0A"/>
    <w:rsid w:val="000332CB"/>
    <w:rsid w:val="0003353A"/>
    <w:rsid w:val="00034075"/>
    <w:rsid w:val="000353F2"/>
    <w:rsid w:val="0003569C"/>
    <w:rsid w:val="000357DD"/>
    <w:rsid w:val="00035F92"/>
    <w:rsid w:val="00036A23"/>
    <w:rsid w:val="000377D3"/>
    <w:rsid w:val="00037AE6"/>
    <w:rsid w:val="00037CD1"/>
    <w:rsid w:val="00037E8A"/>
    <w:rsid w:val="00040703"/>
    <w:rsid w:val="00040766"/>
    <w:rsid w:val="000408EC"/>
    <w:rsid w:val="00040A3C"/>
    <w:rsid w:val="0004115A"/>
    <w:rsid w:val="0004177F"/>
    <w:rsid w:val="00041800"/>
    <w:rsid w:val="00041A10"/>
    <w:rsid w:val="00041D9F"/>
    <w:rsid w:val="00042CD8"/>
    <w:rsid w:val="000434BC"/>
    <w:rsid w:val="000436F2"/>
    <w:rsid w:val="00043D8F"/>
    <w:rsid w:val="00043EDD"/>
    <w:rsid w:val="00044431"/>
    <w:rsid w:val="00044A08"/>
    <w:rsid w:val="00044C0E"/>
    <w:rsid w:val="00045414"/>
    <w:rsid w:val="00045449"/>
    <w:rsid w:val="0004599F"/>
    <w:rsid w:val="00045B08"/>
    <w:rsid w:val="00045BE3"/>
    <w:rsid w:val="000466BB"/>
    <w:rsid w:val="00046B41"/>
    <w:rsid w:val="00046D39"/>
    <w:rsid w:val="00047546"/>
    <w:rsid w:val="00047BC6"/>
    <w:rsid w:val="00047CCF"/>
    <w:rsid w:val="00050851"/>
    <w:rsid w:val="000508C6"/>
    <w:rsid w:val="00050BE5"/>
    <w:rsid w:val="00050F1C"/>
    <w:rsid w:val="00050FC8"/>
    <w:rsid w:val="00051500"/>
    <w:rsid w:val="00051FA0"/>
    <w:rsid w:val="000532FC"/>
    <w:rsid w:val="00053AB4"/>
    <w:rsid w:val="00053B7C"/>
    <w:rsid w:val="0005416C"/>
    <w:rsid w:val="00054304"/>
    <w:rsid w:val="00054335"/>
    <w:rsid w:val="00054E89"/>
    <w:rsid w:val="00054EFA"/>
    <w:rsid w:val="0005522D"/>
    <w:rsid w:val="000554EF"/>
    <w:rsid w:val="00056031"/>
    <w:rsid w:val="00056296"/>
    <w:rsid w:val="000568E3"/>
    <w:rsid w:val="000571F9"/>
    <w:rsid w:val="00057288"/>
    <w:rsid w:val="0005733D"/>
    <w:rsid w:val="0005742F"/>
    <w:rsid w:val="000574FF"/>
    <w:rsid w:val="000577C6"/>
    <w:rsid w:val="0005790F"/>
    <w:rsid w:val="00057C21"/>
    <w:rsid w:val="000601F7"/>
    <w:rsid w:val="0006034D"/>
    <w:rsid w:val="00060879"/>
    <w:rsid w:val="00060BA4"/>
    <w:rsid w:val="000613AB"/>
    <w:rsid w:val="0006164F"/>
    <w:rsid w:val="000619EF"/>
    <w:rsid w:val="00061B37"/>
    <w:rsid w:val="00061BE7"/>
    <w:rsid w:val="000624AD"/>
    <w:rsid w:val="0006252C"/>
    <w:rsid w:val="000626B8"/>
    <w:rsid w:val="00062D8F"/>
    <w:rsid w:val="00062E63"/>
    <w:rsid w:val="000631CD"/>
    <w:rsid w:val="000637BB"/>
    <w:rsid w:val="00064065"/>
    <w:rsid w:val="00064448"/>
    <w:rsid w:val="00064981"/>
    <w:rsid w:val="00064AB2"/>
    <w:rsid w:val="0006524B"/>
    <w:rsid w:val="00065B27"/>
    <w:rsid w:val="000661A3"/>
    <w:rsid w:val="00066505"/>
    <w:rsid w:val="0006684F"/>
    <w:rsid w:val="00067261"/>
    <w:rsid w:val="000714F7"/>
    <w:rsid w:val="00071504"/>
    <w:rsid w:val="00071C0F"/>
    <w:rsid w:val="000720C5"/>
    <w:rsid w:val="0007306A"/>
    <w:rsid w:val="000735DD"/>
    <w:rsid w:val="00073FBB"/>
    <w:rsid w:val="00074261"/>
    <w:rsid w:val="0007443E"/>
    <w:rsid w:val="0007461C"/>
    <w:rsid w:val="00074952"/>
    <w:rsid w:val="00074CB6"/>
    <w:rsid w:val="00075AC5"/>
    <w:rsid w:val="000760C6"/>
    <w:rsid w:val="00076150"/>
    <w:rsid w:val="0007686B"/>
    <w:rsid w:val="000769C6"/>
    <w:rsid w:val="00076B81"/>
    <w:rsid w:val="00076EB7"/>
    <w:rsid w:val="000772C0"/>
    <w:rsid w:val="00077462"/>
    <w:rsid w:val="00077A78"/>
    <w:rsid w:val="0008021B"/>
    <w:rsid w:val="00080246"/>
    <w:rsid w:val="00081C68"/>
    <w:rsid w:val="00082201"/>
    <w:rsid w:val="000828BE"/>
    <w:rsid w:val="00082CBF"/>
    <w:rsid w:val="00082D71"/>
    <w:rsid w:val="00082FB8"/>
    <w:rsid w:val="0008305C"/>
    <w:rsid w:val="00083D93"/>
    <w:rsid w:val="000841E3"/>
    <w:rsid w:val="000848E8"/>
    <w:rsid w:val="00084FC0"/>
    <w:rsid w:val="0008503F"/>
    <w:rsid w:val="0008519F"/>
    <w:rsid w:val="000856C9"/>
    <w:rsid w:val="00085CB7"/>
    <w:rsid w:val="00086651"/>
    <w:rsid w:val="0008789E"/>
    <w:rsid w:val="00087D58"/>
    <w:rsid w:val="00087DF7"/>
    <w:rsid w:val="00090F50"/>
    <w:rsid w:val="00092263"/>
    <w:rsid w:val="00092860"/>
    <w:rsid w:val="000929CD"/>
    <w:rsid w:val="0009321A"/>
    <w:rsid w:val="000932A3"/>
    <w:rsid w:val="0009351D"/>
    <w:rsid w:val="0009372D"/>
    <w:rsid w:val="00093758"/>
    <w:rsid w:val="000937CF"/>
    <w:rsid w:val="00094086"/>
    <w:rsid w:val="00094567"/>
    <w:rsid w:val="00095933"/>
    <w:rsid w:val="00095D4E"/>
    <w:rsid w:val="00096497"/>
    <w:rsid w:val="00096873"/>
    <w:rsid w:val="00096E85"/>
    <w:rsid w:val="00097612"/>
    <w:rsid w:val="00097B59"/>
    <w:rsid w:val="000A01AA"/>
    <w:rsid w:val="000A01E0"/>
    <w:rsid w:val="000A0208"/>
    <w:rsid w:val="000A08F8"/>
    <w:rsid w:val="000A104B"/>
    <w:rsid w:val="000A1B91"/>
    <w:rsid w:val="000A2458"/>
    <w:rsid w:val="000A2BB8"/>
    <w:rsid w:val="000A2F34"/>
    <w:rsid w:val="000A3F5C"/>
    <w:rsid w:val="000A4227"/>
    <w:rsid w:val="000A43B7"/>
    <w:rsid w:val="000A4433"/>
    <w:rsid w:val="000A4712"/>
    <w:rsid w:val="000A481B"/>
    <w:rsid w:val="000A484A"/>
    <w:rsid w:val="000A4AAF"/>
    <w:rsid w:val="000A4F42"/>
    <w:rsid w:val="000A56F2"/>
    <w:rsid w:val="000A58D6"/>
    <w:rsid w:val="000A592E"/>
    <w:rsid w:val="000A5994"/>
    <w:rsid w:val="000A5F4B"/>
    <w:rsid w:val="000A6332"/>
    <w:rsid w:val="000A6E48"/>
    <w:rsid w:val="000A6FCA"/>
    <w:rsid w:val="000A7E27"/>
    <w:rsid w:val="000B085F"/>
    <w:rsid w:val="000B1654"/>
    <w:rsid w:val="000B190E"/>
    <w:rsid w:val="000B1B5A"/>
    <w:rsid w:val="000B1BD0"/>
    <w:rsid w:val="000B1DF5"/>
    <w:rsid w:val="000B2243"/>
    <w:rsid w:val="000B224C"/>
    <w:rsid w:val="000B29F6"/>
    <w:rsid w:val="000B2F21"/>
    <w:rsid w:val="000B4118"/>
    <w:rsid w:val="000B4599"/>
    <w:rsid w:val="000B4FB6"/>
    <w:rsid w:val="000B51D9"/>
    <w:rsid w:val="000B52F5"/>
    <w:rsid w:val="000B5E63"/>
    <w:rsid w:val="000B7CF8"/>
    <w:rsid w:val="000B7D1B"/>
    <w:rsid w:val="000C0179"/>
    <w:rsid w:val="000C018E"/>
    <w:rsid w:val="000C0232"/>
    <w:rsid w:val="000C044A"/>
    <w:rsid w:val="000C0A98"/>
    <w:rsid w:val="000C1A6D"/>
    <w:rsid w:val="000C1AF5"/>
    <w:rsid w:val="000C1BD2"/>
    <w:rsid w:val="000C1FA2"/>
    <w:rsid w:val="000C38E8"/>
    <w:rsid w:val="000C3AC6"/>
    <w:rsid w:val="000C3BC8"/>
    <w:rsid w:val="000C4896"/>
    <w:rsid w:val="000C4D05"/>
    <w:rsid w:val="000C4DEA"/>
    <w:rsid w:val="000C527B"/>
    <w:rsid w:val="000C579D"/>
    <w:rsid w:val="000C5A0F"/>
    <w:rsid w:val="000C5A99"/>
    <w:rsid w:val="000C63AF"/>
    <w:rsid w:val="000C6444"/>
    <w:rsid w:val="000C687B"/>
    <w:rsid w:val="000C69D1"/>
    <w:rsid w:val="000C6A7B"/>
    <w:rsid w:val="000C757F"/>
    <w:rsid w:val="000C759D"/>
    <w:rsid w:val="000C786F"/>
    <w:rsid w:val="000D0500"/>
    <w:rsid w:val="000D0F9C"/>
    <w:rsid w:val="000D181A"/>
    <w:rsid w:val="000D25A8"/>
    <w:rsid w:val="000D2AE3"/>
    <w:rsid w:val="000D2C0F"/>
    <w:rsid w:val="000D3493"/>
    <w:rsid w:val="000D36C2"/>
    <w:rsid w:val="000D3B7F"/>
    <w:rsid w:val="000D3FBC"/>
    <w:rsid w:val="000D4001"/>
    <w:rsid w:val="000D4386"/>
    <w:rsid w:val="000D4836"/>
    <w:rsid w:val="000D4A72"/>
    <w:rsid w:val="000D59CF"/>
    <w:rsid w:val="000D65EB"/>
    <w:rsid w:val="000D65EE"/>
    <w:rsid w:val="000D6845"/>
    <w:rsid w:val="000D7739"/>
    <w:rsid w:val="000E0A9C"/>
    <w:rsid w:val="000E0BBD"/>
    <w:rsid w:val="000E0CA1"/>
    <w:rsid w:val="000E1711"/>
    <w:rsid w:val="000E1D98"/>
    <w:rsid w:val="000E1DF7"/>
    <w:rsid w:val="000E1E1B"/>
    <w:rsid w:val="000E3415"/>
    <w:rsid w:val="000E3938"/>
    <w:rsid w:val="000E3CBD"/>
    <w:rsid w:val="000E3E02"/>
    <w:rsid w:val="000E3E10"/>
    <w:rsid w:val="000E3F63"/>
    <w:rsid w:val="000E4747"/>
    <w:rsid w:val="000E489F"/>
    <w:rsid w:val="000E4BC0"/>
    <w:rsid w:val="000E4D2B"/>
    <w:rsid w:val="000E530C"/>
    <w:rsid w:val="000E5E44"/>
    <w:rsid w:val="000E6286"/>
    <w:rsid w:val="000E6289"/>
    <w:rsid w:val="000E7D0F"/>
    <w:rsid w:val="000F00CA"/>
    <w:rsid w:val="000F02E9"/>
    <w:rsid w:val="000F1B0D"/>
    <w:rsid w:val="000F1B8A"/>
    <w:rsid w:val="000F25C7"/>
    <w:rsid w:val="000F2CC5"/>
    <w:rsid w:val="000F2FFC"/>
    <w:rsid w:val="000F3625"/>
    <w:rsid w:val="000F38A3"/>
    <w:rsid w:val="000F3FAA"/>
    <w:rsid w:val="000F4DBE"/>
    <w:rsid w:val="000F5718"/>
    <w:rsid w:val="000F5C3B"/>
    <w:rsid w:val="000F6258"/>
    <w:rsid w:val="000F6E17"/>
    <w:rsid w:val="000F70E1"/>
    <w:rsid w:val="000F7744"/>
    <w:rsid w:val="000F7FB1"/>
    <w:rsid w:val="00100DB9"/>
    <w:rsid w:val="00101236"/>
    <w:rsid w:val="0010199A"/>
    <w:rsid w:val="00101C82"/>
    <w:rsid w:val="00102042"/>
    <w:rsid w:val="00102550"/>
    <w:rsid w:val="00102560"/>
    <w:rsid w:val="00103388"/>
    <w:rsid w:val="001038B3"/>
    <w:rsid w:val="001038C1"/>
    <w:rsid w:val="00104C3A"/>
    <w:rsid w:val="0010513B"/>
    <w:rsid w:val="001064C8"/>
    <w:rsid w:val="00106823"/>
    <w:rsid w:val="001068C0"/>
    <w:rsid w:val="00106DC0"/>
    <w:rsid w:val="00107905"/>
    <w:rsid w:val="00107989"/>
    <w:rsid w:val="00107DA1"/>
    <w:rsid w:val="00110176"/>
    <w:rsid w:val="0011112F"/>
    <w:rsid w:val="0011114F"/>
    <w:rsid w:val="00111B96"/>
    <w:rsid w:val="001128B0"/>
    <w:rsid w:val="00112BFE"/>
    <w:rsid w:val="001130DF"/>
    <w:rsid w:val="0011373E"/>
    <w:rsid w:val="00113E92"/>
    <w:rsid w:val="00114349"/>
    <w:rsid w:val="00114476"/>
    <w:rsid w:val="00114AD5"/>
    <w:rsid w:val="00114B42"/>
    <w:rsid w:val="00114F28"/>
    <w:rsid w:val="00115448"/>
    <w:rsid w:val="00115548"/>
    <w:rsid w:val="0011555B"/>
    <w:rsid w:val="00115CAE"/>
    <w:rsid w:val="00115DCB"/>
    <w:rsid w:val="00115E8F"/>
    <w:rsid w:val="00116548"/>
    <w:rsid w:val="001168FF"/>
    <w:rsid w:val="00116C8B"/>
    <w:rsid w:val="00116DB6"/>
    <w:rsid w:val="0011717B"/>
    <w:rsid w:val="0011728A"/>
    <w:rsid w:val="0011736B"/>
    <w:rsid w:val="00117980"/>
    <w:rsid w:val="00117A94"/>
    <w:rsid w:val="0011894E"/>
    <w:rsid w:val="0012038D"/>
    <w:rsid w:val="0012164B"/>
    <w:rsid w:val="0012193C"/>
    <w:rsid w:val="00122E18"/>
    <w:rsid w:val="00123263"/>
    <w:rsid w:val="001232D0"/>
    <w:rsid w:val="00124B17"/>
    <w:rsid w:val="00124BA8"/>
    <w:rsid w:val="00125808"/>
    <w:rsid w:val="00126005"/>
    <w:rsid w:val="00126490"/>
    <w:rsid w:val="00126A14"/>
    <w:rsid w:val="00126F9C"/>
    <w:rsid w:val="001271CB"/>
    <w:rsid w:val="0012799A"/>
    <w:rsid w:val="001279EA"/>
    <w:rsid w:val="00127A41"/>
    <w:rsid w:val="00127B1D"/>
    <w:rsid w:val="00130055"/>
    <w:rsid w:val="001302AF"/>
    <w:rsid w:val="00130509"/>
    <w:rsid w:val="00130A1E"/>
    <w:rsid w:val="00130B19"/>
    <w:rsid w:val="001314A2"/>
    <w:rsid w:val="00131E10"/>
    <w:rsid w:val="00132105"/>
    <w:rsid w:val="001323E2"/>
    <w:rsid w:val="001323F0"/>
    <w:rsid w:val="001331D5"/>
    <w:rsid w:val="00133877"/>
    <w:rsid w:val="00134699"/>
    <w:rsid w:val="0013519A"/>
    <w:rsid w:val="0013532E"/>
    <w:rsid w:val="00135E8D"/>
    <w:rsid w:val="00136E04"/>
    <w:rsid w:val="00137203"/>
    <w:rsid w:val="001375D6"/>
    <w:rsid w:val="00137898"/>
    <w:rsid w:val="00137AE6"/>
    <w:rsid w:val="00137FD6"/>
    <w:rsid w:val="00140C8D"/>
    <w:rsid w:val="001423D9"/>
    <w:rsid w:val="00143096"/>
    <w:rsid w:val="00143138"/>
    <w:rsid w:val="0014313F"/>
    <w:rsid w:val="001436E3"/>
    <w:rsid w:val="0014377D"/>
    <w:rsid w:val="001437C0"/>
    <w:rsid w:val="00143BEF"/>
    <w:rsid w:val="0014459C"/>
    <w:rsid w:val="00144D55"/>
    <w:rsid w:val="001451DE"/>
    <w:rsid w:val="0014550A"/>
    <w:rsid w:val="00145576"/>
    <w:rsid w:val="00145647"/>
    <w:rsid w:val="00145878"/>
    <w:rsid w:val="00145A43"/>
    <w:rsid w:val="00145B8C"/>
    <w:rsid w:val="00145E17"/>
    <w:rsid w:val="0014617D"/>
    <w:rsid w:val="001464A1"/>
    <w:rsid w:val="00146EAB"/>
    <w:rsid w:val="0014734E"/>
    <w:rsid w:val="001478D6"/>
    <w:rsid w:val="00147950"/>
    <w:rsid w:val="00147AC4"/>
    <w:rsid w:val="00147D6E"/>
    <w:rsid w:val="00147E39"/>
    <w:rsid w:val="001502BC"/>
    <w:rsid w:val="00150326"/>
    <w:rsid w:val="001505B9"/>
    <w:rsid w:val="001506C4"/>
    <w:rsid w:val="00150D33"/>
    <w:rsid w:val="00150E6A"/>
    <w:rsid w:val="00150F87"/>
    <w:rsid w:val="001513A5"/>
    <w:rsid w:val="0015147A"/>
    <w:rsid w:val="001514E8"/>
    <w:rsid w:val="00151629"/>
    <w:rsid w:val="00151A98"/>
    <w:rsid w:val="001525B8"/>
    <w:rsid w:val="001528CE"/>
    <w:rsid w:val="00152DFD"/>
    <w:rsid w:val="00153084"/>
    <w:rsid w:val="00153127"/>
    <w:rsid w:val="0015319F"/>
    <w:rsid w:val="001533F8"/>
    <w:rsid w:val="00153B38"/>
    <w:rsid w:val="00153F74"/>
    <w:rsid w:val="001543DC"/>
    <w:rsid w:val="00155420"/>
    <w:rsid w:val="00155855"/>
    <w:rsid w:val="00156751"/>
    <w:rsid w:val="001568A9"/>
    <w:rsid w:val="00157535"/>
    <w:rsid w:val="00160505"/>
    <w:rsid w:val="001606BD"/>
    <w:rsid w:val="001606E6"/>
    <w:rsid w:val="00160792"/>
    <w:rsid w:val="001608D5"/>
    <w:rsid w:val="00160903"/>
    <w:rsid w:val="00160E08"/>
    <w:rsid w:val="00161384"/>
    <w:rsid w:val="00161739"/>
    <w:rsid w:val="001620D3"/>
    <w:rsid w:val="001626AA"/>
    <w:rsid w:val="001627F4"/>
    <w:rsid w:val="00162883"/>
    <w:rsid w:val="0016289D"/>
    <w:rsid w:val="00162A12"/>
    <w:rsid w:val="00162DBF"/>
    <w:rsid w:val="00163B5F"/>
    <w:rsid w:val="001640B6"/>
    <w:rsid w:val="0016556F"/>
    <w:rsid w:val="00165D8C"/>
    <w:rsid w:val="00166A8E"/>
    <w:rsid w:val="00166CA9"/>
    <w:rsid w:val="001672EC"/>
    <w:rsid w:val="00167B04"/>
    <w:rsid w:val="00167C2B"/>
    <w:rsid w:val="001701A2"/>
    <w:rsid w:val="00170DE7"/>
    <w:rsid w:val="0017140C"/>
    <w:rsid w:val="001717A3"/>
    <w:rsid w:val="00171FBB"/>
    <w:rsid w:val="00172A00"/>
    <w:rsid w:val="00173F14"/>
    <w:rsid w:val="00173F59"/>
    <w:rsid w:val="00174180"/>
    <w:rsid w:val="00174553"/>
    <w:rsid w:val="00175350"/>
    <w:rsid w:val="00175627"/>
    <w:rsid w:val="00175906"/>
    <w:rsid w:val="0017598D"/>
    <w:rsid w:val="00175E4C"/>
    <w:rsid w:val="00176076"/>
    <w:rsid w:val="00176C25"/>
    <w:rsid w:val="001774B9"/>
    <w:rsid w:val="0017777D"/>
    <w:rsid w:val="00177925"/>
    <w:rsid w:val="00177953"/>
    <w:rsid w:val="0017ADEF"/>
    <w:rsid w:val="00180568"/>
    <w:rsid w:val="0018089A"/>
    <w:rsid w:val="00180EFD"/>
    <w:rsid w:val="00181C45"/>
    <w:rsid w:val="00181D4B"/>
    <w:rsid w:val="0018289F"/>
    <w:rsid w:val="00182E0F"/>
    <w:rsid w:val="00183169"/>
    <w:rsid w:val="00183BFC"/>
    <w:rsid w:val="00184B45"/>
    <w:rsid w:val="00184FAC"/>
    <w:rsid w:val="001855B2"/>
    <w:rsid w:val="0018567A"/>
    <w:rsid w:val="00185CDA"/>
    <w:rsid w:val="00185E99"/>
    <w:rsid w:val="001866A4"/>
    <w:rsid w:val="0018710B"/>
    <w:rsid w:val="00187868"/>
    <w:rsid w:val="00190277"/>
    <w:rsid w:val="00190288"/>
    <w:rsid w:val="001906A0"/>
    <w:rsid w:val="001906D1"/>
    <w:rsid w:val="00190764"/>
    <w:rsid w:val="00190FF2"/>
    <w:rsid w:val="00192799"/>
    <w:rsid w:val="001929D2"/>
    <w:rsid w:val="00192AAB"/>
    <w:rsid w:val="00192AC8"/>
    <w:rsid w:val="00192B0C"/>
    <w:rsid w:val="00192C42"/>
    <w:rsid w:val="00193783"/>
    <w:rsid w:val="00193907"/>
    <w:rsid w:val="00193DEB"/>
    <w:rsid w:val="00193EDB"/>
    <w:rsid w:val="00193F59"/>
    <w:rsid w:val="00194381"/>
    <w:rsid w:val="001944F2"/>
    <w:rsid w:val="00194D3D"/>
    <w:rsid w:val="00194DDE"/>
    <w:rsid w:val="00195286"/>
    <w:rsid w:val="00195713"/>
    <w:rsid w:val="00195A36"/>
    <w:rsid w:val="001960BD"/>
    <w:rsid w:val="001961B4"/>
    <w:rsid w:val="00196588"/>
    <w:rsid w:val="001969D5"/>
    <w:rsid w:val="00196FAF"/>
    <w:rsid w:val="00197AEB"/>
    <w:rsid w:val="00197BA0"/>
    <w:rsid w:val="001A09B7"/>
    <w:rsid w:val="001A0E2F"/>
    <w:rsid w:val="001A0FCC"/>
    <w:rsid w:val="001A11E6"/>
    <w:rsid w:val="001A1257"/>
    <w:rsid w:val="001A12DA"/>
    <w:rsid w:val="001A13E1"/>
    <w:rsid w:val="001A1813"/>
    <w:rsid w:val="001A2205"/>
    <w:rsid w:val="001A2677"/>
    <w:rsid w:val="001A26A7"/>
    <w:rsid w:val="001A3F44"/>
    <w:rsid w:val="001A431F"/>
    <w:rsid w:val="001A449F"/>
    <w:rsid w:val="001A610C"/>
    <w:rsid w:val="001A6717"/>
    <w:rsid w:val="001A6728"/>
    <w:rsid w:val="001A6D2E"/>
    <w:rsid w:val="001A7627"/>
    <w:rsid w:val="001A7BE1"/>
    <w:rsid w:val="001A7C0D"/>
    <w:rsid w:val="001B04FC"/>
    <w:rsid w:val="001B08C1"/>
    <w:rsid w:val="001B0A2A"/>
    <w:rsid w:val="001B0D4A"/>
    <w:rsid w:val="001B0D98"/>
    <w:rsid w:val="001B0E14"/>
    <w:rsid w:val="001B1E1D"/>
    <w:rsid w:val="001B2067"/>
    <w:rsid w:val="001B2B1D"/>
    <w:rsid w:val="001B3522"/>
    <w:rsid w:val="001B3E13"/>
    <w:rsid w:val="001B407C"/>
    <w:rsid w:val="001B409F"/>
    <w:rsid w:val="001B4191"/>
    <w:rsid w:val="001B430C"/>
    <w:rsid w:val="001B44AC"/>
    <w:rsid w:val="001B49FB"/>
    <w:rsid w:val="001B5DBF"/>
    <w:rsid w:val="001B63AF"/>
    <w:rsid w:val="001B68D0"/>
    <w:rsid w:val="001B6CE3"/>
    <w:rsid w:val="001B6FA5"/>
    <w:rsid w:val="001B74DF"/>
    <w:rsid w:val="001B7AD0"/>
    <w:rsid w:val="001C0293"/>
    <w:rsid w:val="001C0541"/>
    <w:rsid w:val="001C056F"/>
    <w:rsid w:val="001C064F"/>
    <w:rsid w:val="001C06AC"/>
    <w:rsid w:val="001C1B19"/>
    <w:rsid w:val="001C1C2C"/>
    <w:rsid w:val="001C2061"/>
    <w:rsid w:val="001C2230"/>
    <w:rsid w:val="001C2DC2"/>
    <w:rsid w:val="001C2F0B"/>
    <w:rsid w:val="001C332E"/>
    <w:rsid w:val="001C391B"/>
    <w:rsid w:val="001C3A11"/>
    <w:rsid w:val="001C3A22"/>
    <w:rsid w:val="001C4420"/>
    <w:rsid w:val="001C4783"/>
    <w:rsid w:val="001C561C"/>
    <w:rsid w:val="001C626A"/>
    <w:rsid w:val="001C6505"/>
    <w:rsid w:val="001C6643"/>
    <w:rsid w:val="001C66CE"/>
    <w:rsid w:val="001C6732"/>
    <w:rsid w:val="001C6911"/>
    <w:rsid w:val="001C6D21"/>
    <w:rsid w:val="001C6F06"/>
    <w:rsid w:val="001C7379"/>
    <w:rsid w:val="001C740F"/>
    <w:rsid w:val="001C7526"/>
    <w:rsid w:val="001C767E"/>
    <w:rsid w:val="001C778B"/>
    <w:rsid w:val="001C779C"/>
    <w:rsid w:val="001C792E"/>
    <w:rsid w:val="001D0591"/>
    <w:rsid w:val="001D0846"/>
    <w:rsid w:val="001D0BC8"/>
    <w:rsid w:val="001D0C58"/>
    <w:rsid w:val="001D0E34"/>
    <w:rsid w:val="001D0EC9"/>
    <w:rsid w:val="001D1AD3"/>
    <w:rsid w:val="001D1AD9"/>
    <w:rsid w:val="001D1C12"/>
    <w:rsid w:val="001D222D"/>
    <w:rsid w:val="001D264C"/>
    <w:rsid w:val="001D26AE"/>
    <w:rsid w:val="001D3863"/>
    <w:rsid w:val="001D3916"/>
    <w:rsid w:val="001D46FB"/>
    <w:rsid w:val="001D4C77"/>
    <w:rsid w:val="001D4E19"/>
    <w:rsid w:val="001D4F31"/>
    <w:rsid w:val="001D5455"/>
    <w:rsid w:val="001D5CB6"/>
    <w:rsid w:val="001D60BA"/>
    <w:rsid w:val="001D60C8"/>
    <w:rsid w:val="001D615E"/>
    <w:rsid w:val="001D648F"/>
    <w:rsid w:val="001D685A"/>
    <w:rsid w:val="001D72D8"/>
    <w:rsid w:val="001D74B7"/>
    <w:rsid w:val="001E05D0"/>
    <w:rsid w:val="001E0E2E"/>
    <w:rsid w:val="001E1024"/>
    <w:rsid w:val="001E18F0"/>
    <w:rsid w:val="001E1A0D"/>
    <w:rsid w:val="001E1A80"/>
    <w:rsid w:val="001E1B54"/>
    <w:rsid w:val="001E1C75"/>
    <w:rsid w:val="001E2787"/>
    <w:rsid w:val="001E2863"/>
    <w:rsid w:val="001E2CE4"/>
    <w:rsid w:val="001E3A16"/>
    <w:rsid w:val="001E3C00"/>
    <w:rsid w:val="001E3C85"/>
    <w:rsid w:val="001E456C"/>
    <w:rsid w:val="001E4745"/>
    <w:rsid w:val="001E4C1D"/>
    <w:rsid w:val="001E5953"/>
    <w:rsid w:val="001E635D"/>
    <w:rsid w:val="001E6858"/>
    <w:rsid w:val="001E6A9A"/>
    <w:rsid w:val="001E7609"/>
    <w:rsid w:val="001F0247"/>
    <w:rsid w:val="001F111E"/>
    <w:rsid w:val="001F12E0"/>
    <w:rsid w:val="001F1506"/>
    <w:rsid w:val="001F24E0"/>
    <w:rsid w:val="001F24FE"/>
    <w:rsid w:val="001F2D1C"/>
    <w:rsid w:val="001F2FFD"/>
    <w:rsid w:val="001F32D3"/>
    <w:rsid w:val="001F3372"/>
    <w:rsid w:val="001F35D1"/>
    <w:rsid w:val="001F35F0"/>
    <w:rsid w:val="001F3BCE"/>
    <w:rsid w:val="001F4078"/>
    <w:rsid w:val="001F42A2"/>
    <w:rsid w:val="001F45AC"/>
    <w:rsid w:val="001F56F2"/>
    <w:rsid w:val="001F5FDF"/>
    <w:rsid w:val="001F6473"/>
    <w:rsid w:val="001F64E3"/>
    <w:rsid w:val="001F65F2"/>
    <w:rsid w:val="001F6E3C"/>
    <w:rsid w:val="001F77E4"/>
    <w:rsid w:val="001F7ADC"/>
    <w:rsid w:val="00200256"/>
    <w:rsid w:val="002002E2"/>
    <w:rsid w:val="002006F8"/>
    <w:rsid w:val="0020197D"/>
    <w:rsid w:val="002024CE"/>
    <w:rsid w:val="00202748"/>
    <w:rsid w:val="002040FB"/>
    <w:rsid w:val="0020451F"/>
    <w:rsid w:val="002046A5"/>
    <w:rsid w:val="00204C1E"/>
    <w:rsid w:val="0020533E"/>
    <w:rsid w:val="0020541F"/>
    <w:rsid w:val="002056D2"/>
    <w:rsid w:val="0020594B"/>
    <w:rsid w:val="00205ED9"/>
    <w:rsid w:val="002065A7"/>
    <w:rsid w:val="00206EA0"/>
    <w:rsid w:val="0021086E"/>
    <w:rsid w:val="00210D78"/>
    <w:rsid w:val="0021101F"/>
    <w:rsid w:val="00211300"/>
    <w:rsid w:val="00211330"/>
    <w:rsid w:val="00211597"/>
    <w:rsid w:val="00211DB4"/>
    <w:rsid w:val="00212A21"/>
    <w:rsid w:val="00212D05"/>
    <w:rsid w:val="00212EC9"/>
    <w:rsid w:val="00213FB4"/>
    <w:rsid w:val="0021405A"/>
    <w:rsid w:val="002142E6"/>
    <w:rsid w:val="00214EF0"/>
    <w:rsid w:val="00215645"/>
    <w:rsid w:val="0021577C"/>
    <w:rsid w:val="002158EE"/>
    <w:rsid w:val="00215909"/>
    <w:rsid w:val="002159D6"/>
    <w:rsid w:val="00215D15"/>
    <w:rsid w:val="0021610D"/>
    <w:rsid w:val="0021638A"/>
    <w:rsid w:val="0021659F"/>
    <w:rsid w:val="00216AF7"/>
    <w:rsid w:val="00216CCB"/>
    <w:rsid w:val="00217190"/>
    <w:rsid w:val="002172EC"/>
    <w:rsid w:val="0022002E"/>
    <w:rsid w:val="002206A7"/>
    <w:rsid w:val="00220840"/>
    <w:rsid w:val="00220D02"/>
    <w:rsid w:val="00221844"/>
    <w:rsid w:val="00221D9D"/>
    <w:rsid w:val="002224EE"/>
    <w:rsid w:val="00222557"/>
    <w:rsid w:val="00223671"/>
    <w:rsid w:val="002238DC"/>
    <w:rsid w:val="00223CFC"/>
    <w:rsid w:val="00223E97"/>
    <w:rsid w:val="00223EDE"/>
    <w:rsid w:val="00223F7B"/>
    <w:rsid w:val="002247E8"/>
    <w:rsid w:val="00224B24"/>
    <w:rsid w:val="00224F12"/>
    <w:rsid w:val="0022525C"/>
    <w:rsid w:val="0022535A"/>
    <w:rsid w:val="002254E3"/>
    <w:rsid w:val="0022583F"/>
    <w:rsid w:val="00226476"/>
    <w:rsid w:val="002264D3"/>
    <w:rsid w:val="00226BD7"/>
    <w:rsid w:val="00226CD1"/>
    <w:rsid w:val="002279F2"/>
    <w:rsid w:val="00227AF3"/>
    <w:rsid w:val="0023032E"/>
    <w:rsid w:val="002304E5"/>
    <w:rsid w:val="00230797"/>
    <w:rsid w:val="002308F4"/>
    <w:rsid w:val="00230C55"/>
    <w:rsid w:val="002313DB"/>
    <w:rsid w:val="002315F4"/>
    <w:rsid w:val="0023163D"/>
    <w:rsid w:val="00231A45"/>
    <w:rsid w:val="00231A77"/>
    <w:rsid w:val="00231F18"/>
    <w:rsid w:val="00232414"/>
    <w:rsid w:val="00232500"/>
    <w:rsid w:val="00232979"/>
    <w:rsid w:val="00232B84"/>
    <w:rsid w:val="00232D92"/>
    <w:rsid w:val="00232E07"/>
    <w:rsid w:val="00232E61"/>
    <w:rsid w:val="00232F43"/>
    <w:rsid w:val="00233204"/>
    <w:rsid w:val="002335C9"/>
    <w:rsid w:val="0023398E"/>
    <w:rsid w:val="00233DB8"/>
    <w:rsid w:val="002342DC"/>
    <w:rsid w:val="002357D8"/>
    <w:rsid w:val="00235C6C"/>
    <w:rsid w:val="00235D39"/>
    <w:rsid w:val="002360AB"/>
    <w:rsid w:val="00236AB5"/>
    <w:rsid w:val="0023709E"/>
    <w:rsid w:val="00237598"/>
    <w:rsid w:val="002401E9"/>
    <w:rsid w:val="00240377"/>
    <w:rsid w:val="00240423"/>
    <w:rsid w:val="00240AF6"/>
    <w:rsid w:val="00240D22"/>
    <w:rsid w:val="00241BCC"/>
    <w:rsid w:val="00241C7A"/>
    <w:rsid w:val="00241FD8"/>
    <w:rsid w:val="002429EC"/>
    <w:rsid w:val="00243057"/>
    <w:rsid w:val="002437CB"/>
    <w:rsid w:val="0024441C"/>
    <w:rsid w:val="0024452B"/>
    <w:rsid w:val="002445F5"/>
    <w:rsid w:val="00244C00"/>
    <w:rsid w:val="00244C53"/>
    <w:rsid w:val="00245884"/>
    <w:rsid w:val="002460F0"/>
    <w:rsid w:val="0024694E"/>
    <w:rsid w:val="00246D1D"/>
    <w:rsid w:val="00247002"/>
    <w:rsid w:val="002479C7"/>
    <w:rsid w:val="00247B49"/>
    <w:rsid w:val="002506CA"/>
    <w:rsid w:val="00250C58"/>
    <w:rsid w:val="00251095"/>
    <w:rsid w:val="002516CE"/>
    <w:rsid w:val="00251821"/>
    <w:rsid w:val="00251CFC"/>
    <w:rsid w:val="00251EFC"/>
    <w:rsid w:val="002524A2"/>
    <w:rsid w:val="00252EF4"/>
    <w:rsid w:val="00253016"/>
    <w:rsid w:val="002531E1"/>
    <w:rsid w:val="0025331D"/>
    <w:rsid w:val="00253903"/>
    <w:rsid w:val="00253B0B"/>
    <w:rsid w:val="00253E0D"/>
    <w:rsid w:val="00253F02"/>
    <w:rsid w:val="00253F54"/>
    <w:rsid w:val="00254332"/>
    <w:rsid w:val="002544BE"/>
    <w:rsid w:val="002559F2"/>
    <w:rsid w:val="00255E60"/>
    <w:rsid w:val="00255F33"/>
    <w:rsid w:val="00256928"/>
    <w:rsid w:val="00256EF5"/>
    <w:rsid w:val="002578D1"/>
    <w:rsid w:val="002579B6"/>
    <w:rsid w:val="00257E38"/>
    <w:rsid w:val="002600AD"/>
    <w:rsid w:val="00260E67"/>
    <w:rsid w:val="00261496"/>
    <w:rsid w:val="00261794"/>
    <w:rsid w:val="002619BB"/>
    <w:rsid w:val="00261A1B"/>
    <w:rsid w:val="00261C30"/>
    <w:rsid w:val="00261CE1"/>
    <w:rsid w:val="002621D1"/>
    <w:rsid w:val="002625F9"/>
    <w:rsid w:val="00262B53"/>
    <w:rsid w:val="00263472"/>
    <w:rsid w:val="002639DF"/>
    <w:rsid w:val="00263C94"/>
    <w:rsid w:val="00264005"/>
    <w:rsid w:val="00264712"/>
    <w:rsid w:val="0026500A"/>
    <w:rsid w:val="002652F6"/>
    <w:rsid w:val="002666D6"/>
    <w:rsid w:val="00266715"/>
    <w:rsid w:val="00266716"/>
    <w:rsid w:val="00266D4D"/>
    <w:rsid w:val="00266E88"/>
    <w:rsid w:val="0026760A"/>
    <w:rsid w:val="00270AC3"/>
    <w:rsid w:val="0027101B"/>
    <w:rsid w:val="00271453"/>
    <w:rsid w:val="0027173C"/>
    <w:rsid w:val="00271DF4"/>
    <w:rsid w:val="00272310"/>
    <w:rsid w:val="00272700"/>
    <w:rsid w:val="00273639"/>
    <w:rsid w:val="002738EB"/>
    <w:rsid w:val="00273CF1"/>
    <w:rsid w:val="00274242"/>
    <w:rsid w:val="0027448F"/>
    <w:rsid w:val="00274B45"/>
    <w:rsid w:val="002751FA"/>
    <w:rsid w:val="0027544F"/>
    <w:rsid w:val="00275565"/>
    <w:rsid w:val="002755CD"/>
    <w:rsid w:val="002766BD"/>
    <w:rsid w:val="002768AC"/>
    <w:rsid w:val="00276B75"/>
    <w:rsid w:val="00276C07"/>
    <w:rsid w:val="00276C4A"/>
    <w:rsid w:val="00276CA2"/>
    <w:rsid w:val="002776CB"/>
    <w:rsid w:val="00277AA8"/>
    <w:rsid w:val="002806B4"/>
    <w:rsid w:val="002807D0"/>
    <w:rsid w:val="0028085E"/>
    <w:rsid w:val="00280976"/>
    <w:rsid w:val="0028097A"/>
    <w:rsid w:val="00281475"/>
    <w:rsid w:val="002815AF"/>
    <w:rsid w:val="002820A8"/>
    <w:rsid w:val="00282B6B"/>
    <w:rsid w:val="00282C4F"/>
    <w:rsid w:val="00283043"/>
    <w:rsid w:val="002830D7"/>
    <w:rsid w:val="0028312E"/>
    <w:rsid w:val="00283BDB"/>
    <w:rsid w:val="00284329"/>
    <w:rsid w:val="00285057"/>
    <w:rsid w:val="00285DD4"/>
    <w:rsid w:val="0028619F"/>
    <w:rsid w:val="002865A4"/>
    <w:rsid w:val="0028666A"/>
    <w:rsid w:val="0028683D"/>
    <w:rsid w:val="00286972"/>
    <w:rsid w:val="00286B27"/>
    <w:rsid w:val="00287071"/>
    <w:rsid w:val="00287584"/>
    <w:rsid w:val="00287DE3"/>
    <w:rsid w:val="00290BC8"/>
    <w:rsid w:val="00290E4D"/>
    <w:rsid w:val="00291296"/>
    <w:rsid w:val="00291360"/>
    <w:rsid w:val="00292E52"/>
    <w:rsid w:val="00292FBE"/>
    <w:rsid w:val="002936C3"/>
    <w:rsid w:val="00293EF0"/>
    <w:rsid w:val="00294553"/>
    <w:rsid w:val="00294686"/>
    <w:rsid w:val="002948EB"/>
    <w:rsid w:val="00295654"/>
    <w:rsid w:val="00296208"/>
    <w:rsid w:val="002969BC"/>
    <w:rsid w:val="00296A1A"/>
    <w:rsid w:val="00296DC3"/>
    <w:rsid w:val="002975CC"/>
    <w:rsid w:val="0029BD5B"/>
    <w:rsid w:val="002A09FF"/>
    <w:rsid w:val="002A1824"/>
    <w:rsid w:val="002A1DAA"/>
    <w:rsid w:val="002A1DD5"/>
    <w:rsid w:val="002A1E40"/>
    <w:rsid w:val="002A1FE1"/>
    <w:rsid w:val="002A2787"/>
    <w:rsid w:val="002A2F02"/>
    <w:rsid w:val="002A388E"/>
    <w:rsid w:val="002A3B09"/>
    <w:rsid w:val="002A3D72"/>
    <w:rsid w:val="002A471B"/>
    <w:rsid w:val="002A5932"/>
    <w:rsid w:val="002A59B0"/>
    <w:rsid w:val="002A71E8"/>
    <w:rsid w:val="002A7CFB"/>
    <w:rsid w:val="002B03B1"/>
    <w:rsid w:val="002B03B9"/>
    <w:rsid w:val="002B0E02"/>
    <w:rsid w:val="002B1137"/>
    <w:rsid w:val="002B11D3"/>
    <w:rsid w:val="002B1423"/>
    <w:rsid w:val="002B1D33"/>
    <w:rsid w:val="002B2CA2"/>
    <w:rsid w:val="002B2D01"/>
    <w:rsid w:val="002B3049"/>
    <w:rsid w:val="002B345A"/>
    <w:rsid w:val="002B35A6"/>
    <w:rsid w:val="002B40D4"/>
    <w:rsid w:val="002B410D"/>
    <w:rsid w:val="002B4718"/>
    <w:rsid w:val="002B4E55"/>
    <w:rsid w:val="002B522F"/>
    <w:rsid w:val="002B52A6"/>
    <w:rsid w:val="002B5400"/>
    <w:rsid w:val="002B5825"/>
    <w:rsid w:val="002B59A7"/>
    <w:rsid w:val="002B5DFE"/>
    <w:rsid w:val="002B6231"/>
    <w:rsid w:val="002B6C81"/>
    <w:rsid w:val="002B6D51"/>
    <w:rsid w:val="002B6DAE"/>
    <w:rsid w:val="002B77DF"/>
    <w:rsid w:val="002B7BD1"/>
    <w:rsid w:val="002B7BE2"/>
    <w:rsid w:val="002B7C20"/>
    <w:rsid w:val="002B7CFC"/>
    <w:rsid w:val="002B7EEB"/>
    <w:rsid w:val="002C0201"/>
    <w:rsid w:val="002C035E"/>
    <w:rsid w:val="002C09F5"/>
    <w:rsid w:val="002C1226"/>
    <w:rsid w:val="002C1676"/>
    <w:rsid w:val="002C1D4C"/>
    <w:rsid w:val="002C22AD"/>
    <w:rsid w:val="002C23BB"/>
    <w:rsid w:val="002C2418"/>
    <w:rsid w:val="002C2A40"/>
    <w:rsid w:val="002C373B"/>
    <w:rsid w:val="002C3C18"/>
    <w:rsid w:val="002C425A"/>
    <w:rsid w:val="002C47E6"/>
    <w:rsid w:val="002C4B63"/>
    <w:rsid w:val="002C4D3B"/>
    <w:rsid w:val="002C4F5E"/>
    <w:rsid w:val="002C53B8"/>
    <w:rsid w:val="002C53C2"/>
    <w:rsid w:val="002C59E4"/>
    <w:rsid w:val="002C5C39"/>
    <w:rsid w:val="002C694C"/>
    <w:rsid w:val="002C6C9A"/>
    <w:rsid w:val="002C70F5"/>
    <w:rsid w:val="002C7E54"/>
    <w:rsid w:val="002D0294"/>
    <w:rsid w:val="002D03F1"/>
    <w:rsid w:val="002D05F7"/>
    <w:rsid w:val="002D0A70"/>
    <w:rsid w:val="002D0BFF"/>
    <w:rsid w:val="002D1734"/>
    <w:rsid w:val="002D2CE7"/>
    <w:rsid w:val="002D2D09"/>
    <w:rsid w:val="002D2D24"/>
    <w:rsid w:val="002D2D34"/>
    <w:rsid w:val="002D41FF"/>
    <w:rsid w:val="002D43E1"/>
    <w:rsid w:val="002D4679"/>
    <w:rsid w:val="002D48D9"/>
    <w:rsid w:val="002D49C6"/>
    <w:rsid w:val="002D57CC"/>
    <w:rsid w:val="002D593E"/>
    <w:rsid w:val="002D5C61"/>
    <w:rsid w:val="002D6A5D"/>
    <w:rsid w:val="002D7242"/>
    <w:rsid w:val="002D72DA"/>
    <w:rsid w:val="002D766B"/>
    <w:rsid w:val="002D7744"/>
    <w:rsid w:val="002D7839"/>
    <w:rsid w:val="002D78F7"/>
    <w:rsid w:val="002D790A"/>
    <w:rsid w:val="002D7C19"/>
    <w:rsid w:val="002D7C97"/>
    <w:rsid w:val="002E00B9"/>
    <w:rsid w:val="002E02A5"/>
    <w:rsid w:val="002E0384"/>
    <w:rsid w:val="002E045A"/>
    <w:rsid w:val="002E05F5"/>
    <w:rsid w:val="002E0F5A"/>
    <w:rsid w:val="002E1479"/>
    <w:rsid w:val="002E1C3B"/>
    <w:rsid w:val="002E1FC5"/>
    <w:rsid w:val="002E20A1"/>
    <w:rsid w:val="002E21BE"/>
    <w:rsid w:val="002E2717"/>
    <w:rsid w:val="002E3BF5"/>
    <w:rsid w:val="002E3C97"/>
    <w:rsid w:val="002E3DAD"/>
    <w:rsid w:val="002E41D3"/>
    <w:rsid w:val="002E42F9"/>
    <w:rsid w:val="002E43FD"/>
    <w:rsid w:val="002E4C9D"/>
    <w:rsid w:val="002E4DEE"/>
    <w:rsid w:val="002E5225"/>
    <w:rsid w:val="002E539F"/>
    <w:rsid w:val="002E6F3F"/>
    <w:rsid w:val="002E746F"/>
    <w:rsid w:val="002E7C53"/>
    <w:rsid w:val="002F01CC"/>
    <w:rsid w:val="002F033D"/>
    <w:rsid w:val="002F0629"/>
    <w:rsid w:val="002F0783"/>
    <w:rsid w:val="002F0882"/>
    <w:rsid w:val="002F0E00"/>
    <w:rsid w:val="002F0F27"/>
    <w:rsid w:val="002F12E9"/>
    <w:rsid w:val="002F13A2"/>
    <w:rsid w:val="002F163C"/>
    <w:rsid w:val="002F1C3A"/>
    <w:rsid w:val="002F1CFB"/>
    <w:rsid w:val="002F21B9"/>
    <w:rsid w:val="002F2339"/>
    <w:rsid w:val="002F2BBB"/>
    <w:rsid w:val="002F3828"/>
    <w:rsid w:val="002F428F"/>
    <w:rsid w:val="002F458B"/>
    <w:rsid w:val="002F4EEF"/>
    <w:rsid w:val="002F5973"/>
    <w:rsid w:val="002F5BF8"/>
    <w:rsid w:val="002F5CF9"/>
    <w:rsid w:val="002F6214"/>
    <w:rsid w:val="002F6329"/>
    <w:rsid w:val="002F6404"/>
    <w:rsid w:val="002F69C1"/>
    <w:rsid w:val="00300459"/>
    <w:rsid w:val="003028F8"/>
    <w:rsid w:val="00303208"/>
    <w:rsid w:val="00303C48"/>
    <w:rsid w:val="0030468A"/>
    <w:rsid w:val="0030488C"/>
    <w:rsid w:val="003049D9"/>
    <w:rsid w:val="00304D8E"/>
    <w:rsid w:val="0030589A"/>
    <w:rsid w:val="00306074"/>
    <w:rsid w:val="0030611B"/>
    <w:rsid w:val="003064A6"/>
    <w:rsid w:val="00306AE9"/>
    <w:rsid w:val="00306EC8"/>
    <w:rsid w:val="0030740A"/>
    <w:rsid w:val="00307BC9"/>
    <w:rsid w:val="00307ED0"/>
    <w:rsid w:val="003108D9"/>
    <w:rsid w:val="00310975"/>
    <w:rsid w:val="003110B5"/>
    <w:rsid w:val="0031145C"/>
    <w:rsid w:val="00311503"/>
    <w:rsid w:val="0031237F"/>
    <w:rsid w:val="00312807"/>
    <w:rsid w:val="0031297D"/>
    <w:rsid w:val="00312EA2"/>
    <w:rsid w:val="00312EAD"/>
    <w:rsid w:val="00312FB4"/>
    <w:rsid w:val="003136D9"/>
    <w:rsid w:val="00313899"/>
    <w:rsid w:val="00313B05"/>
    <w:rsid w:val="003142D9"/>
    <w:rsid w:val="003144B6"/>
    <w:rsid w:val="003144C8"/>
    <w:rsid w:val="00314761"/>
    <w:rsid w:val="00314C25"/>
    <w:rsid w:val="00314C37"/>
    <w:rsid w:val="00314D61"/>
    <w:rsid w:val="00314EEA"/>
    <w:rsid w:val="003151B9"/>
    <w:rsid w:val="003158BB"/>
    <w:rsid w:val="003160FD"/>
    <w:rsid w:val="00316981"/>
    <w:rsid w:val="00316A78"/>
    <w:rsid w:val="00316E1F"/>
    <w:rsid w:val="0031708A"/>
    <w:rsid w:val="00317101"/>
    <w:rsid w:val="00317A11"/>
    <w:rsid w:val="00317AF5"/>
    <w:rsid w:val="00320345"/>
    <w:rsid w:val="00320610"/>
    <w:rsid w:val="00321E6A"/>
    <w:rsid w:val="0032237A"/>
    <w:rsid w:val="003223EB"/>
    <w:rsid w:val="003234C6"/>
    <w:rsid w:val="0032376F"/>
    <w:rsid w:val="00323789"/>
    <w:rsid w:val="0032390C"/>
    <w:rsid w:val="0032401D"/>
    <w:rsid w:val="003245BE"/>
    <w:rsid w:val="00324695"/>
    <w:rsid w:val="00324886"/>
    <w:rsid w:val="0032499A"/>
    <w:rsid w:val="0032503D"/>
    <w:rsid w:val="00325116"/>
    <w:rsid w:val="0032559C"/>
    <w:rsid w:val="00325760"/>
    <w:rsid w:val="0032582E"/>
    <w:rsid w:val="00325EDF"/>
    <w:rsid w:val="00326484"/>
    <w:rsid w:val="0032669B"/>
    <w:rsid w:val="00327096"/>
    <w:rsid w:val="00327490"/>
    <w:rsid w:val="00327F00"/>
    <w:rsid w:val="0033086E"/>
    <w:rsid w:val="00331163"/>
    <w:rsid w:val="0033182B"/>
    <w:rsid w:val="00331A70"/>
    <w:rsid w:val="0033240C"/>
    <w:rsid w:val="0033273D"/>
    <w:rsid w:val="00332936"/>
    <w:rsid w:val="00333016"/>
    <w:rsid w:val="00333071"/>
    <w:rsid w:val="003331CA"/>
    <w:rsid w:val="003335AB"/>
    <w:rsid w:val="00333852"/>
    <w:rsid w:val="00333DE6"/>
    <w:rsid w:val="003346CA"/>
    <w:rsid w:val="00334DE4"/>
    <w:rsid w:val="00334E4A"/>
    <w:rsid w:val="00335731"/>
    <w:rsid w:val="00335FE6"/>
    <w:rsid w:val="00336398"/>
    <w:rsid w:val="0033708F"/>
    <w:rsid w:val="003408D5"/>
    <w:rsid w:val="003410C6"/>
    <w:rsid w:val="003412C1"/>
    <w:rsid w:val="003420EA"/>
    <w:rsid w:val="003424A2"/>
    <w:rsid w:val="00342B76"/>
    <w:rsid w:val="00342E69"/>
    <w:rsid w:val="003430F1"/>
    <w:rsid w:val="003431CD"/>
    <w:rsid w:val="00343231"/>
    <w:rsid w:val="003435BF"/>
    <w:rsid w:val="00343898"/>
    <w:rsid w:val="0034426E"/>
    <w:rsid w:val="00344315"/>
    <w:rsid w:val="0034537C"/>
    <w:rsid w:val="00345A69"/>
    <w:rsid w:val="00345C53"/>
    <w:rsid w:val="00345DA8"/>
    <w:rsid w:val="003462A8"/>
    <w:rsid w:val="003469D5"/>
    <w:rsid w:val="00346B2E"/>
    <w:rsid w:val="00346C4A"/>
    <w:rsid w:val="003472A3"/>
    <w:rsid w:val="00347579"/>
    <w:rsid w:val="00347859"/>
    <w:rsid w:val="00347B8B"/>
    <w:rsid w:val="00347D0A"/>
    <w:rsid w:val="00350FB8"/>
    <w:rsid w:val="00351190"/>
    <w:rsid w:val="003513E1"/>
    <w:rsid w:val="00352D6C"/>
    <w:rsid w:val="0035317F"/>
    <w:rsid w:val="003536C9"/>
    <w:rsid w:val="00353AC1"/>
    <w:rsid w:val="00353C28"/>
    <w:rsid w:val="00353FB6"/>
    <w:rsid w:val="003543CA"/>
    <w:rsid w:val="00354696"/>
    <w:rsid w:val="00354BEC"/>
    <w:rsid w:val="00354E9E"/>
    <w:rsid w:val="00355BEE"/>
    <w:rsid w:val="00355FA3"/>
    <w:rsid w:val="00356FF1"/>
    <w:rsid w:val="00357DA4"/>
    <w:rsid w:val="00360233"/>
    <w:rsid w:val="0036047D"/>
    <w:rsid w:val="00360B0E"/>
    <w:rsid w:val="00360C7A"/>
    <w:rsid w:val="00361860"/>
    <w:rsid w:val="00361BF8"/>
    <w:rsid w:val="0036310F"/>
    <w:rsid w:val="00363863"/>
    <w:rsid w:val="00363D2C"/>
    <w:rsid w:val="00363FA3"/>
    <w:rsid w:val="00364308"/>
    <w:rsid w:val="003652A2"/>
    <w:rsid w:val="00365AF0"/>
    <w:rsid w:val="00365CD4"/>
    <w:rsid w:val="0036654A"/>
    <w:rsid w:val="00366F25"/>
    <w:rsid w:val="0036708C"/>
    <w:rsid w:val="00367451"/>
    <w:rsid w:val="0036758F"/>
    <w:rsid w:val="0036775E"/>
    <w:rsid w:val="00367BDF"/>
    <w:rsid w:val="00367D0E"/>
    <w:rsid w:val="003700E7"/>
    <w:rsid w:val="00370772"/>
    <w:rsid w:val="0037195A"/>
    <w:rsid w:val="003722F4"/>
    <w:rsid w:val="003726A2"/>
    <w:rsid w:val="00372A32"/>
    <w:rsid w:val="00372E2E"/>
    <w:rsid w:val="00373590"/>
    <w:rsid w:val="00373896"/>
    <w:rsid w:val="00373A72"/>
    <w:rsid w:val="00373A9D"/>
    <w:rsid w:val="00373AD4"/>
    <w:rsid w:val="003740F9"/>
    <w:rsid w:val="00375514"/>
    <w:rsid w:val="003758E8"/>
    <w:rsid w:val="00375B9A"/>
    <w:rsid w:val="00375D0A"/>
    <w:rsid w:val="00375DE1"/>
    <w:rsid w:val="00376004"/>
    <w:rsid w:val="003764B1"/>
    <w:rsid w:val="003771E3"/>
    <w:rsid w:val="00377A1A"/>
    <w:rsid w:val="0038000A"/>
    <w:rsid w:val="00381BD6"/>
    <w:rsid w:val="00381C96"/>
    <w:rsid w:val="00381E64"/>
    <w:rsid w:val="0038264F"/>
    <w:rsid w:val="00382BE7"/>
    <w:rsid w:val="00382C4F"/>
    <w:rsid w:val="00382EE5"/>
    <w:rsid w:val="00383598"/>
    <w:rsid w:val="00383DAA"/>
    <w:rsid w:val="00383DF0"/>
    <w:rsid w:val="00383F86"/>
    <w:rsid w:val="00384261"/>
    <w:rsid w:val="00384E84"/>
    <w:rsid w:val="003856F9"/>
    <w:rsid w:val="00385FFB"/>
    <w:rsid w:val="003863D0"/>
    <w:rsid w:val="00386559"/>
    <w:rsid w:val="003869F4"/>
    <w:rsid w:val="00386B16"/>
    <w:rsid w:val="0038739C"/>
    <w:rsid w:val="00387696"/>
    <w:rsid w:val="00387A66"/>
    <w:rsid w:val="00387D2D"/>
    <w:rsid w:val="00390055"/>
    <w:rsid w:val="00390200"/>
    <w:rsid w:val="00390595"/>
    <w:rsid w:val="00390704"/>
    <w:rsid w:val="00390965"/>
    <w:rsid w:val="00390E72"/>
    <w:rsid w:val="00391D91"/>
    <w:rsid w:val="00393461"/>
    <w:rsid w:val="00393C05"/>
    <w:rsid w:val="00393FE8"/>
    <w:rsid w:val="00394518"/>
    <w:rsid w:val="00394C59"/>
    <w:rsid w:val="00395216"/>
    <w:rsid w:val="00395F76"/>
    <w:rsid w:val="00395F78"/>
    <w:rsid w:val="003960C5"/>
    <w:rsid w:val="0039632F"/>
    <w:rsid w:val="0039749B"/>
    <w:rsid w:val="003974CB"/>
    <w:rsid w:val="00397681"/>
    <w:rsid w:val="003A0C16"/>
    <w:rsid w:val="003A0DF4"/>
    <w:rsid w:val="003A0E83"/>
    <w:rsid w:val="003A158D"/>
    <w:rsid w:val="003A15BD"/>
    <w:rsid w:val="003A185B"/>
    <w:rsid w:val="003A1A36"/>
    <w:rsid w:val="003A21FB"/>
    <w:rsid w:val="003A2C6E"/>
    <w:rsid w:val="003A378E"/>
    <w:rsid w:val="003A3CBF"/>
    <w:rsid w:val="003A48A6"/>
    <w:rsid w:val="003A5802"/>
    <w:rsid w:val="003A6372"/>
    <w:rsid w:val="003A71FC"/>
    <w:rsid w:val="003A73DF"/>
    <w:rsid w:val="003A75E2"/>
    <w:rsid w:val="003A761F"/>
    <w:rsid w:val="003A7761"/>
    <w:rsid w:val="003A79D5"/>
    <w:rsid w:val="003A7C03"/>
    <w:rsid w:val="003A7E10"/>
    <w:rsid w:val="003B0803"/>
    <w:rsid w:val="003B08FB"/>
    <w:rsid w:val="003B1179"/>
    <w:rsid w:val="003B1370"/>
    <w:rsid w:val="003B14A0"/>
    <w:rsid w:val="003B1600"/>
    <w:rsid w:val="003B161E"/>
    <w:rsid w:val="003B2B7C"/>
    <w:rsid w:val="003B2D91"/>
    <w:rsid w:val="003B37BF"/>
    <w:rsid w:val="003B41E7"/>
    <w:rsid w:val="003B4658"/>
    <w:rsid w:val="003B5157"/>
    <w:rsid w:val="003B5A59"/>
    <w:rsid w:val="003B5B4E"/>
    <w:rsid w:val="003B5E96"/>
    <w:rsid w:val="003B67FB"/>
    <w:rsid w:val="003B7918"/>
    <w:rsid w:val="003B7B33"/>
    <w:rsid w:val="003B7B6B"/>
    <w:rsid w:val="003C05AA"/>
    <w:rsid w:val="003C0AE6"/>
    <w:rsid w:val="003C12BF"/>
    <w:rsid w:val="003C1E93"/>
    <w:rsid w:val="003C23A1"/>
    <w:rsid w:val="003C2916"/>
    <w:rsid w:val="003C3622"/>
    <w:rsid w:val="003C37B6"/>
    <w:rsid w:val="003C395B"/>
    <w:rsid w:val="003C3B29"/>
    <w:rsid w:val="003C4658"/>
    <w:rsid w:val="003C4F78"/>
    <w:rsid w:val="003C5FB1"/>
    <w:rsid w:val="003C626B"/>
    <w:rsid w:val="003C6A9C"/>
    <w:rsid w:val="003C6D21"/>
    <w:rsid w:val="003C6FF8"/>
    <w:rsid w:val="003C7801"/>
    <w:rsid w:val="003C7DD9"/>
    <w:rsid w:val="003D0194"/>
    <w:rsid w:val="003D062C"/>
    <w:rsid w:val="003D09C0"/>
    <w:rsid w:val="003D0A1D"/>
    <w:rsid w:val="003D0CF9"/>
    <w:rsid w:val="003D0F40"/>
    <w:rsid w:val="003D1C31"/>
    <w:rsid w:val="003D1CE2"/>
    <w:rsid w:val="003D1DEF"/>
    <w:rsid w:val="003D1E08"/>
    <w:rsid w:val="003D2072"/>
    <w:rsid w:val="003D20C5"/>
    <w:rsid w:val="003D25DB"/>
    <w:rsid w:val="003D2818"/>
    <w:rsid w:val="003D292A"/>
    <w:rsid w:val="003D2EE0"/>
    <w:rsid w:val="003D323E"/>
    <w:rsid w:val="003D32BD"/>
    <w:rsid w:val="003D32C4"/>
    <w:rsid w:val="003D369C"/>
    <w:rsid w:val="003D4102"/>
    <w:rsid w:val="003D4157"/>
    <w:rsid w:val="003D4217"/>
    <w:rsid w:val="003D4776"/>
    <w:rsid w:val="003D4D49"/>
    <w:rsid w:val="003D4E1C"/>
    <w:rsid w:val="003D4FE7"/>
    <w:rsid w:val="003D5C80"/>
    <w:rsid w:val="003D5C84"/>
    <w:rsid w:val="003D62F2"/>
    <w:rsid w:val="003D634F"/>
    <w:rsid w:val="003D654E"/>
    <w:rsid w:val="003D66E2"/>
    <w:rsid w:val="003D6FEB"/>
    <w:rsid w:val="003D7731"/>
    <w:rsid w:val="003D782B"/>
    <w:rsid w:val="003D7F8A"/>
    <w:rsid w:val="003E0375"/>
    <w:rsid w:val="003E098A"/>
    <w:rsid w:val="003E121F"/>
    <w:rsid w:val="003E1761"/>
    <w:rsid w:val="003E24EF"/>
    <w:rsid w:val="003E2897"/>
    <w:rsid w:val="003E32CF"/>
    <w:rsid w:val="003E357A"/>
    <w:rsid w:val="003E3888"/>
    <w:rsid w:val="003E3E9D"/>
    <w:rsid w:val="003E3EBF"/>
    <w:rsid w:val="003E43E6"/>
    <w:rsid w:val="003E4582"/>
    <w:rsid w:val="003E4739"/>
    <w:rsid w:val="003E500A"/>
    <w:rsid w:val="003E56C7"/>
    <w:rsid w:val="003E5B5F"/>
    <w:rsid w:val="003E5DF8"/>
    <w:rsid w:val="003E6764"/>
    <w:rsid w:val="003E6B2C"/>
    <w:rsid w:val="003E737A"/>
    <w:rsid w:val="003F020E"/>
    <w:rsid w:val="003F0374"/>
    <w:rsid w:val="003F0E5F"/>
    <w:rsid w:val="003F0EB2"/>
    <w:rsid w:val="003F1F27"/>
    <w:rsid w:val="003F2202"/>
    <w:rsid w:val="003F226E"/>
    <w:rsid w:val="003F2415"/>
    <w:rsid w:val="003F241D"/>
    <w:rsid w:val="003F2C0C"/>
    <w:rsid w:val="003F31D8"/>
    <w:rsid w:val="003F3F1E"/>
    <w:rsid w:val="003F4262"/>
    <w:rsid w:val="003F526D"/>
    <w:rsid w:val="003F57E1"/>
    <w:rsid w:val="003F5A7B"/>
    <w:rsid w:val="003F5E8E"/>
    <w:rsid w:val="003F5F01"/>
    <w:rsid w:val="003F6609"/>
    <w:rsid w:val="003F6E56"/>
    <w:rsid w:val="003F6FAE"/>
    <w:rsid w:val="003F7421"/>
    <w:rsid w:val="003F7731"/>
    <w:rsid w:val="003F7C4F"/>
    <w:rsid w:val="003F7F51"/>
    <w:rsid w:val="00400092"/>
    <w:rsid w:val="00400639"/>
    <w:rsid w:val="004007CE"/>
    <w:rsid w:val="00400A64"/>
    <w:rsid w:val="00401221"/>
    <w:rsid w:val="00401A93"/>
    <w:rsid w:val="00401D59"/>
    <w:rsid w:val="00401FB8"/>
    <w:rsid w:val="00402131"/>
    <w:rsid w:val="004023C7"/>
    <w:rsid w:val="004024B7"/>
    <w:rsid w:val="004027FE"/>
    <w:rsid w:val="00402968"/>
    <w:rsid w:val="00402A02"/>
    <w:rsid w:val="00403184"/>
    <w:rsid w:val="004034B5"/>
    <w:rsid w:val="004043D5"/>
    <w:rsid w:val="00404E11"/>
    <w:rsid w:val="004054D5"/>
    <w:rsid w:val="00405BC2"/>
    <w:rsid w:val="0040641B"/>
    <w:rsid w:val="00406577"/>
    <w:rsid w:val="00411C89"/>
    <w:rsid w:val="00412369"/>
    <w:rsid w:val="004126FE"/>
    <w:rsid w:val="00412A5C"/>
    <w:rsid w:val="0041317D"/>
    <w:rsid w:val="0041354D"/>
    <w:rsid w:val="00413D29"/>
    <w:rsid w:val="00414399"/>
    <w:rsid w:val="0041449E"/>
    <w:rsid w:val="004156AD"/>
    <w:rsid w:val="00415FFF"/>
    <w:rsid w:val="00416272"/>
    <w:rsid w:val="0041643C"/>
    <w:rsid w:val="0041651A"/>
    <w:rsid w:val="00416B90"/>
    <w:rsid w:val="0041707C"/>
    <w:rsid w:val="00417110"/>
    <w:rsid w:val="00421531"/>
    <w:rsid w:val="00421DD5"/>
    <w:rsid w:val="00423651"/>
    <w:rsid w:val="00423996"/>
    <w:rsid w:val="00423C23"/>
    <w:rsid w:val="00423F4C"/>
    <w:rsid w:val="00424332"/>
    <w:rsid w:val="00424E80"/>
    <w:rsid w:val="0042551B"/>
    <w:rsid w:val="004259AF"/>
    <w:rsid w:val="00426283"/>
    <w:rsid w:val="00427931"/>
    <w:rsid w:val="00427F36"/>
    <w:rsid w:val="004306AE"/>
    <w:rsid w:val="00430704"/>
    <w:rsid w:val="004307ED"/>
    <w:rsid w:val="004309CE"/>
    <w:rsid w:val="00430DB0"/>
    <w:rsid w:val="00431010"/>
    <w:rsid w:val="004317A3"/>
    <w:rsid w:val="00431D15"/>
    <w:rsid w:val="00432233"/>
    <w:rsid w:val="0043277E"/>
    <w:rsid w:val="00432908"/>
    <w:rsid w:val="00432A1C"/>
    <w:rsid w:val="00432A7D"/>
    <w:rsid w:val="00432EEC"/>
    <w:rsid w:val="00433542"/>
    <w:rsid w:val="004335D3"/>
    <w:rsid w:val="004335FB"/>
    <w:rsid w:val="004338F7"/>
    <w:rsid w:val="0043394B"/>
    <w:rsid w:val="00433F8E"/>
    <w:rsid w:val="004340E6"/>
    <w:rsid w:val="004340EF"/>
    <w:rsid w:val="00434C7D"/>
    <w:rsid w:val="004350DD"/>
    <w:rsid w:val="004357E9"/>
    <w:rsid w:val="0043592E"/>
    <w:rsid w:val="004359D7"/>
    <w:rsid w:val="00435DE1"/>
    <w:rsid w:val="004362E2"/>
    <w:rsid w:val="00436332"/>
    <w:rsid w:val="00436DD7"/>
    <w:rsid w:val="0043716A"/>
    <w:rsid w:val="00437B6A"/>
    <w:rsid w:val="00437F08"/>
    <w:rsid w:val="00440024"/>
    <w:rsid w:val="00440AE5"/>
    <w:rsid w:val="00440CA2"/>
    <w:rsid w:val="00440F15"/>
    <w:rsid w:val="00441D34"/>
    <w:rsid w:val="00441D9A"/>
    <w:rsid w:val="00442200"/>
    <w:rsid w:val="0044288C"/>
    <w:rsid w:val="0044299A"/>
    <w:rsid w:val="00442C57"/>
    <w:rsid w:val="00442E9E"/>
    <w:rsid w:val="004444C9"/>
    <w:rsid w:val="004456AF"/>
    <w:rsid w:val="00445A32"/>
    <w:rsid w:val="00445E7A"/>
    <w:rsid w:val="0044626D"/>
    <w:rsid w:val="004463C7"/>
    <w:rsid w:val="00446944"/>
    <w:rsid w:val="00446C47"/>
    <w:rsid w:val="0044715F"/>
    <w:rsid w:val="00447402"/>
    <w:rsid w:val="0045017E"/>
    <w:rsid w:val="00450383"/>
    <w:rsid w:val="004503EC"/>
    <w:rsid w:val="00450A39"/>
    <w:rsid w:val="00450E33"/>
    <w:rsid w:val="004514DF"/>
    <w:rsid w:val="004515A0"/>
    <w:rsid w:val="0045163C"/>
    <w:rsid w:val="00451F24"/>
    <w:rsid w:val="004526A3"/>
    <w:rsid w:val="0045298A"/>
    <w:rsid w:val="00452D69"/>
    <w:rsid w:val="00452D8C"/>
    <w:rsid w:val="00453497"/>
    <w:rsid w:val="00453537"/>
    <w:rsid w:val="0045423E"/>
    <w:rsid w:val="00454285"/>
    <w:rsid w:val="004548EC"/>
    <w:rsid w:val="004549A9"/>
    <w:rsid w:val="00454A50"/>
    <w:rsid w:val="00454CB6"/>
    <w:rsid w:val="00455702"/>
    <w:rsid w:val="00455866"/>
    <w:rsid w:val="00455922"/>
    <w:rsid w:val="0045613C"/>
    <w:rsid w:val="00457D7B"/>
    <w:rsid w:val="00460498"/>
    <w:rsid w:val="0046076C"/>
    <w:rsid w:val="00460C15"/>
    <w:rsid w:val="00460EEE"/>
    <w:rsid w:val="00461B0D"/>
    <w:rsid w:val="00461B54"/>
    <w:rsid w:val="004622EF"/>
    <w:rsid w:val="004629B7"/>
    <w:rsid w:val="00462E05"/>
    <w:rsid w:val="00464436"/>
    <w:rsid w:val="00464F88"/>
    <w:rsid w:val="00465039"/>
    <w:rsid w:val="00465A43"/>
    <w:rsid w:val="004664F1"/>
    <w:rsid w:val="004665E7"/>
    <w:rsid w:val="00466669"/>
    <w:rsid w:val="00466D12"/>
    <w:rsid w:val="0046723B"/>
    <w:rsid w:val="00467681"/>
    <w:rsid w:val="00467881"/>
    <w:rsid w:val="004679A3"/>
    <w:rsid w:val="00467F05"/>
    <w:rsid w:val="0047031E"/>
    <w:rsid w:val="00470EF8"/>
    <w:rsid w:val="00470F36"/>
    <w:rsid w:val="00471009"/>
    <w:rsid w:val="00472F64"/>
    <w:rsid w:val="00473153"/>
    <w:rsid w:val="004732B1"/>
    <w:rsid w:val="0047354D"/>
    <w:rsid w:val="004737BB"/>
    <w:rsid w:val="00473AB3"/>
    <w:rsid w:val="00474379"/>
    <w:rsid w:val="004747FE"/>
    <w:rsid w:val="004754A4"/>
    <w:rsid w:val="00475529"/>
    <w:rsid w:val="00475A89"/>
    <w:rsid w:val="00475CF4"/>
    <w:rsid w:val="0047609A"/>
    <w:rsid w:val="00476119"/>
    <w:rsid w:val="00476BD0"/>
    <w:rsid w:val="00476F81"/>
    <w:rsid w:val="0047726C"/>
    <w:rsid w:val="004772CA"/>
    <w:rsid w:val="004773F2"/>
    <w:rsid w:val="00477B3C"/>
    <w:rsid w:val="004805BC"/>
    <w:rsid w:val="00480654"/>
    <w:rsid w:val="00480D2C"/>
    <w:rsid w:val="0048160B"/>
    <w:rsid w:val="00481784"/>
    <w:rsid w:val="004819F6"/>
    <w:rsid w:val="00481BC9"/>
    <w:rsid w:val="00481FC7"/>
    <w:rsid w:val="00482DFA"/>
    <w:rsid w:val="004834CA"/>
    <w:rsid w:val="00483858"/>
    <w:rsid w:val="00483ACA"/>
    <w:rsid w:val="004847BE"/>
    <w:rsid w:val="00484BE0"/>
    <w:rsid w:val="00484E0A"/>
    <w:rsid w:val="00485216"/>
    <w:rsid w:val="00485491"/>
    <w:rsid w:val="00485838"/>
    <w:rsid w:val="004858C9"/>
    <w:rsid w:val="004858D7"/>
    <w:rsid w:val="00485CF2"/>
    <w:rsid w:val="00485D60"/>
    <w:rsid w:val="00487213"/>
    <w:rsid w:val="004906DC"/>
    <w:rsid w:val="00491604"/>
    <w:rsid w:val="00491883"/>
    <w:rsid w:val="0049189D"/>
    <w:rsid w:val="004918F8"/>
    <w:rsid w:val="00491E60"/>
    <w:rsid w:val="004920DE"/>
    <w:rsid w:val="0049308C"/>
    <w:rsid w:val="00493508"/>
    <w:rsid w:val="0049353F"/>
    <w:rsid w:val="004937EF"/>
    <w:rsid w:val="00493A0D"/>
    <w:rsid w:val="0049495E"/>
    <w:rsid w:val="00495616"/>
    <w:rsid w:val="00495BFB"/>
    <w:rsid w:val="00496349"/>
    <w:rsid w:val="00496B99"/>
    <w:rsid w:val="004971E3"/>
    <w:rsid w:val="004975F3"/>
    <w:rsid w:val="00497945"/>
    <w:rsid w:val="004A056A"/>
    <w:rsid w:val="004A0C0B"/>
    <w:rsid w:val="004A0E78"/>
    <w:rsid w:val="004A0E7B"/>
    <w:rsid w:val="004A13F6"/>
    <w:rsid w:val="004A15B2"/>
    <w:rsid w:val="004A1603"/>
    <w:rsid w:val="004A1E3E"/>
    <w:rsid w:val="004A23B1"/>
    <w:rsid w:val="004A346D"/>
    <w:rsid w:val="004A3E8E"/>
    <w:rsid w:val="004A439D"/>
    <w:rsid w:val="004A4B79"/>
    <w:rsid w:val="004A4F07"/>
    <w:rsid w:val="004A52C3"/>
    <w:rsid w:val="004A54BF"/>
    <w:rsid w:val="004A591C"/>
    <w:rsid w:val="004A5BF2"/>
    <w:rsid w:val="004A6040"/>
    <w:rsid w:val="004A61B1"/>
    <w:rsid w:val="004A6A3D"/>
    <w:rsid w:val="004A71ED"/>
    <w:rsid w:val="004A7A87"/>
    <w:rsid w:val="004A7B21"/>
    <w:rsid w:val="004A7C30"/>
    <w:rsid w:val="004A7E7E"/>
    <w:rsid w:val="004A7EF0"/>
    <w:rsid w:val="004B005A"/>
    <w:rsid w:val="004B05A3"/>
    <w:rsid w:val="004B0CC9"/>
    <w:rsid w:val="004B155B"/>
    <w:rsid w:val="004B20CD"/>
    <w:rsid w:val="004B2140"/>
    <w:rsid w:val="004B2445"/>
    <w:rsid w:val="004B2895"/>
    <w:rsid w:val="004B291E"/>
    <w:rsid w:val="004B3816"/>
    <w:rsid w:val="004B38B0"/>
    <w:rsid w:val="004B3AF1"/>
    <w:rsid w:val="004B3DC8"/>
    <w:rsid w:val="004B3E2F"/>
    <w:rsid w:val="004B503E"/>
    <w:rsid w:val="004B50E5"/>
    <w:rsid w:val="004B6BE5"/>
    <w:rsid w:val="004B7436"/>
    <w:rsid w:val="004B753A"/>
    <w:rsid w:val="004B7DF8"/>
    <w:rsid w:val="004C09AB"/>
    <w:rsid w:val="004C0A94"/>
    <w:rsid w:val="004C0DE4"/>
    <w:rsid w:val="004C1728"/>
    <w:rsid w:val="004C1D54"/>
    <w:rsid w:val="004C1ECB"/>
    <w:rsid w:val="004C201C"/>
    <w:rsid w:val="004C2621"/>
    <w:rsid w:val="004C2C94"/>
    <w:rsid w:val="004C2EDC"/>
    <w:rsid w:val="004C38C4"/>
    <w:rsid w:val="004C4500"/>
    <w:rsid w:val="004C56D7"/>
    <w:rsid w:val="004C5911"/>
    <w:rsid w:val="004C5AAA"/>
    <w:rsid w:val="004C5E57"/>
    <w:rsid w:val="004C5ED9"/>
    <w:rsid w:val="004C616B"/>
    <w:rsid w:val="004C6545"/>
    <w:rsid w:val="004C6A21"/>
    <w:rsid w:val="004C6CB2"/>
    <w:rsid w:val="004C6D4A"/>
    <w:rsid w:val="004C727B"/>
    <w:rsid w:val="004C7A4A"/>
    <w:rsid w:val="004C7A92"/>
    <w:rsid w:val="004C7FE7"/>
    <w:rsid w:val="004D0223"/>
    <w:rsid w:val="004D0931"/>
    <w:rsid w:val="004D178A"/>
    <w:rsid w:val="004D1BC9"/>
    <w:rsid w:val="004D1F0E"/>
    <w:rsid w:val="004D251F"/>
    <w:rsid w:val="004D2835"/>
    <w:rsid w:val="004D297D"/>
    <w:rsid w:val="004D342E"/>
    <w:rsid w:val="004D3F7C"/>
    <w:rsid w:val="004D492D"/>
    <w:rsid w:val="004D5523"/>
    <w:rsid w:val="004D57D6"/>
    <w:rsid w:val="004D6852"/>
    <w:rsid w:val="004D7184"/>
    <w:rsid w:val="004D7233"/>
    <w:rsid w:val="004D7BED"/>
    <w:rsid w:val="004D7CE2"/>
    <w:rsid w:val="004D7D73"/>
    <w:rsid w:val="004D7EE9"/>
    <w:rsid w:val="004E001A"/>
    <w:rsid w:val="004E00BD"/>
    <w:rsid w:val="004E02A5"/>
    <w:rsid w:val="004E0533"/>
    <w:rsid w:val="004E0AA3"/>
    <w:rsid w:val="004E151F"/>
    <w:rsid w:val="004E1DEF"/>
    <w:rsid w:val="004E2488"/>
    <w:rsid w:val="004E34B4"/>
    <w:rsid w:val="004E37AB"/>
    <w:rsid w:val="004E3AD4"/>
    <w:rsid w:val="004E417D"/>
    <w:rsid w:val="004E4E14"/>
    <w:rsid w:val="004E52A9"/>
    <w:rsid w:val="004E5493"/>
    <w:rsid w:val="004E5728"/>
    <w:rsid w:val="004E5C5A"/>
    <w:rsid w:val="004E5D9F"/>
    <w:rsid w:val="004E5F55"/>
    <w:rsid w:val="004E6804"/>
    <w:rsid w:val="004E6938"/>
    <w:rsid w:val="004F0509"/>
    <w:rsid w:val="004F0549"/>
    <w:rsid w:val="004F069D"/>
    <w:rsid w:val="004F0AF7"/>
    <w:rsid w:val="004F0E6E"/>
    <w:rsid w:val="004F0EF3"/>
    <w:rsid w:val="004F1265"/>
    <w:rsid w:val="004F1925"/>
    <w:rsid w:val="004F1D5D"/>
    <w:rsid w:val="004F1E9A"/>
    <w:rsid w:val="004F2748"/>
    <w:rsid w:val="004F2815"/>
    <w:rsid w:val="004F3486"/>
    <w:rsid w:val="004F3683"/>
    <w:rsid w:val="004F40D1"/>
    <w:rsid w:val="004F4228"/>
    <w:rsid w:val="004F4AFD"/>
    <w:rsid w:val="004F55C1"/>
    <w:rsid w:val="004F5AA6"/>
    <w:rsid w:val="004F5D3F"/>
    <w:rsid w:val="004F68C4"/>
    <w:rsid w:val="004F7729"/>
    <w:rsid w:val="00500007"/>
    <w:rsid w:val="00500340"/>
    <w:rsid w:val="00500A1A"/>
    <w:rsid w:val="00500A55"/>
    <w:rsid w:val="005014B6"/>
    <w:rsid w:val="0050182F"/>
    <w:rsid w:val="005019E0"/>
    <w:rsid w:val="00501A01"/>
    <w:rsid w:val="00501EE5"/>
    <w:rsid w:val="0050200A"/>
    <w:rsid w:val="005021F0"/>
    <w:rsid w:val="00502670"/>
    <w:rsid w:val="00502BD3"/>
    <w:rsid w:val="00502F77"/>
    <w:rsid w:val="0050305A"/>
    <w:rsid w:val="0050338D"/>
    <w:rsid w:val="0050347D"/>
    <w:rsid w:val="005045D4"/>
    <w:rsid w:val="005046F1"/>
    <w:rsid w:val="00505754"/>
    <w:rsid w:val="00505A21"/>
    <w:rsid w:val="00505EC2"/>
    <w:rsid w:val="005061D1"/>
    <w:rsid w:val="00506A5A"/>
    <w:rsid w:val="00506AEF"/>
    <w:rsid w:val="00507221"/>
    <w:rsid w:val="00507326"/>
    <w:rsid w:val="00507691"/>
    <w:rsid w:val="005077A1"/>
    <w:rsid w:val="00510253"/>
    <w:rsid w:val="0051081A"/>
    <w:rsid w:val="0051099E"/>
    <w:rsid w:val="0051100D"/>
    <w:rsid w:val="005110FA"/>
    <w:rsid w:val="005111E0"/>
    <w:rsid w:val="00511658"/>
    <w:rsid w:val="00511A7D"/>
    <w:rsid w:val="0051203A"/>
    <w:rsid w:val="005130CB"/>
    <w:rsid w:val="005130E1"/>
    <w:rsid w:val="005133CA"/>
    <w:rsid w:val="00513FAE"/>
    <w:rsid w:val="005141E9"/>
    <w:rsid w:val="00514426"/>
    <w:rsid w:val="00514EB7"/>
    <w:rsid w:val="00515454"/>
    <w:rsid w:val="005154CC"/>
    <w:rsid w:val="00515A8F"/>
    <w:rsid w:val="00515EC7"/>
    <w:rsid w:val="00516097"/>
    <w:rsid w:val="00516153"/>
    <w:rsid w:val="005163B2"/>
    <w:rsid w:val="0051646B"/>
    <w:rsid w:val="005167FC"/>
    <w:rsid w:val="00516801"/>
    <w:rsid w:val="00516DE3"/>
    <w:rsid w:val="00520225"/>
    <w:rsid w:val="005204F0"/>
    <w:rsid w:val="00521C74"/>
    <w:rsid w:val="00521CFC"/>
    <w:rsid w:val="00521F1C"/>
    <w:rsid w:val="005229A9"/>
    <w:rsid w:val="00522AAE"/>
    <w:rsid w:val="00523145"/>
    <w:rsid w:val="005232AF"/>
    <w:rsid w:val="005235B7"/>
    <w:rsid w:val="00523AD9"/>
    <w:rsid w:val="00523B13"/>
    <w:rsid w:val="00523B88"/>
    <w:rsid w:val="00523E5F"/>
    <w:rsid w:val="00523FBB"/>
    <w:rsid w:val="00524378"/>
    <w:rsid w:val="005251EF"/>
    <w:rsid w:val="00525291"/>
    <w:rsid w:val="005252AA"/>
    <w:rsid w:val="00525542"/>
    <w:rsid w:val="00525CB4"/>
    <w:rsid w:val="00526198"/>
    <w:rsid w:val="00526357"/>
    <w:rsid w:val="00526CA6"/>
    <w:rsid w:val="00526EDD"/>
    <w:rsid w:val="005278AB"/>
    <w:rsid w:val="0053036C"/>
    <w:rsid w:val="0053040D"/>
    <w:rsid w:val="00530AF8"/>
    <w:rsid w:val="00531454"/>
    <w:rsid w:val="00531914"/>
    <w:rsid w:val="00531AEA"/>
    <w:rsid w:val="00531FC4"/>
    <w:rsid w:val="00532038"/>
    <w:rsid w:val="00532089"/>
    <w:rsid w:val="00532375"/>
    <w:rsid w:val="0053242F"/>
    <w:rsid w:val="005325CF"/>
    <w:rsid w:val="00532AF9"/>
    <w:rsid w:val="00532FD7"/>
    <w:rsid w:val="005332C8"/>
    <w:rsid w:val="00534134"/>
    <w:rsid w:val="00535645"/>
    <w:rsid w:val="005365BB"/>
    <w:rsid w:val="00536FD2"/>
    <w:rsid w:val="005379B4"/>
    <w:rsid w:val="00537C27"/>
    <w:rsid w:val="00537CC7"/>
    <w:rsid w:val="00540970"/>
    <w:rsid w:val="00540F3D"/>
    <w:rsid w:val="0054190E"/>
    <w:rsid w:val="00541DBE"/>
    <w:rsid w:val="005420B7"/>
    <w:rsid w:val="005423BE"/>
    <w:rsid w:val="005427A3"/>
    <w:rsid w:val="00543639"/>
    <w:rsid w:val="00543CEC"/>
    <w:rsid w:val="00544469"/>
    <w:rsid w:val="005451A5"/>
    <w:rsid w:val="005455B5"/>
    <w:rsid w:val="005455EA"/>
    <w:rsid w:val="0054587A"/>
    <w:rsid w:val="005458D4"/>
    <w:rsid w:val="00545D3A"/>
    <w:rsid w:val="00546CA5"/>
    <w:rsid w:val="00547A12"/>
    <w:rsid w:val="005502AF"/>
    <w:rsid w:val="0055030B"/>
    <w:rsid w:val="00550970"/>
    <w:rsid w:val="00550DEE"/>
    <w:rsid w:val="00551069"/>
    <w:rsid w:val="00551154"/>
    <w:rsid w:val="00551E13"/>
    <w:rsid w:val="00551F80"/>
    <w:rsid w:val="005520A5"/>
    <w:rsid w:val="00552C9D"/>
    <w:rsid w:val="00553765"/>
    <w:rsid w:val="005537D0"/>
    <w:rsid w:val="005538B3"/>
    <w:rsid w:val="00553C5D"/>
    <w:rsid w:val="00554A2C"/>
    <w:rsid w:val="00554B47"/>
    <w:rsid w:val="00554F07"/>
    <w:rsid w:val="00555768"/>
    <w:rsid w:val="00555C73"/>
    <w:rsid w:val="00555D58"/>
    <w:rsid w:val="00556ADF"/>
    <w:rsid w:val="00557069"/>
    <w:rsid w:val="0055744F"/>
    <w:rsid w:val="00557693"/>
    <w:rsid w:val="0056028C"/>
    <w:rsid w:val="005603AD"/>
    <w:rsid w:val="00560570"/>
    <w:rsid w:val="00562647"/>
    <w:rsid w:val="00562B66"/>
    <w:rsid w:val="00562B84"/>
    <w:rsid w:val="00562E50"/>
    <w:rsid w:val="005636F3"/>
    <w:rsid w:val="005639D6"/>
    <w:rsid w:val="00563A40"/>
    <w:rsid w:val="00563AB9"/>
    <w:rsid w:val="00563EC2"/>
    <w:rsid w:val="00563ED2"/>
    <w:rsid w:val="005643F0"/>
    <w:rsid w:val="00564433"/>
    <w:rsid w:val="005644E9"/>
    <w:rsid w:val="00564BD6"/>
    <w:rsid w:val="00565136"/>
    <w:rsid w:val="0056616F"/>
    <w:rsid w:val="0056701C"/>
    <w:rsid w:val="00567294"/>
    <w:rsid w:val="00567FE7"/>
    <w:rsid w:val="0057012F"/>
    <w:rsid w:val="00570688"/>
    <w:rsid w:val="0057083E"/>
    <w:rsid w:val="00570AF7"/>
    <w:rsid w:val="00570B54"/>
    <w:rsid w:val="00571E0F"/>
    <w:rsid w:val="00573307"/>
    <w:rsid w:val="0057401E"/>
    <w:rsid w:val="00574033"/>
    <w:rsid w:val="005742FE"/>
    <w:rsid w:val="00574ECF"/>
    <w:rsid w:val="00575372"/>
    <w:rsid w:val="00575B03"/>
    <w:rsid w:val="00575D64"/>
    <w:rsid w:val="0057656D"/>
    <w:rsid w:val="0057779E"/>
    <w:rsid w:val="005779C8"/>
    <w:rsid w:val="00577C8B"/>
    <w:rsid w:val="0058104B"/>
    <w:rsid w:val="00581531"/>
    <w:rsid w:val="00581657"/>
    <w:rsid w:val="005824CF"/>
    <w:rsid w:val="00583050"/>
    <w:rsid w:val="00583392"/>
    <w:rsid w:val="00584369"/>
    <w:rsid w:val="00584CA2"/>
    <w:rsid w:val="00585D2B"/>
    <w:rsid w:val="00585FEF"/>
    <w:rsid w:val="005862F7"/>
    <w:rsid w:val="00586C10"/>
    <w:rsid w:val="005872B2"/>
    <w:rsid w:val="00587C1D"/>
    <w:rsid w:val="00587EC6"/>
    <w:rsid w:val="00591102"/>
    <w:rsid w:val="005912A6"/>
    <w:rsid w:val="00592081"/>
    <w:rsid w:val="0059278B"/>
    <w:rsid w:val="0059280D"/>
    <w:rsid w:val="0059302B"/>
    <w:rsid w:val="0059332D"/>
    <w:rsid w:val="00593CB4"/>
    <w:rsid w:val="0059439A"/>
    <w:rsid w:val="0059516C"/>
    <w:rsid w:val="005964FF"/>
    <w:rsid w:val="005967DC"/>
    <w:rsid w:val="00596FA1"/>
    <w:rsid w:val="0059730B"/>
    <w:rsid w:val="0059769E"/>
    <w:rsid w:val="00597A59"/>
    <w:rsid w:val="005A055D"/>
    <w:rsid w:val="005A08E2"/>
    <w:rsid w:val="005A0ED0"/>
    <w:rsid w:val="005A129E"/>
    <w:rsid w:val="005A1458"/>
    <w:rsid w:val="005A25A8"/>
    <w:rsid w:val="005A2BBD"/>
    <w:rsid w:val="005A3620"/>
    <w:rsid w:val="005A3791"/>
    <w:rsid w:val="005A3D7B"/>
    <w:rsid w:val="005A4045"/>
    <w:rsid w:val="005A51EE"/>
    <w:rsid w:val="005A6131"/>
    <w:rsid w:val="005A69D1"/>
    <w:rsid w:val="005B00D3"/>
    <w:rsid w:val="005B0209"/>
    <w:rsid w:val="005B0245"/>
    <w:rsid w:val="005B0550"/>
    <w:rsid w:val="005B0836"/>
    <w:rsid w:val="005B1F1B"/>
    <w:rsid w:val="005B284B"/>
    <w:rsid w:val="005B28D9"/>
    <w:rsid w:val="005B2E8D"/>
    <w:rsid w:val="005B2EF5"/>
    <w:rsid w:val="005B2EF8"/>
    <w:rsid w:val="005B4337"/>
    <w:rsid w:val="005B4FF3"/>
    <w:rsid w:val="005B53C5"/>
    <w:rsid w:val="005B566C"/>
    <w:rsid w:val="005B5A3F"/>
    <w:rsid w:val="005B5D27"/>
    <w:rsid w:val="005B6429"/>
    <w:rsid w:val="005B6D62"/>
    <w:rsid w:val="005B7295"/>
    <w:rsid w:val="005B74BF"/>
    <w:rsid w:val="005C05BF"/>
    <w:rsid w:val="005C0874"/>
    <w:rsid w:val="005C0900"/>
    <w:rsid w:val="005C0AE3"/>
    <w:rsid w:val="005C102D"/>
    <w:rsid w:val="005C106C"/>
    <w:rsid w:val="005C14D2"/>
    <w:rsid w:val="005C176A"/>
    <w:rsid w:val="005C1F20"/>
    <w:rsid w:val="005C32C2"/>
    <w:rsid w:val="005C34E5"/>
    <w:rsid w:val="005C3F9B"/>
    <w:rsid w:val="005C4122"/>
    <w:rsid w:val="005C482F"/>
    <w:rsid w:val="005C4E39"/>
    <w:rsid w:val="005C510B"/>
    <w:rsid w:val="005C5307"/>
    <w:rsid w:val="005C6785"/>
    <w:rsid w:val="005C726A"/>
    <w:rsid w:val="005C7B09"/>
    <w:rsid w:val="005C7C81"/>
    <w:rsid w:val="005C7DC7"/>
    <w:rsid w:val="005C7E23"/>
    <w:rsid w:val="005C7F5A"/>
    <w:rsid w:val="005C7F85"/>
    <w:rsid w:val="005D0773"/>
    <w:rsid w:val="005D0788"/>
    <w:rsid w:val="005D0AED"/>
    <w:rsid w:val="005D0B54"/>
    <w:rsid w:val="005D0FAF"/>
    <w:rsid w:val="005D224B"/>
    <w:rsid w:val="005D2967"/>
    <w:rsid w:val="005D2D45"/>
    <w:rsid w:val="005D3942"/>
    <w:rsid w:val="005D3A06"/>
    <w:rsid w:val="005D405D"/>
    <w:rsid w:val="005D486B"/>
    <w:rsid w:val="005D4E3E"/>
    <w:rsid w:val="005D525C"/>
    <w:rsid w:val="005D58AD"/>
    <w:rsid w:val="005D5E33"/>
    <w:rsid w:val="005D6863"/>
    <w:rsid w:val="005D6A52"/>
    <w:rsid w:val="005D6D0A"/>
    <w:rsid w:val="005D6D57"/>
    <w:rsid w:val="005D7578"/>
    <w:rsid w:val="005E0589"/>
    <w:rsid w:val="005E11E3"/>
    <w:rsid w:val="005E1408"/>
    <w:rsid w:val="005E178A"/>
    <w:rsid w:val="005E22DC"/>
    <w:rsid w:val="005E272E"/>
    <w:rsid w:val="005E27EF"/>
    <w:rsid w:val="005E291F"/>
    <w:rsid w:val="005E2A10"/>
    <w:rsid w:val="005E31B8"/>
    <w:rsid w:val="005E4284"/>
    <w:rsid w:val="005E458B"/>
    <w:rsid w:val="005E4711"/>
    <w:rsid w:val="005E47CD"/>
    <w:rsid w:val="005E4A1C"/>
    <w:rsid w:val="005E5327"/>
    <w:rsid w:val="005E534E"/>
    <w:rsid w:val="005E576F"/>
    <w:rsid w:val="005E5AD3"/>
    <w:rsid w:val="005E5C24"/>
    <w:rsid w:val="005E5E7F"/>
    <w:rsid w:val="005E604F"/>
    <w:rsid w:val="005E6CA4"/>
    <w:rsid w:val="005E6F02"/>
    <w:rsid w:val="005E6F0E"/>
    <w:rsid w:val="005E7283"/>
    <w:rsid w:val="005E73B5"/>
    <w:rsid w:val="005E7CBC"/>
    <w:rsid w:val="005F05CA"/>
    <w:rsid w:val="005F0761"/>
    <w:rsid w:val="005F0885"/>
    <w:rsid w:val="005F1140"/>
    <w:rsid w:val="005F1167"/>
    <w:rsid w:val="005F1A97"/>
    <w:rsid w:val="005F1E68"/>
    <w:rsid w:val="005F20BE"/>
    <w:rsid w:val="005F2237"/>
    <w:rsid w:val="005F24B1"/>
    <w:rsid w:val="005F26FC"/>
    <w:rsid w:val="005F28DD"/>
    <w:rsid w:val="005F28EA"/>
    <w:rsid w:val="005F2D93"/>
    <w:rsid w:val="005F333C"/>
    <w:rsid w:val="005F345D"/>
    <w:rsid w:val="005F348D"/>
    <w:rsid w:val="005F3949"/>
    <w:rsid w:val="005F3A3E"/>
    <w:rsid w:val="005F4CFB"/>
    <w:rsid w:val="005F51F5"/>
    <w:rsid w:val="005F54C6"/>
    <w:rsid w:val="005F5609"/>
    <w:rsid w:val="005F5A25"/>
    <w:rsid w:val="005F63EE"/>
    <w:rsid w:val="005F667C"/>
    <w:rsid w:val="005F69D9"/>
    <w:rsid w:val="005F6B32"/>
    <w:rsid w:val="005F6CC0"/>
    <w:rsid w:val="005F6E18"/>
    <w:rsid w:val="005F7DF2"/>
    <w:rsid w:val="005F7ED7"/>
    <w:rsid w:val="006001B3"/>
    <w:rsid w:val="00600451"/>
    <w:rsid w:val="00600670"/>
    <w:rsid w:val="006006F6"/>
    <w:rsid w:val="00600DB1"/>
    <w:rsid w:val="006022FD"/>
    <w:rsid w:val="00602CAE"/>
    <w:rsid w:val="00602ECE"/>
    <w:rsid w:val="00603032"/>
    <w:rsid w:val="00604C45"/>
    <w:rsid w:val="00604FCA"/>
    <w:rsid w:val="00605048"/>
    <w:rsid w:val="006052FA"/>
    <w:rsid w:val="006054CC"/>
    <w:rsid w:val="006054EE"/>
    <w:rsid w:val="00606127"/>
    <w:rsid w:val="006061F1"/>
    <w:rsid w:val="00606579"/>
    <w:rsid w:val="00606AE5"/>
    <w:rsid w:val="00606BB0"/>
    <w:rsid w:val="00606DB7"/>
    <w:rsid w:val="0060724E"/>
    <w:rsid w:val="006074CA"/>
    <w:rsid w:val="00607CF0"/>
    <w:rsid w:val="006102FD"/>
    <w:rsid w:val="0061036C"/>
    <w:rsid w:val="00611490"/>
    <w:rsid w:val="00611638"/>
    <w:rsid w:val="00611828"/>
    <w:rsid w:val="00611C37"/>
    <w:rsid w:val="006120DC"/>
    <w:rsid w:val="0061246A"/>
    <w:rsid w:val="00612553"/>
    <w:rsid w:val="00613713"/>
    <w:rsid w:val="00613CE0"/>
    <w:rsid w:val="006143DE"/>
    <w:rsid w:val="006146F4"/>
    <w:rsid w:val="00614BD6"/>
    <w:rsid w:val="00614CA4"/>
    <w:rsid w:val="0061532D"/>
    <w:rsid w:val="0061570C"/>
    <w:rsid w:val="00616339"/>
    <w:rsid w:val="006163F5"/>
    <w:rsid w:val="00616709"/>
    <w:rsid w:val="00616D8B"/>
    <w:rsid w:val="006170F6"/>
    <w:rsid w:val="006177A2"/>
    <w:rsid w:val="0061796D"/>
    <w:rsid w:val="00617CEF"/>
    <w:rsid w:val="0061BDF3"/>
    <w:rsid w:val="00620336"/>
    <w:rsid w:val="00620558"/>
    <w:rsid w:val="00620C83"/>
    <w:rsid w:val="00620CF5"/>
    <w:rsid w:val="006217F8"/>
    <w:rsid w:val="006221B6"/>
    <w:rsid w:val="0062357B"/>
    <w:rsid w:val="00623903"/>
    <w:rsid w:val="00624181"/>
    <w:rsid w:val="00624757"/>
    <w:rsid w:val="0062479F"/>
    <w:rsid w:val="00624901"/>
    <w:rsid w:val="00624BA1"/>
    <w:rsid w:val="006255B2"/>
    <w:rsid w:val="00625C2C"/>
    <w:rsid w:val="00625C92"/>
    <w:rsid w:val="00626231"/>
    <w:rsid w:val="00626273"/>
    <w:rsid w:val="00626511"/>
    <w:rsid w:val="00626C40"/>
    <w:rsid w:val="006271DE"/>
    <w:rsid w:val="00627BB2"/>
    <w:rsid w:val="00627BF4"/>
    <w:rsid w:val="00627EDF"/>
    <w:rsid w:val="00630426"/>
    <w:rsid w:val="00630586"/>
    <w:rsid w:val="006305D0"/>
    <w:rsid w:val="00630911"/>
    <w:rsid w:val="006309FD"/>
    <w:rsid w:val="006316D5"/>
    <w:rsid w:val="006316E9"/>
    <w:rsid w:val="00631BE6"/>
    <w:rsid w:val="00631D8B"/>
    <w:rsid w:val="00632027"/>
    <w:rsid w:val="0063216B"/>
    <w:rsid w:val="0063296E"/>
    <w:rsid w:val="00632F11"/>
    <w:rsid w:val="00633359"/>
    <w:rsid w:val="00633FCF"/>
    <w:rsid w:val="00634261"/>
    <w:rsid w:val="00634733"/>
    <w:rsid w:val="006348F8"/>
    <w:rsid w:val="00634AB9"/>
    <w:rsid w:val="00634C41"/>
    <w:rsid w:val="00635759"/>
    <w:rsid w:val="00635881"/>
    <w:rsid w:val="00635E0C"/>
    <w:rsid w:val="00636515"/>
    <w:rsid w:val="006365C3"/>
    <w:rsid w:val="006368E4"/>
    <w:rsid w:val="006372D7"/>
    <w:rsid w:val="00637823"/>
    <w:rsid w:val="00637A98"/>
    <w:rsid w:val="00637C11"/>
    <w:rsid w:val="00637F60"/>
    <w:rsid w:val="0064048D"/>
    <w:rsid w:val="0064065E"/>
    <w:rsid w:val="00640C7E"/>
    <w:rsid w:val="0064146C"/>
    <w:rsid w:val="006422FD"/>
    <w:rsid w:val="0064257D"/>
    <w:rsid w:val="00642751"/>
    <w:rsid w:val="00642858"/>
    <w:rsid w:val="006428DA"/>
    <w:rsid w:val="0064391E"/>
    <w:rsid w:val="00643FEB"/>
    <w:rsid w:val="006454C5"/>
    <w:rsid w:val="00646434"/>
    <w:rsid w:val="00646BC2"/>
    <w:rsid w:val="00647007"/>
    <w:rsid w:val="00647087"/>
    <w:rsid w:val="006472FD"/>
    <w:rsid w:val="0064741C"/>
    <w:rsid w:val="00647D21"/>
    <w:rsid w:val="00647F71"/>
    <w:rsid w:val="0065036A"/>
    <w:rsid w:val="006506C3"/>
    <w:rsid w:val="00650859"/>
    <w:rsid w:val="00650C40"/>
    <w:rsid w:val="00650FB0"/>
    <w:rsid w:val="006516F5"/>
    <w:rsid w:val="00651939"/>
    <w:rsid w:val="00651FB8"/>
    <w:rsid w:val="00652067"/>
    <w:rsid w:val="00652562"/>
    <w:rsid w:val="00652794"/>
    <w:rsid w:val="006528B1"/>
    <w:rsid w:val="00652BFC"/>
    <w:rsid w:val="00652E0E"/>
    <w:rsid w:val="00653D2B"/>
    <w:rsid w:val="00653D87"/>
    <w:rsid w:val="00653EC5"/>
    <w:rsid w:val="0065414D"/>
    <w:rsid w:val="006552DA"/>
    <w:rsid w:val="0065543A"/>
    <w:rsid w:val="00655483"/>
    <w:rsid w:val="006557B9"/>
    <w:rsid w:val="0065698E"/>
    <w:rsid w:val="00656BA6"/>
    <w:rsid w:val="0065708D"/>
    <w:rsid w:val="006575EB"/>
    <w:rsid w:val="006579AE"/>
    <w:rsid w:val="006602E6"/>
    <w:rsid w:val="0066074B"/>
    <w:rsid w:val="0066079B"/>
    <w:rsid w:val="0066091F"/>
    <w:rsid w:val="006614B5"/>
    <w:rsid w:val="006624A4"/>
    <w:rsid w:val="00662BE0"/>
    <w:rsid w:val="0066380F"/>
    <w:rsid w:val="00663863"/>
    <w:rsid w:val="00663888"/>
    <w:rsid w:val="00663958"/>
    <w:rsid w:val="00663B0E"/>
    <w:rsid w:val="00664677"/>
    <w:rsid w:val="0066565B"/>
    <w:rsid w:val="00665D2F"/>
    <w:rsid w:val="00666ADB"/>
    <w:rsid w:val="006674F4"/>
    <w:rsid w:val="00667B3E"/>
    <w:rsid w:val="00667CDC"/>
    <w:rsid w:val="00667E6A"/>
    <w:rsid w:val="00667F0F"/>
    <w:rsid w:val="0067058B"/>
    <w:rsid w:val="006705D5"/>
    <w:rsid w:val="00670E0D"/>
    <w:rsid w:val="00670FC0"/>
    <w:rsid w:val="00671043"/>
    <w:rsid w:val="00671608"/>
    <w:rsid w:val="0067272B"/>
    <w:rsid w:val="006728DF"/>
    <w:rsid w:val="00673925"/>
    <w:rsid w:val="00673AE3"/>
    <w:rsid w:val="00673AEA"/>
    <w:rsid w:val="00674009"/>
    <w:rsid w:val="00674AD5"/>
    <w:rsid w:val="00674BF8"/>
    <w:rsid w:val="006755F1"/>
    <w:rsid w:val="00675758"/>
    <w:rsid w:val="00675E5B"/>
    <w:rsid w:val="00676233"/>
    <w:rsid w:val="00677067"/>
    <w:rsid w:val="00677179"/>
    <w:rsid w:val="006772BF"/>
    <w:rsid w:val="0068063C"/>
    <w:rsid w:val="0068066B"/>
    <w:rsid w:val="006808B1"/>
    <w:rsid w:val="006812EF"/>
    <w:rsid w:val="00682914"/>
    <w:rsid w:val="00682A85"/>
    <w:rsid w:val="006831C8"/>
    <w:rsid w:val="0068330F"/>
    <w:rsid w:val="00683407"/>
    <w:rsid w:val="0068349E"/>
    <w:rsid w:val="00683A67"/>
    <w:rsid w:val="006855FE"/>
    <w:rsid w:val="00685A05"/>
    <w:rsid w:val="00685F25"/>
    <w:rsid w:val="006863CA"/>
    <w:rsid w:val="00686532"/>
    <w:rsid w:val="00686812"/>
    <w:rsid w:val="00686DB4"/>
    <w:rsid w:val="00687A16"/>
    <w:rsid w:val="00687B32"/>
    <w:rsid w:val="00687EED"/>
    <w:rsid w:val="00687FCF"/>
    <w:rsid w:val="006902A0"/>
    <w:rsid w:val="006903C7"/>
    <w:rsid w:val="006904EC"/>
    <w:rsid w:val="00690697"/>
    <w:rsid w:val="00690D0A"/>
    <w:rsid w:val="00691525"/>
    <w:rsid w:val="00691C2A"/>
    <w:rsid w:val="006925D7"/>
    <w:rsid w:val="00692FCD"/>
    <w:rsid w:val="00693339"/>
    <w:rsid w:val="006933CF"/>
    <w:rsid w:val="0069340D"/>
    <w:rsid w:val="0069346A"/>
    <w:rsid w:val="0069386E"/>
    <w:rsid w:val="00693AA1"/>
    <w:rsid w:val="00693BE5"/>
    <w:rsid w:val="00693E9D"/>
    <w:rsid w:val="00693F91"/>
    <w:rsid w:val="00694503"/>
    <w:rsid w:val="006947BD"/>
    <w:rsid w:val="006947FC"/>
    <w:rsid w:val="00694DED"/>
    <w:rsid w:val="00694ECD"/>
    <w:rsid w:val="00695B81"/>
    <w:rsid w:val="00695D10"/>
    <w:rsid w:val="00696650"/>
    <w:rsid w:val="00696E5B"/>
    <w:rsid w:val="00697E03"/>
    <w:rsid w:val="006A02B2"/>
    <w:rsid w:val="006A06A9"/>
    <w:rsid w:val="006A0E3F"/>
    <w:rsid w:val="006A0E40"/>
    <w:rsid w:val="006A10C8"/>
    <w:rsid w:val="006A19E3"/>
    <w:rsid w:val="006A209F"/>
    <w:rsid w:val="006A2926"/>
    <w:rsid w:val="006A2E2E"/>
    <w:rsid w:val="006A2F9E"/>
    <w:rsid w:val="006A3626"/>
    <w:rsid w:val="006A3DCD"/>
    <w:rsid w:val="006A4307"/>
    <w:rsid w:val="006A45E9"/>
    <w:rsid w:val="006A460F"/>
    <w:rsid w:val="006A4C93"/>
    <w:rsid w:val="006A4DC0"/>
    <w:rsid w:val="006A5298"/>
    <w:rsid w:val="006A5A28"/>
    <w:rsid w:val="006A5C81"/>
    <w:rsid w:val="006A6196"/>
    <w:rsid w:val="006A6B8E"/>
    <w:rsid w:val="006A73F9"/>
    <w:rsid w:val="006A782A"/>
    <w:rsid w:val="006A7DD6"/>
    <w:rsid w:val="006B0BFF"/>
    <w:rsid w:val="006B1242"/>
    <w:rsid w:val="006B1C11"/>
    <w:rsid w:val="006B231D"/>
    <w:rsid w:val="006B2436"/>
    <w:rsid w:val="006B28E5"/>
    <w:rsid w:val="006B312A"/>
    <w:rsid w:val="006B33B0"/>
    <w:rsid w:val="006B3CE0"/>
    <w:rsid w:val="006B3F22"/>
    <w:rsid w:val="006B407E"/>
    <w:rsid w:val="006B4359"/>
    <w:rsid w:val="006B449F"/>
    <w:rsid w:val="006B45C0"/>
    <w:rsid w:val="006B4F81"/>
    <w:rsid w:val="006B533A"/>
    <w:rsid w:val="006B5608"/>
    <w:rsid w:val="006B5AB0"/>
    <w:rsid w:val="006B5C22"/>
    <w:rsid w:val="006B6013"/>
    <w:rsid w:val="006B72A6"/>
    <w:rsid w:val="006B73DE"/>
    <w:rsid w:val="006B75CF"/>
    <w:rsid w:val="006B76F4"/>
    <w:rsid w:val="006B7D19"/>
    <w:rsid w:val="006B7F6C"/>
    <w:rsid w:val="006C02A6"/>
    <w:rsid w:val="006C1377"/>
    <w:rsid w:val="006C13C1"/>
    <w:rsid w:val="006C1913"/>
    <w:rsid w:val="006C24AD"/>
    <w:rsid w:val="006C25F0"/>
    <w:rsid w:val="006C2949"/>
    <w:rsid w:val="006C29FF"/>
    <w:rsid w:val="006C2A59"/>
    <w:rsid w:val="006C3031"/>
    <w:rsid w:val="006C3C48"/>
    <w:rsid w:val="006C3CBB"/>
    <w:rsid w:val="006C3D2F"/>
    <w:rsid w:val="006C3E43"/>
    <w:rsid w:val="006C3F20"/>
    <w:rsid w:val="006C4B6C"/>
    <w:rsid w:val="006C5260"/>
    <w:rsid w:val="006C54F6"/>
    <w:rsid w:val="006C5555"/>
    <w:rsid w:val="006C63F0"/>
    <w:rsid w:val="006C6941"/>
    <w:rsid w:val="006C6D1F"/>
    <w:rsid w:val="006C7E51"/>
    <w:rsid w:val="006D05F7"/>
    <w:rsid w:val="006D0E0A"/>
    <w:rsid w:val="006D113A"/>
    <w:rsid w:val="006D18CD"/>
    <w:rsid w:val="006D1F9F"/>
    <w:rsid w:val="006D4568"/>
    <w:rsid w:val="006D45C8"/>
    <w:rsid w:val="006D5964"/>
    <w:rsid w:val="006D5A24"/>
    <w:rsid w:val="006D5AEA"/>
    <w:rsid w:val="006D6469"/>
    <w:rsid w:val="006D6D40"/>
    <w:rsid w:val="006D6F7F"/>
    <w:rsid w:val="006D7026"/>
    <w:rsid w:val="006D7292"/>
    <w:rsid w:val="006D769B"/>
    <w:rsid w:val="006D76EE"/>
    <w:rsid w:val="006D77C4"/>
    <w:rsid w:val="006E011B"/>
    <w:rsid w:val="006E054E"/>
    <w:rsid w:val="006E0820"/>
    <w:rsid w:val="006E08A0"/>
    <w:rsid w:val="006E109B"/>
    <w:rsid w:val="006E153F"/>
    <w:rsid w:val="006E1826"/>
    <w:rsid w:val="006E1A0F"/>
    <w:rsid w:val="006E1D5F"/>
    <w:rsid w:val="006E1E73"/>
    <w:rsid w:val="006E1ED2"/>
    <w:rsid w:val="006E29D2"/>
    <w:rsid w:val="006E2B73"/>
    <w:rsid w:val="006E34A9"/>
    <w:rsid w:val="006E3CDD"/>
    <w:rsid w:val="006E4751"/>
    <w:rsid w:val="006E6041"/>
    <w:rsid w:val="006E60CA"/>
    <w:rsid w:val="006E61E2"/>
    <w:rsid w:val="006E6263"/>
    <w:rsid w:val="006E64F7"/>
    <w:rsid w:val="006E6C62"/>
    <w:rsid w:val="006E7167"/>
    <w:rsid w:val="006E73C0"/>
    <w:rsid w:val="006E7D7C"/>
    <w:rsid w:val="006F03EB"/>
    <w:rsid w:val="006F040B"/>
    <w:rsid w:val="006F0D3E"/>
    <w:rsid w:val="006F0DEF"/>
    <w:rsid w:val="006F1367"/>
    <w:rsid w:val="006F1672"/>
    <w:rsid w:val="006F16AD"/>
    <w:rsid w:val="006F1D1E"/>
    <w:rsid w:val="006F1E15"/>
    <w:rsid w:val="006F1F22"/>
    <w:rsid w:val="006F24D5"/>
    <w:rsid w:val="006F276F"/>
    <w:rsid w:val="006F2C36"/>
    <w:rsid w:val="006F2DBD"/>
    <w:rsid w:val="006F2F53"/>
    <w:rsid w:val="006F3315"/>
    <w:rsid w:val="006F370E"/>
    <w:rsid w:val="006F375F"/>
    <w:rsid w:val="006F3D26"/>
    <w:rsid w:val="006F4355"/>
    <w:rsid w:val="006F5005"/>
    <w:rsid w:val="006F501B"/>
    <w:rsid w:val="006F50EE"/>
    <w:rsid w:val="006F53BE"/>
    <w:rsid w:val="006F5574"/>
    <w:rsid w:val="006F5834"/>
    <w:rsid w:val="006F5855"/>
    <w:rsid w:val="006F5892"/>
    <w:rsid w:val="006F5AB5"/>
    <w:rsid w:val="006F6F00"/>
    <w:rsid w:val="006F7191"/>
    <w:rsid w:val="006F77E7"/>
    <w:rsid w:val="00700264"/>
    <w:rsid w:val="0070036E"/>
    <w:rsid w:val="00701725"/>
    <w:rsid w:val="00701A5E"/>
    <w:rsid w:val="00701AA3"/>
    <w:rsid w:val="00701CC2"/>
    <w:rsid w:val="00702017"/>
    <w:rsid w:val="007028D2"/>
    <w:rsid w:val="00703AAF"/>
    <w:rsid w:val="00703CEB"/>
    <w:rsid w:val="00703FCB"/>
    <w:rsid w:val="00704F21"/>
    <w:rsid w:val="007050FD"/>
    <w:rsid w:val="00705979"/>
    <w:rsid w:val="00706878"/>
    <w:rsid w:val="00706A2D"/>
    <w:rsid w:val="00706A87"/>
    <w:rsid w:val="00707047"/>
    <w:rsid w:val="00707937"/>
    <w:rsid w:val="00707B10"/>
    <w:rsid w:val="00707EFE"/>
    <w:rsid w:val="007105E8"/>
    <w:rsid w:val="0071092F"/>
    <w:rsid w:val="007116FF"/>
    <w:rsid w:val="00711FBE"/>
    <w:rsid w:val="0071293A"/>
    <w:rsid w:val="007129BF"/>
    <w:rsid w:val="00712AB8"/>
    <w:rsid w:val="00712EDD"/>
    <w:rsid w:val="00712F3B"/>
    <w:rsid w:val="007131C6"/>
    <w:rsid w:val="00713461"/>
    <w:rsid w:val="00713519"/>
    <w:rsid w:val="00713734"/>
    <w:rsid w:val="00714521"/>
    <w:rsid w:val="00714805"/>
    <w:rsid w:val="00714FE7"/>
    <w:rsid w:val="00715591"/>
    <w:rsid w:val="007155F2"/>
    <w:rsid w:val="00715A75"/>
    <w:rsid w:val="007166C0"/>
    <w:rsid w:val="007178C3"/>
    <w:rsid w:val="00717A5E"/>
    <w:rsid w:val="00717D4D"/>
    <w:rsid w:val="007206A7"/>
    <w:rsid w:val="00720A12"/>
    <w:rsid w:val="007218B5"/>
    <w:rsid w:val="0072209A"/>
    <w:rsid w:val="007224C8"/>
    <w:rsid w:val="00722559"/>
    <w:rsid w:val="00722711"/>
    <w:rsid w:val="00722729"/>
    <w:rsid w:val="00722B1A"/>
    <w:rsid w:val="00724183"/>
    <w:rsid w:val="0072419A"/>
    <w:rsid w:val="00724334"/>
    <w:rsid w:val="0072437A"/>
    <w:rsid w:val="00724784"/>
    <w:rsid w:val="00724A86"/>
    <w:rsid w:val="00724BF5"/>
    <w:rsid w:val="00724F68"/>
    <w:rsid w:val="0072524A"/>
    <w:rsid w:val="0072543F"/>
    <w:rsid w:val="00726FDF"/>
    <w:rsid w:val="00727328"/>
    <w:rsid w:val="00727C5F"/>
    <w:rsid w:val="00731091"/>
    <w:rsid w:val="00731184"/>
    <w:rsid w:val="0073122C"/>
    <w:rsid w:val="0073144B"/>
    <w:rsid w:val="00732221"/>
    <w:rsid w:val="00732E14"/>
    <w:rsid w:val="0073314E"/>
    <w:rsid w:val="00733837"/>
    <w:rsid w:val="007342F6"/>
    <w:rsid w:val="0073563B"/>
    <w:rsid w:val="00735899"/>
    <w:rsid w:val="00735CD5"/>
    <w:rsid w:val="00735DFB"/>
    <w:rsid w:val="007364B5"/>
    <w:rsid w:val="007366B5"/>
    <w:rsid w:val="00736930"/>
    <w:rsid w:val="0073771B"/>
    <w:rsid w:val="00740385"/>
    <w:rsid w:val="007404D6"/>
    <w:rsid w:val="007405B1"/>
    <w:rsid w:val="00740B2E"/>
    <w:rsid w:val="00740B82"/>
    <w:rsid w:val="00740BDA"/>
    <w:rsid w:val="00740E1D"/>
    <w:rsid w:val="00741920"/>
    <w:rsid w:val="00741A20"/>
    <w:rsid w:val="00742434"/>
    <w:rsid w:val="00742D0D"/>
    <w:rsid w:val="00742D72"/>
    <w:rsid w:val="0074309F"/>
    <w:rsid w:val="007433FC"/>
    <w:rsid w:val="00743D7F"/>
    <w:rsid w:val="00745024"/>
    <w:rsid w:val="007450A2"/>
    <w:rsid w:val="0074541C"/>
    <w:rsid w:val="007458C3"/>
    <w:rsid w:val="00745F92"/>
    <w:rsid w:val="00746E85"/>
    <w:rsid w:val="00747305"/>
    <w:rsid w:val="0074732D"/>
    <w:rsid w:val="00750006"/>
    <w:rsid w:val="007507C6"/>
    <w:rsid w:val="00750B15"/>
    <w:rsid w:val="00750B70"/>
    <w:rsid w:val="0075147D"/>
    <w:rsid w:val="007516C9"/>
    <w:rsid w:val="00751F0B"/>
    <w:rsid w:val="007522C5"/>
    <w:rsid w:val="0075260E"/>
    <w:rsid w:val="0075290A"/>
    <w:rsid w:val="00752F97"/>
    <w:rsid w:val="00753738"/>
    <w:rsid w:val="00753C15"/>
    <w:rsid w:val="007543DD"/>
    <w:rsid w:val="00754468"/>
    <w:rsid w:val="0075446F"/>
    <w:rsid w:val="0075457A"/>
    <w:rsid w:val="007551B5"/>
    <w:rsid w:val="007554D9"/>
    <w:rsid w:val="00756163"/>
    <w:rsid w:val="00757091"/>
    <w:rsid w:val="007574CF"/>
    <w:rsid w:val="00757DAC"/>
    <w:rsid w:val="0076033C"/>
    <w:rsid w:val="007603A7"/>
    <w:rsid w:val="007612B9"/>
    <w:rsid w:val="00761879"/>
    <w:rsid w:val="00763B73"/>
    <w:rsid w:val="00763E72"/>
    <w:rsid w:val="0076406C"/>
    <w:rsid w:val="007647A4"/>
    <w:rsid w:val="00765745"/>
    <w:rsid w:val="007659A2"/>
    <w:rsid w:val="007661BA"/>
    <w:rsid w:val="007665A8"/>
    <w:rsid w:val="007669A1"/>
    <w:rsid w:val="00766A80"/>
    <w:rsid w:val="00766ABB"/>
    <w:rsid w:val="007677C6"/>
    <w:rsid w:val="007703FA"/>
    <w:rsid w:val="007710B6"/>
    <w:rsid w:val="007720AA"/>
    <w:rsid w:val="0077237B"/>
    <w:rsid w:val="0077259A"/>
    <w:rsid w:val="007726DC"/>
    <w:rsid w:val="00772DF4"/>
    <w:rsid w:val="0077358D"/>
    <w:rsid w:val="007738FA"/>
    <w:rsid w:val="0077397D"/>
    <w:rsid w:val="007744B1"/>
    <w:rsid w:val="0077457F"/>
    <w:rsid w:val="00774D27"/>
    <w:rsid w:val="00775112"/>
    <w:rsid w:val="007758C2"/>
    <w:rsid w:val="00775A23"/>
    <w:rsid w:val="00776B80"/>
    <w:rsid w:val="00776BB4"/>
    <w:rsid w:val="00776D4C"/>
    <w:rsid w:val="00776FEA"/>
    <w:rsid w:val="0077712C"/>
    <w:rsid w:val="007772E5"/>
    <w:rsid w:val="00777447"/>
    <w:rsid w:val="00777955"/>
    <w:rsid w:val="00777EBE"/>
    <w:rsid w:val="0078053B"/>
    <w:rsid w:val="007808CB"/>
    <w:rsid w:val="00780946"/>
    <w:rsid w:val="007821BD"/>
    <w:rsid w:val="00783372"/>
    <w:rsid w:val="0078376A"/>
    <w:rsid w:val="0078396D"/>
    <w:rsid w:val="00783BC7"/>
    <w:rsid w:val="00784418"/>
    <w:rsid w:val="00784553"/>
    <w:rsid w:val="00784AB4"/>
    <w:rsid w:val="00784AB6"/>
    <w:rsid w:val="0078583F"/>
    <w:rsid w:val="00786451"/>
    <w:rsid w:val="00786CFC"/>
    <w:rsid w:val="0078751C"/>
    <w:rsid w:val="0078786C"/>
    <w:rsid w:val="00787F5D"/>
    <w:rsid w:val="007901DF"/>
    <w:rsid w:val="007902AF"/>
    <w:rsid w:val="00791846"/>
    <w:rsid w:val="00791C1F"/>
    <w:rsid w:val="0079221C"/>
    <w:rsid w:val="00792814"/>
    <w:rsid w:val="007928B4"/>
    <w:rsid w:val="00792BD7"/>
    <w:rsid w:val="00793035"/>
    <w:rsid w:val="007930AD"/>
    <w:rsid w:val="00793470"/>
    <w:rsid w:val="00793825"/>
    <w:rsid w:val="00793AD3"/>
    <w:rsid w:val="007940A8"/>
    <w:rsid w:val="007940D3"/>
    <w:rsid w:val="007948C5"/>
    <w:rsid w:val="00794AF3"/>
    <w:rsid w:val="00796A33"/>
    <w:rsid w:val="0079784D"/>
    <w:rsid w:val="007978D0"/>
    <w:rsid w:val="00797CCF"/>
    <w:rsid w:val="00797F5D"/>
    <w:rsid w:val="007A027B"/>
    <w:rsid w:val="007A0318"/>
    <w:rsid w:val="007A0B4A"/>
    <w:rsid w:val="007A11D5"/>
    <w:rsid w:val="007A1352"/>
    <w:rsid w:val="007A1E4C"/>
    <w:rsid w:val="007A2A3B"/>
    <w:rsid w:val="007A2B06"/>
    <w:rsid w:val="007A2E85"/>
    <w:rsid w:val="007A334F"/>
    <w:rsid w:val="007A3DD6"/>
    <w:rsid w:val="007A3DE3"/>
    <w:rsid w:val="007A4610"/>
    <w:rsid w:val="007A4BC2"/>
    <w:rsid w:val="007A4C52"/>
    <w:rsid w:val="007A5ABF"/>
    <w:rsid w:val="007A5C09"/>
    <w:rsid w:val="007A6781"/>
    <w:rsid w:val="007A678A"/>
    <w:rsid w:val="007A6E48"/>
    <w:rsid w:val="007A7312"/>
    <w:rsid w:val="007A7EF2"/>
    <w:rsid w:val="007B0F06"/>
    <w:rsid w:val="007B13C9"/>
    <w:rsid w:val="007B217D"/>
    <w:rsid w:val="007B2282"/>
    <w:rsid w:val="007B2665"/>
    <w:rsid w:val="007B27F2"/>
    <w:rsid w:val="007B2991"/>
    <w:rsid w:val="007B3032"/>
    <w:rsid w:val="007B3938"/>
    <w:rsid w:val="007B3D06"/>
    <w:rsid w:val="007B42C4"/>
    <w:rsid w:val="007B4936"/>
    <w:rsid w:val="007B4A6A"/>
    <w:rsid w:val="007B4D75"/>
    <w:rsid w:val="007B5E6D"/>
    <w:rsid w:val="007B6140"/>
    <w:rsid w:val="007B777A"/>
    <w:rsid w:val="007B7912"/>
    <w:rsid w:val="007B7C85"/>
    <w:rsid w:val="007C00F7"/>
    <w:rsid w:val="007C0184"/>
    <w:rsid w:val="007C0A23"/>
    <w:rsid w:val="007C1112"/>
    <w:rsid w:val="007C2410"/>
    <w:rsid w:val="007C2AFB"/>
    <w:rsid w:val="007C2E3E"/>
    <w:rsid w:val="007C3450"/>
    <w:rsid w:val="007C427F"/>
    <w:rsid w:val="007C4536"/>
    <w:rsid w:val="007C4EA1"/>
    <w:rsid w:val="007C4FFF"/>
    <w:rsid w:val="007C52D6"/>
    <w:rsid w:val="007C57A4"/>
    <w:rsid w:val="007C5CE6"/>
    <w:rsid w:val="007C68C1"/>
    <w:rsid w:val="007C6C14"/>
    <w:rsid w:val="007D007E"/>
    <w:rsid w:val="007D0165"/>
    <w:rsid w:val="007D095B"/>
    <w:rsid w:val="007D0C81"/>
    <w:rsid w:val="007D0D4D"/>
    <w:rsid w:val="007D1D91"/>
    <w:rsid w:val="007D1F7D"/>
    <w:rsid w:val="007D23CD"/>
    <w:rsid w:val="007D26E2"/>
    <w:rsid w:val="007D27EB"/>
    <w:rsid w:val="007D2891"/>
    <w:rsid w:val="007D28B3"/>
    <w:rsid w:val="007D314D"/>
    <w:rsid w:val="007D3784"/>
    <w:rsid w:val="007D3A96"/>
    <w:rsid w:val="007D4029"/>
    <w:rsid w:val="007D485D"/>
    <w:rsid w:val="007D4E3C"/>
    <w:rsid w:val="007D54D1"/>
    <w:rsid w:val="007D558F"/>
    <w:rsid w:val="007D6409"/>
    <w:rsid w:val="007D6926"/>
    <w:rsid w:val="007D77CE"/>
    <w:rsid w:val="007D79C6"/>
    <w:rsid w:val="007E0023"/>
    <w:rsid w:val="007E05B7"/>
    <w:rsid w:val="007E0A86"/>
    <w:rsid w:val="007E1363"/>
    <w:rsid w:val="007E186B"/>
    <w:rsid w:val="007E1924"/>
    <w:rsid w:val="007E269B"/>
    <w:rsid w:val="007E2E78"/>
    <w:rsid w:val="007E364E"/>
    <w:rsid w:val="007E420F"/>
    <w:rsid w:val="007E4233"/>
    <w:rsid w:val="007E46B7"/>
    <w:rsid w:val="007E489E"/>
    <w:rsid w:val="007E519F"/>
    <w:rsid w:val="007E524F"/>
    <w:rsid w:val="007E52B7"/>
    <w:rsid w:val="007E5430"/>
    <w:rsid w:val="007E567B"/>
    <w:rsid w:val="007E65FE"/>
    <w:rsid w:val="007E6A47"/>
    <w:rsid w:val="007E6B09"/>
    <w:rsid w:val="007E7103"/>
    <w:rsid w:val="007E78CD"/>
    <w:rsid w:val="007E7CFA"/>
    <w:rsid w:val="007E7D27"/>
    <w:rsid w:val="007F0358"/>
    <w:rsid w:val="007F08DD"/>
    <w:rsid w:val="007F0B0D"/>
    <w:rsid w:val="007F0D21"/>
    <w:rsid w:val="007F0EAF"/>
    <w:rsid w:val="007F1342"/>
    <w:rsid w:val="007F183E"/>
    <w:rsid w:val="007F1D3E"/>
    <w:rsid w:val="007F1D8E"/>
    <w:rsid w:val="007F2A30"/>
    <w:rsid w:val="007F3189"/>
    <w:rsid w:val="007F322D"/>
    <w:rsid w:val="007F340B"/>
    <w:rsid w:val="007F36C3"/>
    <w:rsid w:val="007F389D"/>
    <w:rsid w:val="007F3B5F"/>
    <w:rsid w:val="007F4326"/>
    <w:rsid w:val="007F43FE"/>
    <w:rsid w:val="007F47E8"/>
    <w:rsid w:val="007F47F3"/>
    <w:rsid w:val="007F544F"/>
    <w:rsid w:val="007F573C"/>
    <w:rsid w:val="007F5C9F"/>
    <w:rsid w:val="007F616D"/>
    <w:rsid w:val="007F674C"/>
    <w:rsid w:val="007F6878"/>
    <w:rsid w:val="007F7280"/>
    <w:rsid w:val="007F75BF"/>
    <w:rsid w:val="007F7C35"/>
    <w:rsid w:val="007F7E1E"/>
    <w:rsid w:val="007F7F5F"/>
    <w:rsid w:val="0080003C"/>
    <w:rsid w:val="00800A59"/>
    <w:rsid w:val="00800C3C"/>
    <w:rsid w:val="00800DA8"/>
    <w:rsid w:val="00800F35"/>
    <w:rsid w:val="008012A4"/>
    <w:rsid w:val="00801E55"/>
    <w:rsid w:val="008020D4"/>
    <w:rsid w:val="00802F9F"/>
    <w:rsid w:val="008034C9"/>
    <w:rsid w:val="008042C1"/>
    <w:rsid w:val="0080439A"/>
    <w:rsid w:val="008048B6"/>
    <w:rsid w:val="0080503D"/>
    <w:rsid w:val="008051A8"/>
    <w:rsid w:val="00806344"/>
    <w:rsid w:val="008069D7"/>
    <w:rsid w:val="00806A9B"/>
    <w:rsid w:val="00807132"/>
    <w:rsid w:val="00807A24"/>
    <w:rsid w:val="00807A92"/>
    <w:rsid w:val="00810D78"/>
    <w:rsid w:val="00811EF6"/>
    <w:rsid w:val="00811F7C"/>
    <w:rsid w:val="008121C3"/>
    <w:rsid w:val="00812A92"/>
    <w:rsid w:val="00812B7B"/>
    <w:rsid w:val="00812EDC"/>
    <w:rsid w:val="00813201"/>
    <w:rsid w:val="00813B31"/>
    <w:rsid w:val="00814487"/>
    <w:rsid w:val="00814B95"/>
    <w:rsid w:val="00815681"/>
    <w:rsid w:val="0081593C"/>
    <w:rsid w:val="00815ABB"/>
    <w:rsid w:val="008166D3"/>
    <w:rsid w:val="0081679B"/>
    <w:rsid w:val="0081683D"/>
    <w:rsid w:val="00816AF1"/>
    <w:rsid w:val="00816C01"/>
    <w:rsid w:val="00816F11"/>
    <w:rsid w:val="0081703A"/>
    <w:rsid w:val="008171D4"/>
    <w:rsid w:val="0082000E"/>
    <w:rsid w:val="00820B05"/>
    <w:rsid w:val="008212BA"/>
    <w:rsid w:val="008214D5"/>
    <w:rsid w:val="00821799"/>
    <w:rsid w:val="00821BB7"/>
    <w:rsid w:val="00822337"/>
    <w:rsid w:val="00822639"/>
    <w:rsid w:val="00822659"/>
    <w:rsid w:val="00822EC3"/>
    <w:rsid w:val="00823028"/>
    <w:rsid w:val="008230BA"/>
    <w:rsid w:val="0082328C"/>
    <w:rsid w:val="00823E9F"/>
    <w:rsid w:val="00824534"/>
    <w:rsid w:val="008253A1"/>
    <w:rsid w:val="008254B0"/>
    <w:rsid w:val="00825A43"/>
    <w:rsid w:val="00825B00"/>
    <w:rsid w:val="00825B08"/>
    <w:rsid w:val="00825F39"/>
    <w:rsid w:val="00825F7A"/>
    <w:rsid w:val="0082641C"/>
    <w:rsid w:val="0082682B"/>
    <w:rsid w:val="00826FC6"/>
    <w:rsid w:val="00827652"/>
    <w:rsid w:val="00827759"/>
    <w:rsid w:val="008278B0"/>
    <w:rsid w:val="00827B01"/>
    <w:rsid w:val="00830024"/>
    <w:rsid w:val="0083023B"/>
    <w:rsid w:val="00830473"/>
    <w:rsid w:val="00831B7A"/>
    <w:rsid w:val="00831BFB"/>
    <w:rsid w:val="00831C0D"/>
    <w:rsid w:val="00831F97"/>
    <w:rsid w:val="0083343C"/>
    <w:rsid w:val="0083355F"/>
    <w:rsid w:val="00833750"/>
    <w:rsid w:val="00833ABC"/>
    <w:rsid w:val="00833DD2"/>
    <w:rsid w:val="008342D4"/>
    <w:rsid w:val="008347B6"/>
    <w:rsid w:val="00834ED1"/>
    <w:rsid w:val="00835703"/>
    <w:rsid w:val="00835834"/>
    <w:rsid w:val="00835A1E"/>
    <w:rsid w:val="00835CAC"/>
    <w:rsid w:val="0083634D"/>
    <w:rsid w:val="008363F9"/>
    <w:rsid w:val="0083659C"/>
    <w:rsid w:val="00836659"/>
    <w:rsid w:val="00837B40"/>
    <w:rsid w:val="00840133"/>
    <w:rsid w:val="008402FA"/>
    <w:rsid w:val="00840AA4"/>
    <w:rsid w:val="0084104B"/>
    <w:rsid w:val="00841292"/>
    <w:rsid w:val="008419DC"/>
    <w:rsid w:val="00841DC7"/>
    <w:rsid w:val="008423C9"/>
    <w:rsid w:val="008425DD"/>
    <w:rsid w:val="00842656"/>
    <w:rsid w:val="00842977"/>
    <w:rsid w:val="00842B30"/>
    <w:rsid w:val="00843068"/>
    <w:rsid w:val="008430C7"/>
    <w:rsid w:val="00843CEC"/>
    <w:rsid w:val="00844143"/>
    <w:rsid w:val="00844E31"/>
    <w:rsid w:val="00844F83"/>
    <w:rsid w:val="0084572F"/>
    <w:rsid w:val="00846141"/>
    <w:rsid w:val="008463DC"/>
    <w:rsid w:val="0084657F"/>
    <w:rsid w:val="00846C40"/>
    <w:rsid w:val="008470AE"/>
    <w:rsid w:val="008475FE"/>
    <w:rsid w:val="00847EF5"/>
    <w:rsid w:val="00847FBE"/>
    <w:rsid w:val="00850343"/>
    <w:rsid w:val="00850CEF"/>
    <w:rsid w:val="00851534"/>
    <w:rsid w:val="00851E61"/>
    <w:rsid w:val="00852A1A"/>
    <w:rsid w:val="00852F6E"/>
    <w:rsid w:val="0085344D"/>
    <w:rsid w:val="00853EC4"/>
    <w:rsid w:val="00854119"/>
    <w:rsid w:val="00854303"/>
    <w:rsid w:val="00854C38"/>
    <w:rsid w:val="00854D9D"/>
    <w:rsid w:val="00854EC7"/>
    <w:rsid w:val="0085577A"/>
    <w:rsid w:val="00855865"/>
    <w:rsid w:val="00855C91"/>
    <w:rsid w:val="008562C0"/>
    <w:rsid w:val="0085711D"/>
    <w:rsid w:val="0085737A"/>
    <w:rsid w:val="00857449"/>
    <w:rsid w:val="00857824"/>
    <w:rsid w:val="00857A07"/>
    <w:rsid w:val="00857DA9"/>
    <w:rsid w:val="00857DCB"/>
    <w:rsid w:val="008605B7"/>
    <w:rsid w:val="00861349"/>
    <w:rsid w:val="008613D1"/>
    <w:rsid w:val="008614CD"/>
    <w:rsid w:val="00861598"/>
    <w:rsid w:val="008618B5"/>
    <w:rsid w:val="00861A7D"/>
    <w:rsid w:val="00861B51"/>
    <w:rsid w:val="00861D29"/>
    <w:rsid w:val="00861DAE"/>
    <w:rsid w:val="00862297"/>
    <w:rsid w:val="00862D14"/>
    <w:rsid w:val="00862DD1"/>
    <w:rsid w:val="008630A2"/>
    <w:rsid w:val="00863166"/>
    <w:rsid w:val="008632B8"/>
    <w:rsid w:val="008646A6"/>
    <w:rsid w:val="00864882"/>
    <w:rsid w:val="0086524B"/>
    <w:rsid w:val="0086527F"/>
    <w:rsid w:val="00866A5D"/>
    <w:rsid w:val="008672F6"/>
    <w:rsid w:val="008678D2"/>
    <w:rsid w:val="00867DE8"/>
    <w:rsid w:val="00867E8F"/>
    <w:rsid w:val="008707B8"/>
    <w:rsid w:val="00870E7B"/>
    <w:rsid w:val="0087188C"/>
    <w:rsid w:val="00871C15"/>
    <w:rsid w:val="00871E3B"/>
    <w:rsid w:val="008732BD"/>
    <w:rsid w:val="00873848"/>
    <w:rsid w:val="00873EF6"/>
    <w:rsid w:val="0087421D"/>
    <w:rsid w:val="008744DD"/>
    <w:rsid w:val="008746FB"/>
    <w:rsid w:val="008747CB"/>
    <w:rsid w:val="00874847"/>
    <w:rsid w:val="00874910"/>
    <w:rsid w:val="00874A03"/>
    <w:rsid w:val="008753B2"/>
    <w:rsid w:val="00875D27"/>
    <w:rsid w:val="008762E6"/>
    <w:rsid w:val="008770D5"/>
    <w:rsid w:val="00877D6D"/>
    <w:rsid w:val="00880489"/>
    <w:rsid w:val="00881033"/>
    <w:rsid w:val="00881435"/>
    <w:rsid w:val="008816BA"/>
    <w:rsid w:val="008819B0"/>
    <w:rsid w:val="00881ADB"/>
    <w:rsid w:val="00882B27"/>
    <w:rsid w:val="00883850"/>
    <w:rsid w:val="00883F73"/>
    <w:rsid w:val="0088442D"/>
    <w:rsid w:val="00884567"/>
    <w:rsid w:val="008849DB"/>
    <w:rsid w:val="0088576F"/>
    <w:rsid w:val="008860F4"/>
    <w:rsid w:val="0088678C"/>
    <w:rsid w:val="00886961"/>
    <w:rsid w:val="00886F6E"/>
    <w:rsid w:val="008871B3"/>
    <w:rsid w:val="00887A5F"/>
    <w:rsid w:val="00887B34"/>
    <w:rsid w:val="00887E3E"/>
    <w:rsid w:val="008901F3"/>
    <w:rsid w:val="00890993"/>
    <w:rsid w:val="00890B3E"/>
    <w:rsid w:val="0089186E"/>
    <w:rsid w:val="0089199F"/>
    <w:rsid w:val="008919C9"/>
    <w:rsid w:val="008919CB"/>
    <w:rsid w:val="00891C5D"/>
    <w:rsid w:val="00891CBB"/>
    <w:rsid w:val="00892410"/>
    <w:rsid w:val="00892569"/>
    <w:rsid w:val="008925DF"/>
    <w:rsid w:val="0089263B"/>
    <w:rsid w:val="00892709"/>
    <w:rsid w:val="0089278B"/>
    <w:rsid w:val="00892791"/>
    <w:rsid w:val="008928AB"/>
    <w:rsid w:val="008928B9"/>
    <w:rsid w:val="00892909"/>
    <w:rsid w:val="00892B27"/>
    <w:rsid w:val="008932E6"/>
    <w:rsid w:val="008935C9"/>
    <w:rsid w:val="008939E9"/>
    <w:rsid w:val="0089454F"/>
    <w:rsid w:val="00894626"/>
    <w:rsid w:val="008946CD"/>
    <w:rsid w:val="008948DB"/>
    <w:rsid w:val="00894B6C"/>
    <w:rsid w:val="008953EF"/>
    <w:rsid w:val="00895E56"/>
    <w:rsid w:val="00895E9D"/>
    <w:rsid w:val="00896513"/>
    <w:rsid w:val="00896B63"/>
    <w:rsid w:val="00896C8C"/>
    <w:rsid w:val="008976EC"/>
    <w:rsid w:val="00897E85"/>
    <w:rsid w:val="00897F42"/>
    <w:rsid w:val="008A008F"/>
    <w:rsid w:val="008A0234"/>
    <w:rsid w:val="008A08F2"/>
    <w:rsid w:val="008A11CC"/>
    <w:rsid w:val="008A144F"/>
    <w:rsid w:val="008A1E08"/>
    <w:rsid w:val="008A2380"/>
    <w:rsid w:val="008A25E7"/>
    <w:rsid w:val="008A331C"/>
    <w:rsid w:val="008A3711"/>
    <w:rsid w:val="008A3F34"/>
    <w:rsid w:val="008A4582"/>
    <w:rsid w:val="008A4DB8"/>
    <w:rsid w:val="008A4E60"/>
    <w:rsid w:val="008A53B7"/>
    <w:rsid w:val="008A6719"/>
    <w:rsid w:val="008A6E03"/>
    <w:rsid w:val="008A71B5"/>
    <w:rsid w:val="008A7616"/>
    <w:rsid w:val="008A7FE9"/>
    <w:rsid w:val="008B072D"/>
    <w:rsid w:val="008B094A"/>
    <w:rsid w:val="008B171E"/>
    <w:rsid w:val="008B1A4C"/>
    <w:rsid w:val="008B1CF4"/>
    <w:rsid w:val="008B1EBB"/>
    <w:rsid w:val="008B228D"/>
    <w:rsid w:val="008B2B08"/>
    <w:rsid w:val="008B3CB5"/>
    <w:rsid w:val="008B3E2F"/>
    <w:rsid w:val="008B486F"/>
    <w:rsid w:val="008B5C10"/>
    <w:rsid w:val="008B6EA8"/>
    <w:rsid w:val="008B7B11"/>
    <w:rsid w:val="008C070D"/>
    <w:rsid w:val="008C0E7C"/>
    <w:rsid w:val="008C155B"/>
    <w:rsid w:val="008C1DA4"/>
    <w:rsid w:val="008C2404"/>
    <w:rsid w:val="008C34E0"/>
    <w:rsid w:val="008C39CA"/>
    <w:rsid w:val="008C48C8"/>
    <w:rsid w:val="008C5362"/>
    <w:rsid w:val="008C5D08"/>
    <w:rsid w:val="008C6387"/>
    <w:rsid w:val="008C643D"/>
    <w:rsid w:val="008C68C2"/>
    <w:rsid w:val="008C7112"/>
    <w:rsid w:val="008C773D"/>
    <w:rsid w:val="008C7971"/>
    <w:rsid w:val="008D0536"/>
    <w:rsid w:val="008D05CB"/>
    <w:rsid w:val="008D08AF"/>
    <w:rsid w:val="008D0A7E"/>
    <w:rsid w:val="008D21B4"/>
    <w:rsid w:val="008D2269"/>
    <w:rsid w:val="008D2487"/>
    <w:rsid w:val="008D27F1"/>
    <w:rsid w:val="008D293B"/>
    <w:rsid w:val="008D2AF7"/>
    <w:rsid w:val="008D48AF"/>
    <w:rsid w:val="008D4947"/>
    <w:rsid w:val="008D4CDF"/>
    <w:rsid w:val="008D4FB0"/>
    <w:rsid w:val="008D5F70"/>
    <w:rsid w:val="008D60C9"/>
    <w:rsid w:val="008D60EC"/>
    <w:rsid w:val="008D6B55"/>
    <w:rsid w:val="008D6D61"/>
    <w:rsid w:val="008D7A99"/>
    <w:rsid w:val="008D7AFF"/>
    <w:rsid w:val="008D7E57"/>
    <w:rsid w:val="008D7FE0"/>
    <w:rsid w:val="008D7FF8"/>
    <w:rsid w:val="008E009B"/>
    <w:rsid w:val="008E013D"/>
    <w:rsid w:val="008E0171"/>
    <w:rsid w:val="008E03DA"/>
    <w:rsid w:val="008E18B1"/>
    <w:rsid w:val="008E1C5B"/>
    <w:rsid w:val="008E1CE1"/>
    <w:rsid w:val="008E2043"/>
    <w:rsid w:val="008E326C"/>
    <w:rsid w:val="008E3AA8"/>
    <w:rsid w:val="008E3C88"/>
    <w:rsid w:val="008E4264"/>
    <w:rsid w:val="008E4502"/>
    <w:rsid w:val="008E4580"/>
    <w:rsid w:val="008E4ABD"/>
    <w:rsid w:val="008E4AD4"/>
    <w:rsid w:val="008E4FCD"/>
    <w:rsid w:val="008E5830"/>
    <w:rsid w:val="008E634C"/>
    <w:rsid w:val="008E6434"/>
    <w:rsid w:val="008E67DF"/>
    <w:rsid w:val="008E6D18"/>
    <w:rsid w:val="008E7C1B"/>
    <w:rsid w:val="008F0090"/>
    <w:rsid w:val="008F0929"/>
    <w:rsid w:val="008F0CFC"/>
    <w:rsid w:val="008F1F37"/>
    <w:rsid w:val="008F2304"/>
    <w:rsid w:val="008F340E"/>
    <w:rsid w:val="008F360A"/>
    <w:rsid w:val="008F37CB"/>
    <w:rsid w:val="008F3B86"/>
    <w:rsid w:val="008F4419"/>
    <w:rsid w:val="008F4674"/>
    <w:rsid w:val="008F4A43"/>
    <w:rsid w:val="008F4BCB"/>
    <w:rsid w:val="008F4FFC"/>
    <w:rsid w:val="008F52AE"/>
    <w:rsid w:val="008F5384"/>
    <w:rsid w:val="008F554D"/>
    <w:rsid w:val="008F5E9B"/>
    <w:rsid w:val="008F6118"/>
    <w:rsid w:val="008F6312"/>
    <w:rsid w:val="008F70C3"/>
    <w:rsid w:val="008F761A"/>
    <w:rsid w:val="008F7834"/>
    <w:rsid w:val="009000E7"/>
    <w:rsid w:val="009008CC"/>
    <w:rsid w:val="009011FB"/>
    <w:rsid w:val="009017A9"/>
    <w:rsid w:val="009017AB"/>
    <w:rsid w:val="00901878"/>
    <w:rsid w:val="00901B98"/>
    <w:rsid w:val="00901F24"/>
    <w:rsid w:val="009020A8"/>
    <w:rsid w:val="00902200"/>
    <w:rsid w:val="0090278C"/>
    <w:rsid w:val="00902C8A"/>
    <w:rsid w:val="00903867"/>
    <w:rsid w:val="00904346"/>
    <w:rsid w:val="00904574"/>
    <w:rsid w:val="00904E09"/>
    <w:rsid w:val="00905311"/>
    <w:rsid w:val="0090545B"/>
    <w:rsid w:val="00905B4D"/>
    <w:rsid w:val="00905C8C"/>
    <w:rsid w:val="00905EEC"/>
    <w:rsid w:val="00905FEA"/>
    <w:rsid w:val="00906141"/>
    <w:rsid w:val="00906CB6"/>
    <w:rsid w:val="00907350"/>
    <w:rsid w:val="00907C81"/>
    <w:rsid w:val="00907F4D"/>
    <w:rsid w:val="00910633"/>
    <w:rsid w:val="009106CD"/>
    <w:rsid w:val="0091264A"/>
    <w:rsid w:val="0091293D"/>
    <w:rsid w:val="0091296C"/>
    <w:rsid w:val="00912F15"/>
    <w:rsid w:val="00912FAD"/>
    <w:rsid w:val="00913FBF"/>
    <w:rsid w:val="0091431E"/>
    <w:rsid w:val="00914B81"/>
    <w:rsid w:val="00914E10"/>
    <w:rsid w:val="00914E59"/>
    <w:rsid w:val="00914EFC"/>
    <w:rsid w:val="009151D7"/>
    <w:rsid w:val="00915341"/>
    <w:rsid w:val="009157DA"/>
    <w:rsid w:val="0091581E"/>
    <w:rsid w:val="00915BCA"/>
    <w:rsid w:val="00915FD6"/>
    <w:rsid w:val="00916251"/>
    <w:rsid w:val="00916826"/>
    <w:rsid w:val="00916AB5"/>
    <w:rsid w:val="00917451"/>
    <w:rsid w:val="009174EB"/>
    <w:rsid w:val="00917C63"/>
    <w:rsid w:val="00917D90"/>
    <w:rsid w:val="00920266"/>
    <w:rsid w:val="009204FC"/>
    <w:rsid w:val="00920D3D"/>
    <w:rsid w:val="009213D5"/>
    <w:rsid w:val="00921C96"/>
    <w:rsid w:val="00921C98"/>
    <w:rsid w:val="00921FB6"/>
    <w:rsid w:val="0092234C"/>
    <w:rsid w:val="009227B9"/>
    <w:rsid w:val="00922BB0"/>
    <w:rsid w:val="009233B3"/>
    <w:rsid w:val="009234C0"/>
    <w:rsid w:val="00924430"/>
    <w:rsid w:val="00925421"/>
    <w:rsid w:val="00925CB2"/>
    <w:rsid w:val="0092600B"/>
    <w:rsid w:val="009261B2"/>
    <w:rsid w:val="00926298"/>
    <w:rsid w:val="009271EE"/>
    <w:rsid w:val="00927B0B"/>
    <w:rsid w:val="00927B81"/>
    <w:rsid w:val="00931058"/>
    <w:rsid w:val="00931621"/>
    <w:rsid w:val="00931BF0"/>
    <w:rsid w:val="00932121"/>
    <w:rsid w:val="009327CA"/>
    <w:rsid w:val="00933874"/>
    <w:rsid w:val="00933ADA"/>
    <w:rsid w:val="00933CD6"/>
    <w:rsid w:val="00933FB9"/>
    <w:rsid w:val="009346C6"/>
    <w:rsid w:val="00934C96"/>
    <w:rsid w:val="0093528F"/>
    <w:rsid w:val="009355D4"/>
    <w:rsid w:val="009356A9"/>
    <w:rsid w:val="00935ECE"/>
    <w:rsid w:val="0093670F"/>
    <w:rsid w:val="00936804"/>
    <w:rsid w:val="00936B70"/>
    <w:rsid w:val="00936E66"/>
    <w:rsid w:val="009370DD"/>
    <w:rsid w:val="00937DC9"/>
    <w:rsid w:val="009405D0"/>
    <w:rsid w:val="0094068D"/>
    <w:rsid w:val="009407F2"/>
    <w:rsid w:val="009408E7"/>
    <w:rsid w:val="0094140F"/>
    <w:rsid w:val="00941631"/>
    <w:rsid w:val="00941A5E"/>
    <w:rsid w:val="00941AE8"/>
    <w:rsid w:val="00942D14"/>
    <w:rsid w:val="00943333"/>
    <w:rsid w:val="009436DB"/>
    <w:rsid w:val="0094392F"/>
    <w:rsid w:val="00943DBA"/>
    <w:rsid w:val="009441E7"/>
    <w:rsid w:val="0094523B"/>
    <w:rsid w:val="009457B3"/>
    <w:rsid w:val="009458FB"/>
    <w:rsid w:val="00945B4D"/>
    <w:rsid w:val="00945C3B"/>
    <w:rsid w:val="00945F6B"/>
    <w:rsid w:val="009460C7"/>
    <w:rsid w:val="009461AA"/>
    <w:rsid w:val="00946BA7"/>
    <w:rsid w:val="0094724E"/>
    <w:rsid w:val="00947526"/>
    <w:rsid w:val="009477F3"/>
    <w:rsid w:val="009478DD"/>
    <w:rsid w:val="00947B39"/>
    <w:rsid w:val="00947CE6"/>
    <w:rsid w:val="00947DC8"/>
    <w:rsid w:val="00947E6F"/>
    <w:rsid w:val="0095057F"/>
    <w:rsid w:val="00950888"/>
    <w:rsid w:val="00950D4C"/>
    <w:rsid w:val="00950D6A"/>
    <w:rsid w:val="00951589"/>
    <w:rsid w:val="009527B7"/>
    <w:rsid w:val="0095330B"/>
    <w:rsid w:val="00954A4D"/>
    <w:rsid w:val="00954EBB"/>
    <w:rsid w:val="00955215"/>
    <w:rsid w:val="0095566C"/>
    <w:rsid w:val="00955871"/>
    <w:rsid w:val="00955AE5"/>
    <w:rsid w:val="0095661F"/>
    <w:rsid w:val="0096035A"/>
    <w:rsid w:val="00960BDD"/>
    <w:rsid w:val="00960EC2"/>
    <w:rsid w:val="00961F9D"/>
    <w:rsid w:val="009627DC"/>
    <w:rsid w:val="00962821"/>
    <w:rsid w:val="00962E31"/>
    <w:rsid w:val="0096326A"/>
    <w:rsid w:val="0096327F"/>
    <w:rsid w:val="00963479"/>
    <w:rsid w:val="00963B6C"/>
    <w:rsid w:val="00963BE7"/>
    <w:rsid w:val="00963FD1"/>
    <w:rsid w:val="009642D7"/>
    <w:rsid w:val="0096481A"/>
    <w:rsid w:val="00964954"/>
    <w:rsid w:val="009649BE"/>
    <w:rsid w:val="009656F3"/>
    <w:rsid w:val="00965EBC"/>
    <w:rsid w:val="009660A9"/>
    <w:rsid w:val="0096628C"/>
    <w:rsid w:val="00966742"/>
    <w:rsid w:val="00966772"/>
    <w:rsid w:val="009667D7"/>
    <w:rsid w:val="00966F4A"/>
    <w:rsid w:val="00967817"/>
    <w:rsid w:val="00967A31"/>
    <w:rsid w:val="00967BFB"/>
    <w:rsid w:val="00970E75"/>
    <w:rsid w:val="009720C7"/>
    <w:rsid w:val="009733C8"/>
    <w:rsid w:val="00973617"/>
    <w:rsid w:val="009737E6"/>
    <w:rsid w:val="009739BB"/>
    <w:rsid w:val="00973FF8"/>
    <w:rsid w:val="009746A2"/>
    <w:rsid w:val="00974A2A"/>
    <w:rsid w:val="00974B16"/>
    <w:rsid w:val="00974C01"/>
    <w:rsid w:val="00974C6A"/>
    <w:rsid w:val="00974D96"/>
    <w:rsid w:val="00975625"/>
    <w:rsid w:val="009767CA"/>
    <w:rsid w:val="00977177"/>
    <w:rsid w:val="0097725F"/>
    <w:rsid w:val="0097770B"/>
    <w:rsid w:val="0098008F"/>
    <w:rsid w:val="00980370"/>
    <w:rsid w:val="009803B7"/>
    <w:rsid w:val="0098129C"/>
    <w:rsid w:val="00981E3A"/>
    <w:rsid w:val="0098217D"/>
    <w:rsid w:val="009821BF"/>
    <w:rsid w:val="00982655"/>
    <w:rsid w:val="009835D7"/>
    <w:rsid w:val="00983654"/>
    <w:rsid w:val="009837B8"/>
    <w:rsid w:val="009838F5"/>
    <w:rsid w:val="00984752"/>
    <w:rsid w:val="00984A3C"/>
    <w:rsid w:val="00985485"/>
    <w:rsid w:val="009855E8"/>
    <w:rsid w:val="00986212"/>
    <w:rsid w:val="00986482"/>
    <w:rsid w:val="0098665A"/>
    <w:rsid w:val="009876FD"/>
    <w:rsid w:val="00987BD8"/>
    <w:rsid w:val="0099036A"/>
    <w:rsid w:val="00990793"/>
    <w:rsid w:val="0099141F"/>
    <w:rsid w:val="00991A04"/>
    <w:rsid w:val="00991B38"/>
    <w:rsid w:val="00991E74"/>
    <w:rsid w:val="00991F7D"/>
    <w:rsid w:val="00992574"/>
    <w:rsid w:val="00992755"/>
    <w:rsid w:val="00992E8E"/>
    <w:rsid w:val="009932A0"/>
    <w:rsid w:val="00993A55"/>
    <w:rsid w:val="00994021"/>
    <w:rsid w:val="0099445E"/>
    <w:rsid w:val="0099572C"/>
    <w:rsid w:val="00995BB8"/>
    <w:rsid w:val="00995E0B"/>
    <w:rsid w:val="0099606A"/>
    <w:rsid w:val="009960D6"/>
    <w:rsid w:val="009966D8"/>
    <w:rsid w:val="009968BA"/>
    <w:rsid w:val="00996BE7"/>
    <w:rsid w:val="00997245"/>
    <w:rsid w:val="009976A0"/>
    <w:rsid w:val="0099777B"/>
    <w:rsid w:val="0099782E"/>
    <w:rsid w:val="00997972"/>
    <w:rsid w:val="009A01CC"/>
    <w:rsid w:val="009A04C2"/>
    <w:rsid w:val="009A2321"/>
    <w:rsid w:val="009A251B"/>
    <w:rsid w:val="009A27CE"/>
    <w:rsid w:val="009A2C85"/>
    <w:rsid w:val="009A335D"/>
    <w:rsid w:val="009A35B0"/>
    <w:rsid w:val="009A3656"/>
    <w:rsid w:val="009A39CD"/>
    <w:rsid w:val="009A3CE0"/>
    <w:rsid w:val="009A3F32"/>
    <w:rsid w:val="009A4821"/>
    <w:rsid w:val="009A49E5"/>
    <w:rsid w:val="009A4A18"/>
    <w:rsid w:val="009A4F67"/>
    <w:rsid w:val="009A4FDD"/>
    <w:rsid w:val="009A52CC"/>
    <w:rsid w:val="009A55B5"/>
    <w:rsid w:val="009A57C4"/>
    <w:rsid w:val="009A5DFB"/>
    <w:rsid w:val="009A5FC2"/>
    <w:rsid w:val="009A6111"/>
    <w:rsid w:val="009A6570"/>
    <w:rsid w:val="009A6CD4"/>
    <w:rsid w:val="009A7252"/>
    <w:rsid w:val="009A7D10"/>
    <w:rsid w:val="009A7FA1"/>
    <w:rsid w:val="009B0D76"/>
    <w:rsid w:val="009B103C"/>
    <w:rsid w:val="009B128A"/>
    <w:rsid w:val="009B19E2"/>
    <w:rsid w:val="009B309E"/>
    <w:rsid w:val="009B3EB5"/>
    <w:rsid w:val="009B40B7"/>
    <w:rsid w:val="009B4C78"/>
    <w:rsid w:val="009B5112"/>
    <w:rsid w:val="009B5835"/>
    <w:rsid w:val="009B5AE0"/>
    <w:rsid w:val="009B5F57"/>
    <w:rsid w:val="009B6B0C"/>
    <w:rsid w:val="009B7E04"/>
    <w:rsid w:val="009C0117"/>
    <w:rsid w:val="009C084A"/>
    <w:rsid w:val="009C0979"/>
    <w:rsid w:val="009C09DC"/>
    <w:rsid w:val="009C0D2E"/>
    <w:rsid w:val="009C1237"/>
    <w:rsid w:val="009C20BC"/>
    <w:rsid w:val="009C2809"/>
    <w:rsid w:val="009C2BC8"/>
    <w:rsid w:val="009C2D96"/>
    <w:rsid w:val="009C2F49"/>
    <w:rsid w:val="009C3F06"/>
    <w:rsid w:val="009C4691"/>
    <w:rsid w:val="009C4C22"/>
    <w:rsid w:val="009C4D62"/>
    <w:rsid w:val="009C4EC4"/>
    <w:rsid w:val="009C5354"/>
    <w:rsid w:val="009C5413"/>
    <w:rsid w:val="009C5654"/>
    <w:rsid w:val="009C5A2E"/>
    <w:rsid w:val="009C6742"/>
    <w:rsid w:val="009C699B"/>
    <w:rsid w:val="009C7311"/>
    <w:rsid w:val="009C7D7E"/>
    <w:rsid w:val="009D00CC"/>
    <w:rsid w:val="009D059C"/>
    <w:rsid w:val="009D05A1"/>
    <w:rsid w:val="009D08EE"/>
    <w:rsid w:val="009D0CB7"/>
    <w:rsid w:val="009D0E9E"/>
    <w:rsid w:val="009D0E9F"/>
    <w:rsid w:val="009D12B2"/>
    <w:rsid w:val="009D1BFD"/>
    <w:rsid w:val="009D1CB0"/>
    <w:rsid w:val="009D239D"/>
    <w:rsid w:val="009D2BCC"/>
    <w:rsid w:val="009D31CB"/>
    <w:rsid w:val="009D3503"/>
    <w:rsid w:val="009D3530"/>
    <w:rsid w:val="009D3A06"/>
    <w:rsid w:val="009D3EC4"/>
    <w:rsid w:val="009D3F4C"/>
    <w:rsid w:val="009D40FD"/>
    <w:rsid w:val="009D4244"/>
    <w:rsid w:val="009D4644"/>
    <w:rsid w:val="009D49A7"/>
    <w:rsid w:val="009D49FA"/>
    <w:rsid w:val="009D4A1B"/>
    <w:rsid w:val="009D4C48"/>
    <w:rsid w:val="009D51BC"/>
    <w:rsid w:val="009D5C22"/>
    <w:rsid w:val="009D6A33"/>
    <w:rsid w:val="009D6B6C"/>
    <w:rsid w:val="009D6D13"/>
    <w:rsid w:val="009D7155"/>
    <w:rsid w:val="009D73FE"/>
    <w:rsid w:val="009D7E9E"/>
    <w:rsid w:val="009D7F81"/>
    <w:rsid w:val="009E01DA"/>
    <w:rsid w:val="009E164F"/>
    <w:rsid w:val="009E1D1E"/>
    <w:rsid w:val="009E203A"/>
    <w:rsid w:val="009E2100"/>
    <w:rsid w:val="009E217B"/>
    <w:rsid w:val="009E279F"/>
    <w:rsid w:val="009E31EC"/>
    <w:rsid w:val="009E3D3D"/>
    <w:rsid w:val="009E41D0"/>
    <w:rsid w:val="009E4896"/>
    <w:rsid w:val="009E4C10"/>
    <w:rsid w:val="009E5978"/>
    <w:rsid w:val="009E59FE"/>
    <w:rsid w:val="009E5D4E"/>
    <w:rsid w:val="009E5DCD"/>
    <w:rsid w:val="009E65DF"/>
    <w:rsid w:val="009E68C2"/>
    <w:rsid w:val="009E6B8C"/>
    <w:rsid w:val="009E6D33"/>
    <w:rsid w:val="009E702D"/>
    <w:rsid w:val="009E7486"/>
    <w:rsid w:val="009E7850"/>
    <w:rsid w:val="009E794C"/>
    <w:rsid w:val="009F01CD"/>
    <w:rsid w:val="009F0B21"/>
    <w:rsid w:val="009F128D"/>
    <w:rsid w:val="009F1409"/>
    <w:rsid w:val="009F14C2"/>
    <w:rsid w:val="009F1CAB"/>
    <w:rsid w:val="009F1CB5"/>
    <w:rsid w:val="009F1CD2"/>
    <w:rsid w:val="009F31CE"/>
    <w:rsid w:val="009F345E"/>
    <w:rsid w:val="009F348F"/>
    <w:rsid w:val="009F3AC9"/>
    <w:rsid w:val="009F42FB"/>
    <w:rsid w:val="009F4EEF"/>
    <w:rsid w:val="009F58D2"/>
    <w:rsid w:val="009F610F"/>
    <w:rsid w:val="009F66E6"/>
    <w:rsid w:val="009F7AB1"/>
    <w:rsid w:val="00A00287"/>
    <w:rsid w:val="00A00849"/>
    <w:rsid w:val="00A017CA"/>
    <w:rsid w:val="00A019F3"/>
    <w:rsid w:val="00A02187"/>
    <w:rsid w:val="00A025C1"/>
    <w:rsid w:val="00A03169"/>
    <w:rsid w:val="00A03175"/>
    <w:rsid w:val="00A035E6"/>
    <w:rsid w:val="00A0393C"/>
    <w:rsid w:val="00A03ADD"/>
    <w:rsid w:val="00A04566"/>
    <w:rsid w:val="00A049C5"/>
    <w:rsid w:val="00A055F3"/>
    <w:rsid w:val="00A05B01"/>
    <w:rsid w:val="00A062F1"/>
    <w:rsid w:val="00A07652"/>
    <w:rsid w:val="00A07F33"/>
    <w:rsid w:val="00A11227"/>
    <w:rsid w:val="00A1146F"/>
    <w:rsid w:val="00A11E48"/>
    <w:rsid w:val="00A13208"/>
    <w:rsid w:val="00A13435"/>
    <w:rsid w:val="00A136F5"/>
    <w:rsid w:val="00A13A1F"/>
    <w:rsid w:val="00A13C1C"/>
    <w:rsid w:val="00A1408B"/>
    <w:rsid w:val="00A147C5"/>
    <w:rsid w:val="00A150BF"/>
    <w:rsid w:val="00A15372"/>
    <w:rsid w:val="00A1578F"/>
    <w:rsid w:val="00A15B1C"/>
    <w:rsid w:val="00A15F54"/>
    <w:rsid w:val="00A16E3B"/>
    <w:rsid w:val="00A170C5"/>
    <w:rsid w:val="00A17A1A"/>
    <w:rsid w:val="00A20751"/>
    <w:rsid w:val="00A20787"/>
    <w:rsid w:val="00A212FA"/>
    <w:rsid w:val="00A216BE"/>
    <w:rsid w:val="00A21927"/>
    <w:rsid w:val="00A21E2F"/>
    <w:rsid w:val="00A21F80"/>
    <w:rsid w:val="00A22A3D"/>
    <w:rsid w:val="00A238DF"/>
    <w:rsid w:val="00A24159"/>
    <w:rsid w:val="00A24278"/>
    <w:rsid w:val="00A246D8"/>
    <w:rsid w:val="00A248E5"/>
    <w:rsid w:val="00A24C44"/>
    <w:rsid w:val="00A2570D"/>
    <w:rsid w:val="00A257BE"/>
    <w:rsid w:val="00A257EA"/>
    <w:rsid w:val="00A25C09"/>
    <w:rsid w:val="00A25DF2"/>
    <w:rsid w:val="00A2681F"/>
    <w:rsid w:val="00A268D5"/>
    <w:rsid w:val="00A27553"/>
    <w:rsid w:val="00A279E5"/>
    <w:rsid w:val="00A27F70"/>
    <w:rsid w:val="00A3008C"/>
    <w:rsid w:val="00A316E7"/>
    <w:rsid w:val="00A31B0D"/>
    <w:rsid w:val="00A31DC3"/>
    <w:rsid w:val="00A32C83"/>
    <w:rsid w:val="00A335C9"/>
    <w:rsid w:val="00A348F6"/>
    <w:rsid w:val="00A34C77"/>
    <w:rsid w:val="00A351CD"/>
    <w:rsid w:val="00A35BB5"/>
    <w:rsid w:val="00A3627F"/>
    <w:rsid w:val="00A36984"/>
    <w:rsid w:val="00A3721B"/>
    <w:rsid w:val="00A37DDC"/>
    <w:rsid w:val="00A37EC5"/>
    <w:rsid w:val="00A37EF0"/>
    <w:rsid w:val="00A37F87"/>
    <w:rsid w:val="00A37F8B"/>
    <w:rsid w:val="00A37FA1"/>
    <w:rsid w:val="00A401AB"/>
    <w:rsid w:val="00A40DD8"/>
    <w:rsid w:val="00A4152A"/>
    <w:rsid w:val="00A415B8"/>
    <w:rsid w:val="00A41A5F"/>
    <w:rsid w:val="00A41D75"/>
    <w:rsid w:val="00A41EFB"/>
    <w:rsid w:val="00A420C0"/>
    <w:rsid w:val="00A43448"/>
    <w:rsid w:val="00A43FBE"/>
    <w:rsid w:val="00A44A32"/>
    <w:rsid w:val="00A44ECE"/>
    <w:rsid w:val="00A45033"/>
    <w:rsid w:val="00A46820"/>
    <w:rsid w:val="00A47493"/>
    <w:rsid w:val="00A47BFC"/>
    <w:rsid w:val="00A50242"/>
    <w:rsid w:val="00A5035B"/>
    <w:rsid w:val="00A50439"/>
    <w:rsid w:val="00A51355"/>
    <w:rsid w:val="00A51885"/>
    <w:rsid w:val="00A52264"/>
    <w:rsid w:val="00A52713"/>
    <w:rsid w:val="00A5274B"/>
    <w:rsid w:val="00A53E65"/>
    <w:rsid w:val="00A549ED"/>
    <w:rsid w:val="00A54B11"/>
    <w:rsid w:val="00A54DF5"/>
    <w:rsid w:val="00A55235"/>
    <w:rsid w:val="00A554EE"/>
    <w:rsid w:val="00A5568A"/>
    <w:rsid w:val="00A55D0A"/>
    <w:rsid w:val="00A55DA6"/>
    <w:rsid w:val="00A55EC9"/>
    <w:rsid w:val="00A55F4F"/>
    <w:rsid w:val="00A563B9"/>
    <w:rsid w:val="00A57021"/>
    <w:rsid w:val="00A572E6"/>
    <w:rsid w:val="00A579B4"/>
    <w:rsid w:val="00A57E5D"/>
    <w:rsid w:val="00A6008D"/>
    <w:rsid w:val="00A6096A"/>
    <w:rsid w:val="00A60DFE"/>
    <w:rsid w:val="00A60E2B"/>
    <w:rsid w:val="00A6102C"/>
    <w:rsid w:val="00A6149F"/>
    <w:rsid w:val="00A616A1"/>
    <w:rsid w:val="00A617BF"/>
    <w:rsid w:val="00A61A1E"/>
    <w:rsid w:val="00A62312"/>
    <w:rsid w:val="00A62DA9"/>
    <w:rsid w:val="00A62F6F"/>
    <w:rsid w:val="00A6312F"/>
    <w:rsid w:val="00A6332C"/>
    <w:rsid w:val="00A63966"/>
    <w:rsid w:val="00A64266"/>
    <w:rsid w:val="00A6492A"/>
    <w:rsid w:val="00A64B25"/>
    <w:rsid w:val="00A64B98"/>
    <w:rsid w:val="00A65BB5"/>
    <w:rsid w:val="00A65BBE"/>
    <w:rsid w:val="00A65E7C"/>
    <w:rsid w:val="00A66415"/>
    <w:rsid w:val="00A668B8"/>
    <w:rsid w:val="00A6693A"/>
    <w:rsid w:val="00A66D64"/>
    <w:rsid w:val="00A66E88"/>
    <w:rsid w:val="00A67000"/>
    <w:rsid w:val="00A67C72"/>
    <w:rsid w:val="00A67EA2"/>
    <w:rsid w:val="00A67EA5"/>
    <w:rsid w:val="00A7000E"/>
    <w:rsid w:val="00A70070"/>
    <w:rsid w:val="00A70518"/>
    <w:rsid w:val="00A70CDA"/>
    <w:rsid w:val="00A71233"/>
    <w:rsid w:val="00A71DDC"/>
    <w:rsid w:val="00A71E92"/>
    <w:rsid w:val="00A71EF6"/>
    <w:rsid w:val="00A725D3"/>
    <w:rsid w:val="00A72B07"/>
    <w:rsid w:val="00A72FE3"/>
    <w:rsid w:val="00A7310F"/>
    <w:rsid w:val="00A74117"/>
    <w:rsid w:val="00A744B5"/>
    <w:rsid w:val="00A744E1"/>
    <w:rsid w:val="00A74E81"/>
    <w:rsid w:val="00A75F28"/>
    <w:rsid w:val="00A767E1"/>
    <w:rsid w:val="00A76BC1"/>
    <w:rsid w:val="00A7716E"/>
    <w:rsid w:val="00A771A7"/>
    <w:rsid w:val="00A80442"/>
    <w:rsid w:val="00A81101"/>
    <w:rsid w:val="00A81493"/>
    <w:rsid w:val="00A8156C"/>
    <w:rsid w:val="00A8199E"/>
    <w:rsid w:val="00A82AF0"/>
    <w:rsid w:val="00A82BE6"/>
    <w:rsid w:val="00A82F78"/>
    <w:rsid w:val="00A837A5"/>
    <w:rsid w:val="00A837F0"/>
    <w:rsid w:val="00A84189"/>
    <w:rsid w:val="00A84343"/>
    <w:rsid w:val="00A84957"/>
    <w:rsid w:val="00A84E54"/>
    <w:rsid w:val="00A853BE"/>
    <w:rsid w:val="00A856D6"/>
    <w:rsid w:val="00A8587E"/>
    <w:rsid w:val="00A8610E"/>
    <w:rsid w:val="00A86597"/>
    <w:rsid w:val="00A870EF"/>
    <w:rsid w:val="00A875DC"/>
    <w:rsid w:val="00A87968"/>
    <w:rsid w:val="00A87F28"/>
    <w:rsid w:val="00A90922"/>
    <w:rsid w:val="00A90F70"/>
    <w:rsid w:val="00A915B2"/>
    <w:rsid w:val="00A91B43"/>
    <w:rsid w:val="00A91D1E"/>
    <w:rsid w:val="00A9235E"/>
    <w:rsid w:val="00A924E8"/>
    <w:rsid w:val="00A928ED"/>
    <w:rsid w:val="00A92A2A"/>
    <w:rsid w:val="00A92CB4"/>
    <w:rsid w:val="00A93546"/>
    <w:rsid w:val="00A939BE"/>
    <w:rsid w:val="00A93E7D"/>
    <w:rsid w:val="00A94059"/>
    <w:rsid w:val="00A948B7"/>
    <w:rsid w:val="00A948FE"/>
    <w:rsid w:val="00A95190"/>
    <w:rsid w:val="00A954FC"/>
    <w:rsid w:val="00A960F0"/>
    <w:rsid w:val="00A9624B"/>
    <w:rsid w:val="00A965E7"/>
    <w:rsid w:val="00A96AB7"/>
    <w:rsid w:val="00A96D7C"/>
    <w:rsid w:val="00A96F48"/>
    <w:rsid w:val="00A973A8"/>
    <w:rsid w:val="00A973AD"/>
    <w:rsid w:val="00AA0DCD"/>
    <w:rsid w:val="00AA12B7"/>
    <w:rsid w:val="00AA17CF"/>
    <w:rsid w:val="00AA1C2C"/>
    <w:rsid w:val="00AA1F74"/>
    <w:rsid w:val="00AA229C"/>
    <w:rsid w:val="00AA2480"/>
    <w:rsid w:val="00AA2A4B"/>
    <w:rsid w:val="00AA2D49"/>
    <w:rsid w:val="00AA308F"/>
    <w:rsid w:val="00AA37E9"/>
    <w:rsid w:val="00AA392C"/>
    <w:rsid w:val="00AA4152"/>
    <w:rsid w:val="00AA4E83"/>
    <w:rsid w:val="00AA541B"/>
    <w:rsid w:val="00AA56CB"/>
    <w:rsid w:val="00AA5ED5"/>
    <w:rsid w:val="00AA5FB5"/>
    <w:rsid w:val="00AA63C8"/>
    <w:rsid w:val="00AA6589"/>
    <w:rsid w:val="00AA6930"/>
    <w:rsid w:val="00AA6CA0"/>
    <w:rsid w:val="00AA6F8C"/>
    <w:rsid w:val="00AA705E"/>
    <w:rsid w:val="00AB0106"/>
    <w:rsid w:val="00AB0CA5"/>
    <w:rsid w:val="00AB0DE0"/>
    <w:rsid w:val="00AB0F36"/>
    <w:rsid w:val="00AB1380"/>
    <w:rsid w:val="00AB1385"/>
    <w:rsid w:val="00AB15C9"/>
    <w:rsid w:val="00AB19BD"/>
    <w:rsid w:val="00AB2E46"/>
    <w:rsid w:val="00AB2F27"/>
    <w:rsid w:val="00AB300F"/>
    <w:rsid w:val="00AB30F6"/>
    <w:rsid w:val="00AB31EC"/>
    <w:rsid w:val="00AB3584"/>
    <w:rsid w:val="00AB3D51"/>
    <w:rsid w:val="00AB4296"/>
    <w:rsid w:val="00AB507B"/>
    <w:rsid w:val="00AB54B6"/>
    <w:rsid w:val="00AB581D"/>
    <w:rsid w:val="00AB5AF4"/>
    <w:rsid w:val="00AB5BC1"/>
    <w:rsid w:val="00AB5CD3"/>
    <w:rsid w:val="00AB66CE"/>
    <w:rsid w:val="00AB7A2F"/>
    <w:rsid w:val="00AC02AE"/>
    <w:rsid w:val="00AC050A"/>
    <w:rsid w:val="00AC0982"/>
    <w:rsid w:val="00AC105C"/>
    <w:rsid w:val="00AC12C1"/>
    <w:rsid w:val="00AC1435"/>
    <w:rsid w:val="00AC1605"/>
    <w:rsid w:val="00AC1A27"/>
    <w:rsid w:val="00AC1E6A"/>
    <w:rsid w:val="00AC221A"/>
    <w:rsid w:val="00AC2EDA"/>
    <w:rsid w:val="00AC3069"/>
    <w:rsid w:val="00AC3189"/>
    <w:rsid w:val="00AC3D17"/>
    <w:rsid w:val="00AC3D26"/>
    <w:rsid w:val="00AC56F7"/>
    <w:rsid w:val="00AC6182"/>
    <w:rsid w:val="00AC7114"/>
    <w:rsid w:val="00AC7249"/>
    <w:rsid w:val="00AC740D"/>
    <w:rsid w:val="00AC7876"/>
    <w:rsid w:val="00AC7AE6"/>
    <w:rsid w:val="00ACDC4D"/>
    <w:rsid w:val="00AD0582"/>
    <w:rsid w:val="00AD0768"/>
    <w:rsid w:val="00AD0839"/>
    <w:rsid w:val="00AD0B4C"/>
    <w:rsid w:val="00AD0F1B"/>
    <w:rsid w:val="00AD16A9"/>
    <w:rsid w:val="00AD1BE3"/>
    <w:rsid w:val="00AD23A8"/>
    <w:rsid w:val="00AD2A4F"/>
    <w:rsid w:val="00AD2DA1"/>
    <w:rsid w:val="00AD3653"/>
    <w:rsid w:val="00AD3D7B"/>
    <w:rsid w:val="00AD3E45"/>
    <w:rsid w:val="00AD3EBC"/>
    <w:rsid w:val="00AD4C07"/>
    <w:rsid w:val="00AD4EDE"/>
    <w:rsid w:val="00AD553F"/>
    <w:rsid w:val="00AD55EB"/>
    <w:rsid w:val="00AD581C"/>
    <w:rsid w:val="00AD5E29"/>
    <w:rsid w:val="00AD5E43"/>
    <w:rsid w:val="00AD659E"/>
    <w:rsid w:val="00AD70B0"/>
    <w:rsid w:val="00AD7DD0"/>
    <w:rsid w:val="00AD7E83"/>
    <w:rsid w:val="00AD7F43"/>
    <w:rsid w:val="00AE054A"/>
    <w:rsid w:val="00AE07FC"/>
    <w:rsid w:val="00AE08F1"/>
    <w:rsid w:val="00AE0C49"/>
    <w:rsid w:val="00AE0E11"/>
    <w:rsid w:val="00AE13E8"/>
    <w:rsid w:val="00AE1D2B"/>
    <w:rsid w:val="00AE1D3A"/>
    <w:rsid w:val="00AE1EE1"/>
    <w:rsid w:val="00AE22F8"/>
    <w:rsid w:val="00AE2561"/>
    <w:rsid w:val="00AE28A2"/>
    <w:rsid w:val="00AE32D1"/>
    <w:rsid w:val="00AE4629"/>
    <w:rsid w:val="00AE48F1"/>
    <w:rsid w:val="00AE4B5B"/>
    <w:rsid w:val="00AE5B63"/>
    <w:rsid w:val="00AE6299"/>
    <w:rsid w:val="00AE63E4"/>
    <w:rsid w:val="00AE6A32"/>
    <w:rsid w:val="00AE710C"/>
    <w:rsid w:val="00AE73AF"/>
    <w:rsid w:val="00AE7428"/>
    <w:rsid w:val="00AE74C3"/>
    <w:rsid w:val="00AE78DE"/>
    <w:rsid w:val="00AE78ED"/>
    <w:rsid w:val="00AF088C"/>
    <w:rsid w:val="00AF13C4"/>
    <w:rsid w:val="00AF1B33"/>
    <w:rsid w:val="00AF1B78"/>
    <w:rsid w:val="00AF1BD6"/>
    <w:rsid w:val="00AF1DD3"/>
    <w:rsid w:val="00AF32E3"/>
    <w:rsid w:val="00AF35BA"/>
    <w:rsid w:val="00AF35BC"/>
    <w:rsid w:val="00AF378B"/>
    <w:rsid w:val="00AF3CD7"/>
    <w:rsid w:val="00AF4801"/>
    <w:rsid w:val="00AF4C22"/>
    <w:rsid w:val="00AF4E20"/>
    <w:rsid w:val="00AF4EBE"/>
    <w:rsid w:val="00AF4F42"/>
    <w:rsid w:val="00AF5631"/>
    <w:rsid w:val="00AF5708"/>
    <w:rsid w:val="00AF6DBD"/>
    <w:rsid w:val="00AF727C"/>
    <w:rsid w:val="00B00713"/>
    <w:rsid w:val="00B01ACC"/>
    <w:rsid w:val="00B0259A"/>
    <w:rsid w:val="00B02DE1"/>
    <w:rsid w:val="00B034D1"/>
    <w:rsid w:val="00B03C7E"/>
    <w:rsid w:val="00B04BAC"/>
    <w:rsid w:val="00B04F37"/>
    <w:rsid w:val="00B0504E"/>
    <w:rsid w:val="00B05762"/>
    <w:rsid w:val="00B0591B"/>
    <w:rsid w:val="00B0619C"/>
    <w:rsid w:val="00B06281"/>
    <w:rsid w:val="00B06688"/>
    <w:rsid w:val="00B0688A"/>
    <w:rsid w:val="00B06FF6"/>
    <w:rsid w:val="00B07418"/>
    <w:rsid w:val="00B07836"/>
    <w:rsid w:val="00B07A29"/>
    <w:rsid w:val="00B07BC7"/>
    <w:rsid w:val="00B101F2"/>
    <w:rsid w:val="00B10809"/>
    <w:rsid w:val="00B11112"/>
    <w:rsid w:val="00B11E09"/>
    <w:rsid w:val="00B1220D"/>
    <w:rsid w:val="00B1233B"/>
    <w:rsid w:val="00B126D6"/>
    <w:rsid w:val="00B12AB2"/>
    <w:rsid w:val="00B1338B"/>
    <w:rsid w:val="00B138F3"/>
    <w:rsid w:val="00B1428E"/>
    <w:rsid w:val="00B1442A"/>
    <w:rsid w:val="00B14AC8"/>
    <w:rsid w:val="00B14CF8"/>
    <w:rsid w:val="00B15BBF"/>
    <w:rsid w:val="00B15F00"/>
    <w:rsid w:val="00B16285"/>
    <w:rsid w:val="00B16C84"/>
    <w:rsid w:val="00B179B9"/>
    <w:rsid w:val="00B17AD5"/>
    <w:rsid w:val="00B17CBE"/>
    <w:rsid w:val="00B200D7"/>
    <w:rsid w:val="00B203F9"/>
    <w:rsid w:val="00B20705"/>
    <w:rsid w:val="00B208F0"/>
    <w:rsid w:val="00B20955"/>
    <w:rsid w:val="00B20DC6"/>
    <w:rsid w:val="00B2139C"/>
    <w:rsid w:val="00B21A78"/>
    <w:rsid w:val="00B220BB"/>
    <w:rsid w:val="00B224FD"/>
    <w:rsid w:val="00B22789"/>
    <w:rsid w:val="00B22930"/>
    <w:rsid w:val="00B23534"/>
    <w:rsid w:val="00B23D03"/>
    <w:rsid w:val="00B24016"/>
    <w:rsid w:val="00B242D7"/>
    <w:rsid w:val="00B25348"/>
    <w:rsid w:val="00B25943"/>
    <w:rsid w:val="00B26347"/>
    <w:rsid w:val="00B266B1"/>
    <w:rsid w:val="00B26831"/>
    <w:rsid w:val="00B2720B"/>
    <w:rsid w:val="00B27716"/>
    <w:rsid w:val="00B30904"/>
    <w:rsid w:val="00B30C42"/>
    <w:rsid w:val="00B31AFB"/>
    <w:rsid w:val="00B329B3"/>
    <w:rsid w:val="00B32E51"/>
    <w:rsid w:val="00B33472"/>
    <w:rsid w:val="00B3364B"/>
    <w:rsid w:val="00B33972"/>
    <w:rsid w:val="00B353E5"/>
    <w:rsid w:val="00B3607E"/>
    <w:rsid w:val="00B363AA"/>
    <w:rsid w:val="00B364BA"/>
    <w:rsid w:val="00B3662C"/>
    <w:rsid w:val="00B36D3E"/>
    <w:rsid w:val="00B37796"/>
    <w:rsid w:val="00B37AF6"/>
    <w:rsid w:val="00B37D7E"/>
    <w:rsid w:val="00B40B38"/>
    <w:rsid w:val="00B41692"/>
    <w:rsid w:val="00B4223B"/>
    <w:rsid w:val="00B4235A"/>
    <w:rsid w:val="00B42B3F"/>
    <w:rsid w:val="00B4417D"/>
    <w:rsid w:val="00B4427C"/>
    <w:rsid w:val="00B454EA"/>
    <w:rsid w:val="00B45A97"/>
    <w:rsid w:val="00B46249"/>
    <w:rsid w:val="00B46A87"/>
    <w:rsid w:val="00B47130"/>
    <w:rsid w:val="00B4756E"/>
    <w:rsid w:val="00B47E9E"/>
    <w:rsid w:val="00B5004C"/>
    <w:rsid w:val="00B50359"/>
    <w:rsid w:val="00B50EB0"/>
    <w:rsid w:val="00B51184"/>
    <w:rsid w:val="00B512FB"/>
    <w:rsid w:val="00B51F41"/>
    <w:rsid w:val="00B5285A"/>
    <w:rsid w:val="00B53072"/>
    <w:rsid w:val="00B53EA1"/>
    <w:rsid w:val="00B53F00"/>
    <w:rsid w:val="00B549DF"/>
    <w:rsid w:val="00B55369"/>
    <w:rsid w:val="00B55905"/>
    <w:rsid w:val="00B55938"/>
    <w:rsid w:val="00B55F01"/>
    <w:rsid w:val="00B561E9"/>
    <w:rsid w:val="00B562EB"/>
    <w:rsid w:val="00B571C3"/>
    <w:rsid w:val="00B57338"/>
    <w:rsid w:val="00B578AC"/>
    <w:rsid w:val="00B6105E"/>
    <w:rsid w:val="00B613FE"/>
    <w:rsid w:val="00B6158A"/>
    <w:rsid w:val="00B61B30"/>
    <w:rsid w:val="00B621DD"/>
    <w:rsid w:val="00B6236E"/>
    <w:rsid w:val="00B62647"/>
    <w:rsid w:val="00B6267A"/>
    <w:rsid w:val="00B62AB9"/>
    <w:rsid w:val="00B62DF2"/>
    <w:rsid w:val="00B62E8D"/>
    <w:rsid w:val="00B632D4"/>
    <w:rsid w:val="00B634B7"/>
    <w:rsid w:val="00B63684"/>
    <w:rsid w:val="00B6402E"/>
    <w:rsid w:val="00B641B9"/>
    <w:rsid w:val="00B6443E"/>
    <w:rsid w:val="00B66473"/>
    <w:rsid w:val="00B67007"/>
    <w:rsid w:val="00B7064A"/>
    <w:rsid w:val="00B706E3"/>
    <w:rsid w:val="00B70F3E"/>
    <w:rsid w:val="00B71BD9"/>
    <w:rsid w:val="00B72355"/>
    <w:rsid w:val="00B7295F"/>
    <w:rsid w:val="00B73906"/>
    <w:rsid w:val="00B74538"/>
    <w:rsid w:val="00B74A56"/>
    <w:rsid w:val="00B75BE6"/>
    <w:rsid w:val="00B764FB"/>
    <w:rsid w:val="00B769DF"/>
    <w:rsid w:val="00B76AF9"/>
    <w:rsid w:val="00B7C037"/>
    <w:rsid w:val="00B80679"/>
    <w:rsid w:val="00B80AEC"/>
    <w:rsid w:val="00B8126C"/>
    <w:rsid w:val="00B8140F"/>
    <w:rsid w:val="00B81720"/>
    <w:rsid w:val="00B81C4B"/>
    <w:rsid w:val="00B82703"/>
    <w:rsid w:val="00B82819"/>
    <w:rsid w:val="00B837E5"/>
    <w:rsid w:val="00B840EB"/>
    <w:rsid w:val="00B8452A"/>
    <w:rsid w:val="00B850A7"/>
    <w:rsid w:val="00B854D0"/>
    <w:rsid w:val="00B854E5"/>
    <w:rsid w:val="00B85B44"/>
    <w:rsid w:val="00B8619C"/>
    <w:rsid w:val="00B86938"/>
    <w:rsid w:val="00B872EC"/>
    <w:rsid w:val="00B90F38"/>
    <w:rsid w:val="00B91575"/>
    <w:rsid w:val="00B92A31"/>
    <w:rsid w:val="00B92D09"/>
    <w:rsid w:val="00B92DF5"/>
    <w:rsid w:val="00B93047"/>
    <w:rsid w:val="00B93067"/>
    <w:rsid w:val="00B935D2"/>
    <w:rsid w:val="00B936F5"/>
    <w:rsid w:val="00B9377A"/>
    <w:rsid w:val="00B93ACD"/>
    <w:rsid w:val="00B948F5"/>
    <w:rsid w:val="00B94A0A"/>
    <w:rsid w:val="00B94C4C"/>
    <w:rsid w:val="00B94E98"/>
    <w:rsid w:val="00B96309"/>
    <w:rsid w:val="00B965A9"/>
    <w:rsid w:val="00B96C32"/>
    <w:rsid w:val="00B975DC"/>
    <w:rsid w:val="00BA02A1"/>
    <w:rsid w:val="00BA05B4"/>
    <w:rsid w:val="00BA06E6"/>
    <w:rsid w:val="00BA112C"/>
    <w:rsid w:val="00BA1211"/>
    <w:rsid w:val="00BA1523"/>
    <w:rsid w:val="00BA155F"/>
    <w:rsid w:val="00BA1C2F"/>
    <w:rsid w:val="00BA1D2E"/>
    <w:rsid w:val="00BA20CA"/>
    <w:rsid w:val="00BA238F"/>
    <w:rsid w:val="00BA3021"/>
    <w:rsid w:val="00BA31F0"/>
    <w:rsid w:val="00BA3373"/>
    <w:rsid w:val="00BA33BB"/>
    <w:rsid w:val="00BA3416"/>
    <w:rsid w:val="00BA394B"/>
    <w:rsid w:val="00BA4005"/>
    <w:rsid w:val="00BA40A3"/>
    <w:rsid w:val="00BA41EA"/>
    <w:rsid w:val="00BA43BA"/>
    <w:rsid w:val="00BA4457"/>
    <w:rsid w:val="00BA4F99"/>
    <w:rsid w:val="00BA5545"/>
    <w:rsid w:val="00BA58FD"/>
    <w:rsid w:val="00BA6B8E"/>
    <w:rsid w:val="00BA6FB6"/>
    <w:rsid w:val="00BA773F"/>
    <w:rsid w:val="00BA7B15"/>
    <w:rsid w:val="00BA7DAC"/>
    <w:rsid w:val="00BA7F70"/>
    <w:rsid w:val="00BB033F"/>
    <w:rsid w:val="00BB04B7"/>
    <w:rsid w:val="00BB0666"/>
    <w:rsid w:val="00BB088A"/>
    <w:rsid w:val="00BB08BD"/>
    <w:rsid w:val="00BB0D58"/>
    <w:rsid w:val="00BB0EAD"/>
    <w:rsid w:val="00BB1147"/>
    <w:rsid w:val="00BB1243"/>
    <w:rsid w:val="00BB346B"/>
    <w:rsid w:val="00BB370A"/>
    <w:rsid w:val="00BB375B"/>
    <w:rsid w:val="00BB397C"/>
    <w:rsid w:val="00BB3CBB"/>
    <w:rsid w:val="00BB3DFF"/>
    <w:rsid w:val="00BB3FCE"/>
    <w:rsid w:val="00BB3FE5"/>
    <w:rsid w:val="00BB4C86"/>
    <w:rsid w:val="00BB5282"/>
    <w:rsid w:val="00BB5319"/>
    <w:rsid w:val="00BB5C6F"/>
    <w:rsid w:val="00BB5C82"/>
    <w:rsid w:val="00BB5D52"/>
    <w:rsid w:val="00BB5FC6"/>
    <w:rsid w:val="00BB6534"/>
    <w:rsid w:val="00BB6B96"/>
    <w:rsid w:val="00BB6C01"/>
    <w:rsid w:val="00BB75EF"/>
    <w:rsid w:val="00BB7CED"/>
    <w:rsid w:val="00BC089F"/>
    <w:rsid w:val="00BC0E20"/>
    <w:rsid w:val="00BC1006"/>
    <w:rsid w:val="00BC12C5"/>
    <w:rsid w:val="00BC14B3"/>
    <w:rsid w:val="00BC1737"/>
    <w:rsid w:val="00BC2902"/>
    <w:rsid w:val="00BC2D22"/>
    <w:rsid w:val="00BC2E16"/>
    <w:rsid w:val="00BC30DC"/>
    <w:rsid w:val="00BC30EF"/>
    <w:rsid w:val="00BC4433"/>
    <w:rsid w:val="00BC44EA"/>
    <w:rsid w:val="00BC459A"/>
    <w:rsid w:val="00BC477C"/>
    <w:rsid w:val="00BC4B3D"/>
    <w:rsid w:val="00BC4D35"/>
    <w:rsid w:val="00BC5115"/>
    <w:rsid w:val="00BC5586"/>
    <w:rsid w:val="00BC5656"/>
    <w:rsid w:val="00BC577F"/>
    <w:rsid w:val="00BC5958"/>
    <w:rsid w:val="00BC5C5A"/>
    <w:rsid w:val="00BC640D"/>
    <w:rsid w:val="00BC662C"/>
    <w:rsid w:val="00BC69C4"/>
    <w:rsid w:val="00BC6CF4"/>
    <w:rsid w:val="00BC7372"/>
    <w:rsid w:val="00BC7888"/>
    <w:rsid w:val="00BC7CE9"/>
    <w:rsid w:val="00BD02C9"/>
    <w:rsid w:val="00BD0C33"/>
    <w:rsid w:val="00BD157F"/>
    <w:rsid w:val="00BD1A1B"/>
    <w:rsid w:val="00BD23A7"/>
    <w:rsid w:val="00BD25E8"/>
    <w:rsid w:val="00BD26C2"/>
    <w:rsid w:val="00BD2818"/>
    <w:rsid w:val="00BD2DB0"/>
    <w:rsid w:val="00BD396E"/>
    <w:rsid w:val="00BD3C80"/>
    <w:rsid w:val="00BD402E"/>
    <w:rsid w:val="00BD4409"/>
    <w:rsid w:val="00BD47F7"/>
    <w:rsid w:val="00BD4D54"/>
    <w:rsid w:val="00BD5017"/>
    <w:rsid w:val="00BD5390"/>
    <w:rsid w:val="00BD5E15"/>
    <w:rsid w:val="00BD779A"/>
    <w:rsid w:val="00BE032A"/>
    <w:rsid w:val="00BE0B95"/>
    <w:rsid w:val="00BE16F5"/>
    <w:rsid w:val="00BE1828"/>
    <w:rsid w:val="00BE1A4C"/>
    <w:rsid w:val="00BE1B43"/>
    <w:rsid w:val="00BE2A24"/>
    <w:rsid w:val="00BE31E4"/>
    <w:rsid w:val="00BE3439"/>
    <w:rsid w:val="00BE3516"/>
    <w:rsid w:val="00BE379E"/>
    <w:rsid w:val="00BE3D51"/>
    <w:rsid w:val="00BE3DBF"/>
    <w:rsid w:val="00BE44AF"/>
    <w:rsid w:val="00BE6FF7"/>
    <w:rsid w:val="00BE7549"/>
    <w:rsid w:val="00BE76DA"/>
    <w:rsid w:val="00BF011F"/>
    <w:rsid w:val="00BF076A"/>
    <w:rsid w:val="00BF0A96"/>
    <w:rsid w:val="00BF0D5D"/>
    <w:rsid w:val="00BF11A4"/>
    <w:rsid w:val="00BF1C00"/>
    <w:rsid w:val="00BF263F"/>
    <w:rsid w:val="00BF2AAA"/>
    <w:rsid w:val="00BF3690"/>
    <w:rsid w:val="00BF3894"/>
    <w:rsid w:val="00BF3CAF"/>
    <w:rsid w:val="00BF3F22"/>
    <w:rsid w:val="00BF40F4"/>
    <w:rsid w:val="00BF4456"/>
    <w:rsid w:val="00BF4516"/>
    <w:rsid w:val="00BF48DF"/>
    <w:rsid w:val="00BF49BB"/>
    <w:rsid w:val="00BF4D99"/>
    <w:rsid w:val="00BF52C5"/>
    <w:rsid w:val="00BF55A1"/>
    <w:rsid w:val="00BF5EF7"/>
    <w:rsid w:val="00BF61F9"/>
    <w:rsid w:val="00BF6323"/>
    <w:rsid w:val="00BF6371"/>
    <w:rsid w:val="00BF6F14"/>
    <w:rsid w:val="00BF7199"/>
    <w:rsid w:val="00BF7C19"/>
    <w:rsid w:val="00BF7FF2"/>
    <w:rsid w:val="00C00019"/>
    <w:rsid w:val="00C0080B"/>
    <w:rsid w:val="00C00D38"/>
    <w:rsid w:val="00C00DAA"/>
    <w:rsid w:val="00C00E64"/>
    <w:rsid w:val="00C01248"/>
    <w:rsid w:val="00C022EE"/>
    <w:rsid w:val="00C02660"/>
    <w:rsid w:val="00C02935"/>
    <w:rsid w:val="00C02A58"/>
    <w:rsid w:val="00C02DDF"/>
    <w:rsid w:val="00C0337C"/>
    <w:rsid w:val="00C033F7"/>
    <w:rsid w:val="00C03ABE"/>
    <w:rsid w:val="00C03C8D"/>
    <w:rsid w:val="00C03E8F"/>
    <w:rsid w:val="00C040B5"/>
    <w:rsid w:val="00C05157"/>
    <w:rsid w:val="00C05564"/>
    <w:rsid w:val="00C05C11"/>
    <w:rsid w:val="00C05E48"/>
    <w:rsid w:val="00C06432"/>
    <w:rsid w:val="00C06472"/>
    <w:rsid w:val="00C0697E"/>
    <w:rsid w:val="00C06A36"/>
    <w:rsid w:val="00C0712C"/>
    <w:rsid w:val="00C073DC"/>
    <w:rsid w:val="00C0751F"/>
    <w:rsid w:val="00C079D6"/>
    <w:rsid w:val="00C103DD"/>
    <w:rsid w:val="00C10720"/>
    <w:rsid w:val="00C10AA3"/>
    <w:rsid w:val="00C10C0C"/>
    <w:rsid w:val="00C10F62"/>
    <w:rsid w:val="00C11216"/>
    <w:rsid w:val="00C117A2"/>
    <w:rsid w:val="00C119A1"/>
    <w:rsid w:val="00C11EFC"/>
    <w:rsid w:val="00C12279"/>
    <w:rsid w:val="00C1231B"/>
    <w:rsid w:val="00C12DA2"/>
    <w:rsid w:val="00C13702"/>
    <w:rsid w:val="00C1390C"/>
    <w:rsid w:val="00C14148"/>
    <w:rsid w:val="00C14257"/>
    <w:rsid w:val="00C142C8"/>
    <w:rsid w:val="00C14AD4"/>
    <w:rsid w:val="00C150FF"/>
    <w:rsid w:val="00C156AC"/>
    <w:rsid w:val="00C15714"/>
    <w:rsid w:val="00C16197"/>
    <w:rsid w:val="00C16300"/>
    <w:rsid w:val="00C1685B"/>
    <w:rsid w:val="00C16A7C"/>
    <w:rsid w:val="00C17492"/>
    <w:rsid w:val="00C17A4C"/>
    <w:rsid w:val="00C204D2"/>
    <w:rsid w:val="00C20A4B"/>
    <w:rsid w:val="00C20F47"/>
    <w:rsid w:val="00C2103C"/>
    <w:rsid w:val="00C211BB"/>
    <w:rsid w:val="00C2147D"/>
    <w:rsid w:val="00C2198D"/>
    <w:rsid w:val="00C21E59"/>
    <w:rsid w:val="00C22238"/>
    <w:rsid w:val="00C22736"/>
    <w:rsid w:val="00C22895"/>
    <w:rsid w:val="00C230C7"/>
    <w:rsid w:val="00C2336D"/>
    <w:rsid w:val="00C2350E"/>
    <w:rsid w:val="00C2390F"/>
    <w:rsid w:val="00C23A2C"/>
    <w:rsid w:val="00C23B49"/>
    <w:rsid w:val="00C241E4"/>
    <w:rsid w:val="00C2424C"/>
    <w:rsid w:val="00C247BE"/>
    <w:rsid w:val="00C24FF3"/>
    <w:rsid w:val="00C25527"/>
    <w:rsid w:val="00C25E87"/>
    <w:rsid w:val="00C25FB5"/>
    <w:rsid w:val="00C26C01"/>
    <w:rsid w:val="00C26D53"/>
    <w:rsid w:val="00C26F64"/>
    <w:rsid w:val="00C27CA8"/>
    <w:rsid w:val="00C30215"/>
    <w:rsid w:val="00C303B9"/>
    <w:rsid w:val="00C30712"/>
    <w:rsid w:val="00C30AF8"/>
    <w:rsid w:val="00C30BAD"/>
    <w:rsid w:val="00C30BD1"/>
    <w:rsid w:val="00C30E04"/>
    <w:rsid w:val="00C31352"/>
    <w:rsid w:val="00C3143A"/>
    <w:rsid w:val="00C316BD"/>
    <w:rsid w:val="00C31CA1"/>
    <w:rsid w:val="00C324F8"/>
    <w:rsid w:val="00C32CC1"/>
    <w:rsid w:val="00C33412"/>
    <w:rsid w:val="00C33D27"/>
    <w:rsid w:val="00C343A2"/>
    <w:rsid w:val="00C35654"/>
    <w:rsid w:val="00C3569F"/>
    <w:rsid w:val="00C358E7"/>
    <w:rsid w:val="00C36BC7"/>
    <w:rsid w:val="00C36CDD"/>
    <w:rsid w:val="00C36D9E"/>
    <w:rsid w:val="00C3720F"/>
    <w:rsid w:val="00C37384"/>
    <w:rsid w:val="00C3792C"/>
    <w:rsid w:val="00C37D3F"/>
    <w:rsid w:val="00C402E0"/>
    <w:rsid w:val="00C40493"/>
    <w:rsid w:val="00C406C4"/>
    <w:rsid w:val="00C40ED0"/>
    <w:rsid w:val="00C410E6"/>
    <w:rsid w:val="00C41496"/>
    <w:rsid w:val="00C416A4"/>
    <w:rsid w:val="00C418D0"/>
    <w:rsid w:val="00C420CA"/>
    <w:rsid w:val="00C422B5"/>
    <w:rsid w:val="00C42438"/>
    <w:rsid w:val="00C426CF"/>
    <w:rsid w:val="00C4273C"/>
    <w:rsid w:val="00C42831"/>
    <w:rsid w:val="00C42D06"/>
    <w:rsid w:val="00C42E17"/>
    <w:rsid w:val="00C4357B"/>
    <w:rsid w:val="00C43756"/>
    <w:rsid w:val="00C4397C"/>
    <w:rsid w:val="00C43D82"/>
    <w:rsid w:val="00C43EAA"/>
    <w:rsid w:val="00C44006"/>
    <w:rsid w:val="00C443D1"/>
    <w:rsid w:val="00C4460B"/>
    <w:rsid w:val="00C4477D"/>
    <w:rsid w:val="00C44F4B"/>
    <w:rsid w:val="00C4516C"/>
    <w:rsid w:val="00C4547D"/>
    <w:rsid w:val="00C454E3"/>
    <w:rsid w:val="00C45EAE"/>
    <w:rsid w:val="00C45F07"/>
    <w:rsid w:val="00C47493"/>
    <w:rsid w:val="00C5039B"/>
    <w:rsid w:val="00C50BD3"/>
    <w:rsid w:val="00C514D5"/>
    <w:rsid w:val="00C51B03"/>
    <w:rsid w:val="00C51B82"/>
    <w:rsid w:val="00C51DBB"/>
    <w:rsid w:val="00C51E4E"/>
    <w:rsid w:val="00C52278"/>
    <w:rsid w:val="00C52C57"/>
    <w:rsid w:val="00C52FF6"/>
    <w:rsid w:val="00C53FA1"/>
    <w:rsid w:val="00C54F08"/>
    <w:rsid w:val="00C550CD"/>
    <w:rsid w:val="00C551B6"/>
    <w:rsid w:val="00C556DA"/>
    <w:rsid w:val="00C55A2E"/>
    <w:rsid w:val="00C55BBB"/>
    <w:rsid w:val="00C55F84"/>
    <w:rsid w:val="00C56B2C"/>
    <w:rsid w:val="00C5753A"/>
    <w:rsid w:val="00C60BD7"/>
    <w:rsid w:val="00C61B02"/>
    <w:rsid w:val="00C61E07"/>
    <w:rsid w:val="00C622FC"/>
    <w:rsid w:val="00C623EE"/>
    <w:rsid w:val="00C62CC8"/>
    <w:rsid w:val="00C63657"/>
    <w:rsid w:val="00C637AA"/>
    <w:rsid w:val="00C63AFC"/>
    <w:rsid w:val="00C63EC9"/>
    <w:rsid w:val="00C64351"/>
    <w:rsid w:val="00C64A17"/>
    <w:rsid w:val="00C64A3B"/>
    <w:rsid w:val="00C650D4"/>
    <w:rsid w:val="00C6567B"/>
    <w:rsid w:val="00C656A6"/>
    <w:rsid w:val="00C65B1D"/>
    <w:rsid w:val="00C66240"/>
    <w:rsid w:val="00C66860"/>
    <w:rsid w:val="00C66A0D"/>
    <w:rsid w:val="00C67086"/>
    <w:rsid w:val="00C67391"/>
    <w:rsid w:val="00C67450"/>
    <w:rsid w:val="00C67663"/>
    <w:rsid w:val="00C677B1"/>
    <w:rsid w:val="00C67A65"/>
    <w:rsid w:val="00C6A7E1"/>
    <w:rsid w:val="00C7044B"/>
    <w:rsid w:val="00C70DC6"/>
    <w:rsid w:val="00C72628"/>
    <w:rsid w:val="00C72794"/>
    <w:rsid w:val="00C72F18"/>
    <w:rsid w:val="00C7340B"/>
    <w:rsid w:val="00C73A05"/>
    <w:rsid w:val="00C73B42"/>
    <w:rsid w:val="00C73EE8"/>
    <w:rsid w:val="00C73FAF"/>
    <w:rsid w:val="00C74250"/>
    <w:rsid w:val="00C752F5"/>
    <w:rsid w:val="00C765B1"/>
    <w:rsid w:val="00C7666A"/>
    <w:rsid w:val="00C767F3"/>
    <w:rsid w:val="00C76E0C"/>
    <w:rsid w:val="00C76EFF"/>
    <w:rsid w:val="00C776ED"/>
    <w:rsid w:val="00C80000"/>
    <w:rsid w:val="00C8041F"/>
    <w:rsid w:val="00C80765"/>
    <w:rsid w:val="00C808EF"/>
    <w:rsid w:val="00C80D07"/>
    <w:rsid w:val="00C81627"/>
    <w:rsid w:val="00C81A43"/>
    <w:rsid w:val="00C81F6F"/>
    <w:rsid w:val="00C81F92"/>
    <w:rsid w:val="00C8231E"/>
    <w:rsid w:val="00C826F6"/>
    <w:rsid w:val="00C82C0F"/>
    <w:rsid w:val="00C82C5D"/>
    <w:rsid w:val="00C82D0E"/>
    <w:rsid w:val="00C8349D"/>
    <w:rsid w:val="00C83B53"/>
    <w:rsid w:val="00C83DF8"/>
    <w:rsid w:val="00C848A1"/>
    <w:rsid w:val="00C84991"/>
    <w:rsid w:val="00C84AEB"/>
    <w:rsid w:val="00C859DE"/>
    <w:rsid w:val="00C85A21"/>
    <w:rsid w:val="00C86456"/>
    <w:rsid w:val="00C86609"/>
    <w:rsid w:val="00C8674B"/>
    <w:rsid w:val="00C86D66"/>
    <w:rsid w:val="00C87189"/>
    <w:rsid w:val="00C872F9"/>
    <w:rsid w:val="00C873CE"/>
    <w:rsid w:val="00C874AD"/>
    <w:rsid w:val="00C877E4"/>
    <w:rsid w:val="00C87B27"/>
    <w:rsid w:val="00C87D63"/>
    <w:rsid w:val="00C90282"/>
    <w:rsid w:val="00C90327"/>
    <w:rsid w:val="00C903AA"/>
    <w:rsid w:val="00C90529"/>
    <w:rsid w:val="00C9055B"/>
    <w:rsid w:val="00C9107D"/>
    <w:rsid w:val="00C917CF"/>
    <w:rsid w:val="00C91A26"/>
    <w:rsid w:val="00C91AA8"/>
    <w:rsid w:val="00C91E38"/>
    <w:rsid w:val="00C929E8"/>
    <w:rsid w:val="00C93ADB"/>
    <w:rsid w:val="00C93C93"/>
    <w:rsid w:val="00C94454"/>
    <w:rsid w:val="00C94676"/>
    <w:rsid w:val="00C946B4"/>
    <w:rsid w:val="00C9480A"/>
    <w:rsid w:val="00C94C75"/>
    <w:rsid w:val="00C94CF7"/>
    <w:rsid w:val="00C950B4"/>
    <w:rsid w:val="00C95332"/>
    <w:rsid w:val="00C95457"/>
    <w:rsid w:val="00C9581E"/>
    <w:rsid w:val="00C95BB1"/>
    <w:rsid w:val="00C95D19"/>
    <w:rsid w:val="00C960B5"/>
    <w:rsid w:val="00C9612D"/>
    <w:rsid w:val="00C96501"/>
    <w:rsid w:val="00C96F6B"/>
    <w:rsid w:val="00C97046"/>
    <w:rsid w:val="00C974E8"/>
    <w:rsid w:val="00CA0ED1"/>
    <w:rsid w:val="00CA1F55"/>
    <w:rsid w:val="00CA20C2"/>
    <w:rsid w:val="00CA28DC"/>
    <w:rsid w:val="00CA292B"/>
    <w:rsid w:val="00CA2A5C"/>
    <w:rsid w:val="00CA2B55"/>
    <w:rsid w:val="00CA33A3"/>
    <w:rsid w:val="00CA3719"/>
    <w:rsid w:val="00CA409C"/>
    <w:rsid w:val="00CA4428"/>
    <w:rsid w:val="00CA4513"/>
    <w:rsid w:val="00CA4BE3"/>
    <w:rsid w:val="00CA4CD4"/>
    <w:rsid w:val="00CA4F32"/>
    <w:rsid w:val="00CA52B3"/>
    <w:rsid w:val="00CA5B59"/>
    <w:rsid w:val="00CA5F10"/>
    <w:rsid w:val="00CA630C"/>
    <w:rsid w:val="00CA6469"/>
    <w:rsid w:val="00CA6ACA"/>
    <w:rsid w:val="00CA7638"/>
    <w:rsid w:val="00CA7814"/>
    <w:rsid w:val="00CA7DAD"/>
    <w:rsid w:val="00CA7EE7"/>
    <w:rsid w:val="00CB02C5"/>
    <w:rsid w:val="00CB0570"/>
    <w:rsid w:val="00CB063A"/>
    <w:rsid w:val="00CB0956"/>
    <w:rsid w:val="00CB0D2E"/>
    <w:rsid w:val="00CB0D70"/>
    <w:rsid w:val="00CB188E"/>
    <w:rsid w:val="00CB21AF"/>
    <w:rsid w:val="00CB30E2"/>
    <w:rsid w:val="00CB3644"/>
    <w:rsid w:val="00CB3A9A"/>
    <w:rsid w:val="00CB3D3F"/>
    <w:rsid w:val="00CB4654"/>
    <w:rsid w:val="00CB4703"/>
    <w:rsid w:val="00CB4FF9"/>
    <w:rsid w:val="00CB5017"/>
    <w:rsid w:val="00CB55B2"/>
    <w:rsid w:val="00CB5E37"/>
    <w:rsid w:val="00CB5F20"/>
    <w:rsid w:val="00CB6D24"/>
    <w:rsid w:val="00CB7119"/>
    <w:rsid w:val="00CB7132"/>
    <w:rsid w:val="00CB715B"/>
    <w:rsid w:val="00CB7CE0"/>
    <w:rsid w:val="00CC00BD"/>
    <w:rsid w:val="00CC057B"/>
    <w:rsid w:val="00CC0970"/>
    <w:rsid w:val="00CC09AA"/>
    <w:rsid w:val="00CC10B0"/>
    <w:rsid w:val="00CC1461"/>
    <w:rsid w:val="00CC20E1"/>
    <w:rsid w:val="00CC215B"/>
    <w:rsid w:val="00CC250D"/>
    <w:rsid w:val="00CC528C"/>
    <w:rsid w:val="00CC5BE1"/>
    <w:rsid w:val="00CC65BF"/>
    <w:rsid w:val="00CC6C6B"/>
    <w:rsid w:val="00CC70C6"/>
    <w:rsid w:val="00CC726A"/>
    <w:rsid w:val="00CC75D5"/>
    <w:rsid w:val="00CD0027"/>
    <w:rsid w:val="00CD0408"/>
    <w:rsid w:val="00CD07E5"/>
    <w:rsid w:val="00CD1363"/>
    <w:rsid w:val="00CD166D"/>
    <w:rsid w:val="00CD1779"/>
    <w:rsid w:val="00CD18FE"/>
    <w:rsid w:val="00CD1B6A"/>
    <w:rsid w:val="00CD1D59"/>
    <w:rsid w:val="00CD1EAE"/>
    <w:rsid w:val="00CD20F1"/>
    <w:rsid w:val="00CD21A7"/>
    <w:rsid w:val="00CD2788"/>
    <w:rsid w:val="00CD2898"/>
    <w:rsid w:val="00CD2DFC"/>
    <w:rsid w:val="00CD2EF0"/>
    <w:rsid w:val="00CD2FE7"/>
    <w:rsid w:val="00CD3CB4"/>
    <w:rsid w:val="00CD3F2D"/>
    <w:rsid w:val="00CD3FC8"/>
    <w:rsid w:val="00CD4370"/>
    <w:rsid w:val="00CD4417"/>
    <w:rsid w:val="00CD4E1C"/>
    <w:rsid w:val="00CD558F"/>
    <w:rsid w:val="00CD5987"/>
    <w:rsid w:val="00CD5B99"/>
    <w:rsid w:val="00CD5F0E"/>
    <w:rsid w:val="00CD6216"/>
    <w:rsid w:val="00CD6290"/>
    <w:rsid w:val="00CD678D"/>
    <w:rsid w:val="00CD6E46"/>
    <w:rsid w:val="00CD74F0"/>
    <w:rsid w:val="00CD79A7"/>
    <w:rsid w:val="00CD7E9A"/>
    <w:rsid w:val="00CE00B6"/>
    <w:rsid w:val="00CE06F1"/>
    <w:rsid w:val="00CE0714"/>
    <w:rsid w:val="00CE0779"/>
    <w:rsid w:val="00CE082C"/>
    <w:rsid w:val="00CE0D0A"/>
    <w:rsid w:val="00CE1B61"/>
    <w:rsid w:val="00CE2630"/>
    <w:rsid w:val="00CE2CD3"/>
    <w:rsid w:val="00CE30B3"/>
    <w:rsid w:val="00CE34F1"/>
    <w:rsid w:val="00CE3BE5"/>
    <w:rsid w:val="00CE4258"/>
    <w:rsid w:val="00CE4EF0"/>
    <w:rsid w:val="00CE516D"/>
    <w:rsid w:val="00CE6474"/>
    <w:rsid w:val="00CE662C"/>
    <w:rsid w:val="00CE6CB4"/>
    <w:rsid w:val="00CE730B"/>
    <w:rsid w:val="00CF01D5"/>
    <w:rsid w:val="00CF0256"/>
    <w:rsid w:val="00CF0600"/>
    <w:rsid w:val="00CF11F6"/>
    <w:rsid w:val="00CF12B7"/>
    <w:rsid w:val="00CF1FF7"/>
    <w:rsid w:val="00CF1FFF"/>
    <w:rsid w:val="00CF20AD"/>
    <w:rsid w:val="00CF219D"/>
    <w:rsid w:val="00CF2A68"/>
    <w:rsid w:val="00CF2C3C"/>
    <w:rsid w:val="00CF2F5B"/>
    <w:rsid w:val="00CF3385"/>
    <w:rsid w:val="00CF3B99"/>
    <w:rsid w:val="00CF4968"/>
    <w:rsid w:val="00CF4A34"/>
    <w:rsid w:val="00CF4C0F"/>
    <w:rsid w:val="00CF588C"/>
    <w:rsid w:val="00CF5FBB"/>
    <w:rsid w:val="00CF63AA"/>
    <w:rsid w:val="00CF65F9"/>
    <w:rsid w:val="00CF6979"/>
    <w:rsid w:val="00CF72F7"/>
    <w:rsid w:val="00CF7672"/>
    <w:rsid w:val="00D001E2"/>
    <w:rsid w:val="00D00534"/>
    <w:rsid w:val="00D00A83"/>
    <w:rsid w:val="00D00CC7"/>
    <w:rsid w:val="00D016B3"/>
    <w:rsid w:val="00D02637"/>
    <w:rsid w:val="00D03C89"/>
    <w:rsid w:val="00D0455F"/>
    <w:rsid w:val="00D049FB"/>
    <w:rsid w:val="00D04E95"/>
    <w:rsid w:val="00D051CA"/>
    <w:rsid w:val="00D05467"/>
    <w:rsid w:val="00D05598"/>
    <w:rsid w:val="00D056AD"/>
    <w:rsid w:val="00D056E3"/>
    <w:rsid w:val="00D05D5F"/>
    <w:rsid w:val="00D05FBF"/>
    <w:rsid w:val="00D05FDE"/>
    <w:rsid w:val="00D061B8"/>
    <w:rsid w:val="00D0649D"/>
    <w:rsid w:val="00D0653E"/>
    <w:rsid w:val="00D06A2F"/>
    <w:rsid w:val="00D06BBF"/>
    <w:rsid w:val="00D070DD"/>
    <w:rsid w:val="00D07282"/>
    <w:rsid w:val="00D072F7"/>
    <w:rsid w:val="00D07516"/>
    <w:rsid w:val="00D07873"/>
    <w:rsid w:val="00D07FC6"/>
    <w:rsid w:val="00D103AC"/>
    <w:rsid w:val="00D104A7"/>
    <w:rsid w:val="00D108F0"/>
    <w:rsid w:val="00D10BFC"/>
    <w:rsid w:val="00D10D06"/>
    <w:rsid w:val="00D11C09"/>
    <w:rsid w:val="00D1215C"/>
    <w:rsid w:val="00D126BF"/>
    <w:rsid w:val="00D12C18"/>
    <w:rsid w:val="00D12DDF"/>
    <w:rsid w:val="00D12EEE"/>
    <w:rsid w:val="00D12F6B"/>
    <w:rsid w:val="00D1333B"/>
    <w:rsid w:val="00D136E6"/>
    <w:rsid w:val="00D137A8"/>
    <w:rsid w:val="00D13C9B"/>
    <w:rsid w:val="00D14661"/>
    <w:rsid w:val="00D1520E"/>
    <w:rsid w:val="00D1547E"/>
    <w:rsid w:val="00D15BAB"/>
    <w:rsid w:val="00D15EDD"/>
    <w:rsid w:val="00D16C18"/>
    <w:rsid w:val="00D173C0"/>
    <w:rsid w:val="00D173DA"/>
    <w:rsid w:val="00D1741C"/>
    <w:rsid w:val="00D17430"/>
    <w:rsid w:val="00D17E07"/>
    <w:rsid w:val="00D203A1"/>
    <w:rsid w:val="00D20F30"/>
    <w:rsid w:val="00D216AC"/>
    <w:rsid w:val="00D22E1E"/>
    <w:rsid w:val="00D22EBD"/>
    <w:rsid w:val="00D231C2"/>
    <w:rsid w:val="00D235C9"/>
    <w:rsid w:val="00D23A71"/>
    <w:rsid w:val="00D23CD4"/>
    <w:rsid w:val="00D2412B"/>
    <w:rsid w:val="00D24334"/>
    <w:rsid w:val="00D244E2"/>
    <w:rsid w:val="00D24D7A"/>
    <w:rsid w:val="00D25292"/>
    <w:rsid w:val="00D25497"/>
    <w:rsid w:val="00D25593"/>
    <w:rsid w:val="00D25B63"/>
    <w:rsid w:val="00D25F9D"/>
    <w:rsid w:val="00D266A6"/>
    <w:rsid w:val="00D266E2"/>
    <w:rsid w:val="00D26A20"/>
    <w:rsid w:val="00D27032"/>
    <w:rsid w:val="00D27120"/>
    <w:rsid w:val="00D273A9"/>
    <w:rsid w:val="00D300FF"/>
    <w:rsid w:val="00D307CE"/>
    <w:rsid w:val="00D3095A"/>
    <w:rsid w:val="00D30FB8"/>
    <w:rsid w:val="00D31087"/>
    <w:rsid w:val="00D31C67"/>
    <w:rsid w:val="00D32B5D"/>
    <w:rsid w:val="00D32BE8"/>
    <w:rsid w:val="00D32C07"/>
    <w:rsid w:val="00D33269"/>
    <w:rsid w:val="00D33C50"/>
    <w:rsid w:val="00D33DA6"/>
    <w:rsid w:val="00D3402A"/>
    <w:rsid w:val="00D34648"/>
    <w:rsid w:val="00D34A91"/>
    <w:rsid w:val="00D34D72"/>
    <w:rsid w:val="00D35068"/>
    <w:rsid w:val="00D35088"/>
    <w:rsid w:val="00D3565E"/>
    <w:rsid w:val="00D35BE2"/>
    <w:rsid w:val="00D36880"/>
    <w:rsid w:val="00D36B4E"/>
    <w:rsid w:val="00D37264"/>
    <w:rsid w:val="00D378BC"/>
    <w:rsid w:val="00D37BC4"/>
    <w:rsid w:val="00D40257"/>
    <w:rsid w:val="00D40AF6"/>
    <w:rsid w:val="00D41282"/>
    <w:rsid w:val="00D419D6"/>
    <w:rsid w:val="00D41D36"/>
    <w:rsid w:val="00D41D8C"/>
    <w:rsid w:val="00D42439"/>
    <w:rsid w:val="00D42736"/>
    <w:rsid w:val="00D430BC"/>
    <w:rsid w:val="00D431EE"/>
    <w:rsid w:val="00D4369E"/>
    <w:rsid w:val="00D439E1"/>
    <w:rsid w:val="00D43AFA"/>
    <w:rsid w:val="00D4483E"/>
    <w:rsid w:val="00D448EA"/>
    <w:rsid w:val="00D450BB"/>
    <w:rsid w:val="00D4515F"/>
    <w:rsid w:val="00D45850"/>
    <w:rsid w:val="00D45898"/>
    <w:rsid w:val="00D474A0"/>
    <w:rsid w:val="00D504DE"/>
    <w:rsid w:val="00D50C09"/>
    <w:rsid w:val="00D51D52"/>
    <w:rsid w:val="00D51E42"/>
    <w:rsid w:val="00D5211F"/>
    <w:rsid w:val="00D522F1"/>
    <w:rsid w:val="00D5306D"/>
    <w:rsid w:val="00D5318F"/>
    <w:rsid w:val="00D5395A"/>
    <w:rsid w:val="00D53B09"/>
    <w:rsid w:val="00D55802"/>
    <w:rsid w:val="00D56253"/>
    <w:rsid w:val="00D56293"/>
    <w:rsid w:val="00D563AA"/>
    <w:rsid w:val="00D564A8"/>
    <w:rsid w:val="00D56C86"/>
    <w:rsid w:val="00D56DE8"/>
    <w:rsid w:val="00D57996"/>
    <w:rsid w:val="00D57A5E"/>
    <w:rsid w:val="00D57C65"/>
    <w:rsid w:val="00D57F1F"/>
    <w:rsid w:val="00D604A6"/>
    <w:rsid w:val="00D60E21"/>
    <w:rsid w:val="00D6104D"/>
    <w:rsid w:val="00D61B56"/>
    <w:rsid w:val="00D61F10"/>
    <w:rsid w:val="00D6257F"/>
    <w:rsid w:val="00D62681"/>
    <w:rsid w:val="00D6268D"/>
    <w:rsid w:val="00D62D05"/>
    <w:rsid w:val="00D62DAA"/>
    <w:rsid w:val="00D63052"/>
    <w:rsid w:val="00D6307A"/>
    <w:rsid w:val="00D630B8"/>
    <w:rsid w:val="00D63896"/>
    <w:rsid w:val="00D63F00"/>
    <w:rsid w:val="00D64C4B"/>
    <w:rsid w:val="00D64D38"/>
    <w:rsid w:val="00D658DB"/>
    <w:rsid w:val="00D65AAC"/>
    <w:rsid w:val="00D6642A"/>
    <w:rsid w:val="00D669A4"/>
    <w:rsid w:val="00D6709B"/>
    <w:rsid w:val="00D67B59"/>
    <w:rsid w:val="00D67C66"/>
    <w:rsid w:val="00D67EB5"/>
    <w:rsid w:val="00D70130"/>
    <w:rsid w:val="00D703D4"/>
    <w:rsid w:val="00D71865"/>
    <w:rsid w:val="00D7381A"/>
    <w:rsid w:val="00D73AA4"/>
    <w:rsid w:val="00D74544"/>
    <w:rsid w:val="00D74DCF"/>
    <w:rsid w:val="00D7519F"/>
    <w:rsid w:val="00D755B2"/>
    <w:rsid w:val="00D758CF"/>
    <w:rsid w:val="00D7597C"/>
    <w:rsid w:val="00D75C37"/>
    <w:rsid w:val="00D76B18"/>
    <w:rsid w:val="00D76CC5"/>
    <w:rsid w:val="00D76D56"/>
    <w:rsid w:val="00D771BE"/>
    <w:rsid w:val="00D772E9"/>
    <w:rsid w:val="00D775C9"/>
    <w:rsid w:val="00D80814"/>
    <w:rsid w:val="00D815C8"/>
    <w:rsid w:val="00D828F6"/>
    <w:rsid w:val="00D82D67"/>
    <w:rsid w:val="00D8315B"/>
    <w:rsid w:val="00D835EC"/>
    <w:rsid w:val="00D8372D"/>
    <w:rsid w:val="00D83E17"/>
    <w:rsid w:val="00D84B96"/>
    <w:rsid w:val="00D8555C"/>
    <w:rsid w:val="00D85A01"/>
    <w:rsid w:val="00D85EAB"/>
    <w:rsid w:val="00D85F50"/>
    <w:rsid w:val="00D85FA9"/>
    <w:rsid w:val="00D865C9"/>
    <w:rsid w:val="00D86996"/>
    <w:rsid w:val="00D9077B"/>
    <w:rsid w:val="00D90A37"/>
    <w:rsid w:val="00D91119"/>
    <w:rsid w:val="00D91BA2"/>
    <w:rsid w:val="00D920A2"/>
    <w:rsid w:val="00D9232E"/>
    <w:rsid w:val="00D9351B"/>
    <w:rsid w:val="00D958FE"/>
    <w:rsid w:val="00D96062"/>
    <w:rsid w:val="00D963D7"/>
    <w:rsid w:val="00D96550"/>
    <w:rsid w:val="00D96867"/>
    <w:rsid w:val="00D96E43"/>
    <w:rsid w:val="00D97331"/>
    <w:rsid w:val="00D976EC"/>
    <w:rsid w:val="00D979AF"/>
    <w:rsid w:val="00D97AF7"/>
    <w:rsid w:val="00D97C7C"/>
    <w:rsid w:val="00DA0021"/>
    <w:rsid w:val="00DA0240"/>
    <w:rsid w:val="00DA10A8"/>
    <w:rsid w:val="00DA15A6"/>
    <w:rsid w:val="00DA17B5"/>
    <w:rsid w:val="00DA1862"/>
    <w:rsid w:val="00DA1DB7"/>
    <w:rsid w:val="00DA270D"/>
    <w:rsid w:val="00DA293A"/>
    <w:rsid w:val="00DA2F5C"/>
    <w:rsid w:val="00DA35CF"/>
    <w:rsid w:val="00DA37F0"/>
    <w:rsid w:val="00DA3AFB"/>
    <w:rsid w:val="00DA407A"/>
    <w:rsid w:val="00DA409C"/>
    <w:rsid w:val="00DA41C4"/>
    <w:rsid w:val="00DA4D3B"/>
    <w:rsid w:val="00DA5179"/>
    <w:rsid w:val="00DA5A62"/>
    <w:rsid w:val="00DA5D59"/>
    <w:rsid w:val="00DA686B"/>
    <w:rsid w:val="00DA6B31"/>
    <w:rsid w:val="00DA6BD9"/>
    <w:rsid w:val="00DA729B"/>
    <w:rsid w:val="00DA72A6"/>
    <w:rsid w:val="00DA77BB"/>
    <w:rsid w:val="00DA7B68"/>
    <w:rsid w:val="00DA7C68"/>
    <w:rsid w:val="00DA7CCA"/>
    <w:rsid w:val="00DA7F2D"/>
    <w:rsid w:val="00DB01FC"/>
    <w:rsid w:val="00DB0A7A"/>
    <w:rsid w:val="00DB0ABE"/>
    <w:rsid w:val="00DB0AF8"/>
    <w:rsid w:val="00DB1706"/>
    <w:rsid w:val="00DB19A8"/>
    <w:rsid w:val="00DB395D"/>
    <w:rsid w:val="00DB41A8"/>
    <w:rsid w:val="00DB48C0"/>
    <w:rsid w:val="00DB4E6A"/>
    <w:rsid w:val="00DB5600"/>
    <w:rsid w:val="00DB5CB4"/>
    <w:rsid w:val="00DB5FB8"/>
    <w:rsid w:val="00DB63AF"/>
    <w:rsid w:val="00DB64EF"/>
    <w:rsid w:val="00DB6A36"/>
    <w:rsid w:val="00DB7AF9"/>
    <w:rsid w:val="00DB7B51"/>
    <w:rsid w:val="00DC008C"/>
    <w:rsid w:val="00DC0333"/>
    <w:rsid w:val="00DC03B5"/>
    <w:rsid w:val="00DC0420"/>
    <w:rsid w:val="00DC0CB8"/>
    <w:rsid w:val="00DC1403"/>
    <w:rsid w:val="00DC3607"/>
    <w:rsid w:val="00DC416F"/>
    <w:rsid w:val="00DC5487"/>
    <w:rsid w:val="00DC59D6"/>
    <w:rsid w:val="00DC5AB8"/>
    <w:rsid w:val="00DC628C"/>
    <w:rsid w:val="00DC6C9D"/>
    <w:rsid w:val="00DC6DDE"/>
    <w:rsid w:val="00DC6E1A"/>
    <w:rsid w:val="00DC7258"/>
    <w:rsid w:val="00DC72F6"/>
    <w:rsid w:val="00DC7A00"/>
    <w:rsid w:val="00DC7D41"/>
    <w:rsid w:val="00DC7D47"/>
    <w:rsid w:val="00DD06DE"/>
    <w:rsid w:val="00DD1459"/>
    <w:rsid w:val="00DD18D8"/>
    <w:rsid w:val="00DD27C2"/>
    <w:rsid w:val="00DD28AB"/>
    <w:rsid w:val="00DD2AD5"/>
    <w:rsid w:val="00DD2ADC"/>
    <w:rsid w:val="00DD333C"/>
    <w:rsid w:val="00DD3A2A"/>
    <w:rsid w:val="00DD3E58"/>
    <w:rsid w:val="00DD4C86"/>
    <w:rsid w:val="00DD56FC"/>
    <w:rsid w:val="00DD5BFE"/>
    <w:rsid w:val="00DD77DB"/>
    <w:rsid w:val="00DE098C"/>
    <w:rsid w:val="00DE0995"/>
    <w:rsid w:val="00DE26DE"/>
    <w:rsid w:val="00DE28F1"/>
    <w:rsid w:val="00DE2A7A"/>
    <w:rsid w:val="00DE2D93"/>
    <w:rsid w:val="00DE300C"/>
    <w:rsid w:val="00DE3299"/>
    <w:rsid w:val="00DE334D"/>
    <w:rsid w:val="00DE36AA"/>
    <w:rsid w:val="00DE3875"/>
    <w:rsid w:val="00DE4110"/>
    <w:rsid w:val="00DE4550"/>
    <w:rsid w:val="00DE45DA"/>
    <w:rsid w:val="00DE479A"/>
    <w:rsid w:val="00DE5512"/>
    <w:rsid w:val="00DE5CA8"/>
    <w:rsid w:val="00DE5FB1"/>
    <w:rsid w:val="00DE6486"/>
    <w:rsid w:val="00DE659E"/>
    <w:rsid w:val="00DE6A28"/>
    <w:rsid w:val="00DE7196"/>
    <w:rsid w:val="00DE736D"/>
    <w:rsid w:val="00DE74E7"/>
    <w:rsid w:val="00DE7B39"/>
    <w:rsid w:val="00DE7F10"/>
    <w:rsid w:val="00DF010C"/>
    <w:rsid w:val="00DF19CC"/>
    <w:rsid w:val="00DF1DAB"/>
    <w:rsid w:val="00DF2F79"/>
    <w:rsid w:val="00DF3DD5"/>
    <w:rsid w:val="00DF42B9"/>
    <w:rsid w:val="00DF4FC1"/>
    <w:rsid w:val="00DF5631"/>
    <w:rsid w:val="00DF58B0"/>
    <w:rsid w:val="00DF6710"/>
    <w:rsid w:val="00DF6B3F"/>
    <w:rsid w:val="00DF7533"/>
    <w:rsid w:val="00DF7629"/>
    <w:rsid w:val="00DF7B20"/>
    <w:rsid w:val="00E007B2"/>
    <w:rsid w:val="00E0081C"/>
    <w:rsid w:val="00E00E24"/>
    <w:rsid w:val="00E010AF"/>
    <w:rsid w:val="00E01720"/>
    <w:rsid w:val="00E01A8C"/>
    <w:rsid w:val="00E01F5C"/>
    <w:rsid w:val="00E0218D"/>
    <w:rsid w:val="00E02841"/>
    <w:rsid w:val="00E03509"/>
    <w:rsid w:val="00E03F23"/>
    <w:rsid w:val="00E0411C"/>
    <w:rsid w:val="00E04E92"/>
    <w:rsid w:val="00E053C3"/>
    <w:rsid w:val="00E062C2"/>
    <w:rsid w:val="00E06367"/>
    <w:rsid w:val="00E0646E"/>
    <w:rsid w:val="00E067EE"/>
    <w:rsid w:val="00E072A4"/>
    <w:rsid w:val="00E073C7"/>
    <w:rsid w:val="00E07643"/>
    <w:rsid w:val="00E07A3F"/>
    <w:rsid w:val="00E1030B"/>
    <w:rsid w:val="00E11E30"/>
    <w:rsid w:val="00E11FA0"/>
    <w:rsid w:val="00E125D5"/>
    <w:rsid w:val="00E128DB"/>
    <w:rsid w:val="00E12E8C"/>
    <w:rsid w:val="00E13163"/>
    <w:rsid w:val="00E132E5"/>
    <w:rsid w:val="00E13BB9"/>
    <w:rsid w:val="00E15350"/>
    <w:rsid w:val="00E15523"/>
    <w:rsid w:val="00E15F64"/>
    <w:rsid w:val="00E16556"/>
    <w:rsid w:val="00E1681D"/>
    <w:rsid w:val="00E16F48"/>
    <w:rsid w:val="00E171EC"/>
    <w:rsid w:val="00E2000F"/>
    <w:rsid w:val="00E2050F"/>
    <w:rsid w:val="00E20767"/>
    <w:rsid w:val="00E209A3"/>
    <w:rsid w:val="00E20A2C"/>
    <w:rsid w:val="00E20A7A"/>
    <w:rsid w:val="00E21CE6"/>
    <w:rsid w:val="00E221AE"/>
    <w:rsid w:val="00E22675"/>
    <w:rsid w:val="00E22946"/>
    <w:rsid w:val="00E22E8E"/>
    <w:rsid w:val="00E2309A"/>
    <w:rsid w:val="00E23190"/>
    <w:rsid w:val="00E2325C"/>
    <w:rsid w:val="00E23369"/>
    <w:rsid w:val="00E23908"/>
    <w:rsid w:val="00E23D42"/>
    <w:rsid w:val="00E23F43"/>
    <w:rsid w:val="00E24F0A"/>
    <w:rsid w:val="00E25351"/>
    <w:rsid w:val="00E25EBD"/>
    <w:rsid w:val="00E25EC0"/>
    <w:rsid w:val="00E2624E"/>
    <w:rsid w:val="00E26379"/>
    <w:rsid w:val="00E26695"/>
    <w:rsid w:val="00E26DB0"/>
    <w:rsid w:val="00E26DDA"/>
    <w:rsid w:val="00E26F34"/>
    <w:rsid w:val="00E26F46"/>
    <w:rsid w:val="00E2725D"/>
    <w:rsid w:val="00E278EE"/>
    <w:rsid w:val="00E27D88"/>
    <w:rsid w:val="00E3001B"/>
    <w:rsid w:val="00E3002B"/>
    <w:rsid w:val="00E302C6"/>
    <w:rsid w:val="00E3095C"/>
    <w:rsid w:val="00E30F82"/>
    <w:rsid w:val="00E311CC"/>
    <w:rsid w:val="00E31224"/>
    <w:rsid w:val="00E3122C"/>
    <w:rsid w:val="00E31BCD"/>
    <w:rsid w:val="00E3216B"/>
    <w:rsid w:val="00E32F91"/>
    <w:rsid w:val="00E33695"/>
    <w:rsid w:val="00E338D5"/>
    <w:rsid w:val="00E33CC8"/>
    <w:rsid w:val="00E33EE5"/>
    <w:rsid w:val="00E342D4"/>
    <w:rsid w:val="00E347EF"/>
    <w:rsid w:val="00E34CC0"/>
    <w:rsid w:val="00E355DD"/>
    <w:rsid w:val="00E35CDD"/>
    <w:rsid w:val="00E35FCB"/>
    <w:rsid w:val="00E36175"/>
    <w:rsid w:val="00E362F7"/>
    <w:rsid w:val="00E36354"/>
    <w:rsid w:val="00E3669D"/>
    <w:rsid w:val="00E367B6"/>
    <w:rsid w:val="00E374D9"/>
    <w:rsid w:val="00E375BD"/>
    <w:rsid w:val="00E37762"/>
    <w:rsid w:val="00E40645"/>
    <w:rsid w:val="00E41222"/>
    <w:rsid w:val="00E41A13"/>
    <w:rsid w:val="00E41B56"/>
    <w:rsid w:val="00E421CC"/>
    <w:rsid w:val="00E42490"/>
    <w:rsid w:val="00E425E6"/>
    <w:rsid w:val="00E42C13"/>
    <w:rsid w:val="00E438BA"/>
    <w:rsid w:val="00E43C57"/>
    <w:rsid w:val="00E443D2"/>
    <w:rsid w:val="00E44966"/>
    <w:rsid w:val="00E44B96"/>
    <w:rsid w:val="00E45C0E"/>
    <w:rsid w:val="00E45E2D"/>
    <w:rsid w:val="00E46564"/>
    <w:rsid w:val="00E4673F"/>
    <w:rsid w:val="00E4681D"/>
    <w:rsid w:val="00E4707B"/>
    <w:rsid w:val="00E47416"/>
    <w:rsid w:val="00E4741A"/>
    <w:rsid w:val="00E47641"/>
    <w:rsid w:val="00E47BB4"/>
    <w:rsid w:val="00E50362"/>
    <w:rsid w:val="00E5039A"/>
    <w:rsid w:val="00E503D3"/>
    <w:rsid w:val="00E50CFC"/>
    <w:rsid w:val="00E5122F"/>
    <w:rsid w:val="00E51420"/>
    <w:rsid w:val="00E51D66"/>
    <w:rsid w:val="00E51E90"/>
    <w:rsid w:val="00E5234A"/>
    <w:rsid w:val="00E523BC"/>
    <w:rsid w:val="00E52599"/>
    <w:rsid w:val="00E52D1B"/>
    <w:rsid w:val="00E53A17"/>
    <w:rsid w:val="00E53CD7"/>
    <w:rsid w:val="00E53FA4"/>
    <w:rsid w:val="00E541ED"/>
    <w:rsid w:val="00E54CF4"/>
    <w:rsid w:val="00E54ED6"/>
    <w:rsid w:val="00E54EEB"/>
    <w:rsid w:val="00E55582"/>
    <w:rsid w:val="00E56224"/>
    <w:rsid w:val="00E56413"/>
    <w:rsid w:val="00E566F3"/>
    <w:rsid w:val="00E57BE9"/>
    <w:rsid w:val="00E6011D"/>
    <w:rsid w:val="00E6063D"/>
    <w:rsid w:val="00E61394"/>
    <w:rsid w:val="00E619C7"/>
    <w:rsid w:val="00E61AE3"/>
    <w:rsid w:val="00E61CF9"/>
    <w:rsid w:val="00E6232A"/>
    <w:rsid w:val="00E626D5"/>
    <w:rsid w:val="00E62880"/>
    <w:rsid w:val="00E62E54"/>
    <w:rsid w:val="00E63C03"/>
    <w:rsid w:val="00E63CFF"/>
    <w:rsid w:val="00E63E18"/>
    <w:rsid w:val="00E642D5"/>
    <w:rsid w:val="00E645D0"/>
    <w:rsid w:val="00E64A74"/>
    <w:rsid w:val="00E64FCB"/>
    <w:rsid w:val="00E65003"/>
    <w:rsid w:val="00E65135"/>
    <w:rsid w:val="00E65336"/>
    <w:rsid w:val="00E65593"/>
    <w:rsid w:val="00E656E0"/>
    <w:rsid w:val="00E65965"/>
    <w:rsid w:val="00E66089"/>
    <w:rsid w:val="00E66B80"/>
    <w:rsid w:val="00E66C45"/>
    <w:rsid w:val="00E673AF"/>
    <w:rsid w:val="00E67485"/>
    <w:rsid w:val="00E67BEC"/>
    <w:rsid w:val="00E703FF"/>
    <w:rsid w:val="00E705E2"/>
    <w:rsid w:val="00E70DEB"/>
    <w:rsid w:val="00E71C0E"/>
    <w:rsid w:val="00E71D82"/>
    <w:rsid w:val="00E721C8"/>
    <w:rsid w:val="00E72471"/>
    <w:rsid w:val="00E73426"/>
    <w:rsid w:val="00E73AB7"/>
    <w:rsid w:val="00E73EBC"/>
    <w:rsid w:val="00E73ECB"/>
    <w:rsid w:val="00E7400C"/>
    <w:rsid w:val="00E7406E"/>
    <w:rsid w:val="00E74BE7"/>
    <w:rsid w:val="00E74C17"/>
    <w:rsid w:val="00E74D2D"/>
    <w:rsid w:val="00E75131"/>
    <w:rsid w:val="00E7514F"/>
    <w:rsid w:val="00E752A7"/>
    <w:rsid w:val="00E75CA9"/>
    <w:rsid w:val="00E76D7C"/>
    <w:rsid w:val="00E771EF"/>
    <w:rsid w:val="00E773DD"/>
    <w:rsid w:val="00E776B7"/>
    <w:rsid w:val="00E80572"/>
    <w:rsid w:val="00E80718"/>
    <w:rsid w:val="00E80E53"/>
    <w:rsid w:val="00E80E9C"/>
    <w:rsid w:val="00E813CF"/>
    <w:rsid w:val="00E8144B"/>
    <w:rsid w:val="00E818DB"/>
    <w:rsid w:val="00E825F3"/>
    <w:rsid w:val="00E83254"/>
    <w:rsid w:val="00E83759"/>
    <w:rsid w:val="00E845A3"/>
    <w:rsid w:val="00E846EF"/>
    <w:rsid w:val="00E85593"/>
    <w:rsid w:val="00E857FB"/>
    <w:rsid w:val="00E85EE3"/>
    <w:rsid w:val="00E86162"/>
    <w:rsid w:val="00E865A6"/>
    <w:rsid w:val="00E86608"/>
    <w:rsid w:val="00E86BBF"/>
    <w:rsid w:val="00E86EFE"/>
    <w:rsid w:val="00E875F3"/>
    <w:rsid w:val="00E87722"/>
    <w:rsid w:val="00E87F1B"/>
    <w:rsid w:val="00E90737"/>
    <w:rsid w:val="00E90745"/>
    <w:rsid w:val="00E909A4"/>
    <w:rsid w:val="00E90A2B"/>
    <w:rsid w:val="00E90A61"/>
    <w:rsid w:val="00E90D23"/>
    <w:rsid w:val="00E912C4"/>
    <w:rsid w:val="00E92464"/>
    <w:rsid w:val="00E92F50"/>
    <w:rsid w:val="00E9316A"/>
    <w:rsid w:val="00E932E4"/>
    <w:rsid w:val="00E93609"/>
    <w:rsid w:val="00E93F3F"/>
    <w:rsid w:val="00E9448C"/>
    <w:rsid w:val="00E94C43"/>
    <w:rsid w:val="00E95008"/>
    <w:rsid w:val="00E956D7"/>
    <w:rsid w:val="00E95B83"/>
    <w:rsid w:val="00E95E74"/>
    <w:rsid w:val="00E974AE"/>
    <w:rsid w:val="00E97C78"/>
    <w:rsid w:val="00E97F50"/>
    <w:rsid w:val="00EA0078"/>
    <w:rsid w:val="00EA039B"/>
    <w:rsid w:val="00EA0FF3"/>
    <w:rsid w:val="00EA1092"/>
    <w:rsid w:val="00EA1314"/>
    <w:rsid w:val="00EA131C"/>
    <w:rsid w:val="00EA18E1"/>
    <w:rsid w:val="00EA1C8D"/>
    <w:rsid w:val="00EA1F00"/>
    <w:rsid w:val="00EA2678"/>
    <w:rsid w:val="00EA2AFC"/>
    <w:rsid w:val="00EA3D16"/>
    <w:rsid w:val="00EA45A4"/>
    <w:rsid w:val="00EA4D84"/>
    <w:rsid w:val="00EA5991"/>
    <w:rsid w:val="00EA5DE3"/>
    <w:rsid w:val="00EA7FDD"/>
    <w:rsid w:val="00EB0197"/>
    <w:rsid w:val="00EB10E2"/>
    <w:rsid w:val="00EB10EE"/>
    <w:rsid w:val="00EB114A"/>
    <w:rsid w:val="00EB1FA8"/>
    <w:rsid w:val="00EB23B5"/>
    <w:rsid w:val="00EB2CD4"/>
    <w:rsid w:val="00EB32DC"/>
    <w:rsid w:val="00EB3994"/>
    <w:rsid w:val="00EB3C25"/>
    <w:rsid w:val="00EB3ED2"/>
    <w:rsid w:val="00EB53C4"/>
    <w:rsid w:val="00EB5CE3"/>
    <w:rsid w:val="00EB6154"/>
    <w:rsid w:val="00EB70D3"/>
    <w:rsid w:val="00EB745B"/>
    <w:rsid w:val="00EB7DF4"/>
    <w:rsid w:val="00EC0E85"/>
    <w:rsid w:val="00EC0FFD"/>
    <w:rsid w:val="00EC10F1"/>
    <w:rsid w:val="00EC1389"/>
    <w:rsid w:val="00EC18C7"/>
    <w:rsid w:val="00EC2A09"/>
    <w:rsid w:val="00EC376A"/>
    <w:rsid w:val="00EC3B85"/>
    <w:rsid w:val="00EC3F12"/>
    <w:rsid w:val="00EC4E92"/>
    <w:rsid w:val="00EC5925"/>
    <w:rsid w:val="00EC5BB9"/>
    <w:rsid w:val="00EC60C4"/>
    <w:rsid w:val="00EC65F6"/>
    <w:rsid w:val="00EC6632"/>
    <w:rsid w:val="00EC6B1A"/>
    <w:rsid w:val="00EC6CD2"/>
    <w:rsid w:val="00EC7345"/>
    <w:rsid w:val="00EC78CE"/>
    <w:rsid w:val="00ED011E"/>
    <w:rsid w:val="00ED089B"/>
    <w:rsid w:val="00ED0EA4"/>
    <w:rsid w:val="00ED1D25"/>
    <w:rsid w:val="00ED1DE2"/>
    <w:rsid w:val="00ED215C"/>
    <w:rsid w:val="00ED22BE"/>
    <w:rsid w:val="00ED35A5"/>
    <w:rsid w:val="00ED36B6"/>
    <w:rsid w:val="00ED377F"/>
    <w:rsid w:val="00ED44AF"/>
    <w:rsid w:val="00ED533C"/>
    <w:rsid w:val="00ED59FF"/>
    <w:rsid w:val="00ED61F2"/>
    <w:rsid w:val="00ED663C"/>
    <w:rsid w:val="00ED6992"/>
    <w:rsid w:val="00ED6A22"/>
    <w:rsid w:val="00ED6EFC"/>
    <w:rsid w:val="00ED6F3F"/>
    <w:rsid w:val="00ED7075"/>
    <w:rsid w:val="00ED70C9"/>
    <w:rsid w:val="00ED738B"/>
    <w:rsid w:val="00ED7720"/>
    <w:rsid w:val="00ED7971"/>
    <w:rsid w:val="00ED7D00"/>
    <w:rsid w:val="00EE0A23"/>
    <w:rsid w:val="00EE11C5"/>
    <w:rsid w:val="00EE1627"/>
    <w:rsid w:val="00EE1F1B"/>
    <w:rsid w:val="00EE299A"/>
    <w:rsid w:val="00EE29C9"/>
    <w:rsid w:val="00EE2CA8"/>
    <w:rsid w:val="00EE2E32"/>
    <w:rsid w:val="00EE330C"/>
    <w:rsid w:val="00EE3319"/>
    <w:rsid w:val="00EE391C"/>
    <w:rsid w:val="00EE3B51"/>
    <w:rsid w:val="00EE40D7"/>
    <w:rsid w:val="00EE43CB"/>
    <w:rsid w:val="00EE44A4"/>
    <w:rsid w:val="00EE5218"/>
    <w:rsid w:val="00EE5465"/>
    <w:rsid w:val="00EE551E"/>
    <w:rsid w:val="00EE557C"/>
    <w:rsid w:val="00EE5811"/>
    <w:rsid w:val="00EE5F06"/>
    <w:rsid w:val="00EE6291"/>
    <w:rsid w:val="00EE6343"/>
    <w:rsid w:val="00EE66A7"/>
    <w:rsid w:val="00EE7047"/>
    <w:rsid w:val="00EE70F3"/>
    <w:rsid w:val="00EE7823"/>
    <w:rsid w:val="00EE792D"/>
    <w:rsid w:val="00EE7B61"/>
    <w:rsid w:val="00EE7CC3"/>
    <w:rsid w:val="00EE7D08"/>
    <w:rsid w:val="00EF0379"/>
    <w:rsid w:val="00EF053A"/>
    <w:rsid w:val="00EF1284"/>
    <w:rsid w:val="00EF1E21"/>
    <w:rsid w:val="00EF1E4F"/>
    <w:rsid w:val="00EF1FCA"/>
    <w:rsid w:val="00EF28C3"/>
    <w:rsid w:val="00EF2CB2"/>
    <w:rsid w:val="00EF2D17"/>
    <w:rsid w:val="00EF3067"/>
    <w:rsid w:val="00EF30F6"/>
    <w:rsid w:val="00EF3430"/>
    <w:rsid w:val="00EF349B"/>
    <w:rsid w:val="00EF36A2"/>
    <w:rsid w:val="00EF3907"/>
    <w:rsid w:val="00EF39B3"/>
    <w:rsid w:val="00EF3E11"/>
    <w:rsid w:val="00EF4216"/>
    <w:rsid w:val="00EF44A9"/>
    <w:rsid w:val="00EF4689"/>
    <w:rsid w:val="00EF4DD7"/>
    <w:rsid w:val="00EF5B08"/>
    <w:rsid w:val="00EF6057"/>
    <w:rsid w:val="00EF6805"/>
    <w:rsid w:val="00EF7473"/>
    <w:rsid w:val="00EF78AA"/>
    <w:rsid w:val="00EF78B5"/>
    <w:rsid w:val="00EF7C02"/>
    <w:rsid w:val="00F0105C"/>
    <w:rsid w:val="00F0118A"/>
    <w:rsid w:val="00F01946"/>
    <w:rsid w:val="00F01A7E"/>
    <w:rsid w:val="00F01DD9"/>
    <w:rsid w:val="00F022F8"/>
    <w:rsid w:val="00F025BA"/>
    <w:rsid w:val="00F025EF"/>
    <w:rsid w:val="00F02C7A"/>
    <w:rsid w:val="00F02D9C"/>
    <w:rsid w:val="00F02EED"/>
    <w:rsid w:val="00F031CB"/>
    <w:rsid w:val="00F035E6"/>
    <w:rsid w:val="00F0393E"/>
    <w:rsid w:val="00F03A5C"/>
    <w:rsid w:val="00F042AD"/>
    <w:rsid w:val="00F0432F"/>
    <w:rsid w:val="00F05D44"/>
    <w:rsid w:val="00F0643F"/>
    <w:rsid w:val="00F06490"/>
    <w:rsid w:val="00F06A64"/>
    <w:rsid w:val="00F06B28"/>
    <w:rsid w:val="00F07255"/>
    <w:rsid w:val="00F0790F"/>
    <w:rsid w:val="00F07BFF"/>
    <w:rsid w:val="00F104AA"/>
    <w:rsid w:val="00F10968"/>
    <w:rsid w:val="00F10EE0"/>
    <w:rsid w:val="00F11954"/>
    <w:rsid w:val="00F11A52"/>
    <w:rsid w:val="00F11CE4"/>
    <w:rsid w:val="00F12141"/>
    <w:rsid w:val="00F12248"/>
    <w:rsid w:val="00F1294D"/>
    <w:rsid w:val="00F1297B"/>
    <w:rsid w:val="00F12B95"/>
    <w:rsid w:val="00F13115"/>
    <w:rsid w:val="00F133B7"/>
    <w:rsid w:val="00F13DAA"/>
    <w:rsid w:val="00F13F50"/>
    <w:rsid w:val="00F14157"/>
    <w:rsid w:val="00F14927"/>
    <w:rsid w:val="00F14AC2"/>
    <w:rsid w:val="00F14FBB"/>
    <w:rsid w:val="00F151AD"/>
    <w:rsid w:val="00F153BF"/>
    <w:rsid w:val="00F15867"/>
    <w:rsid w:val="00F15CE2"/>
    <w:rsid w:val="00F16511"/>
    <w:rsid w:val="00F165AE"/>
    <w:rsid w:val="00F1708B"/>
    <w:rsid w:val="00F1791F"/>
    <w:rsid w:val="00F17C29"/>
    <w:rsid w:val="00F17C95"/>
    <w:rsid w:val="00F17E49"/>
    <w:rsid w:val="00F17F60"/>
    <w:rsid w:val="00F20C1B"/>
    <w:rsid w:val="00F20C44"/>
    <w:rsid w:val="00F214EF"/>
    <w:rsid w:val="00F218C8"/>
    <w:rsid w:val="00F22252"/>
    <w:rsid w:val="00F2257F"/>
    <w:rsid w:val="00F22AE2"/>
    <w:rsid w:val="00F2302A"/>
    <w:rsid w:val="00F234FE"/>
    <w:rsid w:val="00F23812"/>
    <w:rsid w:val="00F23A5D"/>
    <w:rsid w:val="00F23E8C"/>
    <w:rsid w:val="00F2410D"/>
    <w:rsid w:val="00F24885"/>
    <w:rsid w:val="00F2573D"/>
    <w:rsid w:val="00F25D02"/>
    <w:rsid w:val="00F2624E"/>
    <w:rsid w:val="00F26AD6"/>
    <w:rsid w:val="00F26E5E"/>
    <w:rsid w:val="00F26F91"/>
    <w:rsid w:val="00F271D0"/>
    <w:rsid w:val="00F30018"/>
    <w:rsid w:val="00F305F9"/>
    <w:rsid w:val="00F30766"/>
    <w:rsid w:val="00F30E41"/>
    <w:rsid w:val="00F312ED"/>
    <w:rsid w:val="00F31599"/>
    <w:rsid w:val="00F31748"/>
    <w:rsid w:val="00F31FB9"/>
    <w:rsid w:val="00F324B0"/>
    <w:rsid w:val="00F3273C"/>
    <w:rsid w:val="00F32882"/>
    <w:rsid w:val="00F32A61"/>
    <w:rsid w:val="00F32AEB"/>
    <w:rsid w:val="00F3310B"/>
    <w:rsid w:val="00F33647"/>
    <w:rsid w:val="00F3423B"/>
    <w:rsid w:val="00F342A9"/>
    <w:rsid w:val="00F345F3"/>
    <w:rsid w:val="00F34FA9"/>
    <w:rsid w:val="00F35114"/>
    <w:rsid w:val="00F35D31"/>
    <w:rsid w:val="00F36330"/>
    <w:rsid w:val="00F363EC"/>
    <w:rsid w:val="00F364BE"/>
    <w:rsid w:val="00F36841"/>
    <w:rsid w:val="00F36B75"/>
    <w:rsid w:val="00F36B8B"/>
    <w:rsid w:val="00F36CA7"/>
    <w:rsid w:val="00F36E64"/>
    <w:rsid w:val="00F370FB"/>
    <w:rsid w:val="00F37616"/>
    <w:rsid w:val="00F377B4"/>
    <w:rsid w:val="00F40640"/>
    <w:rsid w:val="00F41FD0"/>
    <w:rsid w:val="00F42103"/>
    <w:rsid w:val="00F4237B"/>
    <w:rsid w:val="00F423D5"/>
    <w:rsid w:val="00F42687"/>
    <w:rsid w:val="00F42BE4"/>
    <w:rsid w:val="00F431A5"/>
    <w:rsid w:val="00F43880"/>
    <w:rsid w:val="00F438DF"/>
    <w:rsid w:val="00F43A1B"/>
    <w:rsid w:val="00F43F83"/>
    <w:rsid w:val="00F44399"/>
    <w:rsid w:val="00F44BD4"/>
    <w:rsid w:val="00F4544C"/>
    <w:rsid w:val="00F4574C"/>
    <w:rsid w:val="00F4607F"/>
    <w:rsid w:val="00F4673D"/>
    <w:rsid w:val="00F46A6F"/>
    <w:rsid w:val="00F46AAA"/>
    <w:rsid w:val="00F46E1E"/>
    <w:rsid w:val="00F47154"/>
    <w:rsid w:val="00F47E96"/>
    <w:rsid w:val="00F502AE"/>
    <w:rsid w:val="00F502B7"/>
    <w:rsid w:val="00F50C6B"/>
    <w:rsid w:val="00F5101A"/>
    <w:rsid w:val="00F5126A"/>
    <w:rsid w:val="00F515A8"/>
    <w:rsid w:val="00F51FC7"/>
    <w:rsid w:val="00F53B2F"/>
    <w:rsid w:val="00F53F98"/>
    <w:rsid w:val="00F540ED"/>
    <w:rsid w:val="00F54295"/>
    <w:rsid w:val="00F544B3"/>
    <w:rsid w:val="00F54629"/>
    <w:rsid w:val="00F552F8"/>
    <w:rsid w:val="00F55488"/>
    <w:rsid w:val="00F5663A"/>
    <w:rsid w:val="00F5672E"/>
    <w:rsid w:val="00F575EB"/>
    <w:rsid w:val="00F57A30"/>
    <w:rsid w:val="00F57F61"/>
    <w:rsid w:val="00F600E1"/>
    <w:rsid w:val="00F60528"/>
    <w:rsid w:val="00F60634"/>
    <w:rsid w:val="00F606AE"/>
    <w:rsid w:val="00F6076C"/>
    <w:rsid w:val="00F6077E"/>
    <w:rsid w:val="00F607C6"/>
    <w:rsid w:val="00F60C88"/>
    <w:rsid w:val="00F614CF"/>
    <w:rsid w:val="00F619EF"/>
    <w:rsid w:val="00F6261D"/>
    <w:rsid w:val="00F63416"/>
    <w:rsid w:val="00F6378A"/>
    <w:rsid w:val="00F64D1C"/>
    <w:rsid w:val="00F64E33"/>
    <w:rsid w:val="00F64FF6"/>
    <w:rsid w:val="00F65C66"/>
    <w:rsid w:val="00F65D1B"/>
    <w:rsid w:val="00F66752"/>
    <w:rsid w:val="00F66B46"/>
    <w:rsid w:val="00F676D9"/>
    <w:rsid w:val="00F677E3"/>
    <w:rsid w:val="00F67815"/>
    <w:rsid w:val="00F67891"/>
    <w:rsid w:val="00F67986"/>
    <w:rsid w:val="00F6C7E9"/>
    <w:rsid w:val="00F701E2"/>
    <w:rsid w:val="00F70530"/>
    <w:rsid w:val="00F70624"/>
    <w:rsid w:val="00F70C76"/>
    <w:rsid w:val="00F70F4C"/>
    <w:rsid w:val="00F710D0"/>
    <w:rsid w:val="00F71673"/>
    <w:rsid w:val="00F71D98"/>
    <w:rsid w:val="00F7223A"/>
    <w:rsid w:val="00F7232F"/>
    <w:rsid w:val="00F72700"/>
    <w:rsid w:val="00F72F22"/>
    <w:rsid w:val="00F7333A"/>
    <w:rsid w:val="00F7361A"/>
    <w:rsid w:val="00F736E3"/>
    <w:rsid w:val="00F738B3"/>
    <w:rsid w:val="00F739F1"/>
    <w:rsid w:val="00F73A1C"/>
    <w:rsid w:val="00F7447B"/>
    <w:rsid w:val="00F7452D"/>
    <w:rsid w:val="00F74816"/>
    <w:rsid w:val="00F74BDE"/>
    <w:rsid w:val="00F75269"/>
    <w:rsid w:val="00F75802"/>
    <w:rsid w:val="00F75D74"/>
    <w:rsid w:val="00F75F65"/>
    <w:rsid w:val="00F7610A"/>
    <w:rsid w:val="00F762A8"/>
    <w:rsid w:val="00F76B44"/>
    <w:rsid w:val="00F76D99"/>
    <w:rsid w:val="00F76E43"/>
    <w:rsid w:val="00F76FBF"/>
    <w:rsid w:val="00F7714A"/>
    <w:rsid w:val="00F7725B"/>
    <w:rsid w:val="00F7753D"/>
    <w:rsid w:val="00F77D0C"/>
    <w:rsid w:val="00F80291"/>
    <w:rsid w:val="00F8054E"/>
    <w:rsid w:val="00F80A1B"/>
    <w:rsid w:val="00F811AF"/>
    <w:rsid w:val="00F81592"/>
    <w:rsid w:val="00F81C6C"/>
    <w:rsid w:val="00F81CE9"/>
    <w:rsid w:val="00F82235"/>
    <w:rsid w:val="00F82247"/>
    <w:rsid w:val="00F82587"/>
    <w:rsid w:val="00F83450"/>
    <w:rsid w:val="00F838C8"/>
    <w:rsid w:val="00F83A84"/>
    <w:rsid w:val="00F83ED2"/>
    <w:rsid w:val="00F84405"/>
    <w:rsid w:val="00F84A47"/>
    <w:rsid w:val="00F8562B"/>
    <w:rsid w:val="00F85896"/>
    <w:rsid w:val="00F86A0B"/>
    <w:rsid w:val="00F86F8B"/>
    <w:rsid w:val="00F87184"/>
    <w:rsid w:val="00F87625"/>
    <w:rsid w:val="00F878F7"/>
    <w:rsid w:val="00F87D8F"/>
    <w:rsid w:val="00F9007E"/>
    <w:rsid w:val="00F900EA"/>
    <w:rsid w:val="00F90507"/>
    <w:rsid w:val="00F90733"/>
    <w:rsid w:val="00F907F8"/>
    <w:rsid w:val="00F90F04"/>
    <w:rsid w:val="00F9104A"/>
    <w:rsid w:val="00F91119"/>
    <w:rsid w:val="00F92454"/>
    <w:rsid w:val="00F9331A"/>
    <w:rsid w:val="00F934C1"/>
    <w:rsid w:val="00F938D9"/>
    <w:rsid w:val="00F939C7"/>
    <w:rsid w:val="00F939CB"/>
    <w:rsid w:val="00F93B3B"/>
    <w:rsid w:val="00F94619"/>
    <w:rsid w:val="00F947A6"/>
    <w:rsid w:val="00F947E2"/>
    <w:rsid w:val="00F95551"/>
    <w:rsid w:val="00F95A5D"/>
    <w:rsid w:val="00F95C7A"/>
    <w:rsid w:val="00F961A5"/>
    <w:rsid w:val="00F9633F"/>
    <w:rsid w:val="00F965B9"/>
    <w:rsid w:val="00F96918"/>
    <w:rsid w:val="00F97192"/>
    <w:rsid w:val="00F979CB"/>
    <w:rsid w:val="00F97A72"/>
    <w:rsid w:val="00FA026A"/>
    <w:rsid w:val="00FA0446"/>
    <w:rsid w:val="00FA0BBC"/>
    <w:rsid w:val="00FA0CF1"/>
    <w:rsid w:val="00FA0F8D"/>
    <w:rsid w:val="00FA128B"/>
    <w:rsid w:val="00FA165F"/>
    <w:rsid w:val="00FA1A72"/>
    <w:rsid w:val="00FA1A99"/>
    <w:rsid w:val="00FA1CC2"/>
    <w:rsid w:val="00FA1DD8"/>
    <w:rsid w:val="00FA28FC"/>
    <w:rsid w:val="00FA2AF3"/>
    <w:rsid w:val="00FA331D"/>
    <w:rsid w:val="00FA3447"/>
    <w:rsid w:val="00FA4805"/>
    <w:rsid w:val="00FA51EC"/>
    <w:rsid w:val="00FA5423"/>
    <w:rsid w:val="00FA66DB"/>
    <w:rsid w:val="00FA6A41"/>
    <w:rsid w:val="00FA6ACA"/>
    <w:rsid w:val="00FA6BD0"/>
    <w:rsid w:val="00FA6EDA"/>
    <w:rsid w:val="00FA70B1"/>
    <w:rsid w:val="00FA72A9"/>
    <w:rsid w:val="00FA7A9E"/>
    <w:rsid w:val="00FB0CD0"/>
    <w:rsid w:val="00FB1E82"/>
    <w:rsid w:val="00FB2658"/>
    <w:rsid w:val="00FB29F3"/>
    <w:rsid w:val="00FB351F"/>
    <w:rsid w:val="00FB3563"/>
    <w:rsid w:val="00FB402D"/>
    <w:rsid w:val="00FB477B"/>
    <w:rsid w:val="00FB4A39"/>
    <w:rsid w:val="00FB4C93"/>
    <w:rsid w:val="00FB4ED0"/>
    <w:rsid w:val="00FB547C"/>
    <w:rsid w:val="00FB5B8D"/>
    <w:rsid w:val="00FB6483"/>
    <w:rsid w:val="00FB72DD"/>
    <w:rsid w:val="00FB7B9F"/>
    <w:rsid w:val="00FB7D20"/>
    <w:rsid w:val="00FB7E17"/>
    <w:rsid w:val="00FC021B"/>
    <w:rsid w:val="00FC04B1"/>
    <w:rsid w:val="00FC0D32"/>
    <w:rsid w:val="00FC0F14"/>
    <w:rsid w:val="00FC1084"/>
    <w:rsid w:val="00FC14B7"/>
    <w:rsid w:val="00FC1502"/>
    <w:rsid w:val="00FC1733"/>
    <w:rsid w:val="00FC1D43"/>
    <w:rsid w:val="00FC23E9"/>
    <w:rsid w:val="00FC2499"/>
    <w:rsid w:val="00FC24FF"/>
    <w:rsid w:val="00FC269C"/>
    <w:rsid w:val="00FC2E8B"/>
    <w:rsid w:val="00FC2ECE"/>
    <w:rsid w:val="00FC2FD3"/>
    <w:rsid w:val="00FC3238"/>
    <w:rsid w:val="00FC37FB"/>
    <w:rsid w:val="00FC4655"/>
    <w:rsid w:val="00FC4C2B"/>
    <w:rsid w:val="00FC4C62"/>
    <w:rsid w:val="00FC5129"/>
    <w:rsid w:val="00FC5803"/>
    <w:rsid w:val="00FC58E7"/>
    <w:rsid w:val="00FC5B61"/>
    <w:rsid w:val="00FC5D6A"/>
    <w:rsid w:val="00FC6066"/>
    <w:rsid w:val="00FC657A"/>
    <w:rsid w:val="00FC6D13"/>
    <w:rsid w:val="00FC7206"/>
    <w:rsid w:val="00FC72F5"/>
    <w:rsid w:val="00FC7412"/>
    <w:rsid w:val="00FC7AB5"/>
    <w:rsid w:val="00FD0677"/>
    <w:rsid w:val="00FD0B41"/>
    <w:rsid w:val="00FD0D65"/>
    <w:rsid w:val="00FD150D"/>
    <w:rsid w:val="00FD3344"/>
    <w:rsid w:val="00FD391F"/>
    <w:rsid w:val="00FD4030"/>
    <w:rsid w:val="00FD4424"/>
    <w:rsid w:val="00FD47BD"/>
    <w:rsid w:val="00FD4AB0"/>
    <w:rsid w:val="00FD531D"/>
    <w:rsid w:val="00FD61F1"/>
    <w:rsid w:val="00FD7E34"/>
    <w:rsid w:val="00FE0996"/>
    <w:rsid w:val="00FE100F"/>
    <w:rsid w:val="00FE15BB"/>
    <w:rsid w:val="00FE18A7"/>
    <w:rsid w:val="00FE19EF"/>
    <w:rsid w:val="00FE22EA"/>
    <w:rsid w:val="00FE2333"/>
    <w:rsid w:val="00FE23D7"/>
    <w:rsid w:val="00FE23E4"/>
    <w:rsid w:val="00FE2515"/>
    <w:rsid w:val="00FE25B7"/>
    <w:rsid w:val="00FE2A49"/>
    <w:rsid w:val="00FE3E28"/>
    <w:rsid w:val="00FE5C27"/>
    <w:rsid w:val="00FE606C"/>
    <w:rsid w:val="00FE620F"/>
    <w:rsid w:val="00FE6357"/>
    <w:rsid w:val="00FE6660"/>
    <w:rsid w:val="00FE6F71"/>
    <w:rsid w:val="00FE730D"/>
    <w:rsid w:val="00FE746D"/>
    <w:rsid w:val="00FE7B09"/>
    <w:rsid w:val="00FF06F6"/>
    <w:rsid w:val="00FF1162"/>
    <w:rsid w:val="00FF12AA"/>
    <w:rsid w:val="00FF14D9"/>
    <w:rsid w:val="00FF239E"/>
    <w:rsid w:val="00FF23A0"/>
    <w:rsid w:val="00FF368F"/>
    <w:rsid w:val="00FF38FC"/>
    <w:rsid w:val="00FF3C78"/>
    <w:rsid w:val="00FF4395"/>
    <w:rsid w:val="00FF48D4"/>
    <w:rsid w:val="00FF49CC"/>
    <w:rsid w:val="00FF5EA9"/>
    <w:rsid w:val="00FF6DA3"/>
    <w:rsid w:val="012A55C5"/>
    <w:rsid w:val="0138BC31"/>
    <w:rsid w:val="013E260A"/>
    <w:rsid w:val="01435660"/>
    <w:rsid w:val="0152B414"/>
    <w:rsid w:val="01803989"/>
    <w:rsid w:val="0192879E"/>
    <w:rsid w:val="019AFE40"/>
    <w:rsid w:val="01EAFDAD"/>
    <w:rsid w:val="01F599BE"/>
    <w:rsid w:val="022E9580"/>
    <w:rsid w:val="02385D7E"/>
    <w:rsid w:val="023B5DB7"/>
    <w:rsid w:val="0252EAFA"/>
    <w:rsid w:val="0253FB57"/>
    <w:rsid w:val="027E90A7"/>
    <w:rsid w:val="02804E9E"/>
    <w:rsid w:val="0286AC5A"/>
    <w:rsid w:val="0291EC99"/>
    <w:rsid w:val="02976DDD"/>
    <w:rsid w:val="02AC388F"/>
    <w:rsid w:val="02B256DE"/>
    <w:rsid w:val="02B62570"/>
    <w:rsid w:val="02DA4C53"/>
    <w:rsid w:val="030C3056"/>
    <w:rsid w:val="03101FF5"/>
    <w:rsid w:val="0313C8B0"/>
    <w:rsid w:val="03148BD0"/>
    <w:rsid w:val="031CC7D5"/>
    <w:rsid w:val="031D9867"/>
    <w:rsid w:val="031F694C"/>
    <w:rsid w:val="03260910"/>
    <w:rsid w:val="032E2630"/>
    <w:rsid w:val="03369AA2"/>
    <w:rsid w:val="036E897D"/>
    <w:rsid w:val="03750568"/>
    <w:rsid w:val="0379F502"/>
    <w:rsid w:val="0381BD39"/>
    <w:rsid w:val="0388A3B2"/>
    <w:rsid w:val="038BA643"/>
    <w:rsid w:val="03AC91B7"/>
    <w:rsid w:val="03B795CB"/>
    <w:rsid w:val="03C3E45A"/>
    <w:rsid w:val="03DEEB30"/>
    <w:rsid w:val="041D4186"/>
    <w:rsid w:val="041FFBF1"/>
    <w:rsid w:val="0433DFAB"/>
    <w:rsid w:val="044ADDD6"/>
    <w:rsid w:val="04567520"/>
    <w:rsid w:val="045EC846"/>
    <w:rsid w:val="046B86F4"/>
    <w:rsid w:val="04785495"/>
    <w:rsid w:val="049F2B14"/>
    <w:rsid w:val="04B75F01"/>
    <w:rsid w:val="04CDF011"/>
    <w:rsid w:val="04D039C6"/>
    <w:rsid w:val="04DFABEA"/>
    <w:rsid w:val="04F1F44B"/>
    <w:rsid w:val="04F2D87B"/>
    <w:rsid w:val="0500B85E"/>
    <w:rsid w:val="05048CFF"/>
    <w:rsid w:val="055EBC18"/>
    <w:rsid w:val="05816FAA"/>
    <w:rsid w:val="058EA201"/>
    <w:rsid w:val="05932605"/>
    <w:rsid w:val="059D4FE6"/>
    <w:rsid w:val="05C1CB26"/>
    <w:rsid w:val="05D4B673"/>
    <w:rsid w:val="05D6B31D"/>
    <w:rsid w:val="05DFC168"/>
    <w:rsid w:val="05FF2A07"/>
    <w:rsid w:val="0630D188"/>
    <w:rsid w:val="063308C6"/>
    <w:rsid w:val="0647D063"/>
    <w:rsid w:val="06891656"/>
    <w:rsid w:val="06A9FD87"/>
    <w:rsid w:val="06B7C22C"/>
    <w:rsid w:val="06F72774"/>
    <w:rsid w:val="07360F26"/>
    <w:rsid w:val="073E1767"/>
    <w:rsid w:val="07402309"/>
    <w:rsid w:val="0756C3C6"/>
    <w:rsid w:val="076A32A5"/>
    <w:rsid w:val="07A850DC"/>
    <w:rsid w:val="07B250F7"/>
    <w:rsid w:val="07B3DBE4"/>
    <w:rsid w:val="07CB0BA9"/>
    <w:rsid w:val="07DBE49C"/>
    <w:rsid w:val="07F43EA1"/>
    <w:rsid w:val="07FB4750"/>
    <w:rsid w:val="081AE789"/>
    <w:rsid w:val="082847ED"/>
    <w:rsid w:val="083B0AA8"/>
    <w:rsid w:val="083C6137"/>
    <w:rsid w:val="083DFE1B"/>
    <w:rsid w:val="085B0858"/>
    <w:rsid w:val="088CF299"/>
    <w:rsid w:val="089C5960"/>
    <w:rsid w:val="08A2BA8E"/>
    <w:rsid w:val="08C383DE"/>
    <w:rsid w:val="08C451EA"/>
    <w:rsid w:val="08D81C3A"/>
    <w:rsid w:val="08DA31DC"/>
    <w:rsid w:val="08E3CAC2"/>
    <w:rsid w:val="08EB3D0D"/>
    <w:rsid w:val="09019E73"/>
    <w:rsid w:val="092936B7"/>
    <w:rsid w:val="0936B081"/>
    <w:rsid w:val="093978A3"/>
    <w:rsid w:val="095EB5DB"/>
    <w:rsid w:val="0961BA60"/>
    <w:rsid w:val="097BAC37"/>
    <w:rsid w:val="097DE4A2"/>
    <w:rsid w:val="098545FC"/>
    <w:rsid w:val="09948578"/>
    <w:rsid w:val="09BA55BA"/>
    <w:rsid w:val="09DE41D0"/>
    <w:rsid w:val="09FAB253"/>
    <w:rsid w:val="0A0571E8"/>
    <w:rsid w:val="0A276B7B"/>
    <w:rsid w:val="0A3DF556"/>
    <w:rsid w:val="0A41658A"/>
    <w:rsid w:val="0A447F18"/>
    <w:rsid w:val="0A47BDAE"/>
    <w:rsid w:val="0A4ECF36"/>
    <w:rsid w:val="0A598131"/>
    <w:rsid w:val="0A688FF7"/>
    <w:rsid w:val="0A8C9595"/>
    <w:rsid w:val="0A9533A4"/>
    <w:rsid w:val="0AED312E"/>
    <w:rsid w:val="0B0FD2D5"/>
    <w:rsid w:val="0B20454A"/>
    <w:rsid w:val="0B249F6D"/>
    <w:rsid w:val="0B309481"/>
    <w:rsid w:val="0B36342F"/>
    <w:rsid w:val="0B3C1D1C"/>
    <w:rsid w:val="0B795281"/>
    <w:rsid w:val="0BDE99A6"/>
    <w:rsid w:val="0BF72181"/>
    <w:rsid w:val="0BFE0236"/>
    <w:rsid w:val="0C0756B5"/>
    <w:rsid w:val="0C246459"/>
    <w:rsid w:val="0C337971"/>
    <w:rsid w:val="0C479CC0"/>
    <w:rsid w:val="0C4CB6DE"/>
    <w:rsid w:val="0C68D4C9"/>
    <w:rsid w:val="0C955875"/>
    <w:rsid w:val="0CA136B5"/>
    <w:rsid w:val="0CA3F6FB"/>
    <w:rsid w:val="0CA55A64"/>
    <w:rsid w:val="0CB7D6FD"/>
    <w:rsid w:val="0CBD9829"/>
    <w:rsid w:val="0CBE8C49"/>
    <w:rsid w:val="0CD668B4"/>
    <w:rsid w:val="0D14AD84"/>
    <w:rsid w:val="0D429C5E"/>
    <w:rsid w:val="0D64FC50"/>
    <w:rsid w:val="0D8F3375"/>
    <w:rsid w:val="0D900D50"/>
    <w:rsid w:val="0D95A797"/>
    <w:rsid w:val="0D9697D7"/>
    <w:rsid w:val="0D996D87"/>
    <w:rsid w:val="0DA6565D"/>
    <w:rsid w:val="0DA8409F"/>
    <w:rsid w:val="0DBA6C26"/>
    <w:rsid w:val="0DBE7626"/>
    <w:rsid w:val="0DC1F12F"/>
    <w:rsid w:val="0DD8C5B0"/>
    <w:rsid w:val="0DE52700"/>
    <w:rsid w:val="0DE5C5C3"/>
    <w:rsid w:val="0DEAFD85"/>
    <w:rsid w:val="0DF95065"/>
    <w:rsid w:val="0E1C5521"/>
    <w:rsid w:val="0E505DC5"/>
    <w:rsid w:val="0E6D0BB5"/>
    <w:rsid w:val="0E7BEC9B"/>
    <w:rsid w:val="0E8FE4D2"/>
    <w:rsid w:val="0E9F2FEB"/>
    <w:rsid w:val="0EBD37AA"/>
    <w:rsid w:val="0F0A1440"/>
    <w:rsid w:val="0F12E871"/>
    <w:rsid w:val="0F298137"/>
    <w:rsid w:val="0F4D62C8"/>
    <w:rsid w:val="0F8495DB"/>
    <w:rsid w:val="0F99FE1D"/>
    <w:rsid w:val="0FCE38AE"/>
    <w:rsid w:val="0FEDBA91"/>
    <w:rsid w:val="100A579B"/>
    <w:rsid w:val="1012EF9C"/>
    <w:rsid w:val="104C5CF3"/>
    <w:rsid w:val="104D0B86"/>
    <w:rsid w:val="105BB7FB"/>
    <w:rsid w:val="10788ECA"/>
    <w:rsid w:val="1087515D"/>
    <w:rsid w:val="1099FC62"/>
    <w:rsid w:val="10A8E445"/>
    <w:rsid w:val="10D69AB9"/>
    <w:rsid w:val="10DF977A"/>
    <w:rsid w:val="10E3EDFB"/>
    <w:rsid w:val="110F03CA"/>
    <w:rsid w:val="112188BA"/>
    <w:rsid w:val="11222B35"/>
    <w:rsid w:val="112CBC5D"/>
    <w:rsid w:val="1147F40D"/>
    <w:rsid w:val="1154ECDB"/>
    <w:rsid w:val="11579E8D"/>
    <w:rsid w:val="115D0481"/>
    <w:rsid w:val="116DD552"/>
    <w:rsid w:val="11AD6EF2"/>
    <w:rsid w:val="11CBA466"/>
    <w:rsid w:val="11D6B5A5"/>
    <w:rsid w:val="11E1FDBA"/>
    <w:rsid w:val="11EA8C3D"/>
    <w:rsid w:val="11ECDFC6"/>
    <w:rsid w:val="11F9D144"/>
    <w:rsid w:val="11FB0385"/>
    <w:rsid w:val="120B9CF2"/>
    <w:rsid w:val="120D7A24"/>
    <w:rsid w:val="1218602A"/>
    <w:rsid w:val="122ABB82"/>
    <w:rsid w:val="124F316C"/>
    <w:rsid w:val="12543F8F"/>
    <w:rsid w:val="128A4C72"/>
    <w:rsid w:val="12A72AA9"/>
    <w:rsid w:val="12CA3833"/>
    <w:rsid w:val="12D4C18E"/>
    <w:rsid w:val="12E392A2"/>
    <w:rsid w:val="12F89D86"/>
    <w:rsid w:val="13018E2E"/>
    <w:rsid w:val="131A7A0A"/>
    <w:rsid w:val="13242C90"/>
    <w:rsid w:val="132F7429"/>
    <w:rsid w:val="1330D234"/>
    <w:rsid w:val="136F21D2"/>
    <w:rsid w:val="13C11DB2"/>
    <w:rsid w:val="13CD2FD8"/>
    <w:rsid w:val="13DFA27A"/>
    <w:rsid w:val="141DA8DC"/>
    <w:rsid w:val="142D90AE"/>
    <w:rsid w:val="144CD3D0"/>
    <w:rsid w:val="1459C2EE"/>
    <w:rsid w:val="145C55ED"/>
    <w:rsid w:val="14607A82"/>
    <w:rsid w:val="146083B3"/>
    <w:rsid w:val="1465C819"/>
    <w:rsid w:val="1468F108"/>
    <w:rsid w:val="146D22B8"/>
    <w:rsid w:val="14875961"/>
    <w:rsid w:val="14A17C83"/>
    <w:rsid w:val="14A65E25"/>
    <w:rsid w:val="14AAFDAD"/>
    <w:rsid w:val="14E5C98D"/>
    <w:rsid w:val="14F6A21D"/>
    <w:rsid w:val="15367703"/>
    <w:rsid w:val="1558C106"/>
    <w:rsid w:val="156063A4"/>
    <w:rsid w:val="1561F368"/>
    <w:rsid w:val="157E09CA"/>
    <w:rsid w:val="157EEB1B"/>
    <w:rsid w:val="1598B690"/>
    <w:rsid w:val="15EB2234"/>
    <w:rsid w:val="1602CB58"/>
    <w:rsid w:val="1628D782"/>
    <w:rsid w:val="16378F52"/>
    <w:rsid w:val="16488213"/>
    <w:rsid w:val="165A6E44"/>
    <w:rsid w:val="165F2D77"/>
    <w:rsid w:val="16605462"/>
    <w:rsid w:val="166F305F"/>
    <w:rsid w:val="1670E1C1"/>
    <w:rsid w:val="16763317"/>
    <w:rsid w:val="16785B3C"/>
    <w:rsid w:val="169E832C"/>
    <w:rsid w:val="16B8102E"/>
    <w:rsid w:val="16CDB09A"/>
    <w:rsid w:val="16DA9C44"/>
    <w:rsid w:val="16FD4199"/>
    <w:rsid w:val="1702C469"/>
    <w:rsid w:val="17537F91"/>
    <w:rsid w:val="175AB854"/>
    <w:rsid w:val="1761E79C"/>
    <w:rsid w:val="1791F94B"/>
    <w:rsid w:val="179524F6"/>
    <w:rsid w:val="17A1FEC6"/>
    <w:rsid w:val="17AD2A78"/>
    <w:rsid w:val="17AD8307"/>
    <w:rsid w:val="17C0EA64"/>
    <w:rsid w:val="17C67056"/>
    <w:rsid w:val="17D6C090"/>
    <w:rsid w:val="18110F4D"/>
    <w:rsid w:val="181DD1FB"/>
    <w:rsid w:val="182AAB69"/>
    <w:rsid w:val="182AD664"/>
    <w:rsid w:val="182E7B24"/>
    <w:rsid w:val="186305EE"/>
    <w:rsid w:val="18894DC4"/>
    <w:rsid w:val="188F0357"/>
    <w:rsid w:val="18C77AB8"/>
    <w:rsid w:val="18DC6A22"/>
    <w:rsid w:val="18E49B1F"/>
    <w:rsid w:val="18F450B6"/>
    <w:rsid w:val="18FCE772"/>
    <w:rsid w:val="190BB584"/>
    <w:rsid w:val="19206A02"/>
    <w:rsid w:val="192FC855"/>
    <w:rsid w:val="19445301"/>
    <w:rsid w:val="1947C408"/>
    <w:rsid w:val="19581901"/>
    <w:rsid w:val="196C53A3"/>
    <w:rsid w:val="1973DC82"/>
    <w:rsid w:val="19989AAD"/>
    <w:rsid w:val="19AF748B"/>
    <w:rsid w:val="19D7DEFD"/>
    <w:rsid w:val="19E9D704"/>
    <w:rsid w:val="1A0B626B"/>
    <w:rsid w:val="1A14A61A"/>
    <w:rsid w:val="1A504705"/>
    <w:rsid w:val="1A589998"/>
    <w:rsid w:val="1A6E74F3"/>
    <w:rsid w:val="1A727E02"/>
    <w:rsid w:val="1A8347BA"/>
    <w:rsid w:val="1AB27D09"/>
    <w:rsid w:val="1ACB20F9"/>
    <w:rsid w:val="1B0FE650"/>
    <w:rsid w:val="1B115712"/>
    <w:rsid w:val="1B133F31"/>
    <w:rsid w:val="1B4945E4"/>
    <w:rsid w:val="1B4B9803"/>
    <w:rsid w:val="1B85A428"/>
    <w:rsid w:val="1BAE75F3"/>
    <w:rsid w:val="1BE6E370"/>
    <w:rsid w:val="1BF2A820"/>
    <w:rsid w:val="1BF62667"/>
    <w:rsid w:val="1C2C4449"/>
    <w:rsid w:val="1C4ADD37"/>
    <w:rsid w:val="1C830AE7"/>
    <w:rsid w:val="1C83774F"/>
    <w:rsid w:val="1CB9E714"/>
    <w:rsid w:val="1CBCCEA4"/>
    <w:rsid w:val="1CECF3DE"/>
    <w:rsid w:val="1D184491"/>
    <w:rsid w:val="1D23DFC5"/>
    <w:rsid w:val="1D3128FB"/>
    <w:rsid w:val="1D38DBFF"/>
    <w:rsid w:val="1D3D0D3B"/>
    <w:rsid w:val="1D3F6B1A"/>
    <w:rsid w:val="1D67D6C7"/>
    <w:rsid w:val="1D783CF0"/>
    <w:rsid w:val="1D8056F8"/>
    <w:rsid w:val="1D843C8A"/>
    <w:rsid w:val="1D96F021"/>
    <w:rsid w:val="1D98CF3D"/>
    <w:rsid w:val="1DE505D6"/>
    <w:rsid w:val="1DEE9A5D"/>
    <w:rsid w:val="1DF6749E"/>
    <w:rsid w:val="1E01509E"/>
    <w:rsid w:val="1E327721"/>
    <w:rsid w:val="1E3D3CDA"/>
    <w:rsid w:val="1E45F979"/>
    <w:rsid w:val="1E4B51E4"/>
    <w:rsid w:val="1E557537"/>
    <w:rsid w:val="1E654266"/>
    <w:rsid w:val="1EA8460F"/>
    <w:rsid w:val="1EB032D8"/>
    <w:rsid w:val="1EC98925"/>
    <w:rsid w:val="1F1FB9BB"/>
    <w:rsid w:val="1F4423E4"/>
    <w:rsid w:val="1F5F9CA0"/>
    <w:rsid w:val="1F618797"/>
    <w:rsid w:val="1F74615F"/>
    <w:rsid w:val="1F858D42"/>
    <w:rsid w:val="1F8D3B20"/>
    <w:rsid w:val="1FA34E3E"/>
    <w:rsid w:val="1FBC30BA"/>
    <w:rsid w:val="1FCFA236"/>
    <w:rsid w:val="1FD5C025"/>
    <w:rsid w:val="1FD8C4AE"/>
    <w:rsid w:val="1FE0634D"/>
    <w:rsid w:val="1FF3B346"/>
    <w:rsid w:val="200A3165"/>
    <w:rsid w:val="202868E3"/>
    <w:rsid w:val="2033F67C"/>
    <w:rsid w:val="20417BAB"/>
    <w:rsid w:val="2061071E"/>
    <w:rsid w:val="206762E7"/>
    <w:rsid w:val="20761FB1"/>
    <w:rsid w:val="207FA699"/>
    <w:rsid w:val="2088EED5"/>
    <w:rsid w:val="2099CCD4"/>
    <w:rsid w:val="20BFC468"/>
    <w:rsid w:val="20C486D1"/>
    <w:rsid w:val="20CB7561"/>
    <w:rsid w:val="20DA137F"/>
    <w:rsid w:val="20DE72A3"/>
    <w:rsid w:val="20E85BB0"/>
    <w:rsid w:val="20FA5B0D"/>
    <w:rsid w:val="210A85CE"/>
    <w:rsid w:val="21280972"/>
    <w:rsid w:val="2141B3E8"/>
    <w:rsid w:val="2188EE97"/>
    <w:rsid w:val="21B66032"/>
    <w:rsid w:val="21C143A0"/>
    <w:rsid w:val="21DBDF2D"/>
    <w:rsid w:val="22029E64"/>
    <w:rsid w:val="220FEF1C"/>
    <w:rsid w:val="222393F6"/>
    <w:rsid w:val="228B0521"/>
    <w:rsid w:val="2296B293"/>
    <w:rsid w:val="229766B9"/>
    <w:rsid w:val="22B4C31E"/>
    <w:rsid w:val="22B9A493"/>
    <w:rsid w:val="22E84AE4"/>
    <w:rsid w:val="2344B3DA"/>
    <w:rsid w:val="2344DFB5"/>
    <w:rsid w:val="2346FBC5"/>
    <w:rsid w:val="234E2016"/>
    <w:rsid w:val="2356B84F"/>
    <w:rsid w:val="23589FE8"/>
    <w:rsid w:val="235BC1FD"/>
    <w:rsid w:val="235CBD3E"/>
    <w:rsid w:val="237076B1"/>
    <w:rsid w:val="23820443"/>
    <w:rsid w:val="23A0A73D"/>
    <w:rsid w:val="23A6611E"/>
    <w:rsid w:val="23ADB1BB"/>
    <w:rsid w:val="23D155C9"/>
    <w:rsid w:val="23DCF134"/>
    <w:rsid w:val="23DF1C19"/>
    <w:rsid w:val="2413DCB5"/>
    <w:rsid w:val="24207A6B"/>
    <w:rsid w:val="243C4393"/>
    <w:rsid w:val="2457AD11"/>
    <w:rsid w:val="24683F82"/>
    <w:rsid w:val="2473EBF8"/>
    <w:rsid w:val="2475C684"/>
    <w:rsid w:val="2479803C"/>
    <w:rsid w:val="247C0910"/>
    <w:rsid w:val="2485788D"/>
    <w:rsid w:val="24A4C22B"/>
    <w:rsid w:val="24C8776A"/>
    <w:rsid w:val="24CA0C3B"/>
    <w:rsid w:val="24CD5D4D"/>
    <w:rsid w:val="24ED240F"/>
    <w:rsid w:val="25051F02"/>
    <w:rsid w:val="25121680"/>
    <w:rsid w:val="2516CF8F"/>
    <w:rsid w:val="2539E0AA"/>
    <w:rsid w:val="2548C1BB"/>
    <w:rsid w:val="2554E9D6"/>
    <w:rsid w:val="25609F72"/>
    <w:rsid w:val="25858463"/>
    <w:rsid w:val="25AD1E84"/>
    <w:rsid w:val="25BB7431"/>
    <w:rsid w:val="25BBEF94"/>
    <w:rsid w:val="25C922D5"/>
    <w:rsid w:val="25E33408"/>
    <w:rsid w:val="2609FACA"/>
    <w:rsid w:val="260BACBC"/>
    <w:rsid w:val="263CA7D8"/>
    <w:rsid w:val="26596FCD"/>
    <w:rsid w:val="2667B6EE"/>
    <w:rsid w:val="26FB2542"/>
    <w:rsid w:val="26FB3AE8"/>
    <w:rsid w:val="2710F889"/>
    <w:rsid w:val="272ACF39"/>
    <w:rsid w:val="2749A885"/>
    <w:rsid w:val="276D888A"/>
    <w:rsid w:val="277ADD79"/>
    <w:rsid w:val="277B3DCA"/>
    <w:rsid w:val="2784A689"/>
    <w:rsid w:val="279534F7"/>
    <w:rsid w:val="27B88087"/>
    <w:rsid w:val="27BA1DE0"/>
    <w:rsid w:val="27C09D9D"/>
    <w:rsid w:val="27C0E3D5"/>
    <w:rsid w:val="27C1A291"/>
    <w:rsid w:val="27CE2B7E"/>
    <w:rsid w:val="27D50056"/>
    <w:rsid w:val="27E140AC"/>
    <w:rsid w:val="27E198AB"/>
    <w:rsid w:val="27F79AFE"/>
    <w:rsid w:val="27FB233B"/>
    <w:rsid w:val="28238801"/>
    <w:rsid w:val="28315888"/>
    <w:rsid w:val="28653B47"/>
    <w:rsid w:val="288AD1B3"/>
    <w:rsid w:val="28CD4545"/>
    <w:rsid w:val="28D215D8"/>
    <w:rsid w:val="28EE56DC"/>
    <w:rsid w:val="28F21A8A"/>
    <w:rsid w:val="29629829"/>
    <w:rsid w:val="2980B8DE"/>
    <w:rsid w:val="29AA8C1C"/>
    <w:rsid w:val="29AD0BAB"/>
    <w:rsid w:val="29BB93F0"/>
    <w:rsid w:val="29C30FA5"/>
    <w:rsid w:val="29C6112E"/>
    <w:rsid w:val="29C79263"/>
    <w:rsid w:val="29C8E148"/>
    <w:rsid w:val="2A203572"/>
    <w:rsid w:val="2A257EA4"/>
    <w:rsid w:val="2A2E7F02"/>
    <w:rsid w:val="2A40393A"/>
    <w:rsid w:val="2A637291"/>
    <w:rsid w:val="2A652B7E"/>
    <w:rsid w:val="2A6D7B07"/>
    <w:rsid w:val="2A825E24"/>
    <w:rsid w:val="2A87401D"/>
    <w:rsid w:val="2A8AED82"/>
    <w:rsid w:val="2A9E31B8"/>
    <w:rsid w:val="2AE492B4"/>
    <w:rsid w:val="2AE5549D"/>
    <w:rsid w:val="2AED3D83"/>
    <w:rsid w:val="2B7B3C7C"/>
    <w:rsid w:val="2B863820"/>
    <w:rsid w:val="2BACA12D"/>
    <w:rsid w:val="2BD56146"/>
    <w:rsid w:val="2C273F40"/>
    <w:rsid w:val="2C39129F"/>
    <w:rsid w:val="2C3B3AFE"/>
    <w:rsid w:val="2C4C8506"/>
    <w:rsid w:val="2C7E2471"/>
    <w:rsid w:val="2C84EEA6"/>
    <w:rsid w:val="2C883521"/>
    <w:rsid w:val="2C8B0DF4"/>
    <w:rsid w:val="2C9EC160"/>
    <w:rsid w:val="2CA1636B"/>
    <w:rsid w:val="2CA9B7AA"/>
    <w:rsid w:val="2CAE9A79"/>
    <w:rsid w:val="2CC417ED"/>
    <w:rsid w:val="2CCDEF98"/>
    <w:rsid w:val="2CD32FA3"/>
    <w:rsid w:val="2CDC69F8"/>
    <w:rsid w:val="2CE6FEC1"/>
    <w:rsid w:val="2CF4067D"/>
    <w:rsid w:val="2CF45309"/>
    <w:rsid w:val="2CF4B532"/>
    <w:rsid w:val="2D0CC15C"/>
    <w:rsid w:val="2D1FAA41"/>
    <w:rsid w:val="2D339340"/>
    <w:rsid w:val="2D56BCAB"/>
    <w:rsid w:val="2D61FC1D"/>
    <w:rsid w:val="2D9AB703"/>
    <w:rsid w:val="2D9E6E63"/>
    <w:rsid w:val="2DB54E0E"/>
    <w:rsid w:val="2DC36735"/>
    <w:rsid w:val="2DED9AE8"/>
    <w:rsid w:val="2DF33BF2"/>
    <w:rsid w:val="2E0E172C"/>
    <w:rsid w:val="2E494D16"/>
    <w:rsid w:val="2E528374"/>
    <w:rsid w:val="2EB6BA31"/>
    <w:rsid w:val="2EBFF2A4"/>
    <w:rsid w:val="2ED8A7B7"/>
    <w:rsid w:val="2EDBD35C"/>
    <w:rsid w:val="2EFE4E75"/>
    <w:rsid w:val="2F25AD47"/>
    <w:rsid w:val="2F2BD438"/>
    <w:rsid w:val="2F4E45DC"/>
    <w:rsid w:val="2F5AC19A"/>
    <w:rsid w:val="2F72E397"/>
    <w:rsid w:val="2F79BEEA"/>
    <w:rsid w:val="2F7A43C5"/>
    <w:rsid w:val="2F8850B7"/>
    <w:rsid w:val="2F8FC6D3"/>
    <w:rsid w:val="2F9B8F8F"/>
    <w:rsid w:val="2FBAEEF4"/>
    <w:rsid w:val="2FD0BB05"/>
    <w:rsid w:val="2FD8F08E"/>
    <w:rsid w:val="2FDDCE32"/>
    <w:rsid w:val="2FEB64D3"/>
    <w:rsid w:val="2FFD9AEA"/>
    <w:rsid w:val="3012F62A"/>
    <w:rsid w:val="301AED7E"/>
    <w:rsid w:val="30274D1F"/>
    <w:rsid w:val="303BBA3D"/>
    <w:rsid w:val="306FFA1C"/>
    <w:rsid w:val="30782084"/>
    <w:rsid w:val="308A2496"/>
    <w:rsid w:val="3092622A"/>
    <w:rsid w:val="3094327C"/>
    <w:rsid w:val="30A5A42B"/>
    <w:rsid w:val="30C7857C"/>
    <w:rsid w:val="30EAC2DD"/>
    <w:rsid w:val="30F27BE0"/>
    <w:rsid w:val="3104773D"/>
    <w:rsid w:val="312AA50C"/>
    <w:rsid w:val="313028BE"/>
    <w:rsid w:val="313D5677"/>
    <w:rsid w:val="3148E609"/>
    <w:rsid w:val="31523885"/>
    <w:rsid w:val="3158152B"/>
    <w:rsid w:val="31637BE7"/>
    <w:rsid w:val="3164D3CB"/>
    <w:rsid w:val="316C7CA9"/>
    <w:rsid w:val="317CC3EF"/>
    <w:rsid w:val="318213F1"/>
    <w:rsid w:val="31A18B1B"/>
    <w:rsid w:val="31DB3ECD"/>
    <w:rsid w:val="31E8EDA9"/>
    <w:rsid w:val="31F57A9B"/>
    <w:rsid w:val="31FF8CD5"/>
    <w:rsid w:val="32014391"/>
    <w:rsid w:val="32404059"/>
    <w:rsid w:val="3244890D"/>
    <w:rsid w:val="324648BB"/>
    <w:rsid w:val="327319A3"/>
    <w:rsid w:val="328F2D0C"/>
    <w:rsid w:val="32B08F66"/>
    <w:rsid w:val="32D09968"/>
    <w:rsid w:val="32D5D51B"/>
    <w:rsid w:val="3303ACE5"/>
    <w:rsid w:val="33119447"/>
    <w:rsid w:val="3323928C"/>
    <w:rsid w:val="333368B3"/>
    <w:rsid w:val="333DE8E2"/>
    <w:rsid w:val="3349AB56"/>
    <w:rsid w:val="335F7A23"/>
    <w:rsid w:val="3360E78F"/>
    <w:rsid w:val="336BD9A0"/>
    <w:rsid w:val="338B251A"/>
    <w:rsid w:val="338E9E0F"/>
    <w:rsid w:val="33A95BBE"/>
    <w:rsid w:val="33AD3D4B"/>
    <w:rsid w:val="33B5D258"/>
    <w:rsid w:val="33B9E098"/>
    <w:rsid w:val="33F9ABB8"/>
    <w:rsid w:val="34190388"/>
    <w:rsid w:val="3419EBFE"/>
    <w:rsid w:val="342AFF3C"/>
    <w:rsid w:val="3434EA4C"/>
    <w:rsid w:val="3435F5D3"/>
    <w:rsid w:val="343835DD"/>
    <w:rsid w:val="3439CCC5"/>
    <w:rsid w:val="34471037"/>
    <w:rsid w:val="344A61DE"/>
    <w:rsid w:val="34784733"/>
    <w:rsid w:val="34885BAB"/>
    <w:rsid w:val="34A46B76"/>
    <w:rsid w:val="34D9B5E0"/>
    <w:rsid w:val="34E16FBE"/>
    <w:rsid w:val="34F7F35A"/>
    <w:rsid w:val="34FF10BE"/>
    <w:rsid w:val="350A3CC1"/>
    <w:rsid w:val="35104BBB"/>
    <w:rsid w:val="355284BB"/>
    <w:rsid w:val="3553888C"/>
    <w:rsid w:val="3554FAA7"/>
    <w:rsid w:val="356783D4"/>
    <w:rsid w:val="356FBFB6"/>
    <w:rsid w:val="35806984"/>
    <w:rsid w:val="35D9A08A"/>
    <w:rsid w:val="35DDBD34"/>
    <w:rsid w:val="3602E9B0"/>
    <w:rsid w:val="36C4A241"/>
    <w:rsid w:val="36DCFB9F"/>
    <w:rsid w:val="36E25711"/>
    <w:rsid w:val="370A9D10"/>
    <w:rsid w:val="37103F2D"/>
    <w:rsid w:val="372DE5AD"/>
    <w:rsid w:val="37492F7D"/>
    <w:rsid w:val="376957BE"/>
    <w:rsid w:val="377E5F1D"/>
    <w:rsid w:val="379A25D5"/>
    <w:rsid w:val="37B428D7"/>
    <w:rsid w:val="37BFFA0B"/>
    <w:rsid w:val="37C2664A"/>
    <w:rsid w:val="37CF0E85"/>
    <w:rsid w:val="37EB4202"/>
    <w:rsid w:val="3804C011"/>
    <w:rsid w:val="3808A96B"/>
    <w:rsid w:val="380ADA65"/>
    <w:rsid w:val="380AFB16"/>
    <w:rsid w:val="38156973"/>
    <w:rsid w:val="3818ED1D"/>
    <w:rsid w:val="382FFFB8"/>
    <w:rsid w:val="384F4FD9"/>
    <w:rsid w:val="386CC7F3"/>
    <w:rsid w:val="386FA748"/>
    <w:rsid w:val="38820F0A"/>
    <w:rsid w:val="38A513A4"/>
    <w:rsid w:val="38C84B46"/>
    <w:rsid w:val="38CBC089"/>
    <w:rsid w:val="38CC753C"/>
    <w:rsid w:val="38D16DB5"/>
    <w:rsid w:val="38FC3C72"/>
    <w:rsid w:val="3904D8DC"/>
    <w:rsid w:val="3947A460"/>
    <w:rsid w:val="398ADE70"/>
    <w:rsid w:val="3990808D"/>
    <w:rsid w:val="39C2839A"/>
    <w:rsid w:val="39E4EB8F"/>
    <w:rsid w:val="3A1AD462"/>
    <w:rsid w:val="3A1E4F66"/>
    <w:rsid w:val="3A30E047"/>
    <w:rsid w:val="3A490172"/>
    <w:rsid w:val="3A637B8F"/>
    <w:rsid w:val="3A6BF662"/>
    <w:rsid w:val="3A76A804"/>
    <w:rsid w:val="3A8B50B1"/>
    <w:rsid w:val="3A91DC68"/>
    <w:rsid w:val="3A9E4CF7"/>
    <w:rsid w:val="3AC9F340"/>
    <w:rsid w:val="3AEBF33A"/>
    <w:rsid w:val="3AF2C458"/>
    <w:rsid w:val="3AFF32B1"/>
    <w:rsid w:val="3B1861BA"/>
    <w:rsid w:val="3B1BDCA6"/>
    <w:rsid w:val="3B41D557"/>
    <w:rsid w:val="3B52B43D"/>
    <w:rsid w:val="3B56ECD2"/>
    <w:rsid w:val="3B57A7F3"/>
    <w:rsid w:val="3B5BADA4"/>
    <w:rsid w:val="3B6D679E"/>
    <w:rsid w:val="3B7E68DB"/>
    <w:rsid w:val="3B84E403"/>
    <w:rsid w:val="3B84ECC7"/>
    <w:rsid w:val="3B9B8EF8"/>
    <w:rsid w:val="3BAA3AC1"/>
    <w:rsid w:val="3BCDC813"/>
    <w:rsid w:val="3BD345D4"/>
    <w:rsid w:val="3BDC5C76"/>
    <w:rsid w:val="3BEA6A89"/>
    <w:rsid w:val="3BEED786"/>
    <w:rsid w:val="3BF3BE82"/>
    <w:rsid w:val="3BFE7A9A"/>
    <w:rsid w:val="3C2F6675"/>
    <w:rsid w:val="3C3E4558"/>
    <w:rsid w:val="3C42AACC"/>
    <w:rsid w:val="3C6B4946"/>
    <w:rsid w:val="3C7C7F0F"/>
    <w:rsid w:val="3C88F9C3"/>
    <w:rsid w:val="3CB680DF"/>
    <w:rsid w:val="3CBB849B"/>
    <w:rsid w:val="3CBBD540"/>
    <w:rsid w:val="3CCD5698"/>
    <w:rsid w:val="3CE46FE5"/>
    <w:rsid w:val="3CEAED6F"/>
    <w:rsid w:val="3CF32AC9"/>
    <w:rsid w:val="3D05ED5E"/>
    <w:rsid w:val="3D0C90CA"/>
    <w:rsid w:val="3D112FE5"/>
    <w:rsid w:val="3D11839A"/>
    <w:rsid w:val="3D197A61"/>
    <w:rsid w:val="3D1D3B84"/>
    <w:rsid w:val="3D3AE9EF"/>
    <w:rsid w:val="3D6B8150"/>
    <w:rsid w:val="3D700EE8"/>
    <w:rsid w:val="3D7226AD"/>
    <w:rsid w:val="3D7532A3"/>
    <w:rsid w:val="3D7953D0"/>
    <w:rsid w:val="3DD008CC"/>
    <w:rsid w:val="3DEE82CD"/>
    <w:rsid w:val="3DFBCFAB"/>
    <w:rsid w:val="3E18ACCE"/>
    <w:rsid w:val="3E49C3AF"/>
    <w:rsid w:val="3E5263D9"/>
    <w:rsid w:val="3E667F3D"/>
    <w:rsid w:val="3E72DA8F"/>
    <w:rsid w:val="3E86E995"/>
    <w:rsid w:val="3E96E6B0"/>
    <w:rsid w:val="3E9FED05"/>
    <w:rsid w:val="3EC073F7"/>
    <w:rsid w:val="3EC97744"/>
    <w:rsid w:val="3EDAE3E3"/>
    <w:rsid w:val="3EE542A4"/>
    <w:rsid w:val="3EE8636A"/>
    <w:rsid w:val="3EEFD860"/>
    <w:rsid w:val="3EF7644F"/>
    <w:rsid w:val="3F100463"/>
    <w:rsid w:val="3F17DBD6"/>
    <w:rsid w:val="3F2BE9BD"/>
    <w:rsid w:val="3F39D838"/>
    <w:rsid w:val="3F3C8BBB"/>
    <w:rsid w:val="3F574B2C"/>
    <w:rsid w:val="3F65921A"/>
    <w:rsid w:val="3F6F4B7D"/>
    <w:rsid w:val="3F82EECD"/>
    <w:rsid w:val="3F923CF5"/>
    <w:rsid w:val="3F92F029"/>
    <w:rsid w:val="3FBD531F"/>
    <w:rsid w:val="3FC89210"/>
    <w:rsid w:val="3FC909BA"/>
    <w:rsid w:val="3FCE6912"/>
    <w:rsid w:val="3FE6E61D"/>
    <w:rsid w:val="400B04B4"/>
    <w:rsid w:val="400C5545"/>
    <w:rsid w:val="40204AC6"/>
    <w:rsid w:val="4023C0D8"/>
    <w:rsid w:val="4043BD33"/>
    <w:rsid w:val="40577926"/>
    <w:rsid w:val="406A25C8"/>
    <w:rsid w:val="408ACEF3"/>
    <w:rsid w:val="40BBCC72"/>
    <w:rsid w:val="40BEBA18"/>
    <w:rsid w:val="40C36861"/>
    <w:rsid w:val="40E3859F"/>
    <w:rsid w:val="40F15C20"/>
    <w:rsid w:val="40FB9F44"/>
    <w:rsid w:val="410B8F8B"/>
    <w:rsid w:val="41284D6A"/>
    <w:rsid w:val="41554045"/>
    <w:rsid w:val="415C55C5"/>
    <w:rsid w:val="416E431E"/>
    <w:rsid w:val="418ED062"/>
    <w:rsid w:val="41E3F9F7"/>
    <w:rsid w:val="420689F9"/>
    <w:rsid w:val="4208989B"/>
    <w:rsid w:val="420EC9AA"/>
    <w:rsid w:val="42190A4F"/>
    <w:rsid w:val="422C98CB"/>
    <w:rsid w:val="425E8DF1"/>
    <w:rsid w:val="427D8C21"/>
    <w:rsid w:val="428B6C2D"/>
    <w:rsid w:val="429B7DA9"/>
    <w:rsid w:val="42C12B42"/>
    <w:rsid w:val="42D49057"/>
    <w:rsid w:val="42D86FE8"/>
    <w:rsid w:val="432170FA"/>
    <w:rsid w:val="43268EF1"/>
    <w:rsid w:val="43456347"/>
    <w:rsid w:val="434DBEB2"/>
    <w:rsid w:val="435CAC71"/>
    <w:rsid w:val="4369F44E"/>
    <w:rsid w:val="4385AB03"/>
    <w:rsid w:val="43C0FBF5"/>
    <w:rsid w:val="43C6D36E"/>
    <w:rsid w:val="43DF13FA"/>
    <w:rsid w:val="43F17AA3"/>
    <w:rsid w:val="43F2D740"/>
    <w:rsid w:val="4407A81E"/>
    <w:rsid w:val="44293CD4"/>
    <w:rsid w:val="442CB069"/>
    <w:rsid w:val="4435C2BF"/>
    <w:rsid w:val="4464BB90"/>
    <w:rsid w:val="44731B40"/>
    <w:rsid w:val="4487905B"/>
    <w:rsid w:val="448AA87A"/>
    <w:rsid w:val="449F05AB"/>
    <w:rsid w:val="44E72386"/>
    <w:rsid w:val="45046B99"/>
    <w:rsid w:val="450F39EE"/>
    <w:rsid w:val="45410A99"/>
    <w:rsid w:val="45452D09"/>
    <w:rsid w:val="455E77A7"/>
    <w:rsid w:val="456F7A79"/>
    <w:rsid w:val="457652D7"/>
    <w:rsid w:val="458FCEF0"/>
    <w:rsid w:val="45A49D4D"/>
    <w:rsid w:val="45A636A2"/>
    <w:rsid w:val="45B5BE2C"/>
    <w:rsid w:val="45B75266"/>
    <w:rsid w:val="45C659C2"/>
    <w:rsid w:val="45C7C2E0"/>
    <w:rsid w:val="45CABB20"/>
    <w:rsid w:val="45E28481"/>
    <w:rsid w:val="46074B9B"/>
    <w:rsid w:val="4666B1E8"/>
    <w:rsid w:val="467AA4C6"/>
    <w:rsid w:val="46805C1D"/>
    <w:rsid w:val="468B744F"/>
    <w:rsid w:val="46B3D22C"/>
    <w:rsid w:val="46B7A598"/>
    <w:rsid w:val="46C1102B"/>
    <w:rsid w:val="46C49E4E"/>
    <w:rsid w:val="46CCF872"/>
    <w:rsid w:val="4703AE87"/>
    <w:rsid w:val="471EC8AF"/>
    <w:rsid w:val="4731831C"/>
    <w:rsid w:val="47376628"/>
    <w:rsid w:val="47728934"/>
    <w:rsid w:val="4777FE72"/>
    <w:rsid w:val="47B4C4AD"/>
    <w:rsid w:val="47BF2CBC"/>
    <w:rsid w:val="47C904DD"/>
    <w:rsid w:val="47C9DFCC"/>
    <w:rsid w:val="47E91B81"/>
    <w:rsid w:val="47ED106C"/>
    <w:rsid w:val="47F1FF71"/>
    <w:rsid w:val="480BC87F"/>
    <w:rsid w:val="48115D82"/>
    <w:rsid w:val="48222D96"/>
    <w:rsid w:val="48476A73"/>
    <w:rsid w:val="4852DBBD"/>
    <w:rsid w:val="48666F51"/>
    <w:rsid w:val="486CCFB8"/>
    <w:rsid w:val="486D1F7E"/>
    <w:rsid w:val="486DBC37"/>
    <w:rsid w:val="48718A82"/>
    <w:rsid w:val="488614BC"/>
    <w:rsid w:val="489D7025"/>
    <w:rsid w:val="48A5E009"/>
    <w:rsid w:val="48D5F0B1"/>
    <w:rsid w:val="49572D92"/>
    <w:rsid w:val="495787EE"/>
    <w:rsid w:val="4970C3A0"/>
    <w:rsid w:val="49758E14"/>
    <w:rsid w:val="4978B5FA"/>
    <w:rsid w:val="4991A46B"/>
    <w:rsid w:val="49C0A6FC"/>
    <w:rsid w:val="49CE09A0"/>
    <w:rsid w:val="49D2E690"/>
    <w:rsid w:val="49DA1C2F"/>
    <w:rsid w:val="4A0842D9"/>
    <w:rsid w:val="4A2658BC"/>
    <w:rsid w:val="4A29C9DE"/>
    <w:rsid w:val="4A319A05"/>
    <w:rsid w:val="4A412BFA"/>
    <w:rsid w:val="4A523A67"/>
    <w:rsid w:val="4A58CC00"/>
    <w:rsid w:val="4A5B55B1"/>
    <w:rsid w:val="4A648EE9"/>
    <w:rsid w:val="4A736B18"/>
    <w:rsid w:val="4A9A4B8A"/>
    <w:rsid w:val="4AB9C55B"/>
    <w:rsid w:val="4ABE1865"/>
    <w:rsid w:val="4ACF2E1C"/>
    <w:rsid w:val="4AD0E62B"/>
    <w:rsid w:val="4AE1425E"/>
    <w:rsid w:val="4AFFB17B"/>
    <w:rsid w:val="4B151848"/>
    <w:rsid w:val="4B2BDF29"/>
    <w:rsid w:val="4B886A7A"/>
    <w:rsid w:val="4B9717F1"/>
    <w:rsid w:val="4BB753CA"/>
    <w:rsid w:val="4BB7DC45"/>
    <w:rsid w:val="4BB95AFC"/>
    <w:rsid w:val="4BC0B43F"/>
    <w:rsid w:val="4BCFCC1E"/>
    <w:rsid w:val="4BD08452"/>
    <w:rsid w:val="4BD64335"/>
    <w:rsid w:val="4C048DBA"/>
    <w:rsid w:val="4C07598A"/>
    <w:rsid w:val="4C111AD5"/>
    <w:rsid w:val="4C2BCDB0"/>
    <w:rsid w:val="4C3A03F2"/>
    <w:rsid w:val="4C49251A"/>
    <w:rsid w:val="4C4B19F9"/>
    <w:rsid w:val="4C63BB0B"/>
    <w:rsid w:val="4C72E83E"/>
    <w:rsid w:val="4C7739CE"/>
    <w:rsid w:val="4C8B261C"/>
    <w:rsid w:val="4CBF800F"/>
    <w:rsid w:val="4CCA8823"/>
    <w:rsid w:val="4CEB46FC"/>
    <w:rsid w:val="4CFFE468"/>
    <w:rsid w:val="4D0AE0EE"/>
    <w:rsid w:val="4D4EBEAB"/>
    <w:rsid w:val="4D6D04C3"/>
    <w:rsid w:val="4D821804"/>
    <w:rsid w:val="4D93073B"/>
    <w:rsid w:val="4DEDF207"/>
    <w:rsid w:val="4E021887"/>
    <w:rsid w:val="4E0C557A"/>
    <w:rsid w:val="4E0CD014"/>
    <w:rsid w:val="4E2E5760"/>
    <w:rsid w:val="4E4F41A5"/>
    <w:rsid w:val="4E51F864"/>
    <w:rsid w:val="4E535207"/>
    <w:rsid w:val="4E58C278"/>
    <w:rsid w:val="4E5F26CC"/>
    <w:rsid w:val="4E6BFE09"/>
    <w:rsid w:val="4E869820"/>
    <w:rsid w:val="4E9F82F4"/>
    <w:rsid w:val="4EA82ADF"/>
    <w:rsid w:val="4EAADA41"/>
    <w:rsid w:val="4EC82DFE"/>
    <w:rsid w:val="4EDF0810"/>
    <w:rsid w:val="4EF74627"/>
    <w:rsid w:val="4F11CA49"/>
    <w:rsid w:val="4F132F6E"/>
    <w:rsid w:val="4F50666F"/>
    <w:rsid w:val="4F7C61F0"/>
    <w:rsid w:val="4F7D3F25"/>
    <w:rsid w:val="4F930CF6"/>
    <w:rsid w:val="4FBA83F1"/>
    <w:rsid w:val="4FF18B2D"/>
    <w:rsid w:val="4FFAD85F"/>
    <w:rsid w:val="50098F0D"/>
    <w:rsid w:val="50360792"/>
    <w:rsid w:val="503C7375"/>
    <w:rsid w:val="503D72FC"/>
    <w:rsid w:val="508E657D"/>
    <w:rsid w:val="509FE8BE"/>
    <w:rsid w:val="50C5335C"/>
    <w:rsid w:val="50CBBF64"/>
    <w:rsid w:val="50D1252D"/>
    <w:rsid w:val="5104B090"/>
    <w:rsid w:val="510BCB20"/>
    <w:rsid w:val="513BE19E"/>
    <w:rsid w:val="51B4DC04"/>
    <w:rsid w:val="51B64D69"/>
    <w:rsid w:val="521A31FF"/>
    <w:rsid w:val="525A067E"/>
    <w:rsid w:val="5269B8EB"/>
    <w:rsid w:val="526F4F25"/>
    <w:rsid w:val="5287780C"/>
    <w:rsid w:val="529C2741"/>
    <w:rsid w:val="52CC0C2B"/>
    <w:rsid w:val="52E9BA93"/>
    <w:rsid w:val="52F5DE4E"/>
    <w:rsid w:val="52F95ED4"/>
    <w:rsid w:val="52FC4123"/>
    <w:rsid w:val="531632A2"/>
    <w:rsid w:val="53251560"/>
    <w:rsid w:val="5326AE94"/>
    <w:rsid w:val="53343E50"/>
    <w:rsid w:val="53392B7E"/>
    <w:rsid w:val="53464325"/>
    <w:rsid w:val="53683CF7"/>
    <w:rsid w:val="536FC708"/>
    <w:rsid w:val="53884B4A"/>
    <w:rsid w:val="53ACA8E4"/>
    <w:rsid w:val="53C7B495"/>
    <w:rsid w:val="53CF0A89"/>
    <w:rsid w:val="53DC4CCF"/>
    <w:rsid w:val="53F3A408"/>
    <w:rsid w:val="53FAEB5F"/>
    <w:rsid w:val="53FC9980"/>
    <w:rsid w:val="54071A26"/>
    <w:rsid w:val="540E032E"/>
    <w:rsid w:val="541815E9"/>
    <w:rsid w:val="541D56B7"/>
    <w:rsid w:val="54203559"/>
    <w:rsid w:val="5427F4D9"/>
    <w:rsid w:val="542B19A2"/>
    <w:rsid w:val="542F07F0"/>
    <w:rsid w:val="54320B0E"/>
    <w:rsid w:val="543815CD"/>
    <w:rsid w:val="5441E2DA"/>
    <w:rsid w:val="544A9896"/>
    <w:rsid w:val="544ECEBC"/>
    <w:rsid w:val="545DDB70"/>
    <w:rsid w:val="54629CC7"/>
    <w:rsid w:val="54867243"/>
    <w:rsid w:val="54A20FC2"/>
    <w:rsid w:val="54A391CF"/>
    <w:rsid w:val="54A777EC"/>
    <w:rsid w:val="54AC8B5D"/>
    <w:rsid w:val="54B04D24"/>
    <w:rsid w:val="54BD859A"/>
    <w:rsid w:val="54EA7BAC"/>
    <w:rsid w:val="551B41CC"/>
    <w:rsid w:val="5566121C"/>
    <w:rsid w:val="557F8A43"/>
    <w:rsid w:val="5587C359"/>
    <w:rsid w:val="55965690"/>
    <w:rsid w:val="5596CB7B"/>
    <w:rsid w:val="55994575"/>
    <w:rsid w:val="55AC19E3"/>
    <w:rsid w:val="55CE2192"/>
    <w:rsid w:val="55E2BC10"/>
    <w:rsid w:val="561A9564"/>
    <w:rsid w:val="564CC440"/>
    <w:rsid w:val="565589CA"/>
    <w:rsid w:val="567B49F8"/>
    <w:rsid w:val="567C944D"/>
    <w:rsid w:val="567D3B47"/>
    <w:rsid w:val="568B2AEC"/>
    <w:rsid w:val="5690376D"/>
    <w:rsid w:val="56938BF9"/>
    <w:rsid w:val="56A31EB6"/>
    <w:rsid w:val="56BC31D4"/>
    <w:rsid w:val="56BC850E"/>
    <w:rsid w:val="56EC33A1"/>
    <w:rsid w:val="56FC9B2D"/>
    <w:rsid w:val="571A38A8"/>
    <w:rsid w:val="57292A58"/>
    <w:rsid w:val="57408FAB"/>
    <w:rsid w:val="5749BEB6"/>
    <w:rsid w:val="575780E3"/>
    <w:rsid w:val="575D90EB"/>
    <w:rsid w:val="578A1AEC"/>
    <w:rsid w:val="57AD8948"/>
    <w:rsid w:val="57BED66A"/>
    <w:rsid w:val="57BEE078"/>
    <w:rsid w:val="57CD7487"/>
    <w:rsid w:val="57E856DE"/>
    <w:rsid w:val="57EC88D1"/>
    <w:rsid w:val="57F4A073"/>
    <w:rsid w:val="57FFB8A4"/>
    <w:rsid w:val="58038353"/>
    <w:rsid w:val="580B8720"/>
    <w:rsid w:val="580C81FF"/>
    <w:rsid w:val="5818A27D"/>
    <w:rsid w:val="583AD6D6"/>
    <w:rsid w:val="583AEBF7"/>
    <w:rsid w:val="5851B81A"/>
    <w:rsid w:val="58585B95"/>
    <w:rsid w:val="587F05B0"/>
    <w:rsid w:val="58819578"/>
    <w:rsid w:val="589D0E87"/>
    <w:rsid w:val="58A992BB"/>
    <w:rsid w:val="58B73C6D"/>
    <w:rsid w:val="58BC98D9"/>
    <w:rsid w:val="58BD2C8B"/>
    <w:rsid w:val="58C77B87"/>
    <w:rsid w:val="58E03BBA"/>
    <w:rsid w:val="58EC528D"/>
    <w:rsid w:val="58F6B075"/>
    <w:rsid w:val="590901C1"/>
    <w:rsid w:val="591EA882"/>
    <w:rsid w:val="5933EF1F"/>
    <w:rsid w:val="5938B22A"/>
    <w:rsid w:val="5956E9DB"/>
    <w:rsid w:val="5970BF97"/>
    <w:rsid w:val="597A9AC8"/>
    <w:rsid w:val="59972A5E"/>
    <w:rsid w:val="59CC3755"/>
    <w:rsid w:val="59CF8B7A"/>
    <w:rsid w:val="59E5F232"/>
    <w:rsid w:val="59EBD749"/>
    <w:rsid w:val="5A05D75D"/>
    <w:rsid w:val="5A0E3644"/>
    <w:rsid w:val="5A1C4F8E"/>
    <w:rsid w:val="5A28C065"/>
    <w:rsid w:val="5A322375"/>
    <w:rsid w:val="5A40100C"/>
    <w:rsid w:val="5A48D6D0"/>
    <w:rsid w:val="5A74D431"/>
    <w:rsid w:val="5A9C3F3A"/>
    <w:rsid w:val="5ACAFA47"/>
    <w:rsid w:val="5AE9B10A"/>
    <w:rsid w:val="5B02BB42"/>
    <w:rsid w:val="5B077BC0"/>
    <w:rsid w:val="5B0FBE98"/>
    <w:rsid w:val="5B318F4D"/>
    <w:rsid w:val="5B360DFD"/>
    <w:rsid w:val="5B6AC29A"/>
    <w:rsid w:val="5B6C7476"/>
    <w:rsid w:val="5B719907"/>
    <w:rsid w:val="5B903FE3"/>
    <w:rsid w:val="5BB0C802"/>
    <w:rsid w:val="5BB2C72F"/>
    <w:rsid w:val="5BC77D54"/>
    <w:rsid w:val="5BC99705"/>
    <w:rsid w:val="5BDAF3A2"/>
    <w:rsid w:val="5C05C79D"/>
    <w:rsid w:val="5C30BC87"/>
    <w:rsid w:val="5C3FD8B2"/>
    <w:rsid w:val="5C614721"/>
    <w:rsid w:val="5C67EF12"/>
    <w:rsid w:val="5C7BAAD6"/>
    <w:rsid w:val="5C92CC2E"/>
    <w:rsid w:val="5CA791FC"/>
    <w:rsid w:val="5CBB51E1"/>
    <w:rsid w:val="5CBC93B9"/>
    <w:rsid w:val="5CC0B38F"/>
    <w:rsid w:val="5CC8C0F7"/>
    <w:rsid w:val="5CD59D7B"/>
    <w:rsid w:val="5CD7E031"/>
    <w:rsid w:val="5CDDA404"/>
    <w:rsid w:val="5CF81C93"/>
    <w:rsid w:val="5D0135FF"/>
    <w:rsid w:val="5D0B6B94"/>
    <w:rsid w:val="5D1FA0B9"/>
    <w:rsid w:val="5D2367BA"/>
    <w:rsid w:val="5D6F409B"/>
    <w:rsid w:val="5DA16DA8"/>
    <w:rsid w:val="5DC06308"/>
    <w:rsid w:val="5DD73B8D"/>
    <w:rsid w:val="5DE666FA"/>
    <w:rsid w:val="5DEEB211"/>
    <w:rsid w:val="5DEF1311"/>
    <w:rsid w:val="5E00F6C1"/>
    <w:rsid w:val="5E30244F"/>
    <w:rsid w:val="5E673B65"/>
    <w:rsid w:val="5E7888EC"/>
    <w:rsid w:val="5E86AEAC"/>
    <w:rsid w:val="5E8F59F0"/>
    <w:rsid w:val="5EAC7A6D"/>
    <w:rsid w:val="5EC25445"/>
    <w:rsid w:val="5EC4DEF2"/>
    <w:rsid w:val="5F1B95D9"/>
    <w:rsid w:val="5F1FC085"/>
    <w:rsid w:val="5F22EC38"/>
    <w:rsid w:val="5F262162"/>
    <w:rsid w:val="5F2C673A"/>
    <w:rsid w:val="5F3DFA6E"/>
    <w:rsid w:val="5F703FCF"/>
    <w:rsid w:val="5F8240DD"/>
    <w:rsid w:val="5F94E03A"/>
    <w:rsid w:val="5F9AAF97"/>
    <w:rsid w:val="5FA913A1"/>
    <w:rsid w:val="5FA9EF6B"/>
    <w:rsid w:val="5FBC9F6E"/>
    <w:rsid w:val="60134ACB"/>
    <w:rsid w:val="6038A4F1"/>
    <w:rsid w:val="603ED667"/>
    <w:rsid w:val="6043BE71"/>
    <w:rsid w:val="6045F5CC"/>
    <w:rsid w:val="607A2626"/>
    <w:rsid w:val="60897022"/>
    <w:rsid w:val="608B0DE0"/>
    <w:rsid w:val="608C5678"/>
    <w:rsid w:val="60A4F641"/>
    <w:rsid w:val="60B70B94"/>
    <w:rsid w:val="60C2C7C2"/>
    <w:rsid w:val="60C5C062"/>
    <w:rsid w:val="60D32D92"/>
    <w:rsid w:val="612A3DF3"/>
    <w:rsid w:val="613FAB10"/>
    <w:rsid w:val="616371E3"/>
    <w:rsid w:val="616530B0"/>
    <w:rsid w:val="61859A45"/>
    <w:rsid w:val="61AA71D1"/>
    <w:rsid w:val="61B92731"/>
    <w:rsid w:val="6215FCFB"/>
    <w:rsid w:val="62260179"/>
    <w:rsid w:val="6244F93E"/>
    <w:rsid w:val="624FBC45"/>
    <w:rsid w:val="626301F7"/>
    <w:rsid w:val="6277097D"/>
    <w:rsid w:val="628E32FF"/>
    <w:rsid w:val="6290024F"/>
    <w:rsid w:val="6290EAE8"/>
    <w:rsid w:val="6292BB69"/>
    <w:rsid w:val="62B92D45"/>
    <w:rsid w:val="62E91F24"/>
    <w:rsid w:val="62EBA868"/>
    <w:rsid w:val="6303BFAC"/>
    <w:rsid w:val="63122063"/>
    <w:rsid w:val="632C71DF"/>
    <w:rsid w:val="63323CA3"/>
    <w:rsid w:val="63465AAD"/>
    <w:rsid w:val="635B320E"/>
    <w:rsid w:val="6364B1F9"/>
    <w:rsid w:val="63A54460"/>
    <w:rsid w:val="63AFC93C"/>
    <w:rsid w:val="63B0EB92"/>
    <w:rsid w:val="63B4624F"/>
    <w:rsid w:val="63E6F0A6"/>
    <w:rsid w:val="64028119"/>
    <w:rsid w:val="641E0F5B"/>
    <w:rsid w:val="643AF6A7"/>
    <w:rsid w:val="644AE46E"/>
    <w:rsid w:val="645C3678"/>
    <w:rsid w:val="64808CCB"/>
    <w:rsid w:val="64C00BA7"/>
    <w:rsid w:val="64C94C20"/>
    <w:rsid w:val="64CB511F"/>
    <w:rsid w:val="64D4DBCF"/>
    <w:rsid w:val="64D9B97D"/>
    <w:rsid w:val="64FFA9E4"/>
    <w:rsid w:val="655CD6D4"/>
    <w:rsid w:val="6563B1E7"/>
    <w:rsid w:val="65672D57"/>
    <w:rsid w:val="65816218"/>
    <w:rsid w:val="65BB1506"/>
    <w:rsid w:val="65FDBCD8"/>
    <w:rsid w:val="661CCABF"/>
    <w:rsid w:val="662B5C71"/>
    <w:rsid w:val="664F62D6"/>
    <w:rsid w:val="6659671F"/>
    <w:rsid w:val="668B981E"/>
    <w:rsid w:val="66965574"/>
    <w:rsid w:val="6697096B"/>
    <w:rsid w:val="66B5C82E"/>
    <w:rsid w:val="66DEB295"/>
    <w:rsid w:val="66E265BB"/>
    <w:rsid w:val="6720D905"/>
    <w:rsid w:val="672694A0"/>
    <w:rsid w:val="67379928"/>
    <w:rsid w:val="677E364A"/>
    <w:rsid w:val="67A06669"/>
    <w:rsid w:val="67A30B9E"/>
    <w:rsid w:val="67AC6500"/>
    <w:rsid w:val="67B42001"/>
    <w:rsid w:val="67C5137F"/>
    <w:rsid w:val="67DAE060"/>
    <w:rsid w:val="67F3D2F2"/>
    <w:rsid w:val="68004351"/>
    <w:rsid w:val="68167594"/>
    <w:rsid w:val="6820E52E"/>
    <w:rsid w:val="6821276B"/>
    <w:rsid w:val="6842E3F0"/>
    <w:rsid w:val="684B5089"/>
    <w:rsid w:val="6859C6BA"/>
    <w:rsid w:val="68612BAC"/>
    <w:rsid w:val="6861E57B"/>
    <w:rsid w:val="6883112A"/>
    <w:rsid w:val="6896DA6F"/>
    <w:rsid w:val="68A3E12C"/>
    <w:rsid w:val="68C7EF34"/>
    <w:rsid w:val="68E05138"/>
    <w:rsid w:val="68E0DFE1"/>
    <w:rsid w:val="68FCC4EE"/>
    <w:rsid w:val="6913E317"/>
    <w:rsid w:val="6918673C"/>
    <w:rsid w:val="69231323"/>
    <w:rsid w:val="69589AF5"/>
    <w:rsid w:val="69694E69"/>
    <w:rsid w:val="69728C07"/>
    <w:rsid w:val="6979A0E3"/>
    <w:rsid w:val="69984B25"/>
    <w:rsid w:val="69995274"/>
    <w:rsid w:val="69C20584"/>
    <w:rsid w:val="69C3E320"/>
    <w:rsid w:val="69D31483"/>
    <w:rsid w:val="69D33478"/>
    <w:rsid w:val="69FFC4CD"/>
    <w:rsid w:val="69FFFCD0"/>
    <w:rsid w:val="6A20FFA0"/>
    <w:rsid w:val="6A249ECB"/>
    <w:rsid w:val="6A3DF000"/>
    <w:rsid w:val="6A61A73D"/>
    <w:rsid w:val="6A70C717"/>
    <w:rsid w:val="6A93C19D"/>
    <w:rsid w:val="6AB59509"/>
    <w:rsid w:val="6AB78F48"/>
    <w:rsid w:val="6AE11EE8"/>
    <w:rsid w:val="6AEFCA8F"/>
    <w:rsid w:val="6AF116EE"/>
    <w:rsid w:val="6AFC7FDA"/>
    <w:rsid w:val="6B1774AA"/>
    <w:rsid w:val="6B2C2674"/>
    <w:rsid w:val="6B3C727B"/>
    <w:rsid w:val="6B543AF8"/>
    <w:rsid w:val="6B54A08A"/>
    <w:rsid w:val="6B5CD941"/>
    <w:rsid w:val="6B625FF0"/>
    <w:rsid w:val="6B8D9BAA"/>
    <w:rsid w:val="6BC6AA74"/>
    <w:rsid w:val="6BE70A3A"/>
    <w:rsid w:val="6BF49A18"/>
    <w:rsid w:val="6C09F139"/>
    <w:rsid w:val="6C16B0BF"/>
    <w:rsid w:val="6C361F77"/>
    <w:rsid w:val="6C38302D"/>
    <w:rsid w:val="6C58E853"/>
    <w:rsid w:val="6C9729B9"/>
    <w:rsid w:val="6CB535F6"/>
    <w:rsid w:val="6CB8E669"/>
    <w:rsid w:val="6CBF8276"/>
    <w:rsid w:val="6CD4B0E7"/>
    <w:rsid w:val="6CD724E0"/>
    <w:rsid w:val="6CEFC73C"/>
    <w:rsid w:val="6CF7F30F"/>
    <w:rsid w:val="6CF8D54C"/>
    <w:rsid w:val="6D1F07EF"/>
    <w:rsid w:val="6D34BC7D"/>
    <w:rsid w:val="6D488346"/>
    <w:rsid w:val="6D4B332C"/>
    <w:rsid w:val="6D523F33"/>
    <w:rsid w:val="6D5ACDF6"/>
    <w:rsid w:val="6D736758"/>
    <w:rsid w:val="6D7F5FBB"/>
    <w:rsid w:val="6D8AA0D8"/>
    <w:rsid w:val="6DAA35E0"/>
    <w:rsid w:val="6DB57A4E"/>
    <w:rsid w:val="6DB93D0F"/>
    <w:rsid w:val="6DC89DBB"/>
    <w:rsid w:val="6DE6F4D2"/>
    <w:rsid w:val="6DEA11E0"/>
    <w:rsid w:val="6DF547FA"/>
    <w:rsid w:val="6E04D588"/>
    <w:rsid w:val="6E0972AC"/>
    <w:rsid w:val="6E2790EF"/>
    <w:rsid w:val="6E3496CE"/>
    <w:rsid w:val="6E3C7D3E"/>
    <w:rsid w:val="6E4CCF18"/>
    <w:rsid w:val="6E703185"/>
    <w:rsid w:val="6E803328"/>
    <w:rsid w:val="6E8D76AC"/>
    <w:rsid w:val="6E9F91EB"/>
    <w:rsid w:val="6EA4244A"/>
    <w:rsid w:val="6EA8137C"/>
    <w:rsid w:val="6EB5E9F6"/>
    <w:rsid w:val="6EBA1FD4"/>
    <w:rsid w:val="6EC35D6C"/>
    <w:rsid w:val="6EC99441"/>
    <w:rsid w:val="6ED00CFD"/>
    <w:rsid w:val="6ED46D3F"/>
    <w:rsid w:val="6EEABDDB"/>
    <w:rsid w:val="6F58975D"/>
    <w:rsid w:val="6F5EB8BA"/>
    <w:rsid w:val="6F967A26"/>
    <w:rsid w:val="6FA0CEF7"/>
    <w:rsid w:val="6FA59997"/>
    <w:rsid w:val="6FB55CE2"/>
    <w:rsid w:val="6FCB76D7"/>
    <w:rsid w:val="6FDB930A"/>
    <w:rsid w:val="6FF09CEF"/>
    <w:rsid w:val="70136B8D"/>
    <w:rsid w:val="70344AED"/>
    <w:rsid w:val="703EAE80"/>
    <w:rsid w:val="70551282"/>
    <w:rsid w:val="7062ABF7"/>
    <w:rsid w:val="706D2F2D"/>
    <w:rsid w:val="70AB7D18"/>
    <w:rsid w:val="70ABE21E"/>
    <w:rsid w:val="70BD594F"/>
    <w:rsid w:val="70D23E04"/>
    <w:rsid w:val="70D79538"/>
    <w:rsid w:val="70EE0EA3"/>
    <w:rsid w:val="70F190E9"/>
    <w:rsid w:val="70F6CCF8"/>
    <w:rsid w:val="71482538"/>
    <w:rsid w:val="71A1F5C2"/>
    <w:rsid w:val="71B536C3"/>
    <w:rsid w:val="71C7A213"/>
    <w:rsid w:val="71F02DA2"/>
    <w:rsid w:val="7203AA8C"/>
    <w:rsid w:val="720D394B"/>
    <w:rsid w:val="7219DD6D"/>
    <w:rsid w:val="7252FACE"/>
    <w:rsid w:val="72654451"/>
    <w:rsid w:val="7293ADCB"/>
    <w:rsid w:val="72ADFEB9"/>
    <w:rsid w:val="72D48460"/>
    <w:rsid w:val="72E55953"/>
    <w:rsid w:val="72ED51D8"/>
    <w:rsid w:val="72F6B6C3"/>
    <w:rsid w:val="72FF4E8E"/>
    <w:rsid w:val="7313AAED"/>
    <w:rsid w:val="73264537"/>
    <w:rsid w:val="733A03B8"/>
    <w:rsid w:val="733ABF6D"/>
    <w:rsid w:val="733ACEA0"/>
    <w:rsid w:val="7364E533"/>
    <w:rsid w:val="73664791"/>
    <w:rsid w:val="7370A59F"/>
    <w:rsid w:val="73747BC9"/>
    <w:rsid w:val="7377F322"/>
    <w:rsid w:val="737EF2F1"/>
    <w:rsid w:val="73813A10"/>
    <w:rsid w:val="7387B8F2"/>
    <w:rsid w:val="738A212C"/>
    <w:rsid w:val="739188C4"/>
    <w:rsid w:val="739AA002"/>
    <w:rsid w:val="73A099B3"/>
    <w:rsid w:val="73A70E7F"/>
    <w:rsid w:val="73AF9A79"/>
    <w:rsid w:val="73CA87D4"/>
    <w:rsid w:val="74034CFD"/>
    <w:rsid w:val="74164C25"/>
    <w:rsid w:val="743B26DE"/>
    <w:rsid w:val="74753D02"/>
    <w:rsid w:val="74D06678"/>
    <w:rsid w:val="74F009F7"/>
    <w:rsid w:val="7504740D"/>
    <w:rsid w:val="75329DDC"/>
    <w:rsid w:val="753423E9"/>
    <w:rsid w:val="7546CA9E"/>
    <w:rsid w:val="754A3823"/>
    <w:rsid w:val="756CF48A"/>
    <w:rsid w:val="75874CE2"/>
    <w:rsid w:val="75B740B7"/>
    <w:rsid w:val="75C5FA3A"/>
    <w:rsid w:val="75C69742"/>
    <w:rsid w:val="75D341F7"/>
    <w:rsid w:val="75DDC355"/>
    <w:rsid w:val="76979118"/>
    <w:rsid w:val="769F5089"/>
    <w:rsid w:val="769FC54C"/>
    <w:rsid w:val="76B15EDE"/>
    <w:rsid w:val="76BD5DB3"/>
    <w:rsid w:val="76C5362C"/>
    <w:rsid w:val="76D37DB9"/>
    <w:rsid w:val="76D7297C"/>
    <w:rsid w:val="76D8712E"/>
    <w:rsid w:val="76E3D22F"/>
    <w:rsid w:val="76F01C65"/>
    <w:rsid w:val="76F094C3"/>
    <w:rsid w:val="76F24C69"/>
    <w:rsid w:val="76FB2222"/>
    <w:rsid w:val="77176BE2"/>
    <w:rsid w:val="771F2FA3"/>
    <w:rsid w:val="772B6DE7"/>
    <w:rsid w:val="773FCF2B"/>
    <w:rsid w:val="774A5979"/>
    <w:rsid w:val="7762D414"/>
    <w:rsid w:val="77753A3A"/>
    <w:rsid w:val="778948FA"/>
    <w:rsid w:val="779A58C9"/>
    <w:rsid w:val="77AB3390"/>
    <w:rsid w:val="77B77366"/>
    <w:rsid w:val="77C60C1A"/>
    <w:rsid w:val="77D2CBBF"/>
    <w:rsid w:val="77DE9C03"/>
    <w:rsid w:val="77F20F0B"/>
    <w:rsid w:val="78355DEF"/>
    <w:rsid w:val="7839C109"/>
    <w:rsid w:val="783EBDAC"/>
    <w:rsid w:val="7864389C"/>
    <w:rsid w:val="78663522"/>
    <w:rsid w:val="787E268E"/>
    <w:rsid w:val="78C5072A"/>
    <w:rsid w:val="78E7DC76"/>
    <w:rsid w:val="791A2EDD"/>
    <w:rsid w:val="792F1ABC"/>
    <w:rsid w:val="7938BE4F"/>
    <w:rsid w:val="794DD5A2"/>
    <w:rsid w:val="796352DE"/>
    <w:rsid w:val="797D118E"/>
    <w:rsid w:val="797DD9DA"/>
    <w:rsid w:val="797E6C57"/>
    <w:rsid w:val="798123EA"/>
    <w:rsid w:val="799436C3"/>
    <w:rsid w:val="799A13A5"/>
    <w:rsid w:val="799C820B"/>
    <w:rsid w:val="79C319BE"/>
    <w:rsid w:val="79D0B796"/>
    <w:rsid w:val="79E745ED"/>
    <w:rsid w:val="7A1024F7"/>
    <w:rsid w:val="7A22832D"/>
    <w:rsid w:val="7A4634C3"/>
    <w:rsid w:val="7A49D7CA"/>
    <w:rsid w:val="7A5ADBDE"/>
    <w:rsid w:val="7A5DC9E7"/>
    <w:rsid w:val="7A6CCF48"/>
    <w:rsid w:val="7A7E7401"/>
    <w:rsid w:val="7A8A2B7F"/>
    <w:rsid w:val="7A944DFB"/>
    <w:rsid w:val="7A999324"/>
    <w:rsid w:val="7A9C22D2"/>
    <w:rsid w:val="7AC2604A"/>
    <w:rsid w:val="7AE38508"/>
    <w:rsid w:val="7AE5CFCA"/>
    <w:rsid w:val="7AF072FC"/>
    <w:rsid w:val="7AF255DF"/>
    <w:rsid w:val="7B241677"/>
    <w:rsid w:val="7B436B43"/>
    <w:rsid w:val="7B7673A2"/>
    <w:rsid w:val="7B8265B2"/>
    <w:rsid w:val="7B8D1B90"/>
    <w:rsid w:val="7BA3BAAF"/>
    <w:rsid w:val="7BB9FDCF"/>
    <w:rsid w:val="7BDFAE5B"/>
    <w:rsid w:val="7C396B1A"/>
    <w:rsid w:val="7C3E9796"/>
    <w:rsid w:val="7C698525"/>
    <w:rsid w:val="7C7B4FC4"/>
    <w:rsid w:val="7C8013E5"/>
    <w:rsid w:val="7C8AEE8A"/>
    <w:rsid w:val="7C921A95"/>
    <w:rsid w:val="7C9FA314"/>
    <w:rsid w:val="7CABB625"/>
    <w:rsid w:val="7CAF7EBC"/>
    <w:rsid w:val="7CC411C1"/>
    <w:rsid w:val="7CC51E29"/>
    <w:rsid w:val="7CC7109B"/>
    <w:rsid w:val="7CD1F15C"/>
    <w:rsid w:val="7CD3D68B"/>
    <w:rsid w:val="7CE436BD"/>
    <w:rsid w:val="7CFBF5C4"/>
    <w:rsid w:val="7D171441"/>
    <w:rsid w:val="7D3BD201"/>
    <w:rsid w:val="7D4BD213"/>
    <w:rsid w:val="7D77E066"/>
    <w:rsid w:val="7D8B4578"/>
    <w:rsid w:val="7DA03E86"/>
    <w:rsid w:val="7DAB68AA"/>
    <w:rsid w:val="7DBA4AC5"/>
    <w:rsid w:val="7DC06932"/>
    <w:rsid w:val="7DC338D4"/>
    <w:rsid w:val="7DC56F33"/>
    <w:rsid w:val="7DE6A448"/>
    <w:rsid w:val="7DEFD90F"/>
    <w:rsid w:val="7DF0369F"/>
    <w:rsid w:val="7DF5AB16"/>
    <w:rsid w:val="7DF62DE7"/>
    <w:rsid w:val="7DFCB408"/>
    <w:rsid w:val="7E0BC475"/>
    <w:rsid w:val="7E3D9609"/>
    <w:rsid w:val="7E3F8A74"/>
    <w:rsid w:val="7E632617"/>
    <w:rsid w:val="7E7234DF"/>
    <w:rsid w:val="7E74EFC2"/>
    <w:rsid w:val="7E7A6DDA"/>
    <w:rsid w:val="7E7A86E2"/>
    <w:rsid w:val="7E90485F"/>
    <w:rsid w:val="7E934C16"/>
    <w:rsid w:val="7E98E31A"/>
    <w:rsid w:val="7EADA462"/>
    <w:rsid w:val="7EC1893A"/>
    <w:rsid w:val="7EEB66A2"/>
    <w:rsid w:val="7EEF050E"/>
    <w:rsid w:val="7EFB7252"/>
    <w:rsid w:val="7EFBD886"/>
    <w:rsid w:val="7F147D94"/>
    <w:rsid w:val="7F2E6789"/>
    <w:rsid w:val="7F438F70"/>
    <w:rsid w:val="7F4D0FC7"/>
    <w:rsid w:val="7F5FCF61"/>
    <w:rsid w:val="7F6CAB00"/>
    <w:rsid w:val="7F746A4D"/>
    <w:rsid w:val="7F80B3C2"/>
    <w:rsid w:val="7F9F41EA"/>
    <w:rsid w:val="7FA4FC3E"/>
    <w:rsid w:val="7FC9E707"/>
    <w:rsid w:val="7FE58615"/>
    <w:rsid w:val="7FEDB8F7"/>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27E2C"/>
  <w15:chartTrackingRefBased/>
  <w15:docId w15:val="{5FEE583C-AD2C-4989-A6D2-8AEF50A2A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00A"/>
    <w:pPr>
      <w:jc w:val="both"/>
    </w:pPr>
    <w:rPr>
      <w:rFonts w:ascii="Calibri" w:hAnsi="Calibri"/>
      <w:sz w:val="22"/>
    </w:rPr>
  </w:style>
  <w:style w:type="paragraph" w:styleId="Titre1">
    <w:name w:val="heading 1"/>
    <w:basedOn w:val="Normal"/>
    <w:next w:val="Normal"/>
    <w:link w:val="Titre1Car"/>
    <w:uiPriority w:val="9"/>
    <w:qFormat/>
    <w:rsid w:val="002357D8"/>
    <w:pPr>
      <w:keepNext/>
      <w:keepLines/>
      <w:spacing w:before="360" w:after="80"/>
      <w:outlineLvl w:val="0"/>
    </w:pPr>
    <w:rPr>
      <w:rFonts w:eastAsiaTheme="majorEastAsia" w:cstheme="majorBidi"/>
      <w:b/>
      <w:color w:val="9BA823"/>
      <w:sz w:val="40"/>
      <w:szCs w:val="40"/>
    </w:rPr>
  </w:style>
  <w:style w:type="paragraph" w:styleId="Titre2">
    <w:name w:val="heading 2"/>
    <w:basedOn w:val="Normal"/>
    <w:next w:val="Normal"/>
    <w:link w:val="Titre2Car"/>
    <w:uiPriority w:val="9"/>
    <w:unhideWhenUsed/>
    <w:qFormat/>
    <w:rsid w:val="002357D8"/>
    <w:pPr>
      <w:keepNext/>
      <w:keepLines/>
      <w:spacing w:before="160" w:after="80"/>
      <w:outlineLvl w:val="1"/>
    </w:pPr>
    <w:rPr>
      <w:rFonts w:eastAsiaTheme="majorEastAsia" w:cstheme="majorBidi"/>
      <w:color w:val="9BA823"/>
      <w:sz w:val="32"/>
      <w:szCs w:val="32"/>
    </w:rPr>
  </w:style>
  <w:style w:type="paragraph" w:styleId="Titre3">
    <w:name w:val="heading 3"/>
    <w:basedOn w:val="Normal"/>
    <w:next w:val="Normal"/>
    <w:link w:val="Titre3Car"/>
    <w:uiPriority w:val="9"/>
    <w:unhideWhenUsed/>
    <w:qFormat/>
    <w:rsid w:val="002357D8"/>
    <w:pPr>
      <w:keepNext/>
      <w:keepLines/>
      <w:spacing w:before="160" w:after="80"/>
      <w:outlineLvl w:val="2"/>
    </w:pPr>
    <w:rPr>
      <w:rFonts w:eastAsiaTheme="majorEastAsia" w:cstheme="majorBidi"/>
      <w:color w:val="9BA823"/>
      <w:sz w:val="28"/>
      <w:szCs w:val="28"/>
    </w:rPr>
  </w:style>
  <w:style w:type="paragraph" w:styleId="Titre4">
    <w:name w:val="heading 4"/>
    <w:basedOn w:val="Normal"/>
    <w:next w:val="Normal"/>
    <w:link w:val="Titre4Car"/>
    <w:uiPriority w:val="9"/>
    <w:unhideWhenUsed/>
    <w:qFormat/>
    <w:rsid w:val="0041317D"/>
    <w:pPr>
      <w:keepNext/>
      <w:keepLines/>
      <w:numPr>
        <w:ilvl w:val="3"/>
        <w:numId w:val="8"/>
      </w:numPr>
      <w:spacing w:before="80" w:after="40"/>
      <w:outlineLvl w:val="3"/>
    </w:pPr>
    <w:rPr>
      <w:rFonts w:eastAsiaTheme="majorEastAsia" w:cstheme="majorBidi"/>
      <w:b/>
      <w:iCs/>
      <w:color w:val="000000" w:themeColor="text1"/>
    </w:rPr>
  </w:style>
  <w:style w:type="paragraph" w:styleId="Titre5">
    <w:name w:val="heading 5"/>
    <w:basedOn w:val="Normal"/>
    <w:next w:val="Normal"/>
    <w:link w:val="Titre5Car"/>
    <w:uiPriority w:val="9"/>
    <w:unhideWhenUsed/>
    <w:qFormat/>
    <w:rsid w:val="007D314D"/>
    <w:pPr>
      <w:keepNext/>
      <w:keepLines/>
      <w:numPr>
        <w:ilvl w:val="4"/>
        <w:numId w:val="8"/>
      </w:numPr>
      <w:spacing w:before="80" w:after="40"/>
      <w:ind w:left="360"/>
      <w:jc w:val="left"/>
      <w:outlineLvl w:val="4"/>
    </w:pPr>
    <w:rPr>
      <w:rFonts w:eastAsiaTheme="majorEastAsia" w:cstheme="majorBidi"/>
      <w:u w:val="single"/>
    </w:rPr>
  </w:style>
  <w:style w:type="paragraph" w:styleId="Titre6">
    <w:name w:val="heading 6"/>
    <w:basedOn w:val="Normal"/>
    <w:next w:val="Normal"/>
    <w:link w:val="Titre6Car"/>
    <w:uiPriority w:val="9"/>
    <w:unhideWhenUsed/>
    <w:qFormat/>
    <w:rsid w:val="0051203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1203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1203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1203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E0AA3"/>
    <w:rPr>
      <w:rFonts w:ascii="Calibri" w:eastAsiaTheme="majorEastAsia" w:hAnsi="Calibri" w:cstheme="majorBidi"/>
      <w:b/>
      <w:color w:val="9BA823"/>
      <w:sz w:val="40"/>
      <w:szCs w:val="40"/>
    </w:rPr>
  </w:style>
  <w:style w:type="character" w:customStyle="1" w:styleId="Titre2Car">
    <w:name w:val="Titre 2 Car"/>
    <w:basedOn w:val="Policepardfaut"/>
    <w:link w:val="Titre2"/>
    <w:uiPriority w:val="9"/>
    <w:rsid w:val="00831F97"/>
    <w:rPr>
      <w:rFonts w:ascii="Calibri" w:eastAsiaTheme="majorEastAsia" w:hAnsi="Calibri" w:cstheme="majorBidi"/>
      <w:color w:val="9BA823"/>
      <w:sz w:val="32"/>
      <w:szCs w:val="32"/>
    </w:rPr>
  </w:style>
  <w:style w:type="character" w:customStyle="1" w:styleId="Titre3Car">
    <w:name w:val="Titre 3 Car"/>
    <w:basedOn w:val="Policepardfaut"/>
    <w:link w:val="Titre3"/>
    <w:uiPriority w:val="9"/>
    <w:rsid w:val="00E067EE"/>
    <w:rPr>
      <w:rFonts w:ascii="Calibri" w:eastAsiaTheme="majorEastAsia" w:hAnsi="Calibri" w:cstheme="majorBidi"/>
      <w:color w:val="9BA823"/>
      <w:sz w:val="28"/>
      <w:szCs w:val="28"/>
    </w:rPr>
  </w:style>
  <w:style w:type="character" w:customStyle="1" w:styleId="Titre4Car">
    <w:name w:val="Titre 4 Car"/>
    <w:basedOn w:val="Policepardfaut"/>
    <w:link w:val="Titre4"/>
    <w:uiPriority w:val="9"/>
    <w:rsid w:val="0041317D"/>
    <w:rPr>
      <w:rFonts w:ascii="Calibri" w:eastAsiaTheme="majorEastAsia" w:hAnsi="Calibri" w:cstheme="majorBidi"/>
      <w:b/>
      <w:iCs/>
      <w:color w:val="000000" w:themeColor="text1"/>
      <w:sz w:val="22"/>
    </w:rPr>
  </w:style>
  <w:style w:type="character" w:customStyle="1" w:styleId="Titre5Car">
    <w:name w:val="Titre 5 Car"/>
    <w:basedOn w:val="Policepardfaut"/>
    <w:link w:val="Titre5"/>
    <w:uiPriority w:val="9"/>
    <w:rsid w:val="007D314D"/>
    <w:rPr>
      <w:rFonts w:ascii="Calibri" w:eastAsiaTheme="majorEastAsia" w:hAnsi="Calibri" w:cstheme="majorBidi"/>
      <w:sz w:val="22"/>
      <w:u w:val="single"/>
    </w:rPr>
  </w:style>
  <w:style w:type="character" w:customStyle="1" w:styleId="Titre6Car">
    <w:name w:val="Titre 6 Car"/>
    <w:basedOn w:val="Policepardfaut"/>
    <w:link w:val="Titre6"/>
    <w:uiPriority w:val="9"/>
    <w:rsid w:val="0051203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1203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1203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1203A"/>
    <w:rPr>
      <w:rFonts w:eastAsiaTheme="majorEastAsia" w:cstheme="majorBidi"/>
      <w:color w:val="272727" w:themeColor="text1" w:themeTint="D8"/>
    </w:rPr>
  </w:style>
  <w:style w:type="paragraph" w:styleId="Titre">
    <w:name w:val="Title"/>
    <w:basedOn w:val="Normal"/>
    <w:next w:val="Normal"/>
    <w:link w:val="TitreCar"/>
    <w:uiPriority w:val="10"/>
    <w:qFormat/>
    <w:rsid w:val="0051203A"/>
    <w:pPr>
      <w:spacing w:after="80" w:line="240" w:lineRule="auto"/>
      <w:contextualSpacing/>
    </w:pPr>
    <w:rPr>
      <w:rFonts w:asciiTheme="majorHAnsi" w:eastAsiaTheme="majorEastAsia" w:hAnsiTheme="majorHAnsi" w:cstheme="majorBidi"/>
      <w:color w:val="9BA823"/>
      <w:spacing w:val="-10"/>
      <w:kern w:val="28"/>
      <w:sz w:val="56"/>
      <w:szCs w:val="56"/>
    </w:rPr>
  </w:style>
  <w:style w:type="character" w:customStyle="1" w:styleId="TitreCar">
    <w:name w:val="Titre Car"/>
    <w:basedOn w:val="Policepardfaut"/>
    <w:link w:val="Titre"/>
    <w:uiPriority w:val="10"/>
    <w:rsid w:val="0051203A"/>
    <w:rPr>
      <w:rFonts w:asciiTheme="majorHAnsi" w:eastAsiaTheme="majorEastAsia" w:hAnsiTheme="majorHAnsi" w:cstheme="majorBidi"/>
      <w:color w:val="9BA823"/>
      <w:spacing w:val="-10"/>
      <w:kern w:val="28"/>
      <w:sz w:val="56"/>
      <w:szCs w:val="56"/>
    </w:rPr>
  </w:style>
  <w:style w:type="paragraph" w:styleId="Sous-titre">
    <w:name w:val="Subtitle"/>
    <w:basedOn w:val="Normal"/>
    <w:next w:val="Normal"/>
    <w:link w:val="Sous-titreCar"/>
    <w:uiPriority w:val="11"/>
    <w:qFormat/>
    <w:rsid w:val="0051203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1203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1203A"/>
    <w:pPr>
      <w:spacing w:before="160"/>
      <w:jc w:val="center"/>
    </w:pPr>
    <w:rPr>
      <w:i/>
      <w:iCs/>
      <w:color w:val="404040" w:themeColor="text1" w:themeTint="BF"/>
    </w:rPr>
  </w:style>
  <w:style w:type="character" w:customStyle="1" w:styleId="CitationCar">
    <w:name w:val="Citation Car"/>
    <w:basedOn w:val="Policepardfaut"/>
    <w:link w:val="Citation"/>
    <w:uiPriority w:val="29"/>
    <w:rsid w:val="0051203A"/>
    <w:rPr>
      <w:i/>
      <w:iCs/>
      <w:color w:val="404040" w:themeColor="text1" w:themeTint="BF"/>
    </w:rPr>
  </w:style>
  <w:style w:type="paragraph" w:styleId="Paragraphedeliste">
    <w:name w:val="List Paragraph"/>
    <w:basedOn w:val="Normal"/>
    <w:uiPriority w:val="34"/>
    <w:qFormat/>
    <w:rsid w:val="00D91BA2"/>
    <w:pPr>
      <w:ind w:left="720"/>
      <w:contextualSpacing/>
    </w:pPr>
  </w:style>
  <w:style w:type="character" w:styleId="Accentuationintense">
    <w:name w:val="Intense Emphasis"/>
    <w:basedOn w:val="Policepardfaut"/>
    <w:uiPriority w:val="21"/>
    <w:qFormat/>
    <w:rsid w:val="0051203A"/>
    <w:rPr>
      <w:i/>
      <w:iCs/>
      <w:color w:val="0F4761" w:themeColor="accent1" w:themeShade="BF"/>
    </w:rPr>
  </w:style>
  <w:style w:type="paragraph" w:styleId="Citationintense">
    <w:name w:val="Intense Quote"/>
    <w:basedOn w:val="Normal"/>
    <w:next w:val="Normal"/>
    <w:link w:val="CitationintenseCar"/>
    <w:uiPriority w:val="30"/>
    <w:qFormat/>
    <w:rsid w:val="005120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1203A"/>
    <w:rPr>
      <w:i/>
      <w:iCs/>
      <w:color w:val="0F4761" w:themeColor="accent1" w:themeShade="BF"/>
    </w:rPr>
  </w:style>
  <w:style w:type="character" w:styleId="Rfrenceintense">
    <w:name w:val="Intense Reference"/>
    <w:basedOn w:val="Policepardfaut"/>
    <w:uiPriority w:val="32"/>
    <w:qFormat/>
    <w:rsid w:val="0051203A"/>
    <w:rPr>
      <w:b/>
      <w:bCs/>
      <w:smallCaps/>
      <w:color w:val="0F4761" w:themeColor="accent1" w:themeShade="BF"/>
      <w:spacing w:val="5"/>
    </w:rPr>
  </w:style>
  <w:style w:type="table" w:styleId="Grilledutableau">
    <w:name w:val="Table Grid"/>
    <w:basedOn w:val="TableauNormal"/>
    <w:uiPriority w:val="39"/>
    <w:rsid w:val="005120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1203A"/>
    <w:pPr>
      <w:tabs>
        <w:tab w:val="center" w:pos="4536"/>
        <w:tab w:val="right" w:pos="9072"/>
      </w:tabs>
      <w:spacing w:after="0" w:line="240" w:lineRule="auto"/>
    </w:pPr>
  </w:style>
  <w:style w:type="character" w:customStyle="1" w:styleId="En-tteCar">
    <w:name w:val="En-tête Car"/>
    <w:basedOn w:val="Policepardfaut"/>
    <w:link w:val="En-tte"/>
    <w:uiPriority w:val="99"/>
    <w:rsid w:val="0051203A"/>
  </w:style>
  <w:style w:type="paragraph" w:styleId="Pieddepage">
    <w:name w:val="footer"/>
    <w:basedOn w:val="Normal"/>
    <w:link w:val="PieddepageCar"/>
    <w:uiPriority w:val="99"/>
    <w:unhideWhenUsed/>
    <w:rsid w:val="005120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1203A"/>
  </w:style>
  <w:style w:type="paragraph" w:customStyle="1" w:styleId="Affiliation">
    <w:name w:val="Affiliation"/>
    <w:basedOn w:val="Normal"/>
    <w:link w:val="AffiliationChar"/>
    <w:qFormat/>
    <w:rsid w:val="002D6A5D"/>
    <w:pPr>
      <w:spacing w:before="120" w:after="0" w:line="240" w:lineRule="auto"/>
      <w:contextualSpacing/>
    </w:pPr>
    <w:rPr>
      <w:rFonts w:ascii="Times New Roman" w:eastAsia="Times New Roman" w:hAnsi="Times New Roman" w:cs="Times New Roman"/>
      <w:kern w:val="0"/>
      <w:sz w:val="20"/>
      <w:lang w:val="en-GB" w:eastAsia="de-DE"/>
      <w14:ligatures w14:val="none"/>
    </w:rPr>
  </w:style>
  <w:style w:type="character" w:customStyle="1" w:styleId="AffiliationChar">
    <w:name w:val="Affiliation Char"/>
    <w:basedOn w:val="Policepardfaut"/>
    <w:link w:val="Affiliation"/>
    <w:rsid w:val="002D6A5D"/>
    <w:rPr>
      <w:rFonts w:ascii="Times New Roman" w:eastAsia="Times New Roman" w:hAnsi="Times New Roman" w:cs="Times New Roman"/>
      <w:kern w:val="0"/>
      <w:sz w:val="20"/>
      <w:lang w:val="en-GB" w:eastAsia="de-DE"/>
      <w14:ligatures w14:val="none"/>
    </w:rPr>
  </w:style>
  <w:style w:type="paragraph" w:customStyle="1" w:styleId="Authors">
    <w:name w:val="Authors"/>
    <w:basedOn w:val="Normal"/>
    <w:link w:val="AuthorsChar"/>
    <w:qFormat/>
    <w:rsid w:val="002D6A5D"/>
    <w:pPr>
      <w:spacing w:before="180" w:after="0" w:line="240" w:lineRule="auto"/>
      <w:contextualSpacing/>
    </w:pPr>
    <w:rPr>
      <w:rFonts w:ascii="Times New Roman" w:eastAsia="Times New Roman" w:hAnsi="Times New Roman" w:cs="Times New Roman"/>
      <w:kern w:val="0"/>
      <w:lang w:val="en-GB" w:eastAsia="de-DE"/>
      <w14:ligatures w14:val="none"/>
    </w:rPr>
  </w:style>
  <w:style w:type="character" w:customStyle="1" w:styleId="AuthorsChar">
    <w:name w:val="Authors Char"/>
    <w:basedOn w:val="Policepardfaut"/>
    <w:link w:val="Authors"/>
    <w:rsid w:val="002D6A5D"/>
    <w:rPr>
      <w:rFonts w:ascii="Times New Roman" w:eastAsia="Times New Roman" w:hAnsi="Times New Roman" w:cs="Times New Roman"/>
      <w:kern w:val="0"/>
      <w:lang w:val="en-GB" w:eastAsia="de-DE"/>
      <w14:ligatures w14:val="none"/>
    </w:rPr>
  </w:style>
  <w:style w:type="character" w:styleId="Lienhypertexte">
    <w:name w:val="Hyperlink"/>
    <w:basedOn w:val="Policepardfaut"/>
    <w:uiPriority w:val="99"/>
    <w:unhideWhenUsed/>
    <w:rsid w:val="00EA039B"/>
    <w:rPr>
      <w:color w:val="467886" w:themeColor="hyperlink"/>
      <w:u w:val="single"/>
    </w:rPr>
  </w:style>
  <w:style w:type="character" w:styleId="Mentionnonrsolue">
    <w:name w:val="Unresolved Mention"/>
    <w:basedOn w:val="Policepardfaut"/>
    <w:uiPriority w:val="99"/>
    <w:semiHidden/>
    <w:unhideWhenUsed/>
    <w:rsid w:val="00EA039B"/>
    <w:rPr>
      <w:color w:val="605E5C"/>
      <w:shd w:val="clear" w:color="auto" w:fill="E1DFDD"/>
    </w:rPr>
  </w:style>
  <w:style w:type="paragraph" w:styleId="En-ttedetabledesmatires">
    <w:name w:val="TOC Heading"/>
    <w:basedOn w:val="Titre1"/>
    <w:next w:val="Normal"/>
    <w:uiPriority w:val="39"/>
    <w:unhideWhenUsed/>
    <w:qFormat/>
    <w:rsid w:val="006A6B8E"/>
    <w:pPr>
      <w:spacing w:before="240" w:after="0" w:line="259" w:lineRule="auto"/>
      <w:outlineLvl w:val="9"/>
    </w:pPr>
    <w:rPr>
      <w:b w:val="0"/>
      <w:color w:val="0F4761" w:themeColor="accent1" w:themeShade="BF"/>
      <w:kern w:val="0"/>
      <w:sz w:val="32"/>
      <w:szCs w:val="32"/>
      <w:lang w:eastAsia="fr-BE"/>
      <w14:ligatures w14:val="none"/>
    </w:rPr>
  </w:style>
  <w:style w:type="paragraph" w:styleId="TM1">
    <w:name w:val="toc 1"/>
    <w:basedOn w:val="Normal"/>
    <w:next w:val="Normal"/>
    <w:autoRedefine/>
    <w:uiPriority w:val="39"/>
    <w:unhideWhenUsed/>
    <w:rsid w:val="002948EB"/>
    <w:pPr>
      <w:spacing w:after="100"/>
    </w:pPr>
  </w:style>
  <w:style w:type="paragraph" w:styleId="TM3">
    <w:name w:val="toc 3"/>
    <w:basedOn w:val="Normal"/>
    <w:next w:val="Normal"/>
    <w:autoRedefine/>
    <w:uiPriority w:val="39"/>
    <w:unhideWhenUsed/>
    <w:rsid w:val="002948EB"/>
    <w:pPr>
      <w:spacing w:after="100"/>
      <w:ind w:left="480"/>
    </w:pPr>
  </w:style>
  <w:style w:type="paragraph" w:styleId="TM2">
    <w:name w:val="toc 2"/>
    <w:basedOn w:val="Normal"/>
    <w:next w:val="Normal"/>
    <w:autoRedefine/>
    <w:uiPriority w:val="39"/>
    <w:unhideWhenUsed/>
    <w:rsid w:val="003869F4"/>
    <w:pPr>
      <w:spacing w:after="100"/>
      <w:ind w:left="240"/>
    </w:pPr>
  </w:style>
  <w:style w:type="paragraph" w:styleId="Notedebasdepage">
    <w:name w:val="footnote text"/>
    <w:basedOn w:val="Normal"/>
    <w:link w:val="NotedebasdepageCar"/>
    <w:uiPriority w:val="99"/>
    <w:semiHidden/>
    <w:unhideWhenUsed/>
    <w:rsid w:val="000937C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937CF"/>
    <w:rPr>
      <w:rFonts w:ascii="Calibri" w:hAnsi="Calibri"/>
      <w:sz w:val="20"/>
      <w:szCs w:val="20"/>
    </w:rPr>
  </w:style>
  <w:style w:type="character" w:styleId="Appelnotedebasdep">
    <w:name w:val="footnote reference"/>
    <w:basedOn w:val="Policepardfaut"/>
    <w:uiPriority w:val="99"/>
    <w:semiHidden/>
    <w:unhideWhenUsed/>
    <w:rsid w:val="000937CF"/>
    <w:rPr>
      <w:vertAlign w:val="superscript"/>
    </w:rPr>
  </w:style>
  <w:style w:type="character" w:styleId="Lienhypertextesuivivisit">
    <w:name w:val="FollowedHyperlink"/>
    <w:basedOn w:val="Policepardfaut"/>
    <w:uiPriority w:val="99"/>
    <w:semiHidden/>
    <w:unhideWhenUsed/>
    <w:rsid w:val="00196FAF"/>
    <w:rPr>
      <w:color w:val="96607D" w:themeColor="followedHyperlink"/>
      <w:u w:val="single"/>
    </w:rPr>
  </w:style>
  <w:style w:type="paragraph" w:styleId="Lgende">
    <w:name w:val="caption"/>
    <w:basedOn w:val="Normal"/>
    <w:next w:val="Normal"/>
    <w:uiPriority w:val="35"/>
    <w:unhideWhenUsed/>
    <w:qFormat/>
    <w:rsid w:val="00B11112"/>
    <w:pPr>
      <w:spacing w:after="200" w:line="240" w:lineRule="auto"/>
    </w:pPr>
    <w:rPr>
      <w:i/>
      <w:iCs/>
      <w:color w:val="0E2841" w:themeColor="text2"/>
      <w:sz w:val="18"/>
      <w:szCs w:val="18"/>
    </w:rPr>
  </w:style>
  <w:style w:type="character" w:styleId="Marquedecommentaire">
    <w:name w:val="annotation reference"/>
    <w:basedOn w:val="Policepardfaut"/>
    <w:uiPriority w:val="99"/>
    <w:semiHidden/>
    <w:unhideWhenUsed/>
    <w:rsid w:val="008E6434"/>
    <w:rPr>
      <w:sz w:val="16"/>
      <w:szCs w:val="16"/>
    </w:rPr>
  </w:style>
  <w:style w:type="paragraph" w:styleId="Commentaire">
    <w:name w:val="annotation text"/>
    <w:basedOn w:val="Normal"/>
    <w:link w:val="CommentaireCar"/>
    <w:uiPriority w:val="99"/>
    <w:unhideWhenUsed/>
    <w:rsid w:val="008E6434"/>
    <w:pPr>
      <w:spacing w:line="240" w:lineRule="auto"/>
    </w:pPr>
    <w:rPr>
      <w:sz w:val="20"/>
      <w:szCs w:val="20"/>
    </w:rPr>
  </w:style>
  <w:style w:type="character" w:customStyle="1" w:styleId="CommentaireCar">
    <w:name w:val="Commentaire Car"/>
    <w:basedOn w:val="Policepardfaut"/>
    <w:link w:val="Commentaire"/>
    <w:uiPriority w:val="99"/>
    <w:rsid w:val="008E6434"/>
    <w:rPr>
      <w:rFonts w:ascii="Calibri" w:hAnsi="Calibri"/>
      <w:sz w:val="20"/>
      <w:szCs w:val="20"/>
    </w:rPr>
  </w:style>
  <w:style w:type="paragraph" w:styleId="Objetducommentaire">
    <w:name w:val="annotation subject"/>
    <w:basedOn w:val="Commentaire"/>
    <w:next w:val="Commentaire"/>
    <w:link w:val="ObjetducommentaireCar"/>
    <w:uiPriority w:val="99"/>
    <w:semiHidden/>
    <w:unhideWhenUsed/>
    <w:rsid w:val="008E6434"/>
    <w:rPr>
      <w:b/>
      <w:bCs/>
    </w:rPr>
  </w:style>
  <w:style w:type="character" w:customStyle="1" w:styleId="ObjetducommentaireCar">
    <w:name w:val="Objet du commentaire Car"/>
    <w:basedOn w:val="CommentaireCar"/>
    <w:link w:val="Objetducommentaire"/>
    <w:uiPriority w:val="99"/>
    <w:semiHidden/>
    <w:rsid w:val="008E6434"/>
    <w:rPr>
      <w:rFonts w:ascii="Calibri" w:hAnsi="Calibri"/>
      <w:b/>
      <w:bCs/>
      <w:sz w:val="20"/>
      <w:szCs w:val="20"/>
    </w:rPr>
  </w:style>
  <w:style w:type="paragraph" w:styleId="TM4">
    <w:name w:val="toc 4"/>
    <w:basedOn w:val="Normal"/>
    <w:next w:val="Normal"/>
    <w:autoRedefine/>
    <w:uiPriority w:val="39"/>
    <w:unhideWhenUsed/>
    <w:rsid w:val="00130055"/>
    <w:pPr>
      <w:spacing w:after="100"/>
      <w:ind w:left="660"/>
    </w:pPr>
  </w:style>
  <w:style w:type="paragraph" w:styleId="TM5">
    <w:name w:val="toc 5"/>
    <w:basedOn w:val="Normal"/>
    <w:next w:val="Normal"/>
    <w:autoRedefine/>
    <w:uiPriority w:val="39"/>
    <w:unhideWhenUsed/>
    <w:rsid w:val="00130055"/>
    <w:pPr>
      <w:spacing w:after="100"/>
      <w:ind w:left="880"/>
    </w:pPr>
  </w:style>
  <w:style w:type="paragraph" w:styleId="TM6">
    <w:name w:val="toc 6"/>
    <w:basedOn w:val="Normal"/>
    <w:next w:val="Normal"/>
    <w:autoRedefine/>
    <w:uiPriority w:val="39"/>
    <w:unhideWhenUsed/>
    <w:rsid w:val="008C1DA4"/>
    <w:pPr>
      <w:spacing w:after="100"/>
      <w:ind w:left="1200"/>
      <w:jc w:val="left"/>
    </w:pPr>
    <w:rPr>
      <w:rFonts w:asciiTheme="minorHAnsi" w:eastAsiaTheme="minorEastAsia" w:hAnsiTheme="minorHAnsi"/>
      <w:sz w:val="24"/>
      <w:lang w:eastAsia="fr-BE"/>
    </w:rPr>
  </w:style>
  <w:style w:type="paragraph" w:styleId="TM7">
    <w:name w:val="toc 7"/>
    <w:basedOn w:val="Normal"/>
    <w:next w:val="Normal"/>
    <w:autoRedefine/>
    <w:uiPriority w:val="39"/>
    <w:unhideWhenUsed/>
    <w:rsid w:val="008C1DA4"/>
    <w:pPr>
      <w:spacing w:after="100"/>
      <w:ind w:left="1440"/>
      <w:jc w:val="left"/>
    </w:pPr>
    <w:rPr>
      <w:rFonts w:asciiTheme="minorHAnsi" w:eastAsiaTheme="minorEastAsia" w:hAnsiTheme="minorHAnsi"/>
      <w:sz w:val="24"/>
      <w:lang w:eastAsia="fr-BE"/>
    </w:rPr>
  </w:style>
  <w:style w:type="paragraph" w:styleId="TM8">
    <w:name w:val="toc 8"/>
    <w:basedOn w:val="Normal"/>
    <w:next w:val="Normal"/>
    <w:autoRedefine/>
    <w:uiPriority w:val="39"/>
    <w:unhideWhenUsed/>
    <w:rsid w:val="008C1DA4"/>
    <w:pPr>
      <w:spacing w:after="100"/>
      <w:ind w:left="1680"/>
      <w:jc w:val="left"/>
    </w:pPr>
    <w:rPr>
      <w:rFonts w:asciiTheme="minorHAnsi" w:eastAsiaTheme="minorEastAsia" w:hAnsiTheme="minorHAnsi"/>
      <w:sz w:val="24"/>
      <w:lang w:eastAsia="fr-BE"/>
    </w:rPr>
  </w:style>
  <w:style w:type="paragraph" w:styleId="TM9">
    <w:name w:val="toc 9"/>
    <w:basedOn w:val="Normal"/>
    <w:next w:val="Normal"/>
    <w:autoRedefine/>
    <w:uiPriority w:val="39"/>
    <w:unhideWhenUsed/>
    <w:rsid w:val="008C1DA4"/>
    <w:pPr>
      <w:spacing w:after="100"/>
      <w:ind w:left="1920"/>
      <w:jc w:val="left"/>
    </w:pPr>
    <w:rPr>
      <w:rFonts w:asciiTheme="minorHAnsi" w:eastAsiaTheme="minorEastAsia" w:hAnsiTheme="minorHAnsi"/>
      <w:sz w:val="24"/>
      <w:lang w:eastAsia="fr-BE"/>
    </w:rPr>
  </w:style>
  <w:style w:type="paragraph" w:styleId="Bibliographie">
    <w:name w:val="Bibliography"/>
    <w:basedOn w:val="Normal"/>
    <w:next w:val="Normal"/>
    <w:uiPriority w:val="37"/>
    <w:unhideWhenUsed/>
    <w:rsid w:val="00831C0D"/>
    <w:pPr>
      <w:spacing w:after="0" w:line="480" w:lineRule="auto"/>
      <w:ind w:left="720" w:hanging="720"/>
    </w:pPr>
  </w:style>
  <w:style w:type="paragraph" w:customStyle="1" w:styleId="Default">
    <w:name w:val="Default"/>
    <w:rsid w:val="00BA6FB6"/>
    <w:pPr>
      <w:autoSpaceDE w:val="0"/>
      <w:autoSpaceDN w:val="0"/>
      <w:adjustRightInd w:val="0"/>
      <w:spacing w:after="0" w:line="240" w:lineRule="auto"/>
    </w:pPr>
    <w:rPr>
      <w:rFonts w:ascii="Calibri" w:hAnsi="Calibri" w:cs="Calibri"/>
      <w:color w:val="000000"/>
      <w:kern w:val="0"/>
    </w:rPr>
  </w:style>
  <w:style w:type="character" w:styleId="Appeldenotedefin">
    <w:name w:val="endnote reference"/>
    <w:basedOn w:val="Policepardfaut"/>
    <w:uiPriority w:val="99"/>
    <w:semiHidden/>
    <w:unhideWhenUsed/>
    <w:rsid w:val="002D7839"/>
    <w:rPr>
      <w:vertAlign w:val="superscript"/>
    </w:rPr>
  </w:style>
  <w:style w:type="numbering" w:customStyle="1" w:styleId="Listeactuelle1">
    <w:name w:val="Liste actuelle1"/>
    <w:uiPriority w:val="99"/>
    <w:rsid w:val="00BA20CA"/>
    <w:pPr>
      <w:numPr>
        <w:numId w:val="11"/>
      </w:numPr>
    </w:pPr>
  </w:style>
  <w:style w:type="paragraph" w:styleId="NormalWeb">
    <w:name w:val="Normal (Web)"/>
    <w:basedOn w:val="Normal"/>
    <w:uiPriority w:val="99"/>
    <w:semiHidden/>
    <w:unhideWhenUsed/>
    <w:rsid w:val="00C82D0E"/>
    <w:pPr>
      <w:spacing w:before="100" w:beforeAutospacing="1" w:after="100" w:afterAutospacing="1" w:line="240" w:lineRule="auto"/>
      <w:jc w:val="left"/>
    </w:pPr>
    <w:rPr>
      <w:rFonts w:ascii="Times New Roman" w:eastAsia="Times New Roman" w:hAnsi="Times New Roman" w:cs="Times New Roman"/>
      <w:kern w:val="0"/>
      <w:sz w:val="24"/>
      <w:lang w:eastAsia="fr-BE"/>
      <w14:ligatures w14:val="none"/>
    </w:rPr>
  </w:style>
  <w:style w:type="character" w:styleId="Textedelespacerserv">
    <w:name w:val="Placeholder Text"/>
    <w:basedOn w:val="Policepardfaut"/>
    <w:uiPriority w:val="99"/>
    <w:semiHidden/>
    <w:rsid w:val="007522C5"/>
    <w:rPr>
      <w:color w:val="666666"/>
    </w:rPr>
  </w:style>
  <w:style w:type="paragraph" w:styleId="Rvision">
    <w:name w:val="Revision"/>
    <w:hidden/>
    <w:uiPriority w:val="99"/>
    <w:semiHidden/>
    <w:rsid w:val="00E01F5C"/>
    <w:pPr>
      <w:spacing w:after="0" w:line="240" w:lineRule="auto"/>
    </w:pPr>
    <w:rPr>
      <w:rFonts w:ascii="Calibri" w:hAnsi="Calibri"/>
      <w:sz w:val="22"/>
    </w:rPr>
  </w:style>
  <w:style w:type="paragraph" w:styleId="Listepuces">
    <w:name w:val="List Bullet"/>
    <w:basedOn w:val="Normal"/>
    <w:uiPriority w:val="99"/>
    <w:unhideWhenUsed/>
    <w:rsid w:val="0077259A"/>
    <w:pPr>
      <w:numPr>
        <w:numId w:val="26"/>
      </w:numPr>
      <w:contextualSpacing/>
    </w:pPr>
  </w:style>
  <w:style w:type="paragraph" w:styleId="Tabledesillustrations">
    <w:name w:val="table of figures"/>
    <w:basedOn w:val="Normal"/>
    <w:next w:val="Normal"/>
    <w:uiPriority w:val="99"/>
    <w:unhideWhenUsed/>
    <w:rsid w:val="000B7D1B"/>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6830">
      <w:bodyDiv w:val="1"/>
      <w:marLeft w:val="0"/>
      <w:marRight w:val="0"/>
      <w:marTop w:val="0"/>
      <w:marBottom w:val="0"/>
      <w:divBdr>
        <w:top w:val="none" w:sz="0" w:space="0" w:color="auto"/>
        <w:left w:val="none" w:sz="0" w:space="0" w:color="auto"/>
        <w:bottom w:val="none" w:sz="0" w:space="0" w:color="auto"/>
        <w:right w:val="none" w:sz="0" w:space="0" w:color="auto"/>
      </w:divBdr>
    </w:div>
    <w:div w:id="93706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iqsw.be" TargetMode="External"/><Relationship Id="rId26" Type="http://schemas.openxmlformats.org/officeDocument/2006/relationships/image" Target="media/image14.png"/><Relationship Id="rId39" Type="http://schemas.openxmlformats.org/officeDocument/2006/relationships/theme" Target="theme/theme1.xml"/><Relationship Id="rId21" Type="http://schemas.openxmlformats.org/officeDocument/2006/relationships/image" Target="media/image9.png"/><Relationship Id="rId34" Type="http://schemas.openxmlformats.org/officeDocument/2006/relationships/hyperlink" Target="https://territoire.wallonie.be/fr/page/formulaires#formulaire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ariesconsultants.sharepoint.com/sites/IQSW-interne/Documents%20partages/General/_IQSW/IQSW-pro/_Guides%20m&#233;thodologiques/Guide%20m&#233;thodologique_IQSW-pro/(www.iqsw.be)" TargetMode="External"/><Relationship Id="rId25" Type="http://schemas.openxmlformats.org/officeDocument/2006/relationships/image" Target="media/image13.png"/><Relationship Id="rId33" Type="http://schemas.openxmlformats.org/officeDocument/2006/relationships/footer" Target="footer3.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2.png"/><Relationship Id="rId32" Type="http://schemas.openxmlformats.org/officeDocument/2006/relationships/header" Target="header3.xml"/><Relationship Id="rId37" Type="http://schemas.openxmlformats.org/officeDocument/2006/relationships/image" Target="media/image18.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header" Target="header1.xml"/><Relationship Id="rId36" Type="http://schemas.openxmlformats.org/officeDocument/2006/relationships/image" Target="media/image17.png"/><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oter" Target="footer1.xml"/><Relationship Id="rId35" Type="http://schemas.openxmlformats.org/officeDocument/2006/relationships/image" Target="media/image16.png"/><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geoportail.wallonie.be/catalogue/b18318eb-5e91-48ae-a6a5-6f49d06b15a1.html" TargetMode="External"/><Relationship Id="rId7" Type="http://schemas.openxmlformats.org/officeDocument/2006/relationships/hyperlink" Target="https://environnement.wallonie.be/home/milieux/sol/les-professionnels-du-sol/experts-et-labos/outils-de-reference/cwbp/etude-de-caracterisation.html" TargetMode="External"/><Relationship Id="rId2" Type="http://schemas.openxmlformats.org/officeDocument/2006/relationships/hyperlink" Target="https://environnement.wallonie.be/home/milieux/sol/les-professionnels-du-sol/experts-et-labos/outils-de-reference/cwbp/etude-de-risque.html" TargetMode="External"/><Relationship Id="rId1" Type="http://schemas.openxmlformats.org/officeDocument/2006/relationships/hyperlink" Target="https://wallex.wallonie.be/eli/loi-decret/2018/03/01/2018070014/2018/04/01" TargetMode="External"/><Relationship Id="rId6" Type="http://schemas.openxmlformats.org/officeDocument/2006/relationships/hyperlink" Target="https://www.ecologie.gouv.fr/politiques-publiques/artificialisation-sols" TargetMode="External"/><Relationship Id="rId5" Type="http://schemas.openxmlformats.org/officeDocument/2006/relationships/hyperlink" Target="https://qualite-sols.ch/" TargetMode="External"/><Relationship Id="rId4" Type="http://schemas.openxmlformats.org/officeDocument/2006/relationships/hyperlink" Target="https://geoportail.wallonie.be/catalogue/9e11aa59-e36e-4440-99e9-8da32abbee83.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AB4291AEEA43648ABED206827048E2D" ma:contentTypeVersion="17" ma:contentTypeDescription="Crée un document." ma:contentTypeScope="" ma:versionID="b35b0d6d322175f6b8511992af298a90">
  <xsd:schema xmlns:xsd="http://www.w3.org/2001/XMLSchema" xmlns:xs="http://www.w3.org/2001/XMLSchema" xmlns:p="http://schemas.microsoft.com/office/2006/metadata/properties" xmlns:ns2="02ac61c8-0274-4f4f-b0bd-984d4b0d52a7" xmlns:ns3="07b15121-e655-4d8f-966a-8241a5a765ce" targetNamespace="http://schemas.microsoft.com/office/2006/metadata/properties" ma:root="true" ma:fieldsID="ee45684ae9c145741b3dbf1b1c671700" ns2:_="" ns3:_="">
    <xsd:import namespace="02ac61c8-0274-4f4f-b0bd-984d4b0d52a7"/>
    <xsd:import namespace="07b15121-e655-4d8f-966a-8241a5a765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Note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c61c8-0274-4f4f-b0bd-984d4b0d5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Notes" ma:index="11" nillable="true" ma:displayName="Notes" ma:format="Dropdown" ma:internalName="Notes">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df3ab53d-5831-4dd1-a839-c175f8b1e2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b15121-e655-4d8f-966a-8241a5a765ce"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7" nillable="true" ma:displayName="Taxonomy Catch All Column" ma:hidden="true" ma:list="{1c1aa6d0-7670-4f74-9e72-25261da018ca}" ma:internalName="TaxCatchAll" ma:showField="CatchAllData" ma:web="07b15121-e655-4d8f-966a-8241a5a765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7b15121-e655-4d8f-966a-8241a5a765ce" xsi:nil="true"/>
    <lcf76f155ced4ddcb4097134ff3c332f xmlns="02ac61c8-0274-4f4f-b0bd-984d4b0d52a7">
      <Terms xmlns="http://schemas.microsoft.com/office/infopath/2007/PartnerControls"/>
    </lcf76f155ced4ddcb4097134ff3c332f>
    <Notes xmlns="02ac61c8-0274-4f4f-b0bd-984d4b0d52a7" xsi:nil="true"/>
  </documentManagement>
</p:properties>
</file>

<file path=customXml/itemProps1.xml><?xml version="1.0" encoding="utf-8"?>
<ds:datastoreItem xmlns:ds="http://schemas.openxmlformats.org/officeDocument/2006/customXml" ds:itemID="{D79D31E4-556F-4D16-BFD9-5AD253E17D0D}">
  <ds:schemaRefs>
    <ds:schemaRef ds:uri="http://schemas.openxmlformats.org/officeDocument/2006/bibliography"/>
  </ds:schemaRefs>
</ds:datastoreItem>
</file>

<file path=customXml/itemProps2.xml><?xml version="1.0" encoding="utf-8"?>
<ds:datastoreItem xmlns:ds="http://schemas.openxmlformats.org/officeDocument/2006/customXml" ds:itemID="{EA4078BA-1F00-4524-935F-55D16BF592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c61c8-0274-4f4f-b0bd-984d4b0d52a7"/>
    <ds:schemaRef ds:uri="07b15121-e655-4d8f-966a-8241a5a765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05BC99-44C2-4334-9A3C-B1CF05B3EAF3}">
  <ds:schemaRefs>
    <ds:schemaRef ds:uri="http://schemas.microsoft.com/sharepoint/v3/contenttype/forms"/>
  </ds:schemaRefs>
</ds:datastoreItem>
</file>

<file path=customXml/itemProps4.xml><?xml version="1.0" encoding="utf-8"?>
<ds:datastoreItem xmlns:ds="http://schemas.openxmlformats.org/officeDocument/2006/customXml" ds:itemID="{D2084C0E-D2AB-4170-9424-C0E37F1C60E1}">
  <ds:schemaRefs>
    <ds:schemaRef ds:uri="http://schemas.microsoft.com/office/2006/metadata/properties"/>
    <ds:schemaRef ds:uri="http://schemas.microsoft.com/office/infopath/2007/PartnerControls"/>
    <ds:schemaRef ds:uri="07b15121-e655-4d8f-966a-8241a5a765ce"/>
    <ds:schemaRef ds:uri="02ac61c8-0274-4f4f-b0bd-984d4b0d52a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70</Pages>
  <Words>43042</Words>
  <Characters>236735</Characters>
  <Application>Microsoft Office Word</Application>
  <DocSecurity>0</DocSecurity>
  <Lines>1972</Lines>
  <Paragraphs>558</Paragraphs>
  <ScaleCrop>false</ScaleCrop>
  <Company/>
  <LinksUpToDate>false</LinksUpToDate>
  <CharactersWithSpaces>279219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Clélia VAN DE CASTEELE</dc:creator>
  <cp:keywords/>
  <dc:description/>
  <cp:lastModifiedBy>Clélia VAN DE CASTEELE</cp:lastModifiedBy>
  <cp:revision>3</cp:revision>
  <cp:lastPrinted>2026-06-09T22:14:00Z</cp:lastPrinted>
  <dcterms:created xsi:type="dcterms:W3CDTF">2026-10-01T14:51:00Z</dcterms:created>
  <dcterms:modified xsi:type="dcterms:W3CDTF">2026-10-01T14:53:00Z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0x010100DAB4291AEEA43648ABED206827048E2D</vt:lpwstr>
  </property>
  <property fmtid="{D5CDD505-2E9C-101B-9397-08002B2CF9AE}" pid="3" name="ZOTERO_PREF_1">
    <vt:lpwstr>&lt;data data-version="3" zotero-version="9.0.6"&gt;&lt;session id="ZBY9JkLy"/&gt;&lt;style id="http://www.zotero.org/styles/apa" locale="fr-FR" hasBibliography="1" bibliographyStyleHasBeenSet="1"/&gt;&lt;prefs&gt;&lt;pref name="fieldType" value="Field"/&gt;&lt;pref name="automaticJourna</vt:lpwstr>
  </property>
  <property fmtid="{D5CDD505-2E9C-101B-9397-08002B2CF9AE}" pid="4" name="ZOTERO_PREF_2">
    <vt:lpwstr>lAbbreviations" value="true"/&gt;&lt;/prefs&gt;&lt;/data&gt;</vt:lpwstr>
  </property>
  <property fmtid="{D5CDD505-2E9C-101B-9397-08002B2CF9AE}" pid="5" name="MediaServiceImageTags">
    <vt:lpwstr/>
  </property>
</Properties>
</file>