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40"/>
      </w:tblGrid>
      <w:tr w:rsidR="0051203A" w:rsidRPr="0059302B" w14:paraId="5FBDC2E6" w14:textId="77777777" w:rsidTr="008C1DA4">
        <w:trPr>
          <w:cantSplit/>
          <w:trHeight w:val="1833"/>
        </w:trPr>
        <w:tc>
          <w:tcPr>
            <w:tcW w:w="0" w:type="auto"/>
            <w:tcBorders>
              <w:top w:val="single" w:sz="12" w:space="0" w:color="auto"/>
              <w:left w:val="single" w:sz="12" w:space="0" w:color="auto"/>
              <w:bottom w:val="nil"/>
              <w:right w:val="single" w:sz="12" w:space="0" w:color="auto"/>
            </w:tcBorders>
            <w:vAlign w:val="center"/>
          </w:tcPr>
          <w:p w14:paraId="77F727C6" w14:textId="7428AC95" w:rsidR="0051203A" w:rsidRPr="0051203A" w:rsidRDefault="0059302B" w:rsidP="0059302B">
            <w:pPr>
              <w:pStyle w:val="Titre"/>
              <w:jc w:val="left"/>
              <w:rPr>
                <w:lang w:val="fr-FR"/>
              </w:rPr>
            </w:pPr>
            <w:r>
              <w:rPr>
                <w:b/>
                <w:bCs/>
                <w:noProof/>
                <w:lang w:val="fr-FR"/>
              </w:rPr>
              <w:drawing>
                <wp:anchor distT="0" distB="0" distL="114300" distR="114300" simplePos="0" relativeHeight="251658240" behindDoc="0" locked="0" layoutInCell="1" allowOverlap="1" wp14:anchorId="18690FFA" wp14:editId="0E9B59EE">
                  <wp:simplePos x="0" y="0"/>
                  <wp:positionH relativeFrom="column">
                    <wp:posOffset>4561840</wp:posOffset>
                  </wp:positionH>
                  <wp:positionV relativeFrom="paragraph">
                    <wp:posOffset>48895</wp:posOffset>
                  </wp:positionV>
                  <wp:extent cx="1079500" cy="1091565"/>
                  <wp:effectExtent l="0" t="0" r="6350" b="0"/>
                  <wp:wrapNone/>
                  <wp:docPr id="170751869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500"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FR"/>
              </w:rPr>
              <w:drawing>
                <wp:inline distT="0" distB="0" distL="0" distR="0" wp14:anchorId="3D8F4A6E" wp14:editId="6D70773D">
                  <wp:extent cx="2814770" cy="1187355"/>
                  <wp:effectExtent l="0" t="0" r="0" b="0"/>
                  <wp:docPr id="111686556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0809" cy="1206776"/>
                          </a:xfrm>
                          <a:prstGeom prst="rect">
                            <a:avLst/>
                          </a:prstGeom>
                          <a:noFill/>
                          <a:ln>
                            <a:noFill/>
                          </a:ln>
                        </pic:spPr>
                      </pic:pic>
                    </a:graphicData>
                  </a:graphic>
                </wp:inline>
              </w:drawing>
            </w:r>
          </w:p>
        </w:tc>
      </w:tr>
      <w:tr w:rsidR="0059302B" w:rsidRPr="0059302B" w14:paraId="72398826" w14:textId="77777777" w:rsidTr="008C1DA4">
        <w:trPr>
          <w:cantSplit/>
          <w:trHeight w:val="8385"/>
        </w:trPr>
        <w:tc>
          <w:tcPr>
            <w:tcW w:w="0" w:type="auto"/>
            <w:tcBorders>
              <w:top w:val="nil"/>
              <w:left w:val="single" w:sz="12" w:space="0" w:color="auto"/>
              <w:bottom w:val="nil"/>
              <w:right w:val="single" w:sz="12" w:space="0" w:color="auto"/>
            </w:tcBorders>
            <w:vAlign w:val="center"/>
          </w:tcPr>
          <w:p w14:paraId="666066AF" w14:textId="52BCE767" w:rsidR="00B634B7" w:rsidRPr="00DB19A8" w:rsidRDefault="00B634B7" w:rsidP="0059302B">
            <w:pPr>
              <w:pStyle w:val="Titre"/>
              <w:jc w:val="center"/>
              <w:rPr>
                <w:color w:val="auto"/>
                <w:sz w:val="40"/>
                <w:szCs w:val="40"/>
                <w:lang w:val="fr-FR"/>
              </w:rPr>
            </w:pPr>
            <w:r w:rsidRPr="00DB19A8">
              <w:rPr>
                <w:color w:val="auto"/>
                <w:sz w:val="40"/>
                <w:szCs w:val="40"/>
                <w:lang w:val="fr-FR"/>
              </w:rPr>
              <w:t>Indice de Qualité des Sols Wallons (IQSW-pro)</w:t>
            </w:r>
          </w:p>
          <w:p w14:paraId="68A078E4" w14:textId="77777777" w:rsidR="00B634B7" w:rsidRPr="00B634B7" w:rsidRDefault="00B634B7" w:rsidP="00B634B7">
            <w:pPr>
              <w:rPr>
                <w:lang w:val="fr-FR"/>
              </w:rPr>
            </w:pPr>
          </w:p>
          <w:p w14:paraId="6F95F7C1" w14:textId="3605E7D0" w:rsidR="0059302B" w:rsidRPr="00DB19A8" w:rsidRDefault="00B634B7" w:rsidP="0059302B">
            <w:pPr>
              <w:pStyle w:val="Titre"/>
              <w:jc w:val="center"/>
              <w:rPr>
                <w:b/>
                <w:bCs/>
                <w:sz w:val="48"/>
                <w:szCs w:val="48"/>
                <w:lang w:val="fr-FR"/>
              </w:rPr>
            </w:pPr>
            <w:r w:rsidRPr="00DB19A8">
              <w:rPr>
                <w:b/>
                <w:bCs/>
                <w:sz w:val="48"/>
                <w:szCs w:val="48"/>
                <w:lang w:val="fr-FR"/>
              </w:rPr>
              <w:t>G</w:t>
            </w:r>
            <w:r w:rsidR="0059302B" w:rsidRPr="00DB19A8">
              <w:rPr>
                <w:b/>
                <w:bCs/>
                <w:sz w:val="48"/>
                <w:szCs w:val="48"/>
                <w:lang w:val="fr-FR"/>
              </w:rPr>
              <w:t xml:space="preserve">uide méthodologique à destination des </w:t>
            </w:r>
            <w:r w:rsidR="00EE6343" w:rsidRPr="3553888C">
              <w:rPr>
                <w:b/>
                <w:bCs/>
                <w:sz w:val="48"/>
                <w:szCs w:val="48"/>
                <w:lang w:val="fr-FR"/>
              </w:rPr>
              <w:t>professionnels</w:t>
            </w:r>
          </w:p>
          <w:p w14:paraId="3718E6CE" w14:textId="77777777" w:rsidR="0059302B" w:rsidRDefault="0059302B" w:rsidP="0051203A">
            <w:pPr>
              <w:pStyle w:val="Titre"/>
              <w:jc w:val="center"/>
              <w:rPr>
                <w:noProof/>
                <w:color w:val="auto"/>
                <w:sz w:val="36"/>
                <w:szCs w:val="36"/>
                <w:lang w:val="fr-FR"/>
              </w:rPr>
            </w:pPr>
          </w:p>
          <w:p w14:paraId="1A6D8C23" w14:textId="105C9E01" w:rsidR="0059302B" w:rsidRPr="00647D21" w:rsidRDefault="006575EB" w:rsidP="00B634B7">
            <w:pPr>
              <w:jc w:val="center"/>
              <w:rPr>
                <w:b/>
                <w:bCs/>
                <w:sz w:val="24"/>
                <w:lang w:val="fr-FR"/>
              </w:rPr>
            </w:pPr>
            <w:r>
              <w:rPr>
                <w:b/>
                <w:bCs/>
                <w:sz w:val="24"/>
                <w:lang w:val="fr-FR"/>
              </w:rPr>
              <w:t xml:space="preserve">Projet </w:t>
            </w:r>
            <w:r w:rsidR="0059302B" w:rsidRPr="00647D21">
              <w:rPr>
                <w:b/>
                <w:bCs/>
                <w:sz w:val="24"/>
                <w:lang w:val="fr-FR"/>
              </w:rPr>
              <w:t>financé par le Plan de Relance de la Wallonie</w:t>
            </w:r>
            <w:r>
              <w:rPr>
                <w:b/>
                <w:bCs/>
                <w:sz w:val="24"/>
                <w:lang w:val="fr-FR"/>
              </w:rPr>
              <w:t xml:space="preserve"> (</w:t>
            </w:r>
            <w:r w:rsidRPr="00647D21">
              <w:rPr>
                <w:b/>
                <w:bCs/>
                <w:sz w:val="24"/>
                <w:lang w:val="fr-FR"/>
              </w:rPr>
              <w:t>PRW 115.2</w:t>
            </w:r>
            <w:r w:rsidR="00E311CC" w:rsidRPr="00E311CC">
              <w:rPr>
                <w:b/>
                <w:bCs/>
                <w:sz w:val="24"/>
                <w:lang w:val="fr-FR"/>
              </w:rPr>
              <w:t xml:space="preserve">, </w:t>
            </w:r>
            <w:r w:rsidR="00326484">
              <w:rPr>
                <w:b/>
                <w:bCs/>
                <w:sz w:val="24"/>
                <w:lang w:val="fr-FR"/>
              </w:rPr>
              <w:t>convention</w:t>
            </w:r>
            <w:r w:rsidR="00E209A3" w:rsidRPr="00326484">
              <w:rPr>
                <w:b/>
                <w:bCs/>
              </w:rPr>
              <w:t xml:space="preserve"> O3.07.05-23-1343</w:t>
            </w:r>
            <w:r w:rsidRPr="00E311CC">
              <w:rPr>
                <w:b/>
                <w:bCs/>
                <w:sz w:val="24"/>
                <w:lang w:val="fr-FR"/>
              </w:rPr>
              <w:t>)</w:t>
            </w:r>
            <w:r w:rsidR="00144D55" w:rsidRPr="00E311CC">
              <w:rPr>
                <w:b/>
                <w:bCs/>
                <w:sz w:val="24"/>
                <w:lang w:val="fr-FR"/>
              </w:rPr>
              <w:t>,</w:t>
            </w:r>
            <w:r w:rsidR="00144D55">
              <w:rPr>
                <w:b/>
                <w:bCs/>
                <w:sz w:val="24"/>
                <w:lang w:val="fr-FR"/>
              </w:rPr>
              <w:t xml:space="preserve"> à l’initiative de la Direction de la Protection des Sols (DPS), SPW ARNE</w:t>
            </w:r>
          </w:p>
          <w:p w14:paraId="0058F5FF" w14:textId="77777777" w:rsidR="00B634B7" w:rsidRDefault="00B634B7" w:rsidP="0059302B">
            <w:pPr>
              <w:jc w:val="center"/>
              <w:rPr>
                <w:lang w:val="fr-FR"/>
              </w:rPr>
            </w:pPr>
          </w:p>
          <w:p w14:paraId="46A7047F" w14:textId="208AD698" w:rsidR="00B634B7" w:rsidRPr="00647D21" w:rsidRDefault="00B634B7" w:rsidP="0059302B">
            <w:pPr>
              <w:jc w:val="center"/>
              <w:rPr>
                <w:b/>
                <w:bCs/>
                <w:lang w:val="fr-FR"/>
              </w:rPr>
            </w:pPr>
            <w:r w:rsidRPr="00647D21">
              <w:rPr>
                <w:b/>
                <w:bCs/>
                <w:lang w:val="fr-FR"/>
              </w:rPr>
              <w:t xml:space="preserve">- </w:t>
            </w:r>
            <w:r w:rsidR="00C15714">
              <w:rPr>
                <w:b/>
                <w:bCs/>
                <w:lang w:val="fr-FR"/>
              </w:rPr>
              <w:t>Septembre</w:t>
            </w:r>
            <w:r w:rsidRPr="00647D21">
              <w:rPr>
                <w:b/>
                <w:bCs/>
                <w:lang w:val="fr-FR"/>
              </w:rPr>
              <w:t xml:space="preserve"> 2026 -</w:t>
            </w:r>
          </w:p>
          <w:p w14:paraId="501FE24D" w14:textId="042CC9FA" w:rsidR="0059302B" w:rsidRPr="0059302B" w:rsidRDefault="0059302B" w:rsidP="0059302B">
            <w:pPr>
              <w:jc w:val="left"/>
              <w:rPr>
                <w:lang w:val="fr-FR"/>
              </w:rPr>
            </w:pPr>
          </w:p>
        </w:tc>
      </w:tr>
      <w:tr w:rsidR="005B284B" w:rsidRPr="00ED089B" w14:paraId="74C12668" w14:textId="77777777" w:rsidTr="008C1DA4">
        <w:trPr>
          <w:cantSplit/>
          <w:trHeight w:val="1549"/>
        </w:trPr>
        <w:tc>
          <w:tcPr>
            <w:tcW w:w="0" w:type="auto"/>
            <w:tcBorders>
              <w:top w:val="nil"/>
              <w:left w:val="single" w:sz="12" w:space="0" w:color="auto"/>
              <w:bottom w:val="nil"/>
              <w:right w:val="single" w:sz="12" w:space="0" w:color="auto"/>
            </w:tcBorders>
            <w:vAlign w:val="center"/>
          </w:tcPr>
          <w:p w14:paraId="71B2F6DB" w14:textId="532D8EA2" w:rsidR="006552DA" w:rsidRPr="00CC6C6B" w:rsidRDefault="00122E18" w:rsidP="006552DA">
            <w:pPr>
              <w:pStyle w:val="Authors"/>
              <w:rPr>
                <w:rFonts w:asciiTheme="minorHAnsi" w:hAnsiTheme="minorHAnsi"/>
                <w:b/>
                <w:bCs/>
                <w:sz w:val="20"/>
                <w:szCs w:val="20"/>
                <w:vertAlign w:val="superscript"/>
                <w:lang w:val="fr-BE"/>
              </w:rPr>
            </w:pPr>
            <w:r w:rsidRPr="009407F2">
              <w:rPr>
                <w:rFonts w:asciiTheme="minorHAnsi" w:hAnsiTheme="minorHAnsi"/>
                <w:b/>
                <w:bCs/>
                <w:sz w:val="20"/>
                <w:szCs w:val="20"/>
                <w:lang w:val="fr-BE"/>
              </w:rPr>
              <w:t>Clélia Van de Casteele</w:t>
            </w:r>
            <w:r w:rsidR="00CC6C6B">
              <w:rPr>
                <w:rFonts w:asciiTheme="minorHAnsi" w:hAnsiTheme="minorHAnsi"/>
                <w:b/>
                <w:bCs/>
                <w:sz w:val="20"/>
                <w:szCs w:val="20"/>
                <w:vertAlign w:val="superscript"/>
                <w:lang w:val="fr-BE"/>
              </w:rPr>
              <w:t>1</w:t>
            </w:r>
            <w:r w:rsidR="00F70530">
              <w:rPr>
                <w:rFonts w:asciiTheme="minorHAnsi" w:hAnsiTheme="minorHAnsi"/>
                <w:b/>
                <w:bCs/>
                <w:sz w:val="20"/>
                <w:szCs w:val="20"/>
                <w:lang w:val="fr-BE"/>
              </w:rPr>
              <w:t>,</w:t>
            </w:r>
            <w:r w:rsidR="006552DA" w:rsidRPr="006552DA">
              <w:rPr>
                <w:rFonts w:asciiTheme="minorHAnsi" w:hAnsiTheme="minorHAnsi"/>
                <w:b/>
                <w:bCs/>
                <w:sz w:val="20"/>
                <w:szCs w:val="20"/>
                <w:lang w:val="fr-BE"/>
              </w:rPr>
              <w:t xml:space="preserve"> Louis Vandebroek</w:t>
            </w:r>
            <w:r w:rsidR="00CC6C6B">
              <w:rPr>
                <w:rFonts w:asciiTheme="minorHAnsi" w:hAnsiTheme="minorHAnsi"/>
                <w:b/>
                <w:bCs/>
                <w:sz w:val="20"/>
                <w:szCs w:val="20"/>
                <w:vertAlign w:val="superscript"/>
                <w:lang w:val="fr-BE"/>
              </w:rPr>
              <w:t>1</w:t>
            </w:r>
            <w:r w:rsidR="00401FB8">
              <w:rPr>
                <w:rFonts w:asciiTheme="minorHAnsi" w:hAnsiTheme="minorHAnsi"/>
                <w:b/>
                <w:bCs/>
                <w:sz w:val="20"/>
                <w:szCs w:val="20"/>
                <w:lang w:val="fr-BE"/>
              </w:rPr>
              <w:t>, B</w:t>
            </w:r>
            <w:r w:rsidR="00401FB8" w:rsidRPr="006552DA">
              <w:rPr>
                <w:rFonts w:asciiTheme="minorHAnsi" w:hAnsiTheme="minorHAnsi"/>
                <w:b/>
                <w:bCs/>
                <w:sz w:val="20"/>
                <w:szCs w:val="20"/>
                <w:lang w:val="fr-BE"/>
              </w:rPr>
              <w:t>rieuc F. Hardy</w:t>
            </w:r>
            <w:r w:rsidR="00CC6C6B">
              <w:rPr>
                <w:rFonts w:asciiTheme="minorHAnsi" w:hAnsiTheme="minorHAnsi"/>
                <w:b/>
                <w:bCs/>
                <w:sz w:val="20"/>
                <w:szCs w:val="20"/>
                <w:vertAlign w:val="superscript"/>
                <w:lang w:val="fr-BE"/>
              </w:rPr>
              <w:t>2</w:t>
            </w:r>
            <w:r w:rsidR="00401FB8" w:rsidRPr="006552DA">
              <w:rPr>
                <w:rFonts w:asciiTheme="minorHAnsi" w:hAnsiTheme="minorHAnsi"/>
                <w:b/>
                <w:bCs/>
                <w:sz w:val="20"/>
                <w:szCs w:val="20"/>
                <w:lang w:val="fr-BE"/>
              </w:rPr>
              <w:t>, Yannick Agnan</w:t>
            </w:r>
            <w:r w:rsidR="00CC6C6B">
              <w:rPr>
                <w:rFonts w:asciiTheme="minorHAnsi" w:hAnsiTheme="minorHAnsi"/>
                <w:b/>
                <w:bCs/>
                <w:sz w:val="20"/>
                <w:szCs w:val="20"/>
                <w:vertAlign w:val="superscript"/>
                <w:lang w:val="fr-BE"/>
              </w:rPr>
              <w:t>3</w:t>
            </w:r>
          </w:p>
          <w:p w14:paraId="25A22B79" w14:textId="5E57FABB" w:rsidR="00401FB8" w:rsidRPr="00401FB8" w:rsidRDefault="00401FB8" w:rsidP="002D6A5D">
            <w:pPr>
              <w:pStyle w:val="Affiliation"/>
              <w:rPr>
                <w:rFonts w:asciiTheme="minorHAnsi" w:hAnsiTheme="minorHAnsi"/>
                <w:sz w:val="14"/>
                <w:szCs w:val="14"/>
                <w:lang w:val="fr-BE"/>
              </w:rPr>
            </w:pPr>
            <w:r w:rsidRPr="00401FB8">
              <w:rPr>
                <w:rFonts w:asciiTheme="minorHAnsi" w:hAnsiTheme="minorHAnsi"/>
                <w:sz w:val="14"/>
                <w:szCs w:val="14"/>
                <w:vertAlign w:val="superscript"/>
                <w:lang w:val="fr-BE"/>
              </w:rPr>
              <w:t>1</w:t>
            </w:r>
            <w:r w:rsidRPr="00401FB8">
              <w:rPr>
                <w:rFonts w:asciiTheme="minorHAnsi" w:hAnsiTheme="minorHAnsi"/>
                <w:sz w:val="14"/>
                <w:szCs w:val="14"/>
                <w:lang w:val="fr-BE"/>
              </w:rPr>
              <w:t>ARIES Consultants</w:t>
            </w:r>
          </w:p>
          <w:p w14:paraId="0DFBE9B4" w14:textId="2CCE33F0" w:rsidR="002D6A5D" w:rsidRPr="0077358D" w:rsidRDefault="00401FB8" w:rsidP="002D6A5D">
            <w:pPr>
              <w:pStyle w:val="Affiliation"/>
              <w:rPr>
                <w:rFonts w:asciiTheme="minorHAnsi" w:hAnsiTheme="minorHAnsi"/>
                <w:sz w:val="14"/>
                <w:szCs w:val="14"/>
                <w:lang w:val="fr-BE"/>
              </w:rPr>
            </w:pPr>
            <w:r>
              <w:rPr>
                <w:rFonts w:asciiTheme="minorHAnsi" w:hAnsiTheme="minorHAnsi"/>
                <w:sz w:val="14"/>
                <w:szCs w:val="14"/>
                <w:vertAlign w:val="superscript"/>
                <w:lang w:val="fr-BE"/>
              </w:rPr>
              <w:t>2</w:t>
            </w:r>
            <w:r w:rsidR="002D6A5D" w:rsidRPr="0077358D">
              <w:rPr>
                <w:rFonts w:asciiTheme="minorHAnsi" w:hAnsiTheme="minorHAnsi"/>
                <w:sz w:val="14"/>
                <w:szCs w:val="14"/>
                <w:vertAlign w:val="superscript"/>
                <w:lang w:val="fr-BE"/>
              </w:rPr>
              <w:t xml:space="preserve"> </w:t>
            </w:r>
            <w:r w:rsidR="00EA039B" w:rsidRPr="0077358D">
              <w:rPr>
                <w:rFonts w:asciiTheme="minorHAnsi" w:hAnsiTheme="minorHAnsi"/>
                <w:sz w:val="14"/>
                <w:szCs w:val="14"/>
                <w:lang w:val="fr-BE"/>
              </w:rPr>
              <w:t xml:space="preserve">Département durabilité, systèmes et prospectives </w:t>
            </w:r>
            <w:r w:rsidR="002D6A5D" w:rsidRPr="0077358D">
              <w:rPr>
                <w:rFonts w:asciiTheme="minorHAnsi" w:hAnsiTheme="minorHAnsi"/>
                <w:sz w:val="14"/>
                <w:szCs w:val="14"/>
                <w:lang w:val="fr-BE"/>
              </w:rPr>
              <w:t xml:space="preserve">– </w:t>
            </w:r>
            <w:r w:rsidR="0077358D" w:rsidRPr="0077358D">
              <w:rPr>
                <w:rFonts w:asciiTheme="minorHAnsi" w:hAnsiTheme="minorHAnsi"/>
                <w:sz w:val="14"/>
                <w:szCs w:val="14"/>
                <w:lang w:val="fr-BE"/>
              </w:rPr>
              <w:t>Unité sols, eaux et productions intégrées</w:t>
            </w:r>
            <w:r w:rsidR="002D6A5D" w:rsidRPr="0077358D">
              <w:rPr>
                <w:rFonts w:asciiTheme="minorHAnsi" w:hAnsiTheme="minorHAnsi"/>
                <w:sz w:val="14"/>
                <w:szCs w:val="14"/>
                <w:lang w:val="fr-BE"/>
              </w:rPr>
              <w:t xml:space="preserve">, </w:t>
            </w:r>
            <w:r w:rsidR="0077358D" w:rsidRPr="0077358D">
              <w:rPr>
                <w:rFonts w:asciiTheme="minorHAnsi" w:hAnsiTheme="minorHAnsi"/>
                <w:sz w:val="14"/>
                <w:szCs w:val="14"/>
                <w:lang w:val="fr-BE"/>
              </w:rPr>
              <w:t>Centre wallon de Recherches Agronomiques</w:t>
            </w:r>
          </w:p>
          <w:p w14:paraId="1441607B" w14:textId="7B05E441" w:rsidR="002D6A5D" w:rsidRPr="0077358D" w:rsidRDefault="00401FB8" w:rsidP="002D6A5D">
            <w:pPr>
              <w:pStyle w:val="Affiliation"/>
              <w:rPr>
                <w:rFonts w:asciiTheme="minorHAnsi" w:hAnsiTheme="minorHAnsi"/>
                <w:sz w:val="14"/>
                <w:szCs w:val="14"/>
                <w:lang w:val="en-US"/>
              </w:rPr>
            </w:pPr>
            <w:r>
              <w:rPr>
                <w:rFonts w:asciiTheme="minorHAnsi" w:hAnsiTheme="minorHAnsi"/>
                <w:sz w:val="14"/>
                <w:szCs w:val="14"/>
                <w:vertAlign w:val="superscript"/>
                <w:lang w:val="en-US"/>
              </w:rPr>
              <w:t>3</w:t>
            </w:r>
            <w:r w:rsidR="002D6A5D" w:rsidRPr="0077358D">
              <w:rPr>
                <w:rFonts w:asciiTheme="minorHAnsi" w:hAnsiTheme="minorHAnsi"/>
                <w:sz w:val="14"/>
                <w:szCs w:val="14"/>
                <w:lang w:val="en-US"/>
              </w:rPr>
              <w:t xml:space="preserve"> Earth and Life Institute, UCLouvain</w:t>
            </w:r>
          </w:p>
          <w:p w14:paraId="4DBA0791" w14:textId="77777777" w:rsidR="005B284B" w:rsidRPr="00EA039B" w:rsidRDefault="005B284B" w:rsidP="00401FB8">
            <w:pPr>
              <w:pStyle w:val="Affiliation"/>
              <w:rPr>
                <w:rFonts w:asciiTheme="minorHAnsi" w:hAnsiTheme="minorHAnsi"/>
                <w:noProof/>
                <w:sz w:val="24"/>
                <w:lang w:val="en-US"/>
              </w:rPr>
            </w:pPr>
          </w:p>
        </w:tc>
      </w:tr>
      <w:tr w:rsidR="0059302B" w:rsidRPr="00ED089B" w14:paraId="67BB3382" w14:textId="77777777" w:rsidTr="008C1DA4">
        <w:trPr>
          <w:cantSplit/>
          <w:trHeight w:val="425"/>
        </w:trPr>
        <w:tc>
          <w:tcPr>
            <w:tcW w:w="0" w:type="auto"/>
            <w:tcBorders>
              <w:top w:val="nil"/>
              <w:left w:val="single" w:sz="12" w:space="0" w:color="auto"/>
              <w:bottom w:val="nil"/>
              <w:right w:val="single" w:sz="12" w:space="0" w:color="auto"/>
            </w:tcBorders>
            <w:vAlign w:val="center"/>
          </w:tcPr>
          <w:p w14:paraId="573001A0" w14:textId="2CF8FC54" w:rsidR="0059302B" w:rsidRPr="002C23BB" w:rsidRDefault="0059302B" w:rsidP="00144D55">
            <w:pPr>
              <w:rPr>
                <w:noProof/>
                <w:lang w:val="en-GB"/>
              </w:rPr>
            </w:pPr>
          </w:p>
        </w:tc>
      </w:tr>
      <w:tr w:rsidR="0059302B" w:rsidRPr="00ED089B" w14:paraId="56FFFA19" w14:textId="77777777" w:rsidTr="008C1DA4">
        <w:trPr>
          <w:cantSplit/>
          <w:trHeight w:val="1133"/>
        </w:trPr>
        <w:tc>
          <w:tcPr>
            <w:tcW w:w="0" w:type="auto"/>
            <w:tcBorders>
              <w:top w:val="nil"/>
              <w:left w:val="single" w:sz="12" w:space="0" w:color="auto"/>
              <w:bottom w:val="single" w:sz="12" w:space="0" w:color="auto"/>
              <w:right w:val="single" w:sz="12" w:space="0" w:color="auto"/>
            </w:tcBorders>
            <w:vAlign w:val="center"/>
          </w:tcPr>
          <w:p w14:paraId="7344B7C0" w14:textId="77777777" w:rsidR="0059302B" w:rsidRPr="002C23BB" w:rsidRDefault="0059302B" w:rsidP="00144D55">
            <w:pPr>
              <w:rPr>
                <w:noProof/>
                <w:lang w:val="en-GB"/>
              </w:rPr>
            </w:pPr>
            <w:r w:rsidRPr="0059302B">
              <w:rPr>
                <w:noProof/>
                <w:lang w:val="fr-FR"/>
              </w:rPr>
              <w:drawing>
                <wp:anchor distT="0" distB="0" distL="114300" distR="114300" simplePos="0" relativeHeight="251658243" behindDoc="0" locked="0" layoutInCell="1" allowOverlap="1" wp14:anchorId="68F4E9B8" wp14:editId="52C26550">
                  <wp:simplePos x="0" y="0"/>
                  <wp:positionH relativeFrom="column">
                    <wp:posOffset>4044950</wp:posOffset>
                  </wp:positionH>
                  <wp:positionV relativeFrom="paragraph">
                    <wp:posOffset>226060</wp:posOffset>
                  </wp:positionV>
                  <wp:extent cx="1504315" cy="284480"/>
                  <wp:effectExtent l="0" t="0" r="635" b="1270"/>
                  <wp:wrapNone/>
                  <wp:docPr id="206795144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4315" cy="28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302B">
              <w:rPr>
                <w:noProof/>
                <w:lang w:val="fr-FR"/>
              </w:rPr>
              <w:drawing>
                <wp:anchor distT="0" distB="0" distL="114300" distR="114300" simplePos="0" relativeHeight="251658242" behindDoc="0" locked="0" layoutInCell="1" allowOverlap="1" wp14:anchorId="1E24FE80" wp14:editId="00B032A4">
                  <wp:simplePos x="0" y="0"/>
                  <wp:positionH relativeFrom="column">
                    <wp:posOffset>77470</wp:posOffset>
                  </wp:positionH>
                  <wp:positionV relativeFrom="paragraph">
                    <wp:posOffset>201930</wp:posOffset>
                  </wp:positionV>
                  <wp:extent cx="1459865" cy="338455"/>
                  <wp:effectExtent l="0" t="0" r="0" b="4445"/>
                  <wp:wrapNone/>
                  <wp:docPr id="117288817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9865" cy="338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302B">
              <w:rPr>
                <w:b/>
                <w:bCs/>
                <w:noProof/>
                <w:lang w:val="fr-FR"/>
              </w:rPr>
              <w:drawing>
                <wp:anchor distT="0" distB="0" distL="114300" distR="114300" simplePos="0" relativeHeight="251658241" behindDoc="0" locked="0" layoutInCell="1" allowOverlap="1" wp14:anchorId="5D5C8352" wp14:editId="7DCB70B8">
                  <wp:simplePos x="0" y="0"/>
                  <wp:positionH relativeFrom="column">
                    <wp:posOffset>2185670</wp:posOffset>
                  </wp:positionH>
                  <wp:positionV relativeFrom="paragraph">
                    <wp:posOffset>15875</wp:posOffset>
                  </wp:positionV>
                  <wp:extent cx="1255395" cy="718820"/>
                  <wp:effectExtent l="0" t="0" r="0" b="0"/>
                  <wp:wrapNone/>
                  <wp:docPr id="36559598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55395" cy="718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291464" w14:textId="7D821ACE" w:rsidR="002948EB" w:rsidRPr="002C23BB" w:rsidRDefault="002948EB" w:rsidP="002948EB">
            <w:pPr>
              <w:rPr>
                <w:lang w:val="en-GB"/>
              </w:rPr>
            </w:pPr>
          </w:p>
        </w:tc>
      </w:tr>
    </w:tbl>
    <w:p w14:paraId="050880D8" w14:textId="77777777" w:rsidR="002948EB" w:rsidRPr="002C23BB" w:rsidRDefault="002948EB">
      <w:pPr>
        <w:rPr>
          <w:lang w:val="en-GB"/>
        </w:rPr>
      </w:pPr>
      <w:r w:rsidRPr="002C23BB">
        <w:rPr>
          <w:lang w:val="en-GB"/>
        </w:rPr>
        <w:br w:type="page"/>
      </w:r>
    </w:p>
    <w:bookmarkStart w:id="0" w:name="_Toc230267079" w:displacedByCustomXml="next"/>
    <w:sdt>
      <w:sdtPr>
        <w:rPr>
          <w:rFonts w:eastAsiaTheme="minorEastAsia" w:cstheme="minorBidi"/>
          <w:color w:val="auto"/>
          <w:kern w:val="2"/>
          <w:sz w:val="22"/>
          <w:szCs w:val="22"/>
          <w:lang w:val="fr-FR" w:eastAsia="en-US"/>
          <w14:ligatures w14:val="standardContextual"/>
        </w:rPr>
        <w:id w:val="1750692163"/>
        <w:docPartObj>
          <w:docPartGallery w:val="Table of Contents"/>
          <w:docPartUnique/>
        </w:docPartObj>
      </w:sdtPr>
      <w:sdtEndPr>
        <w:rPr>
          <w:b/>
          <w:bCs/>
        </w:rPr>
      </w:sdtEndPr>
      <w:sdtContent>
        <w:p w14:paraId="2559E864" w14:textId="3FB23F22" w:rsidR="004E6804" w:rsidRDefault="004E6804">
          <w:pPr>
            <w:pStyle w:val="En-ttedetabledesmatires"/>
          </w:pPr>
          <w:r>
            <w:rPr>
              <w:lang w:val="fr-FR"/>
            </w:rPr>
            <w:t>Table des matières</w:t>
          </w:r>
        </w:p>
        <w:p w14:paraId="72EA6F3A" w14:textId="5026612F" w:rsidR="00DC06FF" w:rsidRDefault="001C2230">
          <w:pPr>
            <w:pStyle w:val="TM1"/>
            <w:tabs>
              <w:tab w:val="right" w:leader="dot" w:pos="9060"/>
            </w:tabs>
            <w:rPr>
              <w:rFonts w:asciiTheme="minorHAnsi" w:eastAsiaTheme="minorEastAsia" w:hAnsiTheme="minorHAnsi"/>
              <w:noProof/>
              <w:sz w:val="24"/>
              <w:lang w:eastAsia="fr-BE"/>
            </w:rPr>
          </w:pPr>
          <w:r>
            <w:fldChar w:fldCharType="begin"/>
          </w:r>
          <w:r>
            <w:instrText xml:space="preserve"> TOC \o "1-3" \h \z \u </w:instrText>
          </w:r>
          <w:r>
            <w:fldChar w:fldCharType="separate"/>
          </w:r>
          <w:hyperlink w:anchor="_Toc241478060" w:history="1">
            <w:r w:rsidR="00DC06FF" w:rsidRPr="00664CE6">
              <w:rPr>
                <w:rStyle w:val="Lienhypertexte"/>
                <w:noProof/>
              </w:rPr>
              <w:t>Glossaire</w:t>
            </w:r>
            <w:r w:rsidR="00DC06FF">
              <w:rPr>
                <w:noProof/>
                <w:webHidden/>
              </w:rPr>
              <w:tab/>
            </w:r>
            <w:r w:rsidR="00DC06FF">
              <w:rPr>
                <w:noProof/>
                <w:webHidden/>
              </w:rPr>
              <w:fldChar w:fldCharType="begin"/>
            </w:r>
            <w:r w:rsidR="00DC06FF">
              <w:rPr>
                <w:noProof/>
                <w:webHidden/>
              </w:rPr>
              <w:instrText xml:space="preserve"> PAGEREF _Toc241478060 \h </w:instrText>
            </w:r>
            <w:r w:rsidR="00DC06FF">
              <w:rPr>
                <w:noProof/>
                <w:webHidden/>
              </w:rPr>
            </w:r>
            <w:r w:rsidR="00DC06FF">
              <w:rPr>
                <w:noProof/>
                <w:webHidden/>
              </w:rPr>
              <w:fldChar w:fldCharType="separate"/>
            </w:r>
            <w:r w:rsidR="00DC06FF">
              <w:rPr>
                <w:noProof/>
                <w:webHidden/>
              </w:rPr>
              <w:t>6</w:t>
            </w:r>
            <w:r w:rsidR="00DC06FF">
              <w:rPr>
                <w:noProof/>
                <w:webHidden/>
              </w:rPr>
              <w:fldChar w:fldCharType="end"/>
            </w:r>
          </w:hyperlink>
        </w:p>
        <w:p w14:paraId="26B9E9AD" w14:textId="085CDB8C" w:rsidR="00DC06FF" w:rsidRDefault="00DC06FF">
          <w:pPr>
            <w:pStyle w:val="TM1"/>
            <w:tabs>
              <w:tab w:val="right" w:leader="dot" w:pos="9060"/>
            </w:tabs>
            <w:rPr>
              <w:rFonts w:asciiTheme="minorHAnsi" w:eastAsiaTheme="minorEastAsia" w:hAnsiTheme="minorHAnsi"/>
              <w:noProof/>
              <w:sz w:val="24"/>
              <w:lang w:eastAsia="fr-BE"/>
            </w:rPr>
          </w:pPr>
          <w:hyperlink w:anchor="_Toc241478061" w:history="1">
            <w:r w:rsidRPr="00664CE6">
              <w:rPr>
                <w:rStyle w:val="Lienhypertexte"/>
                <w:noProof/>
              </w:rPr>
              <w:t>Table des figures</w:t>
            </w:r>
            <w:r>
              <w:rPr>
                <w:noProof/>
                <w:webHidden/>
              </w:rPr>
              <w:tab/>
            </w:r>
            <w:r>
              <w:rPr>
                <w:noProof/>
                <w:webHidden/>
              </w:rPr>
              <w:fldChar w:fldCharType="begin"/>
            </w:r>
            <w:r>
              <w:rPr>
                <w:noProof/>
                <w:webHidden/>
              </w:rPr>
              <w:instrText xml:space="preserve"> PAGEREF _Toc241478061 \h </w:instrText>
            </w:r>
            <w:r>
              <w:rPr>
                <w:noProof/>
                <w:webHidden/>
              </w:rPr>
            </w:r>
            <w:r>
              <w:rPr>
                <w:noProof/>
                <w:webHidden/>
              </w:rPr>
              <w:fldChar w:fldCharType="separate"/>
            </w:r>
            <w:r>
              <w:rPr>
                <w:noProof/>
                <w:webHidden/>
              </w:rPr>
              <w:t>7</w:t>
            </w:r>
            <w:r>
              <w:rPr>
                <w:noProof/>
                <w:webHidden/>
              </w:rPr>
              <w:fldChar w:fldCharType="end"/>
            </w:r>
          </w:hyperlink>
        </w:p>
        <w:p w14:paraId="45465103" w14:textId="77317B66" w:rsidR="00DC06FF" w:rsidRDefault="00DC06FF">
          <w:pPr>
            <w:pStyle w:val="TM1"/>
            <w:tabs>
              <w:tab w:val="left" w:pos="480"/>
              <w:tab w:val="right" w:leader="dot" w:pos="9060"/>
            </w:tabs>
            <w:rPr>
              <w:rFonts w:asciiTheme="minorHAnsi" w:eastAsiaTheme="minorEastAsia" w:hAnsiTheme="minorHAnsi"/>
              <w:noProof/>
              <w:sz w:val="24"/>
              <w:lang w:eastAsia="fr-BE"/>
            </w:rPr>
          </w:pPr>
          <w:hyperlink w:anchor="_Toc241478062" w:history="1">
            <w:r w:rsidRPr="00664CE6">
              <w:rPr>
                <w:rStyle w:val="Lienhypertexte"/>
                <w:noProof/>
              </w:rPr>
              <w:t>1.</w:t>
            </w:r>
            <w:r>
              <w:rPr>
                <w:rFonts w:asciiTheme="minorHAnsi" w:eastAsiaTheme="minorEastAsia" w:hAnsiTheme="minorHAnsi"/>
                <w:noProof/>
                <w:sz w:val="24"/>
                <w:lang w:eastAsia="fr-BE"/>
              </w:rPr>
              <w:tab/>
            </w:r>
            <w:r w:rsidRPr="00664CE6">
              <w:rPr>
                <w:rStyle w:val="Lienhypertexte"/>
                <w:noProof/>
              </w:rPr>
              <w:t>L’IQSW-pro en bref</w:t>
            </w:r>
            <w:r>
              <w:rPr>
                <w:noProof/>
                <w:webHidden/>
              </w:rPr>
              <w:tab/>
            </w:r>
            <w:r>
              <w:rPr>
                <w:noProof/>
                <w:webHidden/>
              </w:rPr>
              <w:fldChar w:fldCharType="begin"/>
            </w:r>
            <w:r>
              <w:rPr>
                <w:noProof/>
                <w:webHidden/>
              </w:rPr>
              <w:instrText xml:space="preserve"> PAGEREF _Toc241478062 \h </w:instrText>
            </w:r>
            <w:r>
              <w:rPr>
                <w:noProof/>
                <w:webHidden/>
              </w:rPr>
            </w:r>
            <w:r>
              <w:rPr>
                <w:noProof/>
                <w:webHidden/>
              </w:rPr>
              <w:fldChar w:fldCharType="separate"/>
            </w:r>
            <w:r>
              <w:rPr>
                <w:noProof/>
                <w:webHidden/>
              </w:rPr>
              <w:t>8</w:t>
            </w:r>
            <w:r>
              <w:rPr>
                <w:noProof/>
                <w:webHidden/>
              </w:rPr>
              <w:fldChar w:fldCharType="end"/>
            </w:r>
          </w:hyperlink>
        </w:p>
        <w:p w14:paraId="359EBEA6" w14:textId="06E4EFDF" w:rsidR="00DC06FF" w:rsidRDefault="00DC06FF">
          <w:pPr>
            <w:pStyle w:val="TM1"/>
            <w:tabs>
              <w:tab w:val="left" w:pos="480"/>
              <w:tab w:val="right" w:leader="dot" w:pos="9060"/>
            </w:tabs>
            <w:rPr>
              <w:rFonts w:asciiTheme="minorHAnsi" w:eastAsiaTheme="minorEastAsia" w:hAnsiTheme="minorHAnsi"/>
              <w:noProof/>
              <w:sz w:val="24"/>
              <w:lang w:eastAsia="fr-BE"/>
            </w:rPr>
          </w:pPr>
          <w:hyperlink w:anchor="_Toc241478063" w:history="1">
            <w:r w:rsidRPr="00664CE6">
              <w:rPr>
                <w:rStyle w:val="Lienhypertexte"/>
                <w:noProof/>
              </w:rPr>
              <w:t>2.</w:t>
            </w:r>
            <w:r>
              <w:rPr>
                <w:rFonts w:asciiTheme="minorHAnsi" w:eastAsiaTheme="minorEastAsia" w:hAnsiTheme="minorHAnsi"/>
                <w:noProof/>
                <w:sz w:val="24"/>
                <w:lang w:eastAsia="fr-BE"/>
              </w:rPr>
              <w:tab/>
            </w:r>
            <w:r w:rsidRPr="00664CE6">
              <w:rPr>
                <w:rStyle w:val="Lienhypertexte"/>
                <w:noProof/>
              </w:rPr>
              <w:t>Évaluer la qualité des sols : pourquoi ?</w:t>
            </w:r>
            <w:r>
              <w:rPr>
                <w:noProof/>
                <w:webHidden/>
              </w:rPr>
              <w:tab/>
            </w:r>
            <w:r>
              <w:rPr>
                <w:noProof/>
                <w:webHidden/>
              </w:rPr>
              <w:fldChar w:fldCharType="begin"/>
            </w:r>
            <w:r>
              <w:rPr>
                <w:noProof/>
                <w:webHidden/>
              </w:rPr>
              <w:instrText xml:space="preserve"> PAGEREF _Toc241478063 \h </w:instrText>
            </w:r>
            <w:r>
              <w:rPr>
                <w:noProof/>
                <w:webHidden/>
              </w:rPr>
            </w:r>
            <w:r>
              <w:rPr>
                <w:noProof/>
                <w:webHidden/>
              </w:rPr>
              <w:fldChar w:fldCharType="separate"/>
            </w:r>
            <w:r>
              <w:rPr>
                <w:noProof/>
                <w:webHidden/>
              </w:rPr>
              <w:t>9</w:t>
            </w:r>
            <w:r>
              <w:rPr>
                <w:noProof/>
                <w:webHidden/>
              </w:rPr>
              <w:fldChar w:fldCharType="end"/>
            </w:r>
          </w:hyperlink>
        </w:p>
        <w:p w14:paraId="2604C8FD" w14:textId="0FD25941"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64" w:history="1">
            <w:r w:rsidRPr="00664CE6">
              <w:rPr>
                <w:rStyle w:val="Lienhypertexte"/>
                <w:rFonts w:cs="Calibri"/>
                <w:noProof/>
              </w:rPr>
              <w:t>2.1.</w:t>
            </w:r>
            <w:r>
              <w:rPr>
                <w:rFonts w:asciiTheme="minorHAnsi" w:eastAsiaTheme="minorEastAsia" w:hAnsiTheme="minorHAnsi"/>
                <w:noProof/>
                <w:sz w:val="24"/>
                <w:lang w:eastAsia="fr-BE"/>
              </w:rPr>
              <w:tab/>
            </w:r>
            <w:r w:rsidRPr="00664CE6">
              <w:rPr>
                <w:rStyle w:val="Lienhypertexte"/>
                <w:noProof/>
              </w:rPr>
              <w:t>Améliorer la gestion des sols en Wallonie</w:t>
            </w:r>
            <w:r>
              <w:rPr>
                <w:noProof/>
                <w:webHidden/>
              </w:rPr>
              <w:tab/>
            </w:r>
            <w:r>
              <w:rPr>
                <w:noProof/>
                <w:webHidden/>
              </w:rPr>
              <w:fldChar w:fldCharType="begin"/>
            </w:r>
            <w:r>
              <w:rPr>
                <w:noProof/>
                <w:webHidden/>
              </w:rPr>
              <w:instrText xml:space="preserve"> PAGEREF _Toc241478064 \h </w:instrText>
            </w:r>
            <w:r>
              <w:rPr>
                <w:noProof/>
                <w:webHidden/>
              </w:rPr>
            </w:r>
            <w:r>
              <w:rPr>
                <w:noProof/>
                <w:webHidden/>
              </w:rPr>
              <w:fldChar w:fldCharType="separate"/>
            </w:r>
            <w:r>
              <w:rPr>
                <w:noProof/>
                <w:webHidden/>
              </w:rPr>
              <w:t>9</w:t>
            </w:r>
            <w:r>
              <w:rPr>
                <w:noProof/>
                <w:webHidden/>
              </w:rPr>
              <w:fldChar w:fldCharType="end"/>
            </w:r>
          </w:hyperlink>
        </w:p>
        <w:p w14:paraId="209F4DDB" w14:textId="65251A2C"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65" w:history="1">
            <w:r w:rsidRPr="00664CE6">
              <w:rPr>
                <w:rStyle w:val="Lienhypertexte"/>
                <w:rFonts w:cs="Calibri"/>
                <w:noProof/>
              </w:rPr>
              <w:t>2.2.</w:t>
            </w:r>
            <w:r>
              <w:rPr>
                <w:rFonts w:asciiTheme="minorHAnsi" w:eastAsiaTheme="minorEastAsia" w:hAnsiTheme="minorHAnsi"/>
                <w:noProof/>
                <w:sz w:val="24"/>
                <w:lang w:eastAsia="fr-BE"/>
              </w:rPr>
              <w:tab/>
            </w:r>
            <w:r w:rsidRPr="00664CE6">
              <w:rPr>
                <w:rStyle w:val="Lienhypertexte"/>
                <w:noProof/>
              </w:rPr>
              <w:t>Contexte européen</w:t>
            </w:r>
            <w:r>
              <w:rPr>
                <w:noProof/>
                <w:webHidden/>
              </w:rPr>
              <w:tab/>
            </w:r>
            <w:r>
              <w:rPr>
                <w:noProof/>
                <w:webHidden/>
              </w:rPr>
              <w:fldChar w:fldCharType="begin"/>
            </w:r>
            <w:r>
              <w:rPr>
                <w:noProof/>
                <w:webHidden/>
              </w:rPr>
              <w:instrText xml:space="preserve"> PAGEREF _Toc241478065 \h </w:instrText>
            </w:r>
            <w:r>
              <w:rPr>
                <w:noProof/>
                <w:webHidden/>
              </w:rPr>
            </w:r>
            <w:r>
              <w:rPr>
                <w:noProof/>
                <w:webHidden/>
              </w:rPr>
              <w:fldChar w:fldCharType="separate"/>
            </w:r>
            <w:r>
              <w:rPr>
                <w:noProof/>
                <w:webHidden/>
              </w:rPr>
              <w:t>9</w:t>
            </w:r>
            <w:r>
              <w:rPr>
                <w:noProof/>
                <w:webHidden/>
              </w:rPr>
              <w:fldChar w:fldCharType="end"/>
            </w:r>
          </w:hyperlink>
        </w:p>
        <w:p w14:paraId="1A7A8A07" w14:textId="0CAE5547"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66" w:history="1">
            <w:r w:rsidRPr="00664CE6">
              <w:rPr>
                <w:rStyle w:val="Lienhypertexte"/>
                <w:rFonts w:cs="Calibri"/>
                <w:noProof/>
              </w:rPr>
              <w:t>2.3.</w:t>
            </w:r>
            <w:r>
              <w:rPr>
                <w:rFonts w:asciiTheme="minorHAnsi" w:eastAsiaTheme="minorEastAsia" w:hAnsiTheme="minorHAnsi"/>
                <w:noProof/>
                <w:sz w:val="24"/>
                <w:lang w:eastAsia="fr-BE"/>
              </w:rPr>
              <w:tab/>
            </w:r>
            <w:r w:rsidRPr="00664CE6">
              <w:rPr>
                <w:rStyle w:val="Lienhypertexte"/>
                <w:noProof/>
              </w:rPr>
              <w:t>L’IQSW-pro pour orienter l’usage du sol</w:t>
            </w:r>
            <w:r>
              <w:rPr>
                <w:noProof/>
                <w:webHidden/>
              </w:rPr>
              <w:tab/>
            </w:r>
            <w:r>
              <w:rPr>
                <w:noProof/>
                <w:webHidden/>
              </w:rPr>
              <w:fldChar w:fldCharType="begin"/>
            </w:r>
            <w:r>
              <w:rPr>
                <w:noProof/>
                <w:webHidden/>
              </w:rPr>
              <w:instrText xml:space="preserve"> PAGEREF _Toc241478066 \h </w:instrText>
            </w:r>
            <w:r>
              <w:rPr>
                <w:noProof/>
                <w:webHidden/>
              </w:rPr>
            </w:r>
            <w:r>
              <w:rPr>
                <w:noProof/>
                <w:webHidden/>
              </w:rPr>
              <w:fldChar w:fldCharType="separate"/>
            </w:r>
            <w:r>
              <w:rPr>
                <w:noProof/>
                <w:webHidden/>
              </w:rPr>
              <w:t>10</w:t>
            </w:r>
            <w:r>
              <w:rPr>
                <w:noProof/>
                <w:webHidden/>
              </w:rPr>
              <w:fldChar w:fldCharType="end"/>
            </w:r>
          </w:hyperlink>
        </w:p>
        <w:p w14:paraId="6A0DDC3F" w14:textId="0081C532"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67" w:history="1">
            <w:r w:rsidRPr="00664CE6">
              <w:rPr>
                <w:rStyle w:val="Lienhypertexte"/>
                <w:rFonts w:cs="Calibri"/>
                <w:noProof/>
              </w:rPr>
              <w:t>2.4.</w:t>
            </w:r>
            <w:r>
              <w:rPr>
                <w:rFonts w:asciiTheme="minorHAnsi" w:eastAsiaTheme="minorEastAsia" w:hAnsiTheme="minorHAnsi"/>
                <w:noProof/>
                <w:sz w:val="24"/>
                <w:lang w:eastAsia="fr-BE"/>
              </w:rPr>
              <w:tab/>
            </w:r>
            <w:r w:rsidRPr="00664CE6">
              <w:rPr>
                <w:rStyle w:val="Lienhypertexte"/>
                <w:noProof/>
              </w:rPr>
              <w:t>L’IQSW-pro pour améliorer la qualité des sols</w:t>
            </w:r>
            <w:r>
              <w:rPr>
                <w:noProof/>
                <w:webHidden/>
              </w:rPr>
              <w:tab/>
            </w:r>
            <w:r>
              <w:rPr>
                <w:noProof/>
                <w:webHidden/>
              </w:rPr>
              <w:fldChar w:fldCharType="begin"/>
            </w:r>
            <w:r>
              <w:rPr>
                <w:noProof/>
                <w:webHidden/>
              </w:rPr>
              <w:instrText xml:space="preserve"> PAGEREF _Toc241478067 \h </w:instrText>
            </w:r>
            <w:r>
              <w:rPr>
                <w:noProof/>
                <w:webHidden/>
              </w:rPr>
            </w:r>
            <w:r>
              <w:rPr>
                <w:noProof/>
                <w:webHidden/>
              </w:rPr>
              <w:fldChar w:fldCharType="separate"/>
            </w:r>
            <w:r>
              <w:rPr>
                <w:noProof/>
                <w:webHidden/>
              </w:rPr>
              <w:t>10</w:t>
            </w:r>
            <w:r>
              <w:rPr>
                <w:noProof/>
                <w:webHidden/>
              </w:rPr>
              <w:fldChar w:fldCharType="end"/>
            </w:r>
          </w:hyperlink>
        </w:p>
        <w:p w14:paraId="30C75573" w14:textId="20B3F824"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68" w:history="1">
            <w:r w:rsidRPr="00664CE6">
              <w:rPr>
                <w:rStyle w:val="Lienhypertexte"/>
                <w:rFonts w:cs="Calibri"/>
                <w:noProof/>
              </w:rPr>
              <w:t>2.5.</w:t>
            </w:r>
            <w:r>
              <w:rPr>
                <w:rFonts w:asciiTheme="minorHAnsi" w:eastAsiaTheme="minorEastAsia" w:hAnsiTheme="minorHAnsi"/>
                <w:noProof/>
                <w:sz w:val="24"/>
                <w:lang w:eastAsia="fr-BE"/>
              </w:rPr>
              <w:tab/>
            </w:r>
            <w:r w:rsidRPr="00664CE6">
              <w:rPr>
                <w:rStyle w:val="Lienhypertexte"/>
                <w:noProof/>
              </w:rPr>
              <w:t>L’IQSW-pro pour estimer le potentiel des terres excavées et des sols remaniés</w:t>
            </w:r>
            <w:r>
              <w:rPr>
                <w:noProof/>
                <w:webHidden/>
              </w:rPr>
              <w:tab/>
            </w:r>
            <w:r>
              <w:rPr>
                <w:noProof/>
                <w:webHidden/>
              </w:rPr>
              <w:fldChar w:fldCharType="begin"/>
            </w:r>
            <w:r>
              <w:rPr>
                <w:noProof/>
                <w:webHidden/>
              </w:rPr>
              <w:instrText xml:space="preserve"> PAGEREF _Toc241478068 \h </w:instrText>
            </w:r>
            <w:r>
              <w:rPr>
                <w:noProof/>
                <w:webHidden/>
              </w:rPr>
            </w:r>
            <w:r>
              <w:rPr>
                <w:noProof/>
                <w:webHidden/>
              </w:rPr>
              <w:fldChar w:fldCharType="separate"/>
            </w:r>
            <w:r>
              <w:rPr>
                <w:noProof/>
                <w:webHidden/>
              </w:rPr>
              <w:t>11</w:t>
            </w:r>
            <w:r>
              <w:rPr>
                <w:noProof/>
                <w:webHidden/>
              </w:rPr>
              <w:fldChar w:fldCharType="end"/>
            </w:r>
          </w:hyperlink>
        </w:p>
        <w:p w14:paraId="6A25DA37" w14:textId="35D9A01B" w:rsidR="00DC06FF" w:rsidRDefault="00DC06FF">
          <w:pPr>
            <w:pStyle w:val="TM1"/>
            <w:tabs>
              <w:tab w:val="left" w:pos="480"/>
              <w:tab w:val="right" w:leader="dot" w:pos="9060"/>
            </w:tabs>
            <w:rPr>
              <w:rFonts w:asciiTheme="minorHAnsi" w:eastAsiaTheme="minorEastAsia" w:hAnsiTheme="minorHAnsi"/>
              <w:noProof/>
              <w:sz w:val="24"/>
              <w:lang w:eastAsia="fr-BE"/>
            </w:rPr>
          </w:pPr>
          <w:hyperlink w:anchor="_Toc241478069" w:history="1">
            <w:r w:rsidRPr="00664CE6">
              <w:rPr>
                <w:rStyle w:val="Lienhypertexte"/>
                <w:noProof/>
              </w:rPr>
              <w:t>3.</w:t>
            </w:r>
            <w:r>
              <w:rPr>
                <w:rFonts w:asciiTheme="minorHAnsi" w:eastAsiaTheme="minorEastAsia" w:hAnsiTheme="minorHAnsi"/>
                <w:noProof/>
                <w:sz w:val="24"/>
                <w:lang w:eastAsia="fr-BE"/>
              </w:rPr>
              <w:tab/>
            </w:r>
            <w:r w:rsidRPr="00664CE6">
              <w:rPr>
                <w:rStyle w:val="Lienhypertexte"/>
                <w:noProof/>
              </w:rPr>
              <w:t>Approche conceptuelle</w:t>
            </w:r>
            <w:r>
              <w:rPr>
                <w:noProof/>
                <w:webHidden/>
              </w:rPr>
              <w:tab/>
            </w:r>
            <w:r>
              <w:rPr>
                <w:noProof/>
                <w:webHidden/>
              </w:rPr>
              <w:fldChar w:fldCharType="begin"/>
            </w:r>
            <w:r>
              <w:rPr>
                <w:noProof/>
                <w:webHidden/>
              </w:rPr>
              <w:instrText xml:space="preserve"> PAGEREF _Toc241478069 \h </w:instrText>
            </w:r>
            <w:r>
              <w:rPr>
                <w:noProof/>
                <w:webHidden/>
              </w:rPr>
            </w:r>
            <w:r>
              <w:rPr>
                <w:noProof/>
                <w:webHidden/>
              </w:rPr>
              <w:fldChar w:fldCharType="separate"/>
            </w:r>
            <w:r>
              <w:rPr>
                <w:noProof/>
                <w:webHidden/>
              </w:rPr>
              <w:t>12</w:t>
            </w:r>
            <w:r>
              <w:rPr>
                <w:noProof/>
                <w:webHidden/>
              </w:rPr>
              <w:fldChar w:fldCharType="end"/>
            </w:r>
          </w:hyperlink>
        </w:p>
        <w:p w14:paraId="49316E16" w14:textId="42F10DC6"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70" w:history="1">
            <w:r w:rsidRPr="00664CE6">
              <w:rPr>
                <w:rStyle w:val="Lienhypertexte"/>
                <w:rFonts w:cs="Calibri"/>
                <w:noProof/>
              </w:rPr>
              <w:t>3.1.</w:t>
            </w:r>
            <w:r>
              <w:rPr>
                <w:rFonts w:asciiTheme="minorHAnsi" w:eastAsiaTheme="minorEastAsia" w:hAnsiTheme="minorHAnsi"/>
                <w:noProof/>
                <w:sz w:val="24"/>
                <w:lang w:eastAsia="fr-BE"/>
              </w:rPr>
              <w:tab/>
            </w:r>
            <w:r w:rsidRPr="00664CE6">
              <w:rPr>
                <w:rStyle w:val="Lienhypertexte"/>
                <w:noProof/>
              </w:rPr>
              <w:t>Consultation des secteurs</w:t>
            </w:r>
            <w:r>
              <w:rPr>
                <w:noProof/>
                <w:webHidden/>
              </w:rPr>
              <w:tab/>
            </w:r>
            <w:r>
              <w:rPr>
                <w:noProof/>
                <w:webHidden/>
              </w:rPr>
              <w:fldChar w:fldCharType="begin"/>
            </w:r>
            <w:r>
              <w:rPr>
                <w:noProof/>
                <w:webHidden/>
              </w:rPr>
              <w:instrText xml:space="preserve"> PAGEREF _Toc241478070 \h </w:instrText>
            </w:r>
            <w:r>
              <w:rPr>
                <w:noProof/>
                <w:webHidden/>
              </w:rPr>
            </w:r>
            <w:r>
              <w:rPr>
                <w:noProof/>
                <w:webHidden/>
              </w:rPr>
              <w:fldChar w:fldCharType="separate"/>
            </w:r>
            <w:r>
              <w:rPr>
                <w:noProof/>
                <w:webHidden/>
              </w:rPr>
              <w:t>12</w:t>
            </w:r>
            <w:r>
              <w:rPr>
                <w:noProof/>
                <w:webHidden/>
              </w:rPr>
              <w:fldChar w:fldCharType="end"/>
            </w:r>
          </w:hyperlink>
        </w:p>
        <w:p w14:paraId="0859105F" w14:textId="034AD0D4"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71" w:history="1">
            <w:r w:rsidRPr="00664CE6">
              <w:rPr>
                <w:rStyle w:val="Lienhypertexte"/>
                <w:rFonts w:cs="Calibri"/>
                <w:noProof/>
              </w:rPr>
              <w:t>3.2.</w:t>
            </w:r>
            <w:r>
              <w:rPr>
                <w:rFonts w:asciiTheme="minorHAnsi" w:eastAsiaTheme="minorEastAsia" w:hAnsiTheme="minorHAnsi"/>
                <w:noProof/>
                <w:sz w:val="24"/>
                <w:lang w:eastAsia="fr-BE"/>
              </w:rPr>
              <w:tab/>
            </w:r>
            <w:r w:rsidRPr="00664CE6">
              <w:rPr>
                <w:rStyle w:val="Lienhypertexte"/>
                <w:noProof/>
              </w:rPr>
              <w:t>Périmètre de l’outil</w:t>
            </w:r>
            <w:r>
              <w:rPr>
                <w:noProof/>
                <w:webHidden/>
              </w:rPr>
              <w:tab/>
            </w:r>
            <w:r>
              <w:rPr>
                <w:noProof/>
                <w:webHidden/>
              </w:rPr>
              <w:fldChar w:fldCharType="begin"/>
            </w:r>
            <w:r>
              <w:rPr>
                <w:noProof/>
                <w:webHidden/>
              </w:rPr>
              <w:instrText xml:space="preserve"> PAGEREF _Toc241478071 \h </w:instrText>
            </w:r>
            <w:r>
              <w:rPr>
                <w:noProof/>
                <w:webHidden/>
              </w:rPr>
            </w:r>
            <w:r>
              <w:rPr>
                <w:noProof/>
                <w:webHidden/>
              </w:rPr>
              <w:fldChar w:fldCharType="separate"/>
            </w:r>
            <w:r>
              <w:rPr>
                <w:noProof/>
                <w:webHidden/>
              </w:rPr>
              <w:t>12</w:t>
            </w:r>
            <w:r>
              <w:rPr>
                <w:noProof/>
                <w:webHidden/>
              </w:rPr>
              <w:fldChar w:fldCharType="end"/>
            </w:r>
          </w:hyperlink>
        </w:p>
        <w:p w14:paraId="5BD5BFD6" w14:textId="138770EB"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72" w:history="1">
            <w:r w:rsidRPr="00664CE6">
              <w:rPr>
                <w:rStyle w:val="Lienhypertexte"/>
                <w:noProof/>
              </w:rPr>
              <w:t>3.2.1.</w:t>
            </w:r>
            <w:r>
              <w:rPr>
                <w:rFonts w:asciiTheme="minorHAnsi" w:eastAsiaTheme="minorEastAsia" w:hAnsiTheme="minorHAnsi"/>
                <w:noProof/>
                <w:sz w:val="24"/>
                <w:lang w:eastAsia="fr-BE"/>
              </w:rPr>
              <w:tab/>
            </w:r>
            <w:r w:rsidRPr="00664CE6">
              <w:rPr>
                <w:rStyle w:val="Lienhypertexte"/>
                <w:noProof/>
              </w:rPr>
              <w:t>Définition du sol et profondeur de diagnostic</w:t>
            </w:r>
            <w:r>
              <w:rPr>
                <w:noProof/>
                <w:webHidden/>
              </w:rPr>
              <w:tab/>
            </w:r>
            <w:r>
              <w:rPr>
                <w:noProof/>
                <w:webHidden/>
              </w:rPr>
              <w:fldChar w:fldCharType="begin"/>
            </w:r>
            <w:r>
              <w:rPr>
                <w:noProof/>
                <w:webHidden/>
              </w:rPr>
              <w:instrText xml:space="preserve"> PAGEREF _Toc241478072 \h </w:instrText>
            </w:r>
            <w:r>
              <w:rPr>
                <w:noProof/>
                <w:webHidden/>
              </w:rPr>
            </w:r>
            <w:r>
              <w:rPr>
                <w:noProof/>
                <w:webHidden/>
              </w:rPr>
              <w:fldChar w:fldCharType="separate"/>
            </w:r>
            <w:r>
              <w:rPr>
                <w:noProof/>
                <w:webHidden/>
              </w:rPr>
              <w:t>12</w:t>
            </w:r>
            <w:r>
              <w:rPr>
                <w:noProof/>
                <w:webHidden/>
              </w:rPr>
              <w:fldChar w:fldCharType="end"/>
            </w:r>
          </w:hyperlink>
        </w:p>
        <w:p w14:paraId="322D5ED8" w14:textId="7DC24CB2"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73" w:history="1">
            <w:r w:rsidRPr="00664CE6">
              <w:rPr>
                <w:rStyle w:val="Lienhypertexte"/>
                <w:noProof/>
              </w:rPr>
              <w:t>3.2.2.</w:t>
            </w:r>
            <w:r>
              <w:rPr>
                <w:rFonts w:asciiTheme="minorHAnsi" w:eastAsiaTheme="minorEastAsia" w:hAnsiTheme="minorHAnsi"/>
                <w:noProof/>
                <w:sz w:val="24"/>
                <w:lang w:eastAsia="fr-BE"/>
              </w:rPr>
              <w:tab/>
            </w:r>
            <w:r w:rsidRPr="00664CE6">
              <w:rPr>
                <w:rStyle w:val="Lienhypertexte"/>
                <w:noProof/>
              </w:rPr>
              <w:t>Complémentarité et cohérence avec les outils existants</w:t>
            </w:r>
            <w:r>
              <w:rPr>
                <w:noProof/>
                <w:webHidden/>
              </w:rPr>
              <w:tab/>
            </w:r>
            <w:r>
              <w:rPr>
                <w:noProof/>
                <w:webHidden/>
              </w:rPr>
              <w:fldChar w:fldCharType="begin"/>
            </w:r>
            <w:r>
              <w:rPr>
                <w:noProof/>
                <w:webHidden/>
              </w:rPr>
              <w:instrText xml:space="preserve"> PAGEREF _Toc241478073 \h </w:instrText>
            </w:r>
            <w:r>
              <w:rPr>
                <w:noProof/>
                <w:webHidden/>
              </w:rPr>
            </w:r>
            <w:r>
              <w:rPr>
                <w:noProof/>
                <w:webHidden/>
              </w:rPr>
              <w:fldChar w:fldCharType="separate"/>
            </w:r>
            <w:r>
              <w:rPr>
                <w:noProof/>
                <w:webHidden/>
              </w:rPr>
              <w:t>13</w:t>
            </w:r>
            <w:r>
              <w:rPr>
                <w:noProof/>
                <w:webHidden/>
              </w:rPr>
              <w:fldChar w:fldCharType="end"/>
            </w:r>
          </w:hyperlink>
        </w:p>
        <w:p w14:paraId="119C3FBD" w14:textId="3F2B256F"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74" w:history="1">
            <w:r w:rsidRPr="00664CE6">
              <w:rPr>
                <w:rStyle w:val="Lienhypertexte"/>
                <w:rFonts w:cs="Calibri"/>
                <w:noProof/>
              </w:rPr>
              <w:t>3.3.</w:t>
            </w:r>
            <w:r>
              <w:rPr>
                <w:rFonts w:asciiTheme="minorHAnsi" w:eastAsiaTheme="minorEastAsia" w:hAnsiTheme="minorHAnsi"/>
                <w:noProof/>
                <w:sz w:val="24"/>
                <w:lang w:eastAsia="fr-BE"/>
              </w:rPr>
              <w:tab/>
            </w:r>
            <w:r w:rsidRPr="00664CE6">
              <w:rPr>
                <w:rStyle w:val="Lienhypertexte"/>
                <w:noProof/>
              </w:rPr>
              <w:t>Sélection des paramètres du pack IQSW-pro</w:t>
            </w:r>
            <w:r>
              <w:rPr>
                <w:noProof/>
                <w:webHidden/>
              </w:rPr>
              <w:tab/>
            </w:r>
            <w:r>
              <w:rPr>
                <w:noProof/>
                <w:webHidden/>
              </w:rPr>
              <w:fldChar w:fldCharType="begin"/>
            </w:r>
            <w:r>
              <w:rPr>
                <w:noProof/>
                <w:webHidden/>
              </w:rPr>
              <w:instrText xml:space="preserve"> PAGEREF _Toc241478074 \h </w:instrText>
            </w:r>
            <w:r>
              <w:rPr>
                <w:noProof/>
                <w:webHidden/>
              </w:rPr>
            </w:r>
            <w:r>
              <w:rPr>
                <w:noProof/>
                <w:webHidden/>
              </w:rPr>
              <w:fldChar w:fldCharType="separate"/>
            </w:r>
            <w:r>
              <w:rPr>
                <w:noProof/>
                <w:webHidden/>
              </w:rPr>
              <w:t>13</w:t>
            </w:r>
            <w:r>
              <w:rPr>
                <w:noProof/>
                <w:webHidden/>
              </w:rPr>
              <w:fldChar w:fldCharType="end"/>
            </w:r>
          </w:hyperlink>
        </w:p>
        <w:p w14:paraId="32460323" w14:textId="62C9DCC8"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75" w:history="1">
            <w:r w:rsidRPr="00664CE6">
              <w:rPr>
                <w:rStyle w:val="Lienhypertexte"/>
                <w:noProof/>
              </w:rPr>
              <w:t>3.3.1.</w:t>
            </w:r>
            <w:r>
              <w:rPr>
                <w:rFonts w:asciiTheme="minorHAnsi" w:eastAsiaTheme="minorEastAsia" w:hAnsiTheme="minorHAnsi"/>
                <w:noProof/>
                <w:sz w:val="24"/>
                <w:lang w:eastAsia="fr-BE"/>
              </w:rPr>
              <w:tab/>
            </w:r>
            <w:r w:rsidRPr="00664CE6">
              <w:rPr>
                <w:rStyle w:val="Lienhypertexte"/>
                <w:noProof/>
              </w:rPr>
              <w:t>Paramètres de base</w:t>
            </w:r>
            <w:r>
              <w:rPr>
                <w:noProof/>
                <w:webHidden/>
              </w:rPr>
              <w:tab/>
            </w:r>
            <w:r>
              <w:rPr>
                <w:noProof/>
                <w:webHidden/>
              </w:rPr>
              <w:fldChar w:fldCharType="begin"/>
            </w:r>
            <w:r>
              <w:rPr>
                <w:noProof/>
                <w:webHidden/>
              </w:rPr>
              <w:instrText xml:space="preserve"> PAGEREF _Toc241478075 \h </w:instrText>
            </w:r>
            <w:r>
              <w:rPr>
                <w:noProof/>
                <w:webHidden/>
              </w:rPr>
            </w:r>
            <w:r>
              <w:rPr>
                <w:noProof/>
                <w:webHidden/>
              </w:rPr>
              <w:fldChar w:fldCharType="separate"/>
            </w:r>
            <w:r>
              <w:rPr>
                <w:noProof/>
                <w:webHidden/>
              </w:rPr>
              <w:t>13</w:t>
            </w:r>
            <w:r>
              <w:rPr>
                <w:noProof/>
                <w:webHidden/>
              </w:rPr>
              <w:fldChar w:fldCharType="end"/>
            </w:r>
          </w:hyperlink>
        </w:p>
        <w:p w14:paraId="42F32883" w14:textId="14B1F28C"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76" w:history="1">
            <w:r w:rsidRPr="00664CE6">
              <w:rPr>
                <w:rStyle w:val="Lienhypertexte"/>
                <w:noProof/>
              </w:rPr>
              <w:t>3.3.2.</w:t>
            </w:r>
            <w:r>
              <w:rPr>
                <w:rFonts w:asciiTheme="minorHAnsi" w:eastAsiaTheme="minorEastAsia" w:hAnsiTheme="minorHAnsi"/>
                <w:noProof/>
                <w:sz w:val="24"/>
                <w:lang w:eastAsia="fr-BE"/>
              </w:rPr>
              <w:tab/>
            </w:r>
            <w:r w:rsidRPr="00664CE6">
              <w:rPr>
                <w:rStyle w:val="Lienhypertexte"/>
                <w:noProof/>
              </w:rPr>
              <w:t>« Pour aller plus loin »</w:t>
            </w:r>
            <w:r>
              <w:rPr>
                <w:noProof/>
                <w:webHidden/>
              </w:rPr>
              <w:tab/>
            </w:r>
            <w:r>
              <w:rPr>
                <w:noProof/>
                <w:webHidden/>
              </w:rPr>
              <w:fldChar w:fldCharType="begin"/>
            </w:r>
            <w:r>
              <w:rPr>
                <w:noProof/>
                <w:webHidden/>
              </w:rPr>
              <w:instrText xml:space="preserve"> PAGEREF _Toc241478076 \h </w:instrText>
            </w:r>
            <w:r>
              <w:rPr>
                <w:noProof/>
                <w:webHidden/>
              </w:rPr>
            </w:r>
            <w:r>
              <w:rPr>
                <w:noProof/>
                <w:webHidden/>
              </w:rPr>
              <w:fldChar w:fldCharType="separate"/>
            </w:r>
            <w:r>
              <w:rPr>
                <w:noProof/>
                <w:webHidden/>
              </w:rPr>
              <w:t>14</w:t>
            </w:r>
            <w:r>
              <w:rPr>
                <w:noProof/>
                <w:webHidden/>
              </w:rPr>
              <w:fldChar w:fldCharType="end"/>
            </w:r>
          </w:hyperlink>
        </w:p>
        <w:p w14:paraId="0565F86B" w14:textId="25C9D30D"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77" w:history="1">
            <w:r w:rsidRPr="00664CE6">
              <w:rPr>
                <w:rStyle w:val="Lienhypertexte"/>
                <w:noProof/>
              </w:rPr>
              <w:t>3.3.3.</w:t>
            </w:r>
            <w:r>
              <w:rPr>
                <w:rFonts w:asciiTheme="minorHAnsi" w:eastAsiaTheme="minorEastAsia" w:hAnsiTheme="minorHAnsi"/>
                <w:noProof/>
                <w:sz w:val="24"/>
                <w:lang w:eastAsia="fr-BE"/>
              </w:rPr>
              <w:tab/>
            </w:r>
            <w:r w:rsidRPr="00664CE6">
              <w:rPr>
                <w:rStyle w:val="Lienhypertexte"/>
                <w:noProof/>
              </w:rPr>
              <w:t>Synthèse des indicateurs mesurés ou calculés</w:t>
            </w:r>
            <w:r>
              <w:rPr>
                <w:noProof/>
                <w:webHidden/>
              </w:rPr>
              <w:tab/>
            </w:r>
            <w:r>
              <w:rPr>
                <w:noProof/>
                <w:webHidden/>
              </w:rPr>
              <w:fldChar w:fldCharType="begin"/>
            </w:r>
            <w:r>
              <w:rPr>
                <w:noProof/>
                <w:webHidden/>
              </w:rPr>
              <w:instrText xml:space="preserve"> PAGEREF _Toc241478077 \h </w:instrText>
            </w:r>
            <w:r>
              <w:rPr>
                <w:noProof/>
                <w:webHidden/>
              </w:rPr>
            </w:r>
            <w:r>
              <w:rPr>
                <w:noProof/>
                <w:webHidden/>
              </w:rPr>
              <w:fldChar w:fldCharType="separate"/>
            </w:r>
            <w:r>
              <w:rPr>
                <w:noProof/>
                <w:webHidden/>
              </w:rPr>
              <w:t>15</w:t>
            </w:r>
            <w:r>
              <w:rPr>
                <w:noProof/>
                <w:webHidden/>
              </w:rPr>
              <w:fldChar w:fldCharType="end"/>
            </w:r>
          </w:hyperlink>
        </w:p>
        <w:p w14:paraId="33F7D7A5" w14:textId="382E0DD5"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78" w:history="1">
            <w:r w:rsidRPr="00664CE6">
              <w:rPr>
                <w:rStyle w:val="Lienhypertexte"/>
                <w:rFonts w:cs="Calibri"/>
                <w:noProof/>
              </w:rPr>
              <w:t>3.4.</w:t>
            </w:r>
            <w:r>
              <w:rPr>
                <w:rFonts w:asciiTheme="minorHAnsi" w:eastAsiaTheme="minorEastAsia" w:hAnsiTheme="minorHAnsi"/>
                <w:noProof/>
                <w:sz w:val="24"/>
                <w:lang w:eastAsia="fr-BE"/>
              </w:rPr>
              <w:tab/>
            </w:r>
            <w:r w:rsidRPr="00664CE6">
              <w:rPr>
                <w:rStyle w:val="Lienhypertexte"/>
                <w:noProof/>
              </w:rPr>
              <w:t>Étapes de calcul des indices</w:t>
            </w:r>
            <w:r>
              <w:rPr>
                <w:noProof/>
                <w:webHidden/>
              </w:rPr>
              <w:tab/>
            </w:r>
            <w:r>
              <w:rPr>
                <w:noProof/>
                <w:webHidden/>
              </w:rPr>
              <w:fldChar w:fldCharType="begin"/>
            </w:r>
            <w:r>
              <w:rPr>
                <w:noProof/>
                <w:webHidden/>
              </w:rPr>
              <w:instrText xml:space="preserve"> PAGEREF _Toc241478078 \h </w:instrText>
            </w:r>
            <w:r>
              <w:rPr>
                <w:noProof/>
                <w:webHidden/>
              </w:rPr>
            </w:r>
            <w:r>
              <w:rPr>
                <w:noProof/>
                <w:webHidden/>
              </w:rPr>
              <w:fldChar w:fldCharType="separate"/>
            </w:r>
            <w:r>
              <w:rPr>
                <w:noProof/>
                <w:webHidden/>
              </w:rPr>
              <w:t>16</w:t>
            </w:r>
            <w:r>
              <w:rPr>
                <w:noProof/>
                <w:webHidden/>
              </w:rPr>
              <w:fldChar w:fldCharType="end"/>
            </w:r>
          </w:hyperlink>
        </w:p>
        <w:p w14:paraId="4618A650" w14:textId="6FEA69E8"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79" w:history="1">
            <w:r w:rsidRPr="00664CE6">
              <w:rPr>
                <w:rStyle w:val="Lienhypertexte"/>
                <w:rFonts w:cs="Calibri"/>
                <w:noProof/>
              </w:rPr>
              <w:t>3.5.</w:t>
            </w:r>
            <w:r>
              <w:rPr>
                <w:rFonts w:asciiTheme="minorHAnsi" w:eastAsiaTheme="minorEastAsia" w:hAnsiTheme="minorHAnsi"/>
                <w:noProof/>
                <w:sz w:val="24"/>
                <w:lang w:eastAsia="fr-BE"/>
              </w:rPr>
              <w:tab/>
            </w:r>
            <w:r w:rsidRPr="00664CE6">
              <w:rPr>
                <w:rStyle w:val="Lienhypertexte"/>
                <w:noProof/>
              </w:rPr>
              <w:t>Qualité et santé du sol, deux notions complémentaires</w:t>
            </w:r>
            <w:r>
              <w:rPr>
                <w:noProof/>
                <w:webHidden/>
              </w:rPr>
              <w:tab/>
            </w:r>
            <w:r>
              <w:rPr>
                <w:noProof/>
                <w:webHidden/>
              </w:rPr>
              <w:fldChar w:fldCharType="begin"/>
            </w:r>
            <w:r>
              <w:rPr>
                <w:noProof/>
                <w:webHidden/>
              </w:rPr>
              <w:instrText xml:space="preserve"> PAGEREF _Toc241478079 \h </w:instrText>
            </w:r>
            <w:r>
              <w:rPr>
                <w:noProof/>
                <w:webHidden/>
              </w:rPr>
            </w:r>
            <w:r>
              <w:rPr>
                <w:noProof/>
                <w:webHidden/>
              </w:rPr>
              <w:fldChar w:fldCharType="separate"/>
            </w:r>
            <w:r>
              <w:rPr>
                <w:noProof/>
                <w:webHidden/>
              </w:rPr>
              <w:t>16</w:t>
            </w:r>
            <w:r>
              <w:rPr>
                <w:noProof/>
                <w:webHidden/>
              </w:rPr>
              <w:fldChar w:fldCharType="end"/>
            </w:r>
          </w:hyperlink>
        </w:p>
        <w:p w14:paraId="3AB12EF1" w14:textId="57D84F28"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80" w:history="1">
            <w:r w:rsidRPr="00664CE6">
              <w:rPr>
                <w:rStyle w:val="Lienhypertexte"/>
                <w:noProof/>
              </w:rPr>
              <w:t>3.5.1.</w:t>
            </w:r>
            <w:r>
              <w:rPr>
                <w:rFonts w:asciiTheme="minorHAnsi" w:eastAsiaTheme="minorEastAsia" w:hAnsiTheme="minorHAnsi"/>
                <w:noProof/>
                <w:sz w:val="24"/>
                <w:lang w:eastAsia="fr-BE"/>
              </w:rPr>
              <w:tab/>
            </w:r>
            <w:r w:rsidRPr="00664CE6">
              <w:rPr>
                <w:rStyle w:val="Lienhypertexte"/>
                <w:noProof/>
              </w:rPr>
              <w:t>Historique</w:t>
            </w:r>
            <w:r>
              <w:rPr>
                <w:noProof/>
                <w:webHidden/>
              </w:rPr>
              <w:tab/>
            </w:r>
            <w:r>
              <w:rPr>
                <w:noProof/>
                <w:webHidden/>
              </w:rPr>
              <w:fldChar w:fldCharType="begin"/>
            </w:r>
            <w:r>
              <w:rPr>
                <w:noProof/>
                <w:webHidden/>
              </w:rPr>
              <w:instrText xml:space="preserve"> PAGEREF _Toc241478080 \h </w:instrText>
            </w:r>
            <w:r>
              <w:rPr>
                <w:noProof/>
                <w:webHidden/>
              </w:rPr>
            </w:r>
            <w:r>
              <w:rPr>
                <w:noProof/>
                <w:webHidden/>
              </w:rPr>
              <w:fldChar w:fldCharType="separate"/>
            </w:r>
            <w:r>
              <w:rPr>
                <w:noProof/>
                <w:webHidden/>
              </w:rPr>
              <w:t>16</w:t>
            </w:r>
            <w:r>
              <w:rPr>
                <w:noProof/>
                <w:webHidden/>
              </w:rPr>
              <w:fldChar w:fldCharType="end"/>
            </w:r>
          </w:hyperlink>
        </w:p>
        <w:p w14:paraId="3A62B243" w14:textId="58F5EFA4"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81" w:history="1">
            <w:r w:rsidRPr="00664CE6">
              <w:rPr>
                <w:rStyle w:val="Lienhypertexte"/>
                <w:noProof/>
              </w:rPr>
              <w:t>3.5.2.</w:t>
            </w:r>
            <w:r>
              <w:rPr>
                <w:rFonts w:asciiTheme="minorHAnsi" w:eastAsiaTheme="minorEastAsia" w:hAnsiTheme="minorHAnsi"/>
                <w:noProof/>
                <w:sz w:val="24"/>
                <w:lang w:eastAsia="fr-BE"/>
              </w:rPr>
              <w:tab/>
            </w:r>
            <w:r w:rsidRPr="00664CE6">
              <w:rPr>
                <w:rStyle w:val="Lienhypertexte"/>
                <w:noProof/>
              </w:rPr>
              <w:t>Définitions opérationnelles</w:t>
            </w:r>
            <w:r>
              <w:rPr>
                <w:noProof/>
                <w:webHidden/>
              </w:rPr>
              <w:tab/>
            </w:r>
            <w:r>
              <w:rPr>
                <w:noProof/>
                <w:webHidden/>
              </w:rPr>
              <w:fldChar w:fldCharType="begin"/>
            </w:r>
            <w:r>
              <w:rPr>
                <w:noProof/>
                <w:webHidden/>
              </w:rPr>
              <w:instrText xml:space="preserve"> PAGEREF _Toc241478081 \h </w:instrText>
            </w:r>
            <w:r>
              <w:rPr>
                <w:noProof/>
                <w:webHidden/>
              </w:rPr>
            </w:r>
            <w:r>
              <w:rPr>
                <w:noProof/>
                <w:webHidden/>
              </w:rPr>
              <w:fldChar w:fldCharType="separate"/>
            </w:r>
            <w:r>
              <w:rPr>
                <w:noProof/>
                <w:webHidden/>
              </w:rPr>
              <w:t>17</w:t>
            </w:r>
            <w:r>
              <w:rPr>
                <w:noProof/>
                <w:webHidden/>
              </w:rPr>
              <w:fldChar w:fldCharType="end"/>
            </w:r>
          </w:hyperlink>
        </w:p>
        <w:p w14:paraId="775D7E97" w14:textId="419A389A"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82" w:history="1">
            <w:r w:rsidRPr="00664CE6">
              <w:rPr>
                <w:rStyle w:val="Lienhypertexte"/>
                <w:rFonts w:cs="Calibri"/>
                <w:noProof/>
              </w:rPr>
              <w:t>3.6.</w:t>
            </w:r>
            <w:r>
              <w:rPr>
                <w:rFonts w:asciiTheme="minorHAnsi" w:eastAsiaTheme="minorEastAsia" w:hAnsiTheme="minorHAnsi"/>
                <w:noProof/>
                <w:sz w:val="24"/>
                <w:lang w:eastAsia="fr-BE"/>
              </w:rPr>
              <w:tab/>
            </w:r>
            <w:r w:rsidRPr="00664CE6">
              <w:rPr>
                <w:rStyle w:val="Lienhypertexte"/>
                <w:noProof/>
              </w:rPr>
              <w:t>Interprétation des indicateurs</w:t>
            </w:r>
            <w:r>
              <w:rPr>
                <w:noProof/>
                <w:webHidden/>
              </w:rPr>
              <w:tab/>
            </w:r>
            <w:r>
              <w:rPr>
                <w:noProof/>
                <w:webHidden/>
              </w:rPr>
              <w:fldChar w:fldCharType="begin"/>
            </w:r>
            <w:r>
              <w:rPr>
                <w:noProof/>
                <w:webHidden/>
              </w:rPr>
              <w:instrText xml:space="preserve"> PAGEREF _Toc241478082 \h </w:instrText>
            </w:r>
            <w:r>
              <w:rPr>
                <w:noProof/>
                <w:webHidden/>
              </w:rPr>
            </w:r>
            <w:r>
              <w:rPr>
                <w:noProof/>
                <w:webHidden/>
              </w:rPr>
              <w:fldChar w:fldCharType="separate"/>
            </w:r>
            <w:r>
              <w:rPr>
                <w:noProof/>
                <w:webHidden/>
              </w:rPr>
              <w:t>19</w:t>
            </w:r>
            <w:r>
              <w:rPr>
                <w:noProof/>
                <w:webHidden/>
              </w:rPr>
              <w:fldChar w:fldCharType="end"/>
            </w:r>
          </w:hyperlink>
        </w:p>
        <w:p w14:paraId="58CE6748" w14:textId="7401A899"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83" w:history="1">
            <w:r w:rsidRPr="00664CE6">
              <w:rPr>
                <w:rStyle w:val="Lienhypertexte"/>
                <w:noProof/>
              </w:rPr>
              <w:t>3.6.1.</w:t>
            </w:r>
            <w:r>
              <w:rPr>
                <w:rFonts w:asciiTheme="minorHAnsi" w:eastAsiaTheme="minorEastAsia" w:hAnsiTheme="minorHAnsi"/>
                <w:noProof/>
                <w:sz w:val="24"/>
                <w:lang w:eastAsia="fr-BE"/>
              </w:rPr>
              <w:tab/>
            </w:r>
            <w:r w:rsidRPr="00664CE6">
              <w:rPr>
                <w:rStyle w:val="Lienhypertexte"/>
                <w:noProof/>
              </w:rPr>
              <w:t>Définitions</w:t>
            </w:r>
            <w:r>
              <w:rPr>
                <w:noProof/>
                <w:webHidden/>
              </w:rPr>
              <w:tab/>
            </w:r>
            <w:r>
              <w:rPr>
                <w:noProof/>
                <w:webHidden/>
              </w:rPr>
              <w:fldChar w:fldCharType="begin"/>
            </w:r>
            <w:r>
              <w:rPr>
                <w:noProof/>
                <w:webHidden/>
              </w:rPr>
              <w:instrText xml:space="preserve"> PAGEREF _Toc241478083 \h </w:instrText>
            </w:r>
            <w:r>
              <w:rPr>
                <w:noProof/>
                <w:webHidden/>
              </w:rPr>
            </w:r>
            <w:r>
              <w:rPr>
                <w:noProof/>
                <w:webHidden/>
              </w:rPr>
              <w:fldChar w:fldCharType="separate"/>
            </w:r>
            <w:r>
              <w:rPr>
                <w:noProof/>
                <w:webHidden/>
              </w:rPr>
              <w:t>19</w:t>
            </w:r>
            <w:r>
              <w:rPr>
                <w:noProof/>
                <w:webHidden/>
              </w:rPr>
              <w:fldChar w:fldCharType="end"/>
            </w:r>
          </w:hyperlink>
        </w:p>
        <w:p w14:paraId="015D1BE3" w14:textId="739567EF"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84" w:history="1">
            <w:r w:rsidRPr="00664CE6">
              <w:rPr>
                <w:rStyle w:val="Lienhypertexte"/>
                <w:noProof/>
              </w:rPr>
              <w:t>3.6.2.</w:t>
            </w:r>
            <w:r>
              <w:rPr>
                <w:rFonts w:asciiTheme="minorHAnsi" w:eastAsiaTheme="minorEastAsia" w:hAnsiTheme="minorHAnsi"/>
                <w:noProof/>
                <w:sz w:val="24"/>
                <w:lang w:eastAsia="fr-BE"/>
              </w:rPr>
              <w:tab/>
            </w:r>
            <w:r w:rsidRPr="00664CE6">
              <w:rPr>
                <w:rStyle w:val="Lienhypertexte"/>
                <w:noProof/>
              </w:rPr>
              <w:t>Méthodologie d’évaluation</w:t>
            </w:r>
            <w:r>
              <w:rPr>
                <w:noProof/>
                <w:webHidden/>
              </w:rPr>
              <w:tab/>
            </w:r>
            <w:r>
              <w:rPr>
                <w:noProof/>
                <w:webHidden/>
              </w:rPr>
              <w:fldChar w:fldCharType="begin"/>
            </w:r>
            <w:r>
              <w:rPr>
                <w:noProof/>
                <w:webHidden/>
              </w:rPr>
              <w:instrText xml:space="preserve"> PAGEREF _Toc241478084 \h </w:instrText>
            </w:r>
            <w:r>
              <w:rPr>
                <w:noProof/>
                <w:webHidden/>
              </w:rPr>
            </w:r>
            <w:r>
              <w:rPr>
                <w:noProof/>
                <w:webHidden/>
              </w:rPr>
              <w:fldChar w:fldCharType="separate"/>
            </w:r>
            <w:r>
              <w:rPr>
                <w:noProof/>
                <w:webHidden/>
              </w:rPr>
              <w:t>19</w:t>
            </w:r>
            <w:r>
              <w:rPr>
                <w:noProof/>
                <w:webHidden/>
              </w:rPr>
              <w:fldChar w:fldCharType="end"/>
            </w:r>
          </w:hyperlink>
        </w:p>
        <w:p w14:paraId="6C038810" w14:textId="213429C6"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85" w:history="1">
            <w:r w:rsidRPr="00664CE6">
              <w:rPr>
                <w:rStyle w:val="Lienhypertexte"/>
                <w:noProof/>
              </w:rPr>
              <w:t>3.6.3.</w:t>
            </w:r>
            <w:r>
              <w:rPr>
                <w:rFonts w:asciiTheme="minorHAnsi" w:eastAsiaTheme="minorEastAsia" w:hAnsiTheme="minorHAnsi"/>
                <w:noProof/>
                <w:sz w:val="24"/>
                <w:lang w:eastAsia="fr-BE"/>
              </w:rPr>
              <w:tab/>
            </w:r>
            <w:r w:rsidRPr="00664CE6">
              <w:rPr>
                <w:rStyle w:val="Lienhypertexte"/>
                <w:noProof/>
              </w:rPr>
              <w:t>Liste des indicateurs évalués</w:t>
            </w:r>
            <w:r>
              <w:rPr>
                <w:noProof/>
                <w:webHidden/>
              </w:rPr>
              <w:tab/>
            </w:r>
            <w:r>
              <w:rPr>
                <w:noProof/>
                <w:webHidden/>
              </w:rPr>
              <w:fldChar w:fldCharType="begin"/>
            </w:r>
            <w:r>
              <w:rPr>
                <w:noProof/>
                <w:webHidden/>
              </w:rPr>
              <w:instrText xml:space="preserve"> PAGEREF _Toc241478085 \h </w:instrText>
            </w:r>
            <w:r>
              <w:rPr>
                <w:noProof/>
                <w:webHidden/>
              </w:rPr>
            </w:r>
            <w:r>
              <w:rPr>
                <w:noProof/>
                <w:webHidden/>
              </w:rPr>
              <w:fldChar w:fldCharType="separate"/>
            </w:r>
            <w:r>
              <w:rPr>
                <w:noProof/>
                <w:webHidden/>
              </w:rPr>
              <w:t>22</w:t>
            </w:r>
            <w:r>
              <w:rPr>
                <w:noProof/>
                <w:webHidden/>
              </w:rPr>
              <w:fldChar w:fldCharType="end"/>
            </w:r>
          </w:hyperlink>
        </w:p>
        <w:p w14:paraId="5E87BB48" w14:textId="73158A70" w:rsidR="00DC06FF" w:rsidRDefault="00DC06FF">
          <w:pPr>
            <w:pStyle w:val="TM1"/>
            <w:tabs>
              <w:tab w:val="left" w:pos="480"/>
              <w:tab w:val="right" w:leader="dot" w:pos="9060"/>
            </w:tabs>
            <w:rPr>
              <w:rFonts w:asciiTheme="minorHAnsi" w:eastAsiaTheme="minorEastAsia" w:hAnsiTheme="minorHAnsi"/>
              <w:noProof/>
              <w:sz w:val="24"/>
              <w:lang w:eastAsia="fr-BE"/>
            </w:rPr>
          </w:pPr>
          <w:hyperlink w:anchor="_Toc241478086" w:history="1">
            <w:r w:rsidRPr="00664CE6">
              <w:rPr>
                <w:rStyle w:val="Lienhypertexte"/>
                <w:noProof/>
              </w:rPr>
              <w:t>4.</w:t>
            </w:r>
            <w:r>
              <w:rPr>
                <w:rFonts w:asciiTheme="minorHAnsi" w:eastAsiaTheme="minorEastAsia" w:hAnsiTheme="minorHAnsi"/>
                <w:noProof/>
                <w:sz w:val="24"/>
                <w:lang w:eastAsia="fr-BE"/>
              </w:rPr>
              <w:tab/>
            </w:r>
            <w:r w:rsidRPr="00664CE6">
              <w:rPr>
                <w:rStyle w:val="Lienhypertexte"/>
                <w:noProof/>
              </w:rPr>
              <w:t>Diagnostic des services écosystémiques du sol</w:t>
            </w:r>
            <w:r>
              <w:rPr>
                <w:noProof/>
                <w:webHidden/>
              </w:rPr>
              <w:tab/>
            </w:r>
            <w:r>
              <w:rPr>
                <w:noProof/>
                <w:webHidden/>
              </w:rPr>
              <w:fldChar w:fldCharType="begin"/>
            </w:r>
            <w:r>
              <w:rPr>
                <w:noProof/>
                <w:webHidden/>
              </w:rPr>
              <w:instrText xml:space="preserve"> PAGEREF _Toc241478086 \h </w:instrText>
            </w:r>
            <w:r>
              <w:rPr>
                <w:noProof/>
                <w:webHidden/>
              </w:rPr>
            </w:r>
            <w:r>
              <w:rPr>
                <w:noProof/>
                <w:webHidden/>
              </w:rPr>
              <w:fldChar w:fldCharType="separate"/>
            </w:r>
            <w:r>
              <w:rPr>
                <w:noProof/>
                <w:webHidden/>
              </w:rPr>
              <w:t>23</w:t>
            </w:r>
            <w:r>
              <w:rPr>
                <w:noProof/>
                <w:webHidden/>
              </w:rPr>
              <w:fldChar w:fldCharType="end"/>
            </w:r>
          </w:hyperlink>
        </w:p>
        <w:p w14:paraId="1828AD13" w14:textId="15518E7C"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87" w:history="1">
            <w:r w:rsidRPr="00664CE6">
              <w:rPr>
                <w:rStyle w:val="Lienhypertexte"/>
                <w:rFonts w:cs="Calibri"/>
                <w:noProof/>
              </w:rPr>
              <w:t>4.1.</w:t>
            </w:r>
            <w:r>
              <w:rPr>
                <w:rFonts w:asciiTheme="minorHAnsi" w:eastAsiaTheme="minorEastAsia" w:hAnsiTheme="minorHAnsi"/>
                <w:noProof/>
                <w:sz w:val="24"/>
                <w:lang w:eastAsia="fr-BE"/>
              </w:rPr>
              <w:tab/>
            </w:r>
            <w:r w:rsidRPr="00664CE6">
              <w:rPr>
                <w:rStyle w:val="Lienhypertexte"/>
                <w:noProof/>
              </w:rPr>
              <w:t>Méthodologie générale</w:t>
            </w:r>
            <w:r>
              <w:rPr>
                <w:noProof/>
                <w:webHidden/>
              </w:rPr>
              <w:tab/>
            </w:r>
            <w:r>
              <w:rPr>
                <w:noProof/>
                <w:webHidden/>
              </w:rPr>
              <w:fldChar w:fldCharType="begin"/>
            </w:r>
            <w:r>
              <w:rPr>
                <w:noProof/>
                <w:webHidden/>
              </w:rPr>
              <w:instrText xml:space="preserve"> PAGEREF _Toc241478087 \h </w:instrText>
            </w:r>
            <w:r>
              <w:rPr>
                <w:noProof/>
                <w:webHidden/>
              </w:rPr>
            </w:r>
            <w:r>
              <w:rPr>
                <w:noProof/>
                <w:webHidden/>
              </w:rPr>
              <w:fldChar w:fldCharType="separate"/>
            </w:r>
            <w:r>
              <w:rPr>
                <w:noProof/>
                <w:webHidden/>
              </w:rPr>
              <w:t>23</w:t>
            </w:r>
            <w:r>
              <w:rPr>
                <w:noProof/>
                <w:webHidden/>
              </w:rPr>
              <w:fldChar w:fldCharType="end"/>
            </w:r>
          </w:hyperlink>
        </w:p>
        <w:p w14:paraId="6B84654D" w14:textId="7E23B6D3"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88" w:history="1">
            <w:r w:rsidRPr="00664CE6">
              <w:rPr>
                <w:rStyle w:val="Lienhypertexte"/>
                <w:noProof/>
              </w:rPr>
              <w:t>4.1.1.</w:t>
            </w:r>
            <w:r>
              <w:rPr>
                <w:rFonts w:asciiTheme="minorHAnsi" w:eastAsiaTheme="minorEastAsia" w:hAnsiTheme="minorHAnsi"/>
                <w:noProof/>
                <w:sz w:val="24"/>
                <w:lang w:eastAsia="fr-BE"/>
              </w:rPr>
              <w:tab/>
            </w:r>
            <w:r w:rsidRPr="00664CE6">
              <w:rPr>
                <w:rStyle w:val="Lienhypertexte"/>
                <w:noProof/>
              </w:rPr>
              <w:t>Un diagnostic à différentes échelles : services, fonctions et indicateurs</w:t>
            </w:r>
            <w:r>
              <w:rPr>
                <w:noProof/>
                <w:webHidden/>
              </w:rPr>
              <w:tab/>
            </w:r>
            <w:r>
              <w:rPr>
                <w:noProof/>
                <w:webHidden/>
              </w:rPr>
              <w:fldChar w:fldCharType="begin"/>
            </w:r>
            <w:r>
              <w:rPr>
                <w:noProof/>
                <w:webHidden/>
              </w:rPr>
              <w:instrText xml:space="preserve"> PAGEREF _Toc241478088 \h </w:instrText>
            </w:r>
            <w:r>
              <w:rPr>
                <w:noProof/>
                <w:webHidden/>
              </w:rPr>
            </w:r>
            <w:r>
              <w:rPr>
                <w:noProof/>
                <w:webHidden/>
              </w:rPr>
              <w:fldChar w:fldCharType="separate"/>
            </w:r>
            <w:r>
              <w:rPr>
                <w:noProof/>
                <w:webHidden/>
              </w:rPr>
              <w:t>23</w:t>
            </w:r>
            <w:r>
              <w:rPr>
                <w:noProof/>
                <w:webHidden/>
              </w:rPr>
              <w:fldChar w:fldCharType="end"/>
            </w:r>
          </w:hyperlink>
        </w:p>
        <w:p w14:paraId="512F2C0A" w14:textId="4978C3BD"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89" w:history="1">
            <w:r w:rsidRPr="00664CE6">
              <w:rPr>
                <w:rStyle w:val="Lienhypertexte"/>
                <w:noProof/>
              </w:rPr>
              <w:t>4.1.2.</w:t>
            </w:r>
            <w:r>
              <w:rPr>
                <w:rFonts w:asciiTheme="minorHAnsi" w:eastAsiaTheme="minorEastAsia" w:hAnsiTheme="minorHAnsi"/>
                <w:noProof/>
                <w:sz w:val="24"/>
                <w:lang w:eastAsia="fr-BE"/>
              </w:rPr>
              <w:tab/>
            </w:r>
            <w:r w:rsidRPr="00664CE6">
              <w:rPr>
                <w:rStyle w:val="Lienhypertexte"/>
                <w:noProof/>
              </w:rPr>
              <w:t>Diagnostic des fonctions</w:t>
            </w:r>
            <w:r>
              <w:rPr>
                <w:noProof/>
                <w:webHidden/>
              </w:rPr>
              <w:tab/>
            </w:r>
            <w:r>
              <w:rPr>
                <w:noProof/>
                <w:webHidden/>
              </w:rPr>
              <w:fldChar w:fldCharType="begin"/>
            </w:r>
            <w:r>
              <w:rPr>
                <w:noProof/>
                <w:webHidden/>
              </w:rPr>
              <w:instrText xml:space="preserve"> PAGEREF _Toc241478089 \h </w:instrText>
            </w:r>
            <w:r>
              <w:rPr>
                <w:noProof/>
                <w:webHidden/>
              </w:rPr>
            </w:r>
            <w:r>
              <w:rPr>
                <w:noProof/>
                <w:webHidden/>
              </w:rPr>
              <w:fldChar w:fldCharType="separate"/>
            </w:r>
            <w:r>
              <w:rPr>
                <w:noProof/>
                <w:webHidden/>
              </w:rPr>
              <w:t>24</w:t>
            </w:r>
            <w:r>
              <w:rPr>
                <w:noProof/>
                <w:webHidden/>
              </w:rPr>
              <w:fldChar w:fldCharType="end"/>
            </w:r>
          </w:hyperlink>
        </w:p>
        <w:p w14:paraId="19B95939" w14:textId="6B36EDBB"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90" w:history="1">
            <w:r w:rsidRPr="00664CE6">
              <w:rPr>
                <w:rStyle w:val="Lienhypertexte"/>
                <w:noProof/>
              </w:rPr>
              <w:t>4.1.3.</w:t>
            </w:r>
            <w:r>
              <w:rPr>
                <w:rFonts w:asciiTheme="minorHAnsi" w:eastAsiaTheme="minorEastAsia" w:hAnsiTheme="minorHAnsi"/>
                <w:noProof/>
                <w:sz w:val="24"/>
                <w:lang w:eastAsia="fr-BE"/>
              </w:rPr>
              <w:tab/>
            </w:r>
            <w:r w:rsidRPr="00664CE6">
              <w:rPr>
                <w:rStyle w:val="Lienhypertexte"/>
                <w:noProof/>
              </w:rPr>
              <w:t>Prise en compte de contraintes à la fourniture d’un service</w:t>
            </w:r>
            <w:r>
              <w:rPr>
                <w:noProof/>
                <w:webHidden/>
              </w:rPr>
              <w:tab/>
            </w:r>
            <w:r>
              <w:rPr>
                <w:noProof/>
                <w:webHidden/>
              </w:rPr>
              <w:fldChar w:fldCharType="begin"/>
            </w:r>
            <w:r>
              <w:rPr>
                <w:noProof/>
                <w:webHidden/>
              </w:rPr>
              <w:instrText xml:space="preserve"> PAGEREF _Toc241478090 \h </w:instrText>
            </w:r>
            <w:r>
              <w:rPr>
                <w:noProof/>
                <w:webHidden/>
              </w:rPr>
            </w:r>
            <w:r>
              <w:rPr>
                <w:noProof/>
                <w:webHidden/>
              </w:rPr>
              <w:fldChar w:fldCharType="separate"/>
            </w:r>
            <w:r>
              <w:rPr>
                <w:noProof/>
                <w:webHidden/>
              </w:rPr>
              <w:t>25</w:t>
            </w:r>
            <w:r>
              <w:rPr>
                <w:noProof/>
                <w:webHidden/>
              </w:rPr>
              <w:fldChar w:fldCharType="end"/>
            </w:r>
          </w:hyperlink>
        </w:p>
        <w:p w14:paraId="76A08E29" w14:textId="190E2C0E"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91" w:history="1">
            <w:r w:rsidRPr="00664CE6">
              <w:rPr>
                <w:rStyle w:val="Lienhypertexte"/>
                <w:noProof/>
              </w:rPr>
              <w:t>4.1.4.</w:t>
            </w:r>
            <w:r>
              <w:rPr>
                <w:rFonts w:asciiTheme="minorHAnsi" w:eastAsiaTheme="minorEastAsia" w:hAnsiTheme="minorHAnsi"/>
                <w:noProof/>
                <w:sz w:val="24"/>
                <w:lang w:eastAsia="fr-BE"/>
              </w:rPr>
              <w:tab/>
            </w:r>
            <w:r w:rsidRPr="00664CE6">
              <w:rPr>
                <w:rStyle w:val="Lienhypertexte"/>
                <w:noProof/>
              </w:rPr>
              <w:t>Compléments indicatifs</w:t>
            </w:r>
            <w:r>
              <w:rPr>
                <w:noProof/>
                <w:webHidden/>
              </w:rPr>
              <w:tab/>
            </w:r>
            <w:r>
              <w:rPr>
                <w:noProof/>
                <w:webHidden/>
              </w:rPr>
              <w:fldChar w:fldCharType="begin"/>
            </w:r>
            <w:r>
              <w:rPr>
                <w:noProof/>
                <w:webHidden/>
              </w:rPr>
              <w:instrText xml:space="preserve"> PAGEREF _Toc241478091 \h </w:instrText>
            </w:r>
            <w:r>
              <w:rPr>
                <w:noProof/>
                <w:webHidden/>
              </w:rPr>
            </w:r>
            <w:r>
              <w:rPr>
                <w:noProof/>
                <w:webHidden/>
              </w:rPr>
              <w:fldChar w:fldCharType="separate"/>
            </w:r>
            <w:r>
              <w:rPr>
                <w:noProof/>
                <w:webHidden/>
              </w:rPr>
              <w:t>25</w:t>
            </w:r>
            <w:r>
              <w:rPr>
                <w:noProof/>
                <w:webHidden/>
              </w:rPr>
              <w:fldChar w:fldCharType="end"/>
            </w:r>
          </w:hyperlink>
        </w:p>
        <w:p w14:paraId="087AAC6A" w14:textId="1A191A75"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92" w:history="1">
            <w:r w:rsidRPr="00664CE6">
              <w:rPr>
                <w:rStyle w:val="Lienhypertexte"/>
                <w:rFonts w:cs="Calibri"/>
                <w:noProof/>
              </w:rPr>
              <w:t>4.2.</w:t>
            </w:r>
            <w:r>
              <w:rPr>
                <w:rFonts w:asciiTheme="minorHAnsi" w:eastAsiaTheme="minorEastAsia" w:hAnsiTheme="minorHAnsi"/>
                <w:noProof/>
                <w:sz w:val="24"/>
                <w:lang w:eastAsia="fr-BE"/>
              </w:rPr>
              <w:tab/>
            </w:r>
            <w:r w:rsidRPr="00664CE6">
              <w:rPr>
                <w:rStyle w:val="Lienhypertexte"/>
                <w:noProof/>
              </w:rPr>
              <w:t>Liste des services écosystémiques évalués</w:t>
            </w:r>
            <w:r>
              <w:rPr>
                <w:noProof/>
                <w:webHidden/>
              </w:rPr>
              <w:tab/>
            </w:r>
            <w:r>
              <w:rPr>
                <w:noProof/>
                <w:webHidden/>
              </w:rPr>
              <w:fldChar w:fldCharType="begin"/>
            </w:r>
            <w:r>
              <w:rPr>
                <w:noProof/>
                <w:webHidden/>
              </w:rPr>
              <w:instrText xml:space="preserve"> PAGEREF _Toc241478092 \h </w:instrText>
            </w:r>
            <w:r>
              <w:rPr>
                <w:noProof/>
                <w:webHidden/>
              </w:rPr>
            </w:r>
            <w:r>
              <w:rPr>
                <w:noProof/>
                <w:webHidden/>
              </w:rPr>
              <w:fldChar w:fldCharType="separate"/>
            </w:r>
            <w:r>
              <w:rPr>
                <w:noProof/>
                <w:webHidden/>
              </w:rPr>
              <w:t>25</w:t>
            </w:r>
            <w:r>
              <w:rPr>
                <w:noProof/>
                <w:webHidden/>
              </w:rPr>
              <w:fldChar w:fldCharType="end"/>
            </w:r>
          </w:hyperlink>
        </w:p>
        <w:p w14:paraId="6535192D" w14:textId="6240F507"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93" w:history="1">
            <w:r w:rsidRPr="00664CE6">
              <w:rPr>
                <w:rStyle w:val="Lienhypertexte"/>
                <w:rFonts w:cs="Calibri"/>
                <w:noProof/>
              </w:rPr>
              <w:t>4.3.</w:t>
            </w:r>
            <w:r>
              <w:rPr>
                <w:rFonts w:asciiTheme="minorHAnsi" w:eastAsiaTheme="minorEastAsia" w:hAnsiTheme="minorHAnsi"/>
                <w:noProof/>
                <w:sz w:val="24"/>
                <w:lang w:eastAsia="fr-BE"/>
              </w:rPr>
              <w:tab/>
            </w:r>
            <w:r w:rsidRPr="00664CE6">
              <w:rPr>
                <w:rStyle w:val="Lienhypertexte"/>
                <w:noProof/>
              </w:rPr>
              <w:t>Production de biomasse</w:t>
            </w:r>
            <w:r>
              <w:rPr>
                <w:noProof/>
                <w:webHidden/>
              </w:rPr>
              <w:tab/>
            </w:r>
            <w:r>
              <w:rPr>
                <w:noProof/>
                <w:webHidden/>
              </w:rPr>
              <w:fldChar w:fldCharType="begin"/>
            </w:r>
            <w:r>
              <w:rPr>
                <w:noProof/>
                <w:webHidden/>
              </w:rPr>
              <w:instrText xml:space="preserve"> PAGEREF _Toc241478093 \h </w:instrText>
            </w:r>
            <w:r>
              <w:rPr>
                <w:noProof/>
                <w:webHidden/>
              </w:rPr>
            </w:r>
            <w:r>
              <w:rPr>
                <w:noProof/>
                <w:webHidden/>
              </w:rPr>
              <w:fldChar w:fldCharType="separate"/>
            </w:r>
            <w:r>
              <w:rPr>
                <w:noProof/>
                <w:webHidden/>
              </w:rPr>
              <w:t>26</w:t>
            </w:r>
            <w:r>
              <w:rPr>
                <w:noProof/>
                <w:webHidden/>
              </w:rPr>
              <w:fldChar w:fldCharType="end"/>
            </w:r>
          </w:hyperlink>
        </w:p>
        <w:p w14:paraId="4113B5CE" w14:textId="689CD930"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94" w:history="1">
            <w:r w:rsidRPr="00664CE6">
              <w:rPr>
                <w:rStyle w:val="Lienhypertexte"/>
                <w:noProof/>
              </w:rPr>
              <w:t>4.3.1.</w:t>
            </w:r>
            <w:r>
              <w:rPr>
                <w:rFonts w:asciiTheme="minorHAnsi" w:eastAsiaTheme="minorEastAsia" w:hAnsiTheme="minorHAnsi"/>
                <w:noProof/>
                <w:sz w:val="24"/>
                <w:lang w:eastAsia="fr-BE"/>
              </w:rPr>
              <w:tab/>
            </w:r>
            <w:r w:rsidRPr="00664CE6">
              <w:rPr>
                <w:rStyle w:val="Lienhypertexte"/>
                <w:noProof/>
              </w:rPr>
              <w:t>Fonctions</w:t>
            </w:r>
            <w:r>
              <w:rPr>
                <w:noProof/>
                <w:webHidden/>
              </w:rPr>
              <w:tab/>
            </w:r>
            <w:r>
              <w:rPr>
                <w:noProof/>
                <w:webHidden/>
              </w:rPr>
              <w:fldChar w:fldCharType="begin"/>
            </w:r>
            <w:r>
              <w:rPr>
                <w:noProof/>
                <w:webHidden/>
              </w:rPr>
              <w:instrText xml:space="preserve"> PAGEREF _Toc241478094 \h </w:instrText>
            </w:r>
            <w:r>
              <w:rPr>
                <w:noProof/>
                <w:webHidden/>
              </w:rPr>
            </w:r>
            <w:r>
              <w:rPr>
                <w:noProof/>
                <w:webHidden/>
              </w:rPr>
              <w:fldChar w:fldCharType="separate"/>
            </w:r>
            <w:r>
              <w:rPr>
                <w:noProof/>
                <w:webHidden/>
              </w:rPr>
              <w:t>26</w:t>
            </w:r>
            <w:r>
              <w:rPr>
                <w:noProof/>
                <w:webHidden/>
              </w:rPr>
              <w:fldChar w:fldCharType="end"/>
            </w:r>
          </w:hyperlink>
        </w:p>
        <w:p w14:paraId="2C326D3D" w14:textId="4492F07A"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95" w:history="1">
            <w:r w:rsidRPr="00664CE6">
              <w:rPr>
                <w:rStyle w:val="Lienhypertexte"/>
                <w:noProof/>
              </w:rPr>
              <w:t>4.3.2.</w:t>
            </w:r>
            <w:r>
              <w:rPr>
                <w:rFonts w:asciiTheme="minorHAnsi" w:eastAsiaTheme="minorEastAsia" w:hAnsiTheme="minorHAnsi"/>
                <w:noProof/>
                <w:sz w:val="24"/>
                <w:lang w:eastAsia="fr-BE"/>
              </w:rPr>
              <w:tab/>
            </w:r>
            <w:r w:rsidRPr="00664CE6">
              <w:rPr>
                <w:rStyle w:val="Lienhypertexte"/>
                <w:noProof/>
              </w:rPr>
              <w:t>Contraintes</w:t>
            </w:r>
            <w:r>
              <w:rPr>
                <w:noProof/>
                <w:webHidden/>
              </w:rPr>
              <w:tab/>
            </w:r>
            <w:r>
              <w:rPr>
                <w:noProof/>
                <w:webHidden/>
              </w:rPr>
              <w:fldChar w:fldCharType="begin"/>
            </w:r>
            <w:r>
              <w:rPr>
                <w:noProof/>
                <w:webHidden/>
              </w:rPr>
              <w:instrText xml:space="preserve"> PAGEREF _Toc241478095 \h </w:instrText>
            </w:r>
            <w:r>
              <w:rPr>
                <w:noProof/>
                <w:webHidden/>
              </w:rPr>
            </w:r>
            <w:r>
              <w:rPr>
                <w:noProof/>
                <w:webHidden/>
              </w:rPr>
              <w:fldChar w:fldCharType="separate"/>
            </w:r>
            <w:r>
              <w:rPr>
                <w:noProof/>
                <w:webHidden/>
              </w:rPr>
              <w:t>28</w:t>
            </w:r>
            <w:r>
              <w:rPr>
                <w:noProof/>
                <w:webHidden/>
              </w:rPr>
              <w:fldChar w:fldCharType="end"/>
            </w:r>
          </w:hyperlink>
        </w:p>
        <w:p w14:paraId="259588FD" w14:textId="7883AEFA"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96" w:history="1">
            <w:r w:rsidRPr="00664CE6">
              <w:rPr>
                <w:rStyle w:val="Lienhypertexte"/>
                <w:noProof/>
              </w:rPr>
              <w:t>4.3.3.</w:t>
            </w:r>
            <w:r>
              <w:rPr>
                <w:rFonts w:asciiTheme="minorHAnsi" w:eastAsiaTheme="minorEastAsia" w:hAnsiTheme="minorHAnsi"/>
                <w:noProof/>
                <w:sz w:val="24"/>
                <w:lang w:eastAsia="fr-BE"/>
              </w:rPr>
              <w:tab/>
            </w:r>
            <w:r w:rsidRPr="00664CE6">
              <w:rPr>
                <w:rStyle w:val="Lienhypertexte"/>
                <w:noProof/>
              </w:rPr>
              <w:t>Compléments indicatifs</w:t>
            </w:r>
            <w:r>
              <w:rPr>
                <w:noProof/>
                <w:webHidden/>
              </w:rPr>
              <w:tab/>
            </w:r>
            <w:r>
              <w:rPr>
                <w:noProof/>
                <w:webHidden/>
              </w:rPr>
              <w:fldChar w:fldCharType="begin"/>
            </w:r>
            <w:r>
              <w:rPr>
                <w:noProof/>
                <w:webHidden/>
              </w:rPr>
              <w:instrText xml:space="preserve"> PAGEREF _Toc241478096 \h </w:instrText>
            </w:r>
            <w:r>
              <w:rPr>
                <w:noProof/>
                <w:webHidden/>
              </w:rPr>
            </w:r>
            <w:r>
              <w:rPr>
                <w:noProof/>
                <w:webHidden/>
              </w:rPr>
              <w:fldChar w:fldCharType="separate"/>
            </w:r>
            <w:r>
              <w:rPr>
                <w:noProof/>
                <w:webHidden/>
              </w:rPr>
              <w:t>28</w:t>
            </w:r>
            <w:r>
              <w:rPr>
                <w:noProof/>
                <w:webHidden/>
              </w:rPr>
              <w:fldChar w:fldCharType="end"/>
            </w:r>
          </w:hyperlink>
        </w:p>
        <w:p w14:paraId="74B524DA" w14:textId="1F547A0E"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97" w:history="1">
            <w:r w:rsidRPr="00664CE6">
              <w:rPr>
                <w:rStyle w:val="Lienhypertexte"/>
                <w:noProof/>
              </w:rPr>
              <w:t>4.3.4.</w:t>
            </w:r>
            <w:r>
              <w:rPr>
                <w:rFonts w:asciiTheme="minorHAnsi" w:eastAsiaTheme="minorEastAsia" w:hAnsiTheme="minorHAnsi"/>
                <w:noProof/>
                <w:sz w:val="24"/>
                <w:lang w:eastAsia="fr-BE"/>
              </w:rPr>
              <w:tab/>
            </w:r>
            <w:r w:rsidRPr="00664CE6">
              <w:rPr>
                <w:rStyle w:val="Lienhypertexte"/>
                <w:noProof/>
              </w:rPr>
              <w:t>Schéma général d’évaluation du service</w:t>
            </w:r>
            <w:r>
              <w:rPr>
                <w:noProof/>
                <w:webHidden/>
              </w:rPr>
              <w:tab/>
            </w:r>
            <w:r>
              <w:rPr>
                <w:noProof/>
                <w:webHidden/>
              </w:rPr>
              <w:fldChar w:fldCharType="begin"/>
            </w:r>
            <w:r>
              <w:rPr>
                <w:noProof/>
                <w:webHidden/>
              </w:rPr>
              <w:instrText xml:space="preserve"> PAGEREF _Toc241478097 \h </w:instrText>
            </w:r>
            <w:r>
              <w:rPr>
                <w:noProof/>
                <w:webHidden/>
              </w:rPr>
            </w:r>
            <w:r>
              <w:rPr>
                <w:noProof/>
                <w:webHidden/>
              </w:rPr>
              <w:fldChar w:fldCharType="separate"/>
            </w:r>
            <w:r>
              <w:rPr>
                <w:noProof/>
                <w:webHidden/>
              </w:rPr>
              <w:t>29</w:t>
            </w:r>
            <w:r>
              <w:rPr>
                <w:noProof/>
                <w:webHidden/>
              </w:rPr>
              <w:fldChar w:fldCharType="end"/>
            </w:r>
          </w:hyperlink>
        </w:p>
        <w:p w14:paraId="6453C251" w14:textId="2118F600"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098" w:history="1">
            <w:r w:rsidRPr="00664CE6">
              <w:rPr>
                <w:rStyle w:val="Lienhypertexte"/>
                <w:noProof/>
              </w:rPr>
              <w:t>4.3.5.</w:t>
            </w:r>
            <w:r>
              <w:rPr>
                <w:rFonts w:asciiTheme="minorHAnsi" w:eastAsiaTheme="minorEastAsia" w:hAnsiTheme="minorHAnsi"/>
                <w:noProof/>
                <w:sz w:val="24"/>
                <w:lang w:eastAsia="fr-BE"/>
              </w:rPr>
              <w:tab/>
            </w:r>
            <w:r w:rsidRPr="00664CE6">
              <w:rPr>
                <w:rStyle w:val="Lienhypertexte"/>
                <w:noProof/>
              </w:rPr>
              <w:t>Distinctions en fonction de l’usage</w:t>
            </w:r>
            <w:r>
              <w:rPr>
                <w:noProof/>
                <w:webHidden/>
              </w:rPr>
              <w:tab/>
            </w:r>
            <w:r>
              <w:rPr>
                <w:noProof/>
                <w:webHidden/>
              </w:rPr>
              <w:fldChar w:fldCharType="begin"/>
            </w:r>
            <w:r>
              <w:rPr>
                <w:noProof/>
                <w:webHidden/>
              </w:rPr>
              <w:instrText xml:space="preserve"> PAGEREF _Toc241478098 \h </w:instrText>
            </w:r>
            <w:r>
              <w:rPr>
                <w:noProof/>
                <w:webHidden/>
              </w:rPr>
            </w:r>
            <w:r>
              <w:rPr>
                <w:noProof/>
                <w:webHidden/>
              </w:rPr>
              <w:fldChar w:fldCharType="separate"/>
            </w:r>
            <w:r>
              <w:rPr>
                <w:noProof/>
                <w:webHidden/>
              </w:rPr>
              <w:t>29</w:t>
            </w:r>
            <w:r>
              <w:rPr>
                <w:noProof/>
                <w:webHidden/>
              </w:rPr>
              <w:fldChar w:fldCharType="end"/>
            </w:r>
          </w:hyperlink>
        </w:p>
        <w:p w14:paraId="7C5298D4" w14:textId="49B296E2"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099" w:history="1">
            <w:r w:rsidRPr="00664CE6">
              <w:rPr>
                <w:rStyle w:val="Lienhypertexte"/>
                <w:rFonts w:cs="Calibri"/>
                <w:noProof/>
              </w:rPr>
              <w:t>4.4.</w:t>
            </w:r>
            <w:r>
              <w:rPr>
                <w:rFonts w:asciiTheme="minorHAnsi" w:eastAsiaTheme="minorEastAsia" w:hAnsiTheme="minorHAnsi"/>
                <w:noProof/>
                <w:sz w:val="24"/>
                <w:lang w:eastAsia="fr-BE"/>
              </w:rPr>
              <w:tab/>
            </w:r>
            <w:r w:rsidRPr="00664CE6">
              <w:rPr>
                <w:rStyle w:val="Lienhypertexte"/>
                <w:noProof/>
              </w:rPr>
              <w:t>Infiltration</w:t>
            </w:r>
            <w:r>
              <w:rPr>
                <w:noProof/>
                <w:webHidden/>
              </w:rPr>
              <w:tab/>
            </w:r>
            <w:r>
              <w:rPr>
                <w:noProof/>
                <w:webHidden/>
              </w:rPr>
              <w:fldChar w:fldCharType="begin"/>
            </w:r>
            <w:r>
              <w:rPr>
                <w:noProof/>
                <w:webHidden/>
              </w:rPr>
              <w:instrText xml:space="preserve"> PAGEREF _Toc241478099 \h </w:instrText>
            </w:r>
            <w:r>
              <w:rPr>
                <w:noProof/>
                <w:webHidden/>
              </w:rPr>
            </w:r>
            <w:r>
              <w:rPr>
                <w:noProof/>
                <w:webHidden/>
              </w:rPr>
              <w:fldChar w:fldCharType="separate"/>
            </w:r>
            <w:r>
              <w:rPr>
                <w:noProof/>
                <w:webHidden/>
              </w:rPr>
              <w:t>31</w:t>
            </w:r>
            <w:r>
              <w:rPr>
                <w:noProof/>
                <w:webHidden/>
              </w:rPr>
              <w:fldChar w:fldCharType="end"/>
            </w:r>
          </w:hyperlink>
        </w:p>
        <w:p w14:paraId="07BE0371" w14:textId="0A716E6A"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00" w:history="1">
            <w:r w:rsidRPr="00664CE6">
              <w:rPr>
                <w:rStyle w:val="Lienhypertexte"/>
                <w:noProof/>
              </w:rPr>
              <w:t>4.4.1.</w:t>
            </w:r>
            <w:r>
              <w:rPr>
                <w:rFonts w:asciiTheme="minorHAnsi" w:eastAsiaTheme="minorEastAsia" w:hAnsiTheme="minorHAnsi"/>
                <w:noProof/>
                <w:sz w:val="24"/>
                <w:lang w:eastAsia="fr-BE"/>
              </w:rPr>
              <w:tab/>
            </w:r>
            <w:r w:rsidRPr="00664CE6">
              <w:rPr>
                <w:rStyle w:val="Lienhypertexte"/>
                <w:noProof/>
              </w:rPr>
              <w:t>Fonctions</w:t>
            </w:r>
            <w:r>
              <w:rPr>
                <w:noProof/>
                <w:webHidden/>
              </w:rPr>
              <w:tab/>
            </w:r>
            <w:r>
              <w:rPr>
                <w:noProof/>
                <w:webHidden/>
              </w:rPr>
              <w:fldChar w:fldCharType="begin"/>
            </w:r>
            <w:r>
              <w:rPr>
                <w:noProof/>
                <w:webHidden/>
              </w:rPr>
              <w:instrText xml:space="preserve"> PAGEREF _Toc241478100 \h </w:instrText>
            </w:r>
            <w:r>
              <w:rPr>
                <w:noProof/>
                <w:webHidden/>
              </w:rPr>
            </w:r>
            <w:r>
              <w:rPr>
                <w:noProof/>
                <w:webHidden/>
              </w:rPr>
              <w:fldChar w:fldCharType="separate"/>
            </w:r>
            <w:r>
              <w:rPr>
                <w:noProof/>
                <w:webHidden/>
              </w:rPr>
              <w:t>31</w:t>
            </w:r>
            <w:r>
              <w:rPr>
                <w:noProof/>
                <w:webHidden/>
              </w:rPr>
              <w:fldChar w:fldCharType="end"/>
            </w:r>
          </w:hyperlink>
        </w:p>
        <w:p w14:paraId="1F96B46F" w14:textId="38C0F426"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01" w:history="1">
            <w:r w:rsidRPr="00664CE6">
              <w:rPr>
                <w:rStyle w:val="Lienhypertexte"/>
                <w:noProof/>
              </w:rPr>
              <w:t>4.4.2.</w:t>
            </w:r>
            <w:r>
              <w:rPr>
                <w:rFonts w:asciiTheme="minorHAnsi" w:eastAsiaTheme="minorEastAsia" w:hAnsiTheme="minorHAnsi"/>
                <w:noProof/>
                <w:sz w:val="24"/>
                <w:lang w:eastAsia="fr-BE"/>
              </w:rPr>
              <w:tab/>
            </w:r>
            <w:r w:rsidRPr="00664CE6">
              <w:rPr>
                <w:rStyle w:val="Lienhypertexte"/>
                <w:noProof/>
              </w:rPr>
              <w:t>Contraintes</w:t>
            </w:r>
            <w:r>
              <w:rPr>
                <w:noProof/>
                <w:webHidden/>
              </w:rPr>
              <w:tab/>
            </w:r>
            <w:r>
              <w:rPr>
                <w:noProof/>
                <w:webHidden/>
              </w:rPr>
              <w:fldChar w:fldCharType="begin"/>
            </w:r>
            <w:r>
              <w:rPr>
                <w:noProof/>
                <w:webHidden/>
              </w:rPr>
              <w:instrText xml:space="preserve"> PAGEREF _Toc241478101 \h </w:instrText>
            </w:r>
            <w:r>
              <w:rPr>
                <w:noProof/>
                <w:webHidden/>
              </w:rPr>
            </w:r>
            <w:r>
              <w:rPr>
                <w:noProof/>
                <w:webHidden/>
              </w:rPr>
              <w:fldChar w:fldCharType="separate"/>
            </w:r>
            <w:r>
              <w:rPr>
                <w:noProof/>
                <w:webHidden/>
              </w:rPr>
              <w:t>31</w:t>
            </w:r>
            <w:r>
              <w:rPr>
                <w:noProof/>
                <w:webHidden/>
              </w:rPr>
              <w:fldChar w:fldCharType="end"/>
            </w:r>
          </w:hyperlink>
        </w:p>
        <w:p w14:paraId="7394CA82" w14:textId="3D6789CF"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02" w:history="1">
            <w:r w:rsidRPr="00664CE6">
              <w:rPr>
                <w:rStyle w:val="Lienhypertexte"/>
                <w:noProof/>
              </w:rPr>
              <w:t>4.4.3.</w:t>
            </w:r>
            <w:r>
              <w:rPr>
                <w:rFonts w:asciiTheme="minorHAnsi" w:eastAsiaTheme="minorEastAsia" w:hAnsiTheme="minorHAnsi"/>
                <w:noProof/>
                <w:sz w:val="24"/>
                <w:lang w:eastAsia="fr-BE"/>
              </w:rPr>
              <w:tab/>
            </w:r>
            <w:r w:rsidRPr="00664CE6">
              <w:rPr>
                <w:rStyle w:val="Lienhypertexte"/>
                <w:noProof/>
              </w:rPr>
              <w:t>Compléments indicatifs</w:t>
            </w:r>
            <w:r>
              <w:rPr>
                <w:noProof/>
                <w:webHidden/>
              </w:rPr>
              <w:tab/>
            </w:r>
            <w:r>
              <w:rPr>
                <w:noProof/>
                <w:webHidden/>
              </w:rPr>
              <w:fldChar w:fldCharType="begin"/>
            </w:r>
            <w:r>
              <w:rPr>
                <w:noProof/>
                <w:webHidden/>
              </w:rPr>
              <w:instrText xml:space="preserve"> PAGEREF _Toc241478102 \h </w:instrText>
            </w:r>
            <w:r>
              <w:rPr>
                <w:noProof/>
                <w:webHidden/>
              </w:rPr>
            </w:r>
            <w:r>
              <w:rPr>
                <w:noProof/>
                <w:webHidden/>
              </w:rPr>
              <w:fldChar w:fldCharType="separate"/>
            </w:r>
            <w:r>
              <w:rPr>
                <w:noProof/>
                <w:webHidden/>
              </w:rPr>
              <w:t>32</w:t>
            </w:r>
            <w:r>
              <w:rPr>
                <w:noProof/>
                <w:webHidden/>
              </w:rPr>
              <w:fldChar w:fldCharType="end"/>
            </w:r>
          </w:hyperlink>
        </w:p>
        <w:p w14:paraId="2E29C24E" w14:textId="59C46E19"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03" w:history="1">
            <w:r w:rsidRPr="00664CE6">
              <w:rPr>
                <w:rStyle w:val="Lienhypertexte"/>
                <w:rFonts w:cs="Calibri"/>
                <w:noProof/>
              </w:rPr>
              <w:t>4.5.</w:t>
            </w:r>
            <w:r>
              <w:rPr>
                <w:rFonts w:asciiTheme="minorHAnsi" w:eastAsiaTheme="minorEastAsia" w:hAnsiTheme="minorHAnsi"/>
                <w:noProof/>
                <w:sz w:val="24"/>
                <w:lang w:eastAsia="fr-BE"/>
              </w:rPr>
              <w:tab/>
            </w:r>
            <w:r w:rsidRPr="00664CE6">
              <w:rPr>
                <w:rStyle w:val="Lienhypertexte"/>
                <w:noProof/>
              </w:rPr>
              <w:t>Protection des nappes</w:t>
            </w:r>
            <w:r>
              <w:rPr>
                <w:noProof/>
                <w:webHidden/>
              </w:rPr>
              <w:tab/>
            </w:r>
            <w:r>
              <w:rPr>
                <w:noProof/>
                <w:webHidden/>
              </w:rPr>
              <w:fldChar w:fldCharType="begin"/>
            </w:r>
            <w:r>
              <w:rPr>
                <w:noProof/>
                <w:webHidden/>
              </w:rPr>
              <w:instrText xml:space="preserve"> PAGEREF _Toc241478103 \h </w:instrText>
            </w:r>
            <w:r>
              <w:rPr>
                <w:noProof/>
                <w:webHidden/>
              </w:rPr>
            </w:r>
            <w:r>
              <w:rPr>
                <w:noProof/>
                <w:webHidden/>
              </w:rPr>
              <w:fldChar w:fldCharType="separate"/>
            </w:r>
            <w:r>
              <w:rPr>
                <w:noProof/>
                <w:webHidden/>
              </w:rPr>
              <w:t>32</w:t>
            </w:r>
            <w:r>
              <w:rPr>
                <w:noProof/>
                <w:webHidden/>
              </w:rPr>
              <w:fldChar w:fldCharType="end"/>
            </w:r>
          </w:hyperlink>
        </w:p>
        <w:p w14:paraId="13100587" w14:textId="7AE6F201"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04" w:history="1">
            <w:r w:rsidRPr="00664CE6">
              <w:rPr>
                <w:rStyle w:val="Lienhypertexte"/>
                <w:noProof/>
              </w:rPr>
              <w:t>4.5.1.</w:t>
            </w:r>
            <w:r>
              <w:rPr>
                <w:rFonts w:asciiTheme="minorHAnsi" w:eastAsiaTheme="minorEastAsia" w:hAnsiTheme="minorHAnsi"/>
                <w:noProof/>
                <w:sz w:val="24"/>
                <w:lang w:eastAsia="fr-BE"/>
              </w:rPr>
              <w:tab/>
            </w:r>
            <w:r w:rsidRPr="00664CE6">
              <w:rPr>
                <w:rStyle w:val="Lienhypertexte"/>
                <w:noProof/>
              </w:rPr>
              <w:t>Fonctions</w:t>
            </w:r>
            <w:r>
              <w:rPr>
                <w:noProof/>
                <w:webHidden/>
              </w:rPr>
              <w:tab/>
            </w:r>
            <w:r>
              <w:rPr>
                <w:noProof/>
                <w:webHidden/>
              </w:rPr>
              <w:fldChar w:fldCharType="begin"/>
            </w:r>
            <w:r>
              <w:rPr>
                <w:noProof/>
                <w:webHidden/>
              </w:rPr>
              <w:instrText xml:space="preserve"> PAGEREF _Toc241478104 \h </w:instrText>
            </w:r>
            <w:r>
              <w:rPr>
                <w:noProof/>
                <w:webHidden/>
              </w:rPr>
            </w:r>
            <w:r>
              <w:rPr>
                <w:noProof/>
                <w:webHidden/>
              </w:rPr>
              <w:fldChar w:fldCharType="separate"/>
            </w:r>
            <w:r>
              <w:rPr>
                <w:noProof/>
                <w:webHidden/>
              </w:rPr>
              <w:t>32</w:t>
            </w:r>
            <w:r>
              <w:rPr>
                <w:noProof/>
                <w:webHidden/>
              </w:rPr>
              <w:fldChar w:fldCharType="end"/>
            </w:r>
          </w:hyperlink>
        </w:p>
        <w:p w14:paraId="68B0C1B1" w14:textId="6FD364B2"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05" w:history="1">
            <w:r w:rsidRPr="00664CE6">
              <w:rPr>
                <w:rStyle w:val="Lienhypertexte"/>
                <w:noProof/>
              </w:rPr>
              <w:t>4.5.2.</w:t>
            </w:r>
            <w:r>
              <w:rPr>
                <w:rFonts w:asciiTheme="minorHAnsi" w:eastAsiaTheme="minorEastAsia" w:hAnsiTheme="minorHAnsi"/>
                <w:noProof/>
                <w:sz w:val="24"/>
                <w:lang w:eastAsia="fr-BE"/>
              </w:rPr>
              <w:tab/>
            </w:r>
            <w:r w:rsidRPr="00664CE6">
              <w:rPr>
                <w:rStyle w:val="Lienhypertexte"/>
                <w:noProof/>
              </w:rPr>
              <w:t>Contraintes</w:t>
            </w:r>
            <w:r>
              <w:rPr>
                <w:noProof/>
                <w:webHidden/>
              </w:rPr>
              <w:tab/>
            </w:r>
            <w:r>
              <w:rPr>
                <w:noProof/>
                <w:webHidden/>
              </w:rPr>
              <w:fldChar w:fldCharType="begin"/>
            </w:r>
            <w:r>
              <w:rPr>
                <w:noProof/>
                <w:webHidden/>
              </w:rPr>
              <w:instrText xml:space="preserve"> PAGEREF _Toc241478105 \h </w:instrText>
            </w:r>
            <w:r>
              <w:rPr>
                <w:noProof/>
                <w:webHidden/>
              </w:rPr>
            </w:r>
            <w:r>
              <w:rPr>
                <w:noProof/>
                <w:webHidden/>
              </w:rPr>
              <w:fldChar w:fldCharType="separate"/>
            </w:r>
            <w:r>
              <w:rPr>
                <w:noProof/>
                <w:webHidden/>
              </w:rPr>
              <w:t>32</w:t>
            </w:r>
            <w:r>
              <w:rPr>
                <w:noProof/>
                <w:webHidden/>
              </w:rPr>
              <w:fldChar w:fldCharType="end"/>
            </w:r>
          </w:hyperlink>
        </w:p>
        <w:p w14:paraId="60037F3C" w14:textId="562F337F"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06" w:history="1">
            <w:r w:rsidRPr="00664CE6">
              <w:rPr>
                <w:rStyle w:val="Lienhypertexte"/>
                <w:noProof/>
              </w:rPr>
              <w:t>4.5.3.</w:t>
            </w:r>
            <w:r>
              <w:rPr>
                <w:rFonts w:asciiTheme="minorHAnsi" w:eastAsiaTheme="minorEastAsia" w:hAnsiTheme="minorHAnsi"/>
                <w:noProof/>
                <w:sz w:val="24"/>
                <w:lang w:eastAsia="fr-BE"/>
              </w:rPr>
              <w:tab/>
            </w:r>
            <w:r w:rsidRPr="00664CE6">
              <w:rPr>
                <w:rStyle w:val="Lienhypertexte"/>
                <w:noProof/>
              </w:rPr>
              <w:t>Compléments indicatifs</w:t>
            </w:r>
            <w:r>
              <w:rPr>
                <w:noProof/>
                <w:webHidden/>
              </w:rPr>
              <w:tab/>
            </w:r>
            <w:r>
              <w:rPr>
                <w:noProof/>
                <w:webHidden/>
              </w:rPr>
              <w:fldChar w:fldCharType="begin"/>
            </w:r>
            <w:r>
              <w:rPr>
                <w:noProof/>
                <w:webHidden/>
              </w:rPr>
              <w:instrText xml:space="preserve"> PAGEREF _Toc241478106 \h </w:instrText>
            </w:r>
            <w:r>
              <w:rPr>
                <w:noProof/>
                <w:webHidden/>
              </w:rPr>
            </w:r>
            <w:r>
              <w:rPr>
                <w:noProof/>
                <w:webHidden/>
              </w:rPr>
              <w:fldChar w:fldCharType="separate"/>
            </w:r>
            <w:r>
              <w:rPr>
                <w:noProof/>
                <w:webHidden/>
              </w:rPr>
              <w:t>33</w:t>
            </w:r>
            <w:r>
              <w:rPr>
                <w:noProof/>
                <w:webHidden/>
              </w:rPr>
              <w:fldChar w:fldCharType="end"/>
            </w:r>
          </w:hyperlink>
        </w:p>
        <w:p w14:paraId="01351C22" w14:textId="4133B862"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07" w:history="1">
            <w:r w:rsidRPr="00664CE6">
              <w:rPr>
                <w:rStyle w:val="Lienhypertexte"/>
                <w:rFonts w:cs="Calibri"/>
                <w:noProof/>
              </w:rPr>
              <w:t>4.6.</w:t>
            </w:r>
            <w:r>
              <w:rPr>
                <w:rFonts w:asciiTheme="minorHAnsi" w:eastAsiaTheme="minorEastAsia" w:hAnsiTheme="minorHAnsi"/>
                <w:noProof/>
                <w:sz w:val="24"/>
                <w:lang w:eastAsia="fr-BE"/>
              </w:rPr>
              <w:tab/>
            </w:r>
            <w:r w:rsidRPr="00664CE6">
              <w:rPr>
                <w:rStyle w:val="Lienhypertexte"/>
                <w:noProof/>
              </w:rPr>
              <w:t>Potentiel d’accueil pour une végétation diversifiée</w:t>
            </w:r>
            <w:r>
              <w:rPr>
                <w:noProof/>
                <w:webHidden/>
              </w:rPr>
              <w:tab/>
            </w:r>
            <w:r>
              <w:rPr>
                <w:noProof/>
                <w:webHidden/>
              </w:rPr>
              <w:fldChar w:fldCharType="begin"/>
            </w:r>
            <w:r>
              <w:rPr>
                <w:noProof/>
                <w:webHidden/>
              </w:rPr>
              <w:instrText xml:space="preserve"> PAGEREF _Toc241478107 \h </w:instrText>
            </w:r>
            <w:r>
              <w:rPr>
                <w:noProof/>
                <w:webHidden/>
              </w:rPr>
            </w:r>
            <w:r>
              <w:rPr>
                <w:noProof/>
                <w:webHidden/>
              </w:rPr>
              <w:fldChar w:fldCharType="separate"/>
            </w:r>
            <w:r>
              <w:rPr>
                <w:noProof/>
                <w:webHidden/>
              </w:rPr>
              <w:t>33</w:t>
            </w:r>
            <w:r>
              <w:rPr>
                <w:noProof/>
                <w:webHidden/>
              </w:rPr>
              <w:fldChar w:fldCharType="end"/>
            </w:r>
          </w:hyperlink>
        </w:p>
        <w:p w14:paraId="6D84F713" w14:textId="30475BFC"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08" w:history="1">
            <w:r w:rsidRPr="00664CE6">
              <w:rPr>
                <w:rStyle w:val="Lienhypertexte"/>
                <w:noProof/>
              </w:rPr>
              <w:t>4.6.1.</w:t>
            </w:r>
            <w:r>
              <w:rPr>
                <w:rFonts w:asciiTheme="minorHAnsi" w:eastAsiaTheme="minorEastAsia" w:hAnsiTheme="minorHAnsi"/>
                <w:noProof/>
                <w:sz w:val="24"/>
                <w:lang w:eastAsia="fr-BE"/>
              </w:rPr>
              <w:tab/>
            </w:r>
            <w:r w:rsidRPr="00664CE6">
              <w:rPr>
                <w:rStyle w:val="Lienhypertexte"/>
                <w:noProof/>
              </w:rPr>
              <w:t>Fonctions</w:t>
            </w:r>
            <w:r>
              <w:rPr>
                <w:noProof/>
                <w:webHidden/>
              </w:rPr>
              <w:tab/>
            </w:r>
            <w:r>
              <w:rPr>
                <w:noProof/>
                <w:webHidden/>
              </w:rPr>
              <w:fldChar w:fldCharType="begin"/>
            </w:r>
            <w:r>
              <w:rPr>
                <w:noProof/>
                <w:webHidden/>
              </w:rPr>
              <w:instrText xml:space="preserve"> PAGEREF _Toc241478108 \h </w:instrText>
            </w:r>
            <w:r>
              <w:rPr>
                <w:noProof/>
                <w:webHidden/>
              </w:rPr>
            </w:r>
            <w:r>
              <w:rPr>
                <w:noProof/>
                <w:webHidden/>
              </w:rPr>
              <w:fldChar w:fldCharType="separate"/>
            </w:r>
            <w:r>
              <w:rPr>
                <w:noProof/>
                <w:webHidden/>
              </w:rPr>
              <w:t>33</w:t>
            </w:r>
            <w:r>
              <w:rPr>
                <w:noProof/>
                <w:webHidden/>
              </w:rPr>
              <w:fldChar w:fldCharType="end"/>
            </w:r>
          </w:hyperlink>
        </w:p>
        <w:p w14:paraId="210792FC" w14:textId="7BBA1B5B"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09" w:history="1">
            <w:r w:rsidRPr="00664CE6">
              <w:rPr>
                <w:rStyle w:val="Lienhypertexte"/>
                <w:noProof/>
              </w:rPr>
              <w:t>4.6.2.</w:t>
            </w:r>
            <w:r>
              <w:rPr>
                <w:rFonts w:asciiTheme="minorHAnsi" w:eastAsiaTheme="minorEastAsia" w:hAnsiTheme="minorHAnsi"/>
                <w:noProof/>
                <w:sz w:val="24"/>
                <w:lang w:eastAsia="fr-BE"/>
              </w:rPr>
              <w:tab/>
            </w:r>
            <w:r w:rsidRPr="00664CE6">
              <w:rPr>
                <w:rStyle w:val="Lienhypertexte"/>
                <w:noProof/>
              </w:rPr>
              <w:t>Contraintes</w:t>
            </w:r>
            <w:r>
              <w:rPr>
                <w:noProof/>
                <w:webHidden/>
              </w:rPr>
              <w:tab/>
            </w:r>
            <w:r>
              <w:rPr>
                <w:noProof/>
                <w:webHidden/>
              </w:rPr>
              <w:fldChar w:fldCharType="begin"/>
            </w:r>
            <w:r>
              <w:rPr>
                <w:noProof/>
                <w:webHidden/>
              </w:rPr>
              <w:instrText xml:space="preserve"> PAGEREF _Toc241478109 \h </w:instrText>
            </w:r>
            <w:r>
              <w:rPr>
                <w:noProof/>
                <w:webHidden/>
              </w:rPr>
            </w:r>
            <w:r>
              <w:rPr>
                <w:noProof/>
                <w:webHidden/>
              </w:rPr>
              <w:fldChar w:fldCharType="separate"/>
            </w:r>
            <w:r>
              <w:rPr>
                <w:noProof/>
                <w:webHidden/>
              </w:rPr>
              <w:t>33</w:t>
            </w:r>
            <w:r>
              <w:rPr>
                <w:noProof/>
                <w:webHidden/>
              </w:rPr>
              <w:fldChar w:fldCharType="end"/>
            </w:r>
          </w:hyperlink>
        </w:p>
        <w:p w14:paraId="3A9E8EF6" w14:textId="18AAFE97"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10" w:history="1">
            <w:r w:rsidRPr="00664CE6">
              <w:rPr>
                <w:rStyle w:val="Lienhypertexte"/>
                <w:noProof/>
              </w:rPr>
              <w:t>4.6.3.</w:t>
            </w:r>
            <w:r>
              <w:rPr>
                <w:rFonts w:asciiTheme="minorHAnsi" w:eastAsiaTheme="minorEastAsia" w:hAnsiTheme="minorHAnsi"/>
                <w:noProof/>
                <w:sz w:val="24"/>
                <w:lang w:eastAsia="fr-BE"/>
              </w:rPr>
              <w:tab/>
            </w:r>
            <w:r w:rsidRPr="00664CE6">
              <w:rPr>
                <w:rStyle w:val="Lienhypertexte"/>
                <w:noProof/>
              </w:rPr>
              <w:t>Compléments indicatifs</w:t>
            </w:r>
            <w:r>
              <w:rPr>
                <w:noProof/>
                <w:webHidden/>
              </w:rPr>
              <w:tab/>
            </w:r>
            <w:r>
              <w:rPr>
                <w:noProof/>
                <w:webHidden/>
              </w:rPr>
              <w:fldChar w:fldCharType="begin"/>
            </w:r>
            <w:r>
              <w:rPr>
                <w:noProof/>
                <w:webHidden/>
              </w:rPr>
              <w:instrText xml:space="preserve"> PAGEREF _Toc241478110 \h </w:instrText>
            </w:r>
            <w:r>
              <w:rPr>
                <w:noProof/>
                <w:webHidden/>
              </w:rPr>
            </w:r>
            <w:r>
              <w:rPr>
                <w:noProof/>
                <w:webHidden/>
              </w:rPr>
              <w:fldChar w:fldCharType="separate"/>
            </w:r>
            <w:r>
              <w:rPr>
                <w:noProof/>
                <w:webHidden/>
              </w:rPr>
              <w:t>33</w:t>
            </w:r>
            <w:r>
              <w:rPr>
                <w:noProof/>
                <w:webHidden/>
              </w:rPr>
              <w:fldChar w:fldCharType="end"/>
            </w:r>
          </w:hyperlink>
        </w:p>
        <w:p w14:paraId="6FDF3CCB" w14:textId="52D5648F"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11" w:history="1">
            <w:r w:rsidRPr="00664CE6">
              <w:rPr>
                <w:rStyle w:val="Lienhypertexte"/>
                <w:rFonts w:cs="Calibri"/>
                <w:noProof/>
              </w:rPr>
              <w:t>4.7.</w:t>
            </w:r>
            <w:r>
              <w:rPr>
                <w:rFonts w:asciiTheme="minorHAnsi" w:eastAsiaTheme="minorEastAsia" w:hAnsiTheme="minorHAnsi"/>
                <w:noProof/>
                <w:sz w:val="24"/>
                <w:lang w:eastAsia="fr-BE"/>
              </w:rPr>
              <w:tab/>
            </w:r>
            <w:r w:rsidRPr="00664CE6">
              <w:rPr>
                <w:rStyle w:val="Lienhypertexte"/>
                <w:noProof/>
              </w:rPr>
              <w:t>Potentiel d’accueil pour un écosystème rare</w:t>
            </w:r>
            <w:r>
              <w:rPr>
                <w:noProof/>
                <w:webHidden/>
              </w:rPr>
              <w:tab/>
            </w:r>
            <w:r>
              <w:rPr>
                <w:noProof/>
                <w:webHidden/>
              </w:rPr>
              <w:fldChar w:fldCharType="begin"/>
            </w:r>
            <w:r>
              <w:rPr>
                <w:noProof/>
                <w:webHidden/>
              </w:rPr>
              <w:instrText xml:space="preserve"> PAGEREF _Toc241478111 \h </w:instrText>
            </w:r>
            <w:r>
              <w:rPr>
                <w:noProof/>
                <w:webHidden/>
              </w:rPr>
            </w:r>
            <w:r>
              <w:rPr>
                <w:noProof/>
                <w:webHidden/>
              </w:rPr>
              <w:fldChar w:fldCharType="separate"/>
            </w:r>
            <w:r>
              <w:rPr>
                <w:noProof/>
                <w:webHidden/>
              </w:rPr>
              <w:t>33</w:t>
            </w:r>
            <w:r>
              <w:rPr>
                <w:noProof/>
                <w:webHidden/>
              </w:rPr>
              <w:fldChar w:fldCharType="end"/>
            </w:r>
          </w:hyperlink>
        </w:p>
        <w:p w14:paraId="622C383F" w14:textId="3F5FD0D8"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12" w:history="1">
            <w:r w:rsidRPr="00664CE6">
              <w:rPr>
                <w:rStyle w:val="Lienhypertexte"/>
                <w:noProof/>
              </w:rPr>
              <w:t>4.7.1.</w:t>
            </w:r>
            <w:r>
              <w:rPr>
                <w:rFonts w:asciiTheme="minorHAnsi" w:eastAsiaTheme="minorEastAsia" w:hAnsiTheme="minorHAnsi"/>
                <w:noProof/>
                <w:sz w:val="24"/>
                <w:lang w:eastAsia="fr-BE"/>
              </w:rPr>
              <w:tab/>
            </w:r>
            <w:r w:rsidRPr="00664CE6">
              <w:rPr>
                <w:rStyle w:val="Lienhypertexte"/>
                <w:noProof/>
              </w:rPr>
              <w:t>Fonctions</w:t>
            </w:r>
            <w:r>
              <w:rPr>
                <w:noProof/>
                <w:webHidden/>
              </w:rPr>
              <w:tab/>
            </w:r>
            <w:r>
              <w:rPr>
                <w:noProof/>
                <w:webHidden/>
              </w:rPr>
              <w:fldChar w:fldCharType="begin"/>
            </w:r>
            <w:r>
              <w:rPr>
                <w:noProof/>
                <w:webHidden/>
              </w:rPr>
              <w:instrText xml:space="preserve"> PAGEREF _Toc241478112 \h </w:instrText>
            </w:r>
            <w:r>
              <w:rPr>
                <w:noProof/>
                <w:webHidden/>
              </w:rPr>
            </w:r>
            <w:r>
              <w:rPr>
                <w:noProof/>
                <w:webHidden/>
              </w:rPr>
              <w:fldChar w:fldCharType="separate"/>
            </w:r>
            <w:r>
              <w:rPr>
                <w:noProof/>
                <w:webHidden/>
              </w:rPr>
              <w:t>34</w:t>
            </w:r>
            <w:r>
              <w:rPr>
                <w:noProof/>
                <w:webHidden/>
              </w:rPr>
              <w:fldChar w:fldCharType="end"/>
            </w:r>
          </w:hyperlink>
        </w:p>
        <w:p w14:paraId="5576B681" w14:textId="61C277CC"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13" w:history="1">
            <w:r w:rsidRPr="00664CE6">
              <w:rPr>
                <w:rStyle w:val="Lienhypertexte"/>
                <w:noProof/>
              </w:rPr>
              <w:t>4.7.2.</w:t>
            </w:r>
            <w:r>
              <w:rPr>
                <w:rFonts w:asciiTheme="minorHAnsi" w:eastAsiaTheme="minorEastAsia" w:hAnsiTheme="minorHAnsi"/>
                <w:noProof/>
                <w:sz w:val="24"/>
                <w:lang w:eastAsia="fr-BE"/>
              </w:rPr>
              <w:tab/>
            </w:r>
            <w:r w:rsidRPr="00664CE6">
              <w:rPr>
                <w:rStyle w:val="Lienhypertexte"/>
                <w:noProof/>
              </w:rPr>
              <w:t>Contraintes</w:t>
            </w:r>
            <w:r>
              <w:rPr>
                <w:noProof/>
                <w:webHidden/>
              </w:rPr>
              <w:tab/>
            </w:r>
            <w:r>
              <w:rPr>
                <w:noProof/>
                <w:webHidden/>
              </w:rPr>
              <w:fldChar w:fldCharType="begin"/>
            </w:r>
            <w:r>
              <w:rPr>
                <w:noProof/>
                <w:webHidden/>
              </w:rPr>
              <w:instrText xml:space="preserve"> PAGEREF _Toc241478113 \h </w:instrText>
            </w:r>
            <w:r>
              <w:rPr>
                <w:noProof/>
                <w:webHidden/>
              </w:rPr>
            </w:r>
            <w:r>
              <w:rPr>
                <w:noProof/>
                <w:webHidden/>
              </w:rPr>
              <w:fldChar w:fldCharType="separate"/>
            </w:r>
            <w:r>
              <w:rPr>
                <w:noProof/>
                <w:webHidden/>
              </w:rPr>
              <w:t>34</w:t>
            </w:r>
            <w:r>
              <w:rPr>
                <w:noProof/>
                <w:webHidden/>
              </w:rPr>
              <w:fldChar w:fldCharType="end"/>
            </w:r>
          </w:hyperlink>
        </w:p>
        <w:p w14:paraId="4644691A" w14:textId="0BB663AC"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14" w:history="1">
            <w:r w:rsidRPr="00664CE6">
              <w:rPr>
                <w:rStyle w:val="Lienhypertexte"/>
                <w:noProof/>
              </w:rPr>
              <w:t>4.7.3.</w:t>
            </w:r>
            <w:r>
              <w:rPr>
                <w:rFonts w:asciiTheme="minorHAnsi" w:eastAsiaTheme="minorEastAsia" w:hAnsiTheme="minorHAnsi"/>
                <w:noProof/>
                <w:sz w:val="24"/>
                <w:lang w:eastAsia="fr-BE"/>
              </w:rPr>
              <w:tab/>
            </w:r>
            <w:r w:rsidRPr="00664CE6">
              <w:rPr>
                <w:rStyle w:val="Lienhypertexte"/>
                <w:noProof/>
              </w:rPr>
              <w:t>Compléments indicatifs</w:t>
            </w:r>
            <w:r>
              <w:rPr>
                <w:noProof/>
                <w:webHidden/>
              </w:rPr>
              <w:tab/>
            </w:r>
            <w:r>
              <w:rPr>
                <w:noProof/>
                <w:webHidden/>
              </w:rPr>
              <w:fldChar w:fldCharType="begin"/>
            </w:r>
            <w:r>
              <w:rPr>
                <w:noProof/>
                <w:webHidden/>
              </w:rPr>
              <w:instrText xml:space="preserve"> PAGEREF _Toc241478114 \h </w:instrText>
            </w:r>
            <w:r>
              <w:rPr>
                <w:noProof/>
                <w:webHidden/>
              </w:rPr>
            </w:r>
            <w:r>
              <w:rPr>
                <w:noProof/>
                <w:webHidden/>
              </w:rPr>
              <w:fldChar w:fldCharType="separate"/>
            </w:r>
            <w:r>
              <w:rPr>
                <w:noProof/>
                <w:webHidden/>
              </w:rPr>
              <w:t>34</w:t>
            </w:r>
            <w:r>
              <w:rPr>
                <w:noProof/>
                <w:webHidden/>
              </w:rPr>
              <w:fldChar w:fldCharType="end"/>
            </w:r>
          </w:hyperlink>
        </w:p>
        <w:p w14:paraId="4980D60C" w14:textId="658BD21B"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15" w:history="1">
            <w:r w:rsidRPr="00664CE6">
              <w:rPr>
                <w:rStyle w:val="Lienhypertexte"/>
                <w:rFonts w:cs="Calibri"/>
                <w:noProof/>
              </w:rPr>
              <w:t>4.8.</w:t>
            </w:r>
            <w:r>
              <w:rPr>
                <w:rFonts w:asciiTheme="minorHAnsi" w:eastAsiaTheme="minorEastAsia" w:hAnsiTheme="minorHAnsi"/>
                <w:noProof/>
                <w:sz w:val="24"/>
                <w:lang w:eastAsia="fr-BE"/>
              </w:rPr>
              <w:tab/>
            </w:r>
            <w:r w:rsidRPr="00664CE6">
              <w:rPr>
                <w:rStyle w:val="Lienhypertexte"/>
                <w:noProof/>
              </w:rPr>
              <w:t>Habitat pour la biodiversité du sol</w:t>
            </w:r>
            <w:r>
              <w:rPr>
                <w:noProof/>
                <w:webHidden/>
              </w:rPr>
              <w:tab/>
            </w:r>
            <w:r>
              <w:rPr>
                <w:noProof/>
                <w:webHidden/>
              </w:rPr>
              <w:fldChar w:fldCharType="begin"/>
            </w:r>
            <w:r>
              <w:rPr>
                <w:noProof/>
                <w:webHidden/>
              </w:rPr>
              <w:instrText xml:space="preserve"> PAGEREF _Toc241478115 \h </w:instrText>
            </w:r>
            <w:r>
              <w:rPr>
                <w:noProof/>
                <w:webHidden/>
              </w:rPr>
            </w:r>
            <w:r>
              <w:rPr>
                <w:noProof/>
                <w:webHidden/>
              </w:rPr>
              <w:fldChar w:fldCharType="separate"/>
            </w:r>
            <w:r>
              <w:rPr>
                <w:noProof/>
                <w:webHidden/>
              </w:rPr>
              <w:t>34</w:t>
            </w:r>
            <w:r>
              <w:rPr>
                <w:noProof/>
                <w:webHidden/>
              </w:rPr>
              <w:fldChar w:fldCharType="end"/>
            </w:r>
          </w:hyperlink>
        </w:p>
        <w:p w14:paraId="6EA06EC3" w14:textId="1688B46D"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16" w:history="1">
            <w:r w:rsidRPr="00664CE6">
              <w:rPr>
                <w:rStyle w:val="Lienhypertexte"/>
                <w:noProof/>
              </w:rPr>
              <w:t>4.8.1.</w:t>
            </w:r>
            <w:r>
              <w:rPr>
                <w:rFonts w:asciiTheme="minorHAnsi" w:eastAsiaTheme="minorEastAsia" w:hAnsiTheme="minorHAnsi"/>
                <w:noProof/>
                <w:sz w:val="24"/>
                <w:lang w:eastAsia="fr-BE"/>
              </w:rPr>
              <w:tab/>
            </w:r>
            <w:r w:rsidRPr="00664CE6">
              <w:rPr>
                <w:rStyle w:val="Lienhypertexte"/>
                <w:noProof/>
              </w:rPr>
              <w:t>Fonctions</w:t>
            </w:r>
            <w:r>
              <w:rPr>
                <w:noProof/>
                <w:webHidden/>
              </w:rPr>
              <w:tab/>
            </w:r>
            <w:r>
              <w:rPr>
                <w:noProof/>
                <w:webHidden/>
              </w:rPr>
              <w:fldChar w:fldCharType="begin"/>
            </w:r>
            <w:r>
              <w:rPr>
                <w:noProof/>
                <w:webHidden/>
              </w:rPr>
              <w:instrText xml:space="preserve"> PAGEREF _Toc241478116 \h </w:instrText>
            </w:r>
            <w:r>
              <w:rPr>
                <w:noProof/>
                <w:webHidden/>
              </w:rPr>
            </w:r>
            <w:r>
              <w:rPr>
                <w:noProof/>
                <w:webHidden/>
              </w:rPr>
              <w:fldChar w:fldCharType="separate"/>
            </w:r>
            <w:r>
              <w:rPr>
                <w:noProof/>
                <w:webHidden/>
              </w:rPr>
              <w:t>35</w:t>
            </w:r>
            <w:r>
              <w:rPr>
                <w:noProof/>
                <w:webHidden/>
              </w:rPr>
              <w:fldChar w:fldCharType="end"/>
            </w:r>
          </w:hyperlink>
        </w:p>
        <w:p w14:paraId="1BC617F7" w14:textId="2F89F3CC"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17" w:history="1">
            <w:r w:rsidRPr="00664CE6">
              <w:rPr>
                <w:rStyle w:val="Lienhypertexte"/>
                <w:noProof/>
              </w:rPr>
              <w:t>4.8.2.</w:t>
            </w:r>
            <w:r>
              <w:rPr>
                <w:rFonts w:asciiTheme="minorHAnsi" w:eastAsiaTheme="minorEastAsia" w:hAnsiTheme="minorHAnsi"/>
                <w:noProof/>
                <w:sz w:val="24"/>
                <w:lang w:eastAsia="fr-BE"/>
              </w:rPr>
              <w:tab/>
            </w:r>
            <w:r w:rsidRPr="00664CE6">
              <w:rPr>
                <w:rStyle w:val="Lienhypertexte"/>
                <w:noProof/>
              </w:rPr>
              <w:t>Contraintes</w:t>
            </w:r>
            <w:r>
              <w:rPr>
                <w:noProof/>
                <w:webHidden/>
              </w:rPr>
              <w:tab/>
            </w:r>
            <w:r>
              <w:rPr>
                <w:noProof/>
                <w:webHidden/>
              </w:rPr>
              <w:fldChar w:fldCharType="begin"/>
            </w:r>
            <w:r>
              <w:rPr>
                <w:noProof/>
                <w:webHidden/>
              </w:rPr>
              <w:instrText xml:space="preserve"> PAGEREF _Toc241478117 \h </w:instrText>
            </w:r>
            <w:r>
              <w:rPr>
                <w:noProof/>
                <w:webHidden/>
              </w:rPr>
            </w:r>
            <w:r>
              <w:rPr>
                <w:noProof/>
                <w:webHidden/>
              </w:rPr>
              <w:fldChar w:fldCharType="separate"/>
            </w:r>
            <w:r>
              <w:rPr>
                <w:noProof/>
                <w:webHidden/>
              </w:rPr>
              <w:t>35</w:t>
            </w:r>
            <w:r>
              <w:rPr>
                <w:noProof/>
                <w:webHidden/>
              </w:rPr>
              <w:fldChar w:fldCharType="end"/>
            </w:r>
          </w:hyperlink>
        </w:p>
        <w:p w14:paraId="19923294" w14:textId="63E36DB5"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18" w:history="1">
            <w:r w:rsidRPr="00664CE6">
              <w:rPr>
                <w:rStyle w:val="Lienhypertexte"/>
                <w:noProof/>
              </w:rPr>
              <w:t>4.8.3.</w:t>
            </w:r>
            <w:r>
              <w:rPr>
                <w:rFonts w:asciiTheme="minorHAnsi" w:eastAsiaTheme="minorEastAsia" w:hAnsiTheme="minorHAnsi"/>
                <w:noProof/>
                <w:sz w:val="24"/>
                <w:lang w:eastAsia="fr-BE"/>
              </w:rPr>
              <w:tab/>
            </w:r>
            <w:r w:rsidRPr="00664CE6">
              <w:rPr>
                <w:rStyle w:val="Lienhypertexte"/>
                <w:noProof/>
              </w:rPr>
              <w:t>Complément indicatif</w:t>
            </w:r>
            <w:r>
              <w:rPr>
                <w:noProof/>
                <w:webHidden/>
              </w:rPr>
              <w:tab/>
            </w:r>
            <w:r>
              <w:rPr>
                <w:noProof/>
                <w:webHidden/>
              </w:rPr>
              <w:fldChar w:fldCharType="begin"/>
            </w:r>
            <w:r>
              <w:rPr>
                <w:noProof/>
                <w:webHidden/>
              </w:rPr>
              <w:instrText xml:space="preserve"> PAGEREF _Toc241478118 \h </w:instrText>
            </w:r>
            <w:r>
              <w:rPr>
                <w:noProof/>
                <w:webHidden/>
              </w:rPr>
            </w:r>
            <w:r>
              <w:rPr>
                <w:noProof/>
                <w:webHidden/>
              </w:rPr>
              <w:fldChar w:fldCharType="separate"/>
            </w:r>
            <w:r>
              <w:rPr>
                <w:noProof/>
                <w:webHidden/>
              </w:rPr>
              <w:t>35</w:t>
            </w:r>
            <w:r>
              <w:rPr>
                <w:noProof/>
                <w:webHidden/>
              </w:rPr>
              <w:fldChar w:fldCharType="end"/>
            </w:r>
          </w:hyperlink>
        </w:p>
        <w:p w14:paraId="18AB150F" w14:textId="1226C62F"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19" w:history="1">
            <w:r w:rsidRPr="00664CE6">
              <w:rPr>
                <w:rStyle w:val="Lienhypertexte"/>
                <w:rFonts w:cs="Calibri"/>
                <w:noProof/>
              </w:rPr>
              <w:t>4.9.</w:t>
            </w:r>
            <w:r>
              <w:rPr>
                <w:rFonts w:asciiTheme="minorHAnsi" w:eastAsiaTheme="minorEastAsia" w:hAnsiTheme="minorHAnsi"/>
                <w:noProof/>
                <w:sz w:val="24"/>
                <w:lang w:eastAsia="fr-BE"/>
              </w:rPr>
              <w:tab/>
            </w:r>
            <w:r w:rsidRPr="00664CE6">
              <w:rPr>
                <w:rStyle w:val="Lienhypertexte"/>
                <w:noProof/>
              </w:rPr>
              <w:t>Stockage de carbone</w:t>
            </w:r>
            <w:r>
              <w:rPr>
                <w:noProof/>
                <w:webHidden/>
              </w:rPr>
              <w:tab/>
            </w:r>
            <w:r>
              <w:rPr>
                <w:noProof/>
                <w:webHidden/>
              </w:rPr>
              <w:fldChar w:fldCharType="begin"/>
            </w:r>
            <w:r>
              <w:rPr>
                <w:noProof/>
                <w:webHidden/>
              </w:rPr>
              <w:instrText xml:space="preserve"> PAGEREF _Toc241478119 \h </w:instrText>
            </w:r>
            <w:r>
              <w:rPr>
                <w:noProof/>
                <w:webHidden/>
              </w:rPr>
            </w:r>
            <w:r>
              <w:rPr>
                <w:noProof/>
                <w:webHidden/>
              </w:rPr>
              <w:fldChar w:fldCharType="separate"/>
            </w:r>
            <w:r>
              <w:rPr>
                <w:noProof/>
                <w:webHidden/>
              </w:rPr>
              <w:t>35</w:t>
            </w:r>
            <w:r>
              <w:rPr>
                <w:noProof/>
                <w:webHidden/>
              </w:rPr>
              <w:fldChar w:fldCharType="end"/>
            </w:r>
          </w:hyperlink>
        </w:p>
        <w:p w14:paraId="7653AA40" w14:textId="7AF06594"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20" w:history="1">
            <w:r w:rsidRPr="00664CE6">
              <w:rPr>
                <w:rStyle w:val="Lienhypertexte"/>
                <w:noProof/>
              </w:rPr>
              <w:t>4.9.1.</w:t>
            </w:r>
            <w:r>
              <w:rPr>
                <w:rFonts w:asciiTheme="minorHAnsi" w:eastAsiaTheme="minorEastAsia" w:hAnsiTheme="minorHAnsi"/>
                <w:noProof/>
                <w:sz w:val="24"/>
                <w:lang w:eastAsia="fr-BE"/>
              </w:rPr>
              <w:tab/>
            </w:r>
            <w:r w:rsidRPr="00664CE6">
              <w:rPr>
                <w:rStyle w:val="Lienhypertexte"/>
                <w:noProof/>
              </w:rPr>
              <w:t>Fonctions</w:t>
            </w:r>
            <w:r>
              <w:rPr>
                <w:noProof/>
                <w:webHidden/>
              </w:rPr>
              <w:tab/>
            </w:r>
            <w:r>
              <w:rPr>
                <w:noProof/>
                <w:webHidden/>
              </w:rPr>
              <w:fldChar w:fldCharType="begin"/>
            </w:r>
            <w:r>
              <w:rPr>
                <w:noProof/>
                <w:webHidden/>
              </w:rPr>
              <w:instrText xml:space="preserve"> PAGEREF _Toc241478120 \h </w:instrText>
            </w:r>
            <w:r>
              <w:rPr>
                <w:noProof/>
                <w:webHidden/>
              </w:rPr>
            </w:r>
            <w:r>
              <w:rPr>
                <w:noProof/>
                <w:webHidden/>
              </w:rPr>
              <w:fldChar w:fldCharType="separate"/>
            </w:r>
            <w:r>
              <w:rPr>
                <w:noProof/>
                <w:webHidden/>
              </w:rPr>
              <w:t>35</w:t>
            </w:r>
            <w:r>
              <w:rPr>
                <w:noProof/>
                <w:webHidden/>
              </w:rPr>
              <w:fldChar w:fldCharType="end"/>
            </w:r>
          </w:hyperlink>
        </w:p>
        <w:p w14:paraId="02B7563C" w14:textId="0D7310C6"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21" w:history="1">
            <w:r w:rsidRPr="00664CE6">
              <w:rPr>
                <w:rStyle w:val="Lienhypertexte"/>
                <w:noProof/>
              </w:rPr>
              <w:t>4.9.2.</w:t>
            </w:r>
            <w:r>
              <w:rPr>
                <w:rFonts w:asciiTheme="minorHAnsi" w:eastAsiaTheme="minorEastAsia" w:hAnsiTheme="minorHAnsi"/>
                <w:noProof/>
                <w:sz w:val="24"/>
                <w:lang w:eastAsia="fr-BE"/>
              </w:rPr>
              <w:tab/>
            </w:r>
            <w:r w:rsidRPr="00664CE6">
              <w:rPr>
                <w:rStyle w:val="Lienhypertexte"/>
                <w:noProof/>
              </w:rPr>
              <w:t>Contraintes</w:t>
            </w:r>
            <w:r>
              <w:rPr>
                <w:noProof/>
                <w:webHidden/>
              </w:rPr>
              <w:tab/>
            </w:r>
            <w:r>
              <w:rPr>
                <w:noProof/>
                <w:webHidden/>
              </w:rPr>
              <w:fldChar w:fldCharType="begin"/>
            </w:r>
            <w:r>
              <w:rPr>
                <w:noProof/>
                <w:webHidden/>
              </w:rPr>
              <w:instrText xml:space="preserve"> PAGEREF _Toc241478121 \h </w:instrText>
            </w:r>
            <w:r>
              <w:rPr>
                <w:noProof/>
                <w:webHidden/>
              </w:rPr>
            </w:r>
            <w:r>
              <w:rPr>
                <w:noProof/>
                <w:webHidden/>
              </w:rPr>
              <w:fldChar w:fldCharType="separate"/>
            </w:r>
            <w:r>
              <w:rPr>
                <w:noProof/>
                <w:webHidden/>
              </w:rPr>
              <w:t>36</w:t>
            </w:r>
            <w:r>
              <w:rPr>
                <w:noProof/>
                <w:webHidden/>
              </w:rPr>
              <w:fldChar w:fldCharType="end"/>
            </w:r>
          </w:hyperlink>
        </w:p>
        <w:p w14:paraId="4E73EE5F" w14:textId="35B6FAF9"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22" w:history="1">
            <w:r w:rsidRPr="00664CE6">
              <w:rPr>
                <w:rStyle w:val="Lienhypertexte"/>
                <w:noProof/>
              </w:rPr>
              <w:t>4.9.3.</w:t>
            </w:r>
            <w:r>
              <w:rPr>
                <w:rFonts w:asciiTheme="minorHAnsi" w:eastAsiaTheme="minorEastAsia" w:hAnsiTheme="minorHAnsi"/>
                <w:noProof/>
                <w:sz w:val="24"/>
                <w:lang w:eastAsia="fr-BE"/>
              </w:rPr>
              <w:tab/>
            </w:r>
            <w:r w:rsidRPr="00664CE6">
              <w:rPr>
                <w:rStyle w:val="Lienhypertexte"/>
                <w:noProof/>
              </w:rPr>
              <w:t>Complément indicatif</w:t>
            </w:r>
            <w:r>
              <w:rPr>
                <w:noProof/>
                <w:webHidden/>
              </w:rPr>
              <w:tab/>
            </w:r>
            <w:r>
              <w:rPr>
                <w:noProof/>
                <w:webHidden/>
              </w:rPr>
              <w:fldChar w:fldCharType="begin"/>
            </w:r>
            <w:r>
              <w:rPr>
                <w:noProof/>
                <w:webHidden/>
              </w:rPr>
              <w:instrText xml:space="preserve"> PAGEREF _Toc241478122 \h </w:instrText>
            </w:r>
            <w:r>
              <w:rPr>
                <w:noProof/>
                <w:webHidden/>
              </w:rPr>
            </w:r>
            <w:r>
              <w:rPr>
                <w:noProof/>
                <w:webHidden/>
              </w:rPr>
              <w:fldChar w:fldCharType="separate"/>
            </w:r>
            <w:r>
              <w:rPr>
                <w:noProof/>
                <w:webHidden/>
              </w:rPr>
              <w:t>36</w:t>
            </w:r>
            <w:r>
              <w:rPr>
                <w:noProof/>
                <w:webHidden/>
              </w:rPr>
              <w:fldChar w:fldCharType="end"/>
            </w:r>
          </w:hyperlink>
        </w:p>
        <w:p w14:paraId="508CA3A8" w14:textId="347127D2" w:rsidR="00DC06FF" w:rsidRDefault="00DC06FF">
          <w:pPr>
            <w:pStyle w:val="TM2"/>
            <w:tabs>
              <w:tab w:val="left" w:pos="1200"/>
              <w:tab w:val="right" w:leader="dot" w:pos="9060"/>
            </w:tabs>
            <w:rPr>
              <w:rFonts w:asciiTheme="minorHAnsi" w:eastAsiaTheme="minorEastAsia" w:hAnsiTheme="minorHAnsi"/>
              <w:noProof/>
              <w:sz w:val="24"/>
              <w:lang w:eastAsia="fr-BE"/>
            </w:rPr>
          </w:pPr>
          <w:hyperlink w:anchor="_Toc241478123" w:history="1">
            <w:r w:rsidRPr="00664CE6">
              <w:rPr>
                <w:rStyle w:val="Lienhypertexte"/>
                <w:rFonts w:cs="Calibri"/>
                <w:noProof/>
              </w:rPr>
              <w:t>4.10.</w:t>
            </w:r>
            <w:r>
              <w:rPr>
                <w:rFonts w:asciiTheme="minorHAnsi" w:eastAsiaTheme="minorEastAsia" w:hAnsiTheme="minorHAnsi"/>
                <w:noProof/>
                <w:sz w:val="24"/>
                <w:lang w:eastAsia="fr-BE"/>
              </w:rPr>
              <w:tab/>
            </w:r>
            <w:r w:rsidRPr="00664CE6">
              <w:rPr>
                <w:rStyle w:val="Lienhypertexte"/>
                <w:noProof/>
              </w:rPr>
              <w:t>Support pour les activités humaines</w:t>
            </w:r>
            <w:r>
              <w:rPr>
                <w:noProof/>
                <w:webHidden/>
              </w:rPr>
              <w:tab/>
            </w:r>
            <w:r>
              <w:rPr>
                <w:noProof/>
                <w:webHidden/>
              </w:rPr>
              <w:fldChar w:fldCharType="begin"/>
            </w:r>
            <w:r>
              <w:rPr>
                <w:noProof/>
                <w:webHidden/>
              </w:rPr>
              <w:instrText xml:space="preserve"> PAGEREF _Toc241478123 \h </w:instrText>
            </w:r>
            <w:r>
              <w:rPr>
                <w:noProof/>
                <w:webHidden/>
              </w:rPr>
            </w:r>
            <w:r>
              <w:rPr>
                <w:noProof/>
                <w:webHidden/>
              </w:rPr>
              <w:fldChar w:fldCharType="separate"/>
            </w:r>
            <w:r>
              <w:rPr>
                <w:noProof/>
                <w:webHidden/>
              </w:rPr>
              <w:t>36</w:t>
            </w:r>
            <w:r>
              <w:rPr>
                <w:noProof/>
                <w:webHidden/>
              </w:rPr>
              <w:fldChar w:fldCharType="end"/>
            </w:r>
          </w:hyperlink>
        </w:p>
        <w:p w14:paraId="3E6F3926" w14:textId="5DFA2CA9"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24" w:history="1">
            <w:r w:rsidRPr="00664CE6">
              <w:rPr>
                <w:rStyle w:val="Lienhypertexte"/>
                <w:noProof/>
              </w:rPr>
              <w:t>4.10.1.</w:t>
            </w:r>
            <w:r>
              <w:rPr>
                <w:rFonts w:asciiTheme="minorHAnsi" w:eastAsiaTheme="minorEastAsia" w:hAnsiTheme="minorHAnsi"/>
                <w:noProof/>
                <w:sz w:val="24"/>
                <w:lang w:eastAsia="fr-BE"/>
              </w:rPr>
              <w:tab/>
            </w:r>
            <w:r w:rsidRPr="00664CE6">
              <w:rPr>
                <w:rStyle w:val="Lienhypertexte"/>
                <w:noProof/>
              </w:rPr>
              <w:t>Zones perméables (non-scellées)</w:t>
            </w:r>
            <w:r>
              <w:rPr>
                <w:noProof/>
                <w:webHidden/>
              </w:rPr>
              <w:tab/>
            </w:r>
            <w:r>
              <w:rPr>
                <w:noProof/>
                <w:webHidden/>
              </w:rPr>
              <w:fldChar w:fldCharType="begin"/>
            </w:r>
            <w:r>
              <w:rPr>
                <w:noProof/>
                <w:webHidden/>
              </w:rPr>
              <w:instrText xml:space="preserve"> PAGEREF _Toc241478124 \h </w:instrText>
            </w:r>
            <w:r>
              <w:rPr>
                <w:noProof/>
                <w:webHidden/>
              </w:rPr>
            </w:r>
            <w:r>
              <w:rPr>
                <w:noProof/>
                <w:webHidden/>
              </w:rPr>
              <w:fldChar w:fldCharType="separate"/>
            </w:r>
            <w:r>
              <w:rPr>
                <w:noProof/>
                <w:webHidden/>
              </w:rPr>
              <w:t>36</w:t>
            </w:r>
            <w:r>
              <w:rPr>
                <w:noProof/>
                <w:webHidden/>
              </w:rPr>
              <w:fldChar w:fldCharType="end"/>
            </w:r>
          </w:hyperlink>
        </w:p>
        <w:p w14:paraId="4BF04DD5" w14:textId="727F34FC"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25" w:history="1">
            <w:r w:rsidRPr="00664CE6">
              <w:rPr>
                <w:rStyle w:val="Lienhypertexte"/>
                <w:noProof/>
              </w:rPr>
              <w:t>4.10.2.</w:t>
            </w:r>
            <w:r>
              <w:rPr>
                <w:rFonts w:asciiTheme="minorHAnsi" w:eastAsiaTheme="minorEastAsia" w:hAnsiTheme="minorHAnsi"/>
                <w:noProof/>
                <w:sz w:val="24"/>
                <w:lang w:eastAsia="fr-BE"/>
              </w:rPr>
              <w:tab/>
            </w:r>
            <w:r w:rsidRPr="00664CE6">
              <w:rPr>
                <w:rStyle w:val="Lienhypertexte"/>
                <w:noProof/>
              </w:rPr>
              <w:t>Zones imperméables (scellées)</w:t>
            </w:r>
            <w:r>
              <w:rPr>
                <w:noProof/>
                <w:webHidden/>
              </w:rPr>
              <w:tab/>
            </w:r>
            <w:r>
              <w:rPr>
                <w:noProof/>
                <w:webHidden/>
              </w:rPr>
              <w:fldChar w:fldCharType="begin"/>
            </w:r>
            <w:r>
              <w:rPr>
                <w:noProof/>
                <w:webHidden/>
              </w:rPr>
              <w:instrText xml:space="preserve"> PAGEREF _Toc241478125 \h </w:instrText>
            </w:r>
            <w:r>
              <w:rPr>
                <w:noProof/>
                <w:webHidden/>
              </w:rPr>
            </w:r>
            <w:r>
              <w:rPr>
                <w:noProof/>
                <w:webHidden/>
              </w:rPr>
              <w:fldChar w:fldCharType="separate"/>
            </w:r>
            <w:r>
              <w:rPr>
                <w:noProof/>
                <w:webHidden/>
              </w:rPr>
              <w:t>36</w:t>
            </w:r>
            <w:r>
              <w:rPr>
                <w:noProof/>
                <w:webHidden/>
              </w:rPr>
              <w:fldChar w:fldCharType="end"/>
            </w:r>
          </w:hyperlink>
        </w:p>
        <w:p w14:paraId="5CE6B4DA" w14:textId="1D77A90A" w:rsidR="00DC06FF" w:rsidRDefault="00DC06FF">
          <w:pPr>
            <w:pStyle w:val="TM2"/>
            <w:tabs>
              <w:tab w:val="left" w:pos="1200"/>
              <w:tab w:val="right" w:leader="dot" w:pos="9060"/>
            </w:tabs>
            <w:rPr>
              <w:rFonts w:asciiTheme="minorHAnsi" w:eastAsiaTheme="minorEastAsia" w:hAnsiTheme="minorHAnsi"/>
              <w:noProof/>
              <w:sz w:val="24"/>
              <w:lang w:eastAsia="fr-BE"/>
            </w:rPr>
          </w:pPr>
          <w:hyperlink w:anchor="_Toc241478126" w:history="1">
            <w:r w:rsidRPr="00664CE6">
              <w:rPr>
                <w:rStyle w:val="Lienhypertexte"/>
                <w:rFonts w:cs="Calibri"/>
                <w:noProof/>
              </w:rPr>
              <w:t>4.11.</w:t>
            </w:r>
            <w:r>
              <w:rPr>
                <w:rFonts w:asciiTheme="minorHAnsi" w:eastAsiaTheme="minorEastAsia" w:hAnsiTheme="minorHAnsi"/>
                <w:noProof/>
                <w:sz w:val="24"/>
                <w:lang w:eastAsia="fr-BE"/>
              </w:rPr>
              <w:tab/>
            </w:r>
            <w:r w:rsidRPr="00664CE6">
              <w:rPr>
                <w:rStyle w:val="Lienhypertexte"/>
                <w:noProof/>
              </w:rPr>
              <w:t>Archivage du patrimoine</w:t>
            </w:r>
            <w:r>
              <w:rPr>
                <w:noProof/>
                <w:webHidden/>
              </w:rPr>
              <w:tab/>
            </w:r>
            <w:r>
              <w:rPr>
                <w:noProof/>
                <w:webHidden/>
              </w:rPr>
              <w:fldChar w:fldCharType="begin"/>
            </w:r>
            <w:r>
              <w:rPr>
                <w:noProof/>
                <w:webHidden/>
              </w:rPr>
              <w:instrText xml:space="preserve"> PAGEREF _Toc241478126 \h </w:instrText>
            </w:r>
            <w:r>
              <w:rPr>
                <w:noProof/>
                <w:webHidden/>
              </w:rPr>
            </w:r>
            <w:r>
              <w:rPr>
                <w:noProof/>
                <w:webHidden/>
              </w:rPr>
              <w:fldChar w:fldCharType="separate"/>
            </w:r>
            <w:r>
              <w:rPr>
                <w:noProof/>
                <w:webHidden/>
              </w:rPr>
              <w:t>37</w:t>
            </w:r>
            <w:r>
              <w:rPr>
                <w:noProof/>
                <w:webHidden/>
              </w:rPr>
              <w:fldChar w:fldCharType="end"/>
            </w:r>
          </w:hyperlink>
        </w:p>
        <w:p w14:paraId="19B4EC2F" w14:textId="1D8F8FD2" w:rsidR="00DC06FF" w:rsidRDefault="00DC06FF">
          <w:pPr>
            <w:pStyle w:val="TM2"/>
            <w:tabs>
              <w:tab w:val="left" w:pos="1200"/>
              <w:tab w:val="right" w:leader="dot" w:pos="9060"/>
            </w:tabs>
            <w:rPr>
              <w:rFonts w:asciiTheme="minorHAnsi" w:eastAsiaTheme="minorEastAsia" w:hAnsiTheme="minorHAnsi"/>
              <w:noProof/>
              <w:sz w:val="24"/>
              <w:lang w:eastAsia="fr-BE"/>
            </w:rPr>
          </w:pPr>
          <w:hyperlink w:anchor="_Toc241478127" w:history="1">
            <w:r w:rsidRPr="00664CE6">
              <w:rPr>
                <w:rStyle w:val="Lienhypertexte"/>
                <w:rFonts w:cs="Calibri"/>
                <w:noProof/>
              </w:rPr>
              <w:t>4.12.</w:t>
            </w:r>
            <w:r>
              <w:rPr>
                <w:rFonts w:asciiTheme="minorHAnsi" w:eastAsiaTheme="minorEastAsia" w:hAnsiTheme="minorHAnsi"/>
                <w:noProof/>
                <w:sz w:val="24"/>
                <w:lang w:eastAsia="fr-BE"/>
              </w:rPr>
              <w:tab/>
            </w:r>
            <w:r w:rsidRPr="00664CE6">
              <w:rPr>
                <w:rStyle w:val="Lienhypertexte"/>
                <w:noProof/>
              </w:rPr>
              <w:t>Source de matières premières</w:t>
            </w:r>
            <w:r>
              <w:rPr>
                <w:noProof/>
                <w:webHidden/>
              </w:rPr>
              <w:tab/>
            </w:r>
            <w:r>
              <w:rPr>
                <w:noProof/>
                <w:webHidden/>
              </w:rPr>
              <w:fldChar w:fldCharType="begin"/>
            </w:r>
            <w:r>
              <w:rPr>
                <w:noProof/>
                <w:webHidden/>
              </w:rPr>
              <w:instrText xml:space="preserve"> PAGEREF _Toc241478127 \h </w:instrText>
            </w:r>
            <w:r>
              <w:rPr>
                <w:noProof/>
                <w:webHidden/>
              </w:rPr>
            </w:r>
            <w:r>
              <w:rPr>
                <w:noProof/>
                <w:webHidden/>
              </w:rPr>
              <w:fldChar w:fldCharType="separate"/>
            </w:r>
            <w:r>
              <w:rPr>
                <w:noProof/>
                <w:webHidden/>
              </w:rPr>
              <w:t>37</w:t>
            </w:r>
            <w:r>
              <w:rPr>
                <w:noProof/>
                <w:webHidden/>
              </w:rPr>
              <w:fldChar w:fldCharType="end"/>
            </w:r>
          </w:hyperlink>
        </w:p>
        <w:p w14:paraId="4CD58A82" w14:textId="6BDF3700" w:rsidR="00DC06FF" w:rsidRDefault="00DC06FF">
          <w:pPr>
            <w:pStyle w:val="TM1"/>
            <w:tabs>
              <w:tab w:val="left" w:pos="480"/>
              <w:tab w:val="right" w:leader="dot" w:pos="9060"/>
            </w:tabs>
            <w:rPr>
              <w:rFonts w:asciiTheme="minorHAnsi" w:eastAsiaTheme="minorEastAsia" w:hAnsiTheme="minorHAnsi"/>
              <w:noProof/>
              <w:sz w:val="24"/>
              <w:lang w:eastAsia="fr-BE"/>
            </w:rPr>
          </w:pPr>
          <w:hyperlink w:anchor="_Toc241478128" w:history="1">
            <w:r w:rsidRPr="00664CE6">
              <w:rPr>
                <w:rStyle w:val="Lienhypertexte"/>
                <w:noProof/>
              </w:rPr>
              <w:t>5.</w:t>
            </w:r>
            <w:r>
              <w:rPr>
                <w:rFonts w:asciiTheme="minorHAnsi" w:eastAsiaTheme="minorEastAsia" w:hAnsiTheme="minorHAnsi"/>
                <w:noProof/>
                <w:sz w:val="24"/>
                <w:lang w:eastAsia="fr-BE"/>
              </w:rPr>
              <w:tab/>
            </w:r>
            <w:r w:rsidRPr="00664CE6">
              <w:rPr>
                <w:rStyle w:val="Lienhypertexte"/>
                <w:noProof/>
              </w:rPr>
              <w:t>Résultats du diagnostic</w:t>
            </w:r>
            <w:r>
              <w:rPr>
                <w:noProof/>
                <w:webHidden/>
              </w:rPr>
              <w:tab/>
            </w:r>
            <w:r>
              <w:rPr>
                <w:noProof/>
                <w:webHidden/>
              </w:rPr>
              <w:fldChar w:fldCharType="begin"/>
            </w:r>
            <w:r>
              <w:rPr>
                <w:noProof/>
                <w:webHidden/>
              </w:rPr>
              <w:instrText xml:space="preserve"> PAGEREF _Toc241478128 \h </w:instrText>
            </w:r>
            <w:r>
              <w:rPr>
                <w:noProof/>
                <w:webHidden/>
              </w:rPr>
            </w:r>
            <w:r>
              <w:rPr>
                <w:noProof/>
                <w:webHidden/>
              </w:rPr>
              <w:fldChar w:fldCharType="separate"/>
            </w:r>
            <w:r>
              <w:rPr>
                <w:noProof/>
                <w:webHidden/>
              </w:rPr>
              <w:t>37</w:t>
            </w:r>
            <w:r>
              <w:rPr>
                <w:noProof/>
                <w:webHidden/>
              </w:rPr>
              <w:fldChar w:fldCharType="end"/>
            </w:r>
          </w:hyperlink>
        </w:p>
        <w:p w14:paraId="372F8959" w14:textId="6437A539"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29" w:history="1">
            <w:r w:rsidRPr="00664CE6">
              <w:rPr>
                <w:rStyle w:val="Lienhypertexte"/>
                <w:rFonts w:cs="Calibri"/>
                <w:noProof/>
              </w:rPr>
              <w:t>5.1.</w:t>
            </w:r>
            <w:r>
              <w:rPr>
                <w:rFonts w:asciiTheme="minorHAnsi" w:eastAsiaTheme="minorEastAsia" w:hAnsiTheme="minorHAnsi"/>
                <w:noProof/>
                <w:sz w:val="24"/>
                <w:lang w:eastAsia="fr-BE"/>
              </w:rPr>
              <w:tab/>
            </w:r>
            <w:r w:rsidRPr="00664CE6">
              <w:rPr>
                <w:rStyle w:val="Lienhypertexte"/>
                <w:noProof/>
              </w:rPr>
              <w:t>Calcul des scores de services écosystémiques</w:t>
            </w:r>
            <w:r>
              <w:rPr>
                <w:noProof/>
                <w:webHidden/>
              </w:rPr>
              <w:tab/>
            </w:r>
            <w:r>
              <w:rPr>
                <w:noProof/>
                <w:webHidden/>
              </w:rPr>
              <w:fldChar w:fldCharType="begin"/>
            </w:r>
            <w:r>
              <w:rPr>
                <w:noProof/>
                <w:webHidden/>
              </w:rPr>
              <w:instrText xml:space="preserve"> PAGEREF _Toc241478129 \h </w:instrText>
            </w:r>
            <w:r>
              <w:rPr>
                <w:noProof/>
                <w:webHidden/>
              </w:rPr>
            </w:r>
            <w:r>
              <w:rPr>
                <w:noProof/>
                <w:webHidden/>
              </w:rPr>
              <w:fldChar w:fldCharType="separate"/>
            </w:r>
            <w:r>
              <w:rPr>
                <w:noProof/>
                <w:webHidden/>
              </w:rPr>
              <w:t>37</w:t>
            </w:r>
            <w:r>
              <w:rPr>
                <w:noProof/>
                <w:webHidden/>
              </w:rPr>
              <w:fldChar w:fldCharType="end"/>
            </w:r>
          </w:hyperlink>
        </w:p>
        <w:p w14:paraId="35B4F94B" w14:textId="026DFD6D"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30" w:history="1">
            <w:r w:rsidRPr="00664CE6">
              <w:rPr>
                <w:rStyle w:val="Lienhypertexte"/>
                <w:noProof/>
              </w:rPr>
              <w:t>5.1.1.</w:t>
            </w:r>
            <w:r>
              <w:rPr>
                <w:rFonts w:asciiTheme="minorHAnsi" w:eastAsiaTheme="minorEastAsia" w:hAnsiTheme="minorHAnsi"/>
                <w:noProof/>
                <w:sz w:val="24"/>
                <w:lang w:eastAsia="fr-BE"/>
              </w:rPr>
              <w:tab/>
            </w:r>
            <w:r w:rsidRPr="00664CE6">
              <w:rPr>
                <w:rStyle w:val="Lienhypertexte"/>
                <w:noProof/>
              </w:rPr>
              <w:t>Synthèse des indicateurs</w:t>
            </w:r>
            <w:r>
              <w:rPr>
                <w:noProof/>
                <w:webHidden/>
              </w:rPr>
              <w:tab/>
            </w:r>
            <w:r>
              <w:rPr>
                <w:noProof/>
                <w:webHidden/>
              </w:rPr>
              <w:fldChar w:fldCharType="begin"/>
            </w:r>
            <w:r>
              <w:rPr>
                <w:noProof/>
                <w:webHidden/>
              </w:rPr>
              <w:instrText xml:space="preserve"> PAGEREF _Toc241478130 \h </w:instrText>
            </w:r>
            <w:r>
              <w:rPr>
                <w:noProof/>
                <w:webHidden/>
              </w:rPr>
            </w:r>
            <w:r>
              <w:rPr>
                <w:noProof/>
                <w:webHidden/>
              </w:rPr>
              <w:fldChar w:fldCharType="separate"/>
            </w:r>
            <w:r>
              <w:rPr>
                <w:noProof/>
                <w:webHidden/>
              </w:rPr>
              <w:t>37</w:t>
            </w:r>
            <w:r>
              <w:rPr>
                <w:noProof/>
                <w:webHidden/>
              </w:rPr>
              <w:fldChar w:fldCharType="end"/>
            </w:r>
          </w:hyperlink>
        </w:p>
        <w:p w14:paraId="7ACC838A" w14:textId="233ED2C5"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31" w:history="1">
            <w:r w:rsidRPr="00664CE6">
              <w:rPr>
                <w:rStyle w:val="Lienhypertexte"/>
                <w:noProof/>
              </w:rPr>
              <w:t>5.1.2.</w:t>
            </w:r>
            <w:r>
              <w:rPr>
                <w:rFonts w:asciiTheme="minorHAnsi" w:eastAsiaTheme="minorEastAsia" w:hAnsiTheme="minorHAnsi"/>
                <w:noProof/>
                <w:sz w:val="24"/>
                <w:lang w:eastAsia="fr-BE"/>
              </w:rPr>
              <w:tab/>
            </w:r>
            <w:r w:rsidRPr="00664CE6">
              <w:rPr>
                <w:rStyle w:val="Lienhypertexte"/>
                <w:noProof/>
              </w:rPr>
              <w:t>Agrégation des indicateurs</w:t>
            </w:r>
            <w:r>
              <w:rPr>
                <w:noProof/>
                <w:webHidden/>
              </w:rPr>
              <w:tab/>
            </w:r>
            <w:r>
              <w:rPr>
                <w:noProof/>
                <w:webHidden/>
              </w:rPr>
              <w:fldChar w:fldCharType="begin"/>
            </w:r>
            <w:r>
              <w:rPr>
                <w:noProof/>
                <w:webHidden/>
              </w:rPr>
              <w:instrText xml:space="preserve"> PAGEREF _Toc241478131 \h </w:instrText>
            </w:r>
            <w:r>
              <w:rPr>
                <w:noProof/>
                <w:webHidden/>
              </w:rPr>
            </w:r>
            <w:r>
              <w:rPr>
                <w:noProof/>
                <w:webHidden/>
              </w:rPr>
              <w:fldChar w:fldCharType="separate"/>
            </w:r>
            <w:r>
              <w:rPr>
                <w:noProof/>
                <w:webHidden/>
              </w:rPr>
              <w:t>39</w:t>
            </w:r>
            <w:r>
              <w:rPr>
                <w:noProof/>
                <w:webHidden/>
              </w:rPr>
              <w:fldChar w:fldCharType="end"/>
            </w:r>
          </w:hyperlink>
        </w:p>
        <w:p w14:paraId="12DF4869" w14:textId="79B3A91B"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32" w:history="1">
            <w:r w:rsidRPr="00664CE6">
              <w:rPr>
                <w:rStyle w:val="Lienhypertexte"/>
                <w:rFonts w:cs="Calibri"/>
                <w:noProof/>
              </w:rPr>
              <w:t>5.2.</w:t>
            </w:r>
            <w:r>
              <w:rPr>
                <w:rFonts w:asciiTheme="minorHAnsi" w:eastAsiaTheme="minorEastAsia" w:hAnsiTheme="minorHAnsi"/>
                <w:noProof/>
                <w:sz w:val="24"/>
                <w:lang w:eastAsia="fr-BE"/>
              </w:rPr>
              <w:tab/>
            </w:r>
            <w:r w:rsidRPr="00664CE6">
              <w:rPr>
                <w:rStyle w:val="Lienhypertexte"/>
                <w:noProof/>
              </w:rPr>
              <w:t>Agrégation en score IQSW-pro global</w:t>
            </w:r>
            <w:r>
              <w:rPr>
                <w:noProof/>
                <w:webHidden/>
              </w:rPr>
              <w:tab/>
            </w:r>
            <w:r>
              <w:rPr>
                <w:noProof/>
                <w:webHidden/>
              </w:rPr>
              <w:fldChar w:fldCharType="begin"/>
            </w:r>
            <w:r>
              <w:rPr>
                <w:noProof/>
                <w:webHidden/>
              </w:rPr>
              <w:instrText xml:space="preserve"> PAGEREF _Toc241478132 \h </w:instrText>
            </w:r>
            <w:r>
              <w:rPr>
                <w:noProof/>
                <w:webHidden/>
              </w:rPr>
            </w:r>
            <w:r>
              <w:rPr>
                <w:noProof/>
                <w:webHidden/>
              </w:rPr>
              <w:fldChar w:fldCharType="separate"/>
            </w:r>
            <w:r>
              <w:rPr>
                <w:noProof/>
                <w:webHidden/>
              </w:rPr>
              <w:t>42</w:t>
            </w:r>
            <w:r>
              <w:rPr>
                <w:noProof/>
                <w:webHidden/>
              </w:rPr>
              <w:fldChar w:fldCharType="end"/>
            </w:r>
          </w:hyperlink>
        </w:p>
        <w:p w14:paraId="1AE9A09D" w14:textId="3D3ADB89"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33" w:history="1">
            <w:r w:rsidRPr="00664CE6">
              <w:rPr>
                <w:rStyle w:val="Lienhypertexte"/>
                <w:noProof/>
              </w:rPr>
              <w:t>5.2.1.</w:t>
            </w:r>
            <w:r>
              <w:rPr>
                <w:rFonts w:asciiTheme="minorHAnsi" w:eastAsiaTheme="minorEastAsia" w:hAnsiTheme="minorHAnsi"/>
                <w:noProof/>
                <w:sz w:val="24"/>
                <w:lang w:eastAsia="fr-BE"/>
              </w:rPr>
              <w:tab/>
            </w:r>
            <w:r w:rsidRPr="00664CE6">
              <w:rPr>
                <w:rStyle w:val="Lienhypertexte"/>
                <w:noProof/>
              </w:rPr>
              <w:t>Délimitation des usages</w:t>
            </w:r>
            <w:r>
              <w:rPr>
                <w:noProof/>
                <w:webHidden/>
              </w:rPr>
              <w:tab/>
            </w:r>
            <w:r>
              <w:rPr>
                <w:noProof/>
                <w:webHidden/>
              </w:rPr>
              <w:fldChar w:fldCharType="begin"/>
            </w:r>
            <w:r>
              <w:rPr>
                <w:noProof/>
                <w:webHidden/>
              </w:rPr>
              <w:instrText xml:space="preserve"> PAGEREF _Toc241478133 \h </w:instrText>
            </w:r>
            <w:r>
              <w:rPr>
                <w:noProof/>
                <w:webHidden/>
              </w:rPr>
            </w:r>
            <w:r>
              <w:rPr>
                <w:noProof/>
                <w:webHidden/>
              </w:rPr>
              <w:fldChar w:fldCharType="separate"/>
            </w:r>
            <w:r>
              <w:rPr>
                <w:noProof/>
                <w:webHidden/>
              </w:rPr>
              <w:t>42</w:t>
            </w:r>
            <w:r>
              <w:rPr>
                <w:noProof/>
                <w:webHidden/>
              </w:rPr>
              <w:fldChar w:fldCharType="end"/>
            </w:r>
          </w:hyperlink>
        </w:p>
        <w:p w14:paraId="0FC370EB" w14:textId="54C37709"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34" w:history="1">
            <w:r w:rsidRPr="00664CE6">
              <w:rPr>
                <w:rStyle w:val="Lienhypertexte"/>
                <w:noProof/>
              </w:rPr>
              <w:t>5.2.2.</w:t>
            </w:r>
            <w:r>
              <w:rPr>
                <w:rFonts w:asciiTheme="minorHAnsi" w:eastAsiaTheme="minorEastAsia" w:hAnsiTheme="minorHAnsi"/>
                <w:noProof/>
                <w:sz w:val="24"/>
                <w:lang w:eastAsia="fr-BE"/>
              </w:rPr>
              <w:tab/>
            </w:r>
            <w:r w:rsidRPr="00664CE6">
              <w:rPr>
                <w:rStyle w:val="Lienhypertexte"/>
                <w:noProof/>
              </w:rPr>
              <w:t>Pondération des services dans l’usage</w:t>
            </w:r>
            <w:r>
              <w:rPr>
                <w:noProof/>
                <w:webHidden/>
              </w:rPr>
              <w:tab/>
            </w:r>
            <w:r>
              <w:rPr>
                <w:noProof/>
                <w:webHidden/>
              </w:rPr>
              <w:fldChar w:fldCharType="begin"/>
            </w:r>
            <w:r>
              <w:rPr>
                <w:noProof/>
                <w:webHidden/>
              </w:rPr>
              <w:instrText xml:space="preserve"> PAGEREF _Toc241478134 \h </w:instrText>
            </w:r>
            <w:r>
              <w:rPr>
                <w:noProof/>
                <w:webHidden/>
              </w:rPr>
            </w:r>
            <w:r>
              <w:rPr>
                <w:noProof/>
                <w:webHidden/>
              </w:rPr>
              <w:fldChar w:fldCharType="separate"/>
            </w:r>
            <w:r>
              <w:rPr>
                <w:noProof/>
                <w:webHidden/>
              </w:rPr>
              <w:t>43</w:t>
            </w:r>
            <w:r>
              <w:rPr>
                <w:noProof/>
                <w:webHidden/>
              </w:rPr>
              <w:fldChar w:fldCharType="end"/>
            </w:r>
          </w:hyperlink>
        </w:p>
        <w:p w14:paraId="57CF9E98" w14:textId="3121AE35"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35" w:history="1">
            <w:r w:rsidRPr="00664CE6">
              <w:rPr>
                <w:rStyle w:val="Lienhypertexte"/>
                <w:rFonts w:cs="Calibri"/>
                <w:noProof/>
              </w:rPr>
              <w:t>5.3.</w:t>
            </w:r>
            <w:r>
              <w:rPr>
                <w:rFonts w:asciiTheme="minorHAnsi" w:eastAsiaTheme="minorEastAsia" w:hAnsiTheme="minorHAnsi"/>
                <w:noProof/>
                <w:sz w:val="24"/>
                <w:lang w:eastAsia="fr-BE"/>
              </w:rPr>
              <w:tab/>
            </w:r>
            <w:r w:rsidRPr="00664CE6">
              <w:rPr>
                <w:rStyle w:val="Lienhypertexte"/>
                <w:noProof/>
              </w:rPr>
              <w:t>Intégration dans les évaluations environnementales</w:t>
            </w:r>
            <w:r>
              <w:rPr>
                <w:noProof/>
                <w:webHidden/>
              </w:rPr>
              <w:tab/>
            </w:r>
            <w:r>
              <w:rPr>
                <w:noProof/>
                <w:webHidden/>
              </w:rPr>
              <w:fldChar w:fldCharType="begin"/>
            </w:r>
            <w:r>
              <w:rPr>
                <w:noProof/>
                <w:webHidden/>
              </w:rPr>
              <w:instrText xml:space="preserve"> PAGEREF _Toc241478135 \h </w:instrText>
            </w:r>
            <w:r>
              <w:rPr>
                <w:noProof/>
                <w:webHidden/>
              </w:rPr>
            </w:r>
            <w:r>
              <w:rPr>
                <w:noProof/>
                <w:webHidden/>
              </w:rPr>
              <w:fldChar w:fldCharType="separate"/>
            </w:r>
            <w:r>
              <w:rPr>
                <w:noProof/>
                <w:webHidden/>
              </w:rPr>
              <w:t>45</w:t>
            </w:r>
            <w:r>
              <w:rPr>
                <w:noProof/>
                <w:webHidden/>
              </w:rPr>
              <w:fldChar w:fldCharType="end"/>
            </w:r>
          </w:hyperlink>
        </w:p>
        <w:p w14:paraId="53040209" w14:textId="46BF7465"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36" w:history="1">
            <w:r w:rsidRPr="00664CE6">
              <w:rPr>
                <w:rStyle w:val="Lienhypertexte"/>
                <w:noProof/>
              </w:rPr>
              <w:t>5.3.1.</w:t>
            </w:r>
            <w:r>
              <w:rPr>
                <w:rFonts w:asciiTheme="minorHAnsi" w:eastAsiaTheme="minorEastAsia" w:hAnsiTheme="minorHAnsi"/>
                <w:noProof/>
                <w:sz w:val="24"/>
                <w:lang w:eastAsia="fr-BE"/>
              </w:rPr>
              <w:tab/>
            </w:r>
            <w:r w:rsidRPr="00664CE6">
              <w:rPr>
                <w:rStyle w:val="Lienhypertexte"/>
                <w:noProof/>
              </w:rPr>
              <w:t>Exemples d’implémentations concrètes (à l’étranger)</w:t>
            </w:r>
            <w:r>
              <w:rPr>
                <w:noProof/>
                <w:webHidden/>
              </w:rPr>
              <w:tab/>
            </w:r>
            <w:r>
              <w:rPr>
                <w:noProof/>
                <w:webHidden/>
              </w:rPr>
              <w:fldChar w:fldCharType="begin"/>
            </w:r>
            <w:r>
              <w:rPr>
                <w:noProof/>
                <w:webHidden/>
              </w:rPr>
              <w:instrText xml:space="preserve"> PAGEREF _Toc241478136 \h </w:instrText>
            </w:r>
            <w:r>
              <w:rPr>
                <w:noProof/>
                <w:webHidden/>
              </w:rPr>
            </w:r>
            <w:r>
              <w:rPr>
                <w:noProof/>
                <w:webHidden/>
              </w:rPr>
              <w:fldChar w:fldCharType="separate"/>
            </w:r>
            <w:r>
              <w:rPr>
                <w:noProof/>
                <w:webHidden/>
              </w:rPr>
              <w:t>45</w:t>
            </w:r>
            <w:r>
              <w:rPr>
                <w:noProof/>
                <w:webHidden/>
              </w:rPr>
              <w:fldChar w:fldCharType="end"/>
            </w:r>
          </w:hyperlink>
        </w:p>
        <w:p w14:paraId="5BCF04C9" w14:textId="0ED1BA40"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37" w:history="1">
            <w:r w:rsidRPr="00664CE6">
              <w:rPr>
                <w:rStyle w:val="Lienhypertexte"/>
                <w:noProof/>
                <w:lang w:val="fr-FR"/>
              </w:rPr>
              <w:t>5.3.2.</w:t>
            </w:r>
            <w:r>
              <w:rPr>
                <w:rFonts w:asciiTheme="minorHAnsi" w:eastAsiaTheme="minorEastAsia" w:hAnsiTheme="minorHAnsi"/>
                <w:noProof/>
                <w:sz w:val="24"/>
                <w:lang w:eastAsia="fr-BE"/>
              </w:rPr>
              <w:tab/>
            </w:r>
            <w:r w:rsidRPr="00664CE6">
              <w:rPr>
                <w:rStyle w:val="Lienhypertexte"/>
                <w:noProof/>
                <w:lang w:val="fr-FR"/>
              </w:rPr>
              <w:t>Transposition au contexte wallon</w:t>
            </w:r>
            <w:r>
              <w:rPr>
                <w:noProof/>
                <w:webHidden/>
              </w:rPr>
              <w:tab/>
            </w:r>
            <w:r>
              <w:rPr>
                <w:noProof/>
                <w:webHidden/>
              </w:rPr>
              <w:fldChar w:fldCharType="begin"/>
            </w:r>
            <w:r>
              <w:rPr>
                <w:noProof/>
                <w:webHidden/>
              </w:rPr>
              <w:instrText xml:space="preserve"> PAGEREF _Toc241478137 \h </w:instrText>
            </w:r>
            <w:r>
              <w:rPr>
                <w:noProof/>
                <w:webHidden/>
              </w:rPr>
            </w:r>
            <w:r>
              <w:rPr>
                <w:noProof/>
                <w:webHidden/>
              </w:rPr>
              <w:fldChar w:fldCharType="separate"/>
            </w:r>
            <w:r>
              <w:rPr>
                <w:noProof/>
                <w:webHidden/>
              </w:rPr>
              <w:t>46</w:t>
            </w:r>
            <w:r>
              <w:rPr>
                <w:noProof/>
                <w:webHidden/>
              </w:rPr>
              <w:fldChar w:fldCharType="end"/>
            </w:r>
          </w:hyperlink>
        </w:p>
        <w:p w14:paraId="2FF773FA" w14:textId="02514531"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38" w:history="1">
            <w:r w:rsidRPr="00664CE6">
              <w:rPr>
                <w:rStyle w:val="Lienhypertexte"/>
                <w:rFonts w:cs="Calibri"/>
                <w:noProof/>
              </w:rPr>
              <w:t>5.4.</w:t>
            </w:r>
            <w:r>
              <w:rPr>
                <w:rFonts w:asciiTheme="minorHAnsi" w:eastAsiaTheme="minorEastAsia" w:hAnsiTheme="minorHAnsi"/>
                <w:noProof/>
                <w:sz w:val="24"/>
                <w:lang w:eastAsia="fr-BE"/>
              </w:rPr>
              <w:tab/>
            </w:r>
            <w:r w:rsidRPr="00664CE6">
              <w:rPr>
                <w:rStyle w:val="Lienhypertexte"/>
                <w:noProof/>
              </w:rPr>
              <w:t>Évaluation d’impact dans le cas des études sur projet</w:t>
            </w:r>
            <w:r>
              <w:rPr>
                <w:noProof/>
                <w:webHidden/>
              </w:rPr>
              <w:tab/>
            </w:r>
            <w:r>
              <w:rPr>
                <w:noProof/>
                <w:webHidden/>
              </w:rPr>
              <w:fldChar w:fldCharType="begin"/>
            </w:r>
            <w:r>
              <w:rPr>
                <w:noProof/>
                <w:webHidden/>
              </w:rPr>
              <w:instrText xml:space="preserve"> PAGEREF _Toc241478138 \h </w:instrText>
            </w:r>
            <w:r>
              <w:rPr>
                <w:noProof/>
                <w:webHidden/>
              </w:rPr>
            </w:r>
            <w:r>
              <w:rPr>
                <w:noProof/>
                <w:webHidden/>
              </w:rPr>
              <w:fldChar w:fldCharType="separate"/>
            </w:r>
            <w:r>
              <w:rPr>
                <w:noProof/>
                <w:webHidden/>
              </w:rPr>
              <w:t>47</w:t>
            </w:r>
            <w:r>
              <w:rPr>
                <w:noProof/>
                <w:webHidden/>
              </w:rPr>
              <w:fldChar w:fldCharType="end"/>
            </w:r>
          </w:hyperlink>
        </w:p>
        <w:p w14:paraId="4329194F" w14:textId="37CD20F3"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39" w:history="1">
            <w:r w:rsidRPr="00664CE6">
              <w:rPr>
                <w:rStyle w:val="Lienhypertexte"/>
                <w:noProof/>
              </w:rPr>
              <w:t>5.4.1.</w:t>
            </w:r>
            <w:r>
              <w:rPr>
                <w:rFonts w:asciiTheme="minorHAnsi" w:eastAsiaTheme="minorEastAsia" w:hAnsiTheme="minorHAnsi"/>
                <w:noProof/>
                <w:sz w:val="24"/>
                <w:lang w:eastAsia="fr-BE"/>
              </w:rPr>
              <w:tab/>
            </w:r>
            <w:r w:rsidRPr="00664CE6">
              <w:rPr>
                <w:rStyle w:val="Lienhypertexte"/>
                <w:noProof/>
              </w:rPr>
              <w:t>Bilan avant-après projet</w:t>
            </w:r>
            <w:r>
              <w:rPr>
                <w:noProof/>
                <w:webHidden/>
              </w:rPr>
              <w:tab/>
            </w:r>
            <w:r>
              <w:rPr>
                <w:noProof/>
                <w:webHidden/>
              </w:rPr>
              <w:fldChar w:fldCharType="begin"/>
            </w:r>
            <w:r>
              <w:rPr>
                <w:noProof/>
                <w:webHidden/>
              </w:rPr>
              <w:instrText xml:space="preserve"> PAGEREF _Toc241478139 \h </w:instrText>
            </w:r>
            <w:r>
              <w:rPr>
                <w:noProof/>
                <w:webHidden/>
              </w:rPr>
            </w:r>
            <w:r>
              <w:rPr>
                <w:noProof/>
                <w:webHidden/>
              </w:rPr>
              <w:fldChar w:fldCharType="separate"/>
            </w:r>
            <w:r>
              <w:rPr>
                <w:noProof/>
                <w:webHidden/>
              </w:rPr>
              <w:t>47</w:t>
            </w:r>
            <w:r>
              <w:rPr>
                <w:noProof/>
                <w:webHidden/>
              </w:rPr>
              <w:fldChar w:fldCharType="end"/>
            </w:r>
          </w:hyperlink>
        </w:p>
        <w:p w14:paraId="1ABCBD39" w14:textId="6DA5CC16"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40" w:history="1">
            <w:r w:rsidRPr="00664CE6">
              <w:rPr>
                <w:rStyle w:val="Lienhypertexte"/>
                <w:noProof/>
              </w:rPr>
              <w:t>5.4.2.</w:t>
            </w:r>
            <w:r>
              <w:rPr>
                <w:rFonts w:asciiTheme="minorHAnsi" w:eastAsiaTheme="minorEastAsia" w:hAnsiTheme="minorHAnsi"/>
                <w:noProof/>
                <w:sz w:val="24"/>
                <w:lang w:eastAsia="fr-BE"/>
              </w:rPr>
              <w:tab/>
            </w:r>
            <w:r w:rsidRPr="00664CE6">
              <w:rPr>
                <w:rStyle w:val="Lienhypertexte"/>
                <w:noProof/>
              </w:rPr>
              <w:t>Zonage du site</w:t>
            </w:r>
            <w:r>
              <w:rPr>
                <w:noProof/>
                <w:webHidden/>
              </w:rPr>
              <w:tab/>
            </w:r>
            <w:r>
              <w:rPr>
                <w:noProof/>
                <w:webHidden/>
              </w:rPr>
              <w:fldChar w:fldCharType="begin"/>
            </w:r>
            <w:r>
              <w:rPr>
                <w:noProof/>
                <w:webHidden/>
              </w:rPr>
              <w:instrText xml:space="preserve"> PAGEREF _Toc241478140 \h </w:instrText>
            </w:r>
            <w:r>
              <w:rPr>
                <w:noProof/>
                <w:webHidden/>
              </w:rPr>
            </w:r>
            <w:r>
              <w:rPr>
                <w:noProof/>
                <w:webHidden/>
              </w:rPr>
              <w:fldChar w:fldCharType="separate"/>
            </w:r>
            <w:r>
              <w:rPr>
                <w:noProof/>
                <w:webHidden/>
              </w:rPr>
              <w:t>48</w:t>
            </w:r>
            <w:r>
              <w:rPr>
                <w:noProof/>
                <w:webHidden/>
              </w:rPr>
              <w:fldChar w:fldCharType="end"/>
            </w:r>
          </w:hyperlink>
        </w:p>
        <w:p w14:paraId="55B3FF29" w14:textId="0CAF87BF"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41" w:history="1">
            <w:r w:rsidRPr="00664CE6">
              <w:rPr>
                <w:rStyle w:val="Lienhypertexte"/>
                <w:noProof/>
              </w:rPr>
              <w:t>5.4.3.</w:t>
            </w:r>
            <w:r>
              <w:rPr>
                <w:rFonts w:asciiTheme="minorHAnsi" w:eastAsiaTheme="minorEastAsia" w:hAnsiTheme="minorHAnsi"/>
                <w:noProof/>
                <w:sz w:val="24"/>
                <w:lang w:eastAsia="fr-BE"/>
              </w:rPr>
              <w:tab/>
            </w:r>
            <w:r w:rsidRPr="00664CE6">
              <w:rPr>
                <w:rStyle w:val="Lienhypertexte"/>
                <w:noProof/>
              </w:rPr>
              <w:t>Évaluation du capital sol actuel (pré-projet)</w:t>
            </w:r>
            <w:r>
              <w:rPr>
                <w:noProof/>
                <w:webHidden/>
              </w:rPr>
              <w:tab/>
            </w:r>
            <w:r>
              <w:rPr>
                <w:noProof/>
                <w:webHidden/>
              </w:rPr>
              <w:fldChar w:fldCharType="begin"/>
            </w:r>
            <w:r>
              <w:rPr>
                <w:noProof/>
                <w:webHidden/>
              </w:rPr>
              <w:instrText xml:space="preserve"> PAGEREF _Toc241478141 \h </w:instrText>
            </w:r>
            <w:r>
              <w:rPr>
                <w:noProof/>
                <w:webHidden/>
              </w:rPr>
            </w:r>
            <w:r>
              <w:rPr>
                <w:noProof/>
                <w:webHidden/>
              </w:rPr>
              <w:fldChar w:fldCharType="separate"/>
            </w:r>
            <w:r>
              <w:rPr>
                <w:noProof/>
                <w:webHidden/>
              </w:rPr>
              <w:t>48</w:t>
            </w:r>
            <w:r>
              <w:rPr>
                <w:noProof/>
                <w:webHidden/>
              </w:rPr>
              <w:fldChar w:fldCharType="end"/>
            </w:r>
          </w:hyperlink>
        </w:p>
        <w:p w14:paraId="75509E5C" w14:textId="6200CBA2"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42" w:history="1">
            <w:r w:rsidRPr="00664CE6">
              <w:rPr>
                <w:rStyle w:val="Lienhypertexte"/>
                <w:noProof/>
              </w:rPr>
              <w:t>5.4.4.</w:t>
            </w:r>
            <w:r>
              <w:rPr>
                <w:rFonts w:asciiTheme="minorHAnsi" w:eastAsiaTheme="minorEastAsia" w:hAnsiTheme="minorHAnsi"/>
                <w:noProof/>
                <w:sz w:val="24"/>
                <w:lang w:eastAsia="fr-BE"/>
              </w:rPr>
              <w:tab/>
            </w:r>
            <w:r w:rsidRPr="00664CE6">
              <w:rPr>
                <w:rStyle w:val="Lienhypertexte"/>
                <w:noProof/>
              </w:rPr>
              <w:t>Évaluation du capital sol projeté (post-projet)</w:t>
            </w:r>
            <w:r>
              <w:rPr>
                <w:noProof/>
                <w:webHidden/>
              </w:rPr>
              <w:tab/>
            </w:r>
            <w:r>
              <w:rPr>
                <w:noProof/>
                <w:webHidden/>
              </w:rPr>
              <w:fldChar w:fldCharType="begin"/>
            </w:r>
            <w:r>
              <w:rPr>
                <w:noProof/>
                <w:webHidden/>
              </w:rPr>
              <w:instrText xml:space="preserve"> PAGEREF _Toc241478142 \h </w:instrText>
            </w:r>
            <w:r>
              <w:rPr>
                <w:noProof/>
                <w:webHidden/>
              </w:rPr>
            </w:r>
            <w:r>
              <w:rPr>
                <w:noProof/>
                <w:webHidden/>
              </w:rPr>
              <w:fldChar w:fldCharType="separate"/>
            </w:r>
            <w:r>
              <w:rPr>
                <w:noProof/>
                <w:webHidden/>
              </w:rPr>
              <w:t>48</w:t>
            </w:r>
            <w:r>
              <w:rPr>
                <w:noProof/>
                <w:webHidden/>
              </w:rPr>
              <w:fldChar w:fldCharType="end"/>
            </w:r>
          </w:hyperlink>
        </w:p>
        <w:p w14:paraId="30D820CA" w14:textId="7D31FDCC"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43" w:history="1">
            <w:r w:rsidRPr="00664CE6">
              <w:rPr>
                <w:rStyle w:val="Lienhypertexte"/>
                <w:noProof/>
              </w:rPr>
              <w:t>5.4.5.</w:t>
            </w:r>
            <w:r>
              <w:rPr>
                <w:rFonts w:asciiTheme="minorHAnsi" w:eastAsiaTheme="minorEastAsia" w:hAnsiTheme="minorHAnsi"/>
                <w:noProof/>
                <w:sz w:val="24"/>
                <w:lang w:eastAsia="fr-BE"/>
              </w:rPr>
              <w:tab/>
            </w:r>
            <w:r w:rsidRPr="00664CE6">
              <w:rPr>
                <w:rStyle w:val="Lienhypertexte"/>
                <w:noProof/>
              </w:rPr>
              <w:t>Perte de services écosystémiques</w:t>
            </w:r>
            <w:r>
              <w:rPr>
                <w:noProof/>
                <w:webHidden/>
              </w:rPr>
              <w:tab/>
            </w:r>
            <w:r>
              <w:rPr>
                <w:noProof/>
                <w:webHidden/>
              </w:rPr>
              <w:fldChar w:fldCharType="begin"/>
            </w:r>
            <w:r>
              <w:rPr>
                <w:noProof/>
                <w:webHidden/>
              </w:rPr>
              <w:instrText xml:space="preserve"> PAGEREF _Toc241478143 \h </w:instrText>
            </w:r>
            <w:r>
              <w:rPr>
                <w:noProof/>
                <w:webHidden/>
              </w:rPr>
            </w:r>
            <w:r>
              <w:rPr>
                <w:noProof/>
                <w:webHidden/>
              </w:rPr>
              <w:fldChar w:fldCharType="separate"/>
            </w:r>
            <w:r>
              <w:rPr>
                <w:noProof/>
                <w:webHidden/>
              </w:rPr>
              <w:t>49</w:t>
            </w:r>
            <w:r>
              <w:rPr>
                <w:noProof/>
                <w:webHidden/>
              </w:rPr>
              <w:fldChar w:fldCharType="end"/>
            </w:r>
          </w:hyperlink>
        </w:p>
        <w:p w14:paraId="6E6EB87A" w14:textId="69A7121D"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44" w:history="1">
            <w:r w:rsidRPr="00664CE6">
              <w:rPr>
                <w:rStyle w:val="Lienhypertexte"/>
                <w:noProof/>
              </w:rPr>
              <w:t>5.4.6.</w:t>
            </w:r>
            <w:r>
              <w:rPr>
                <w:rFonts w:asciiTheme="minorHAnsi" w:eastAsiaTheme="minorEastAsia" w:hAnsiTheme="minorHAnsi"/>
                <w:noProof/>
                <w:sz w:val="24"/>
                <w:lang w:eastAsia="fr-BE"/>
              </w:rPr>
              <w:tab/>
            </w:r>
            <w:r w:rsidRPr="00664CE6">
              <w:rPr>
                <w:rStyle w:val="Lienhypertexte"/>
                <w:noProof/>
              </w:rPr>
              <w:t>Gain de services écosystémiques</w:t>
            </w:r>
            <w:r>
              <w:rPr>
                <w:noProof/>
                <w:webHidden/>
              </w:rPr>
              <w:tab/>
            </w:r>
            <w:r>
              <w:rPr>
                <w:noProof/>
                <w:webHidden/>
              </w:rPr>
              <w:fldChar w:fldCharType="begin"/>
            </w:r>
            <w:r>
              <w:rPr>
                <w:noProof/>
                <w:webHidden/>
              </w:rPr>
              <w:instrText xml:space="preserve"> PAGEREF _Toc241478144 \h </w:instrText>
            </w:r>
            <w:r>
              <w:rPr>
                <w:noProof/>
                <w:webHidden/>
              </w:rPr>
            </w:r>
            <w:r>
              <w:rPr>
                <w:noProof/>
                <w:webHidden/>
              </w:rPr>
              <w:fldChar w:fldCharType="separate"/>
            </w:r>
            <w:r>
              <w:rPr>
                <w:noProof/>
                <w:webHidden/>
              </w:rPr>
              <w:t>50</w:t>
            </w:r>
            <w:r>
              <w:rPr>
                <w:noProof/>
                <w:webHidden/>
              </w:rPr>
              <w:fldChar w:fldCharType="end"/>
            </w:r>
          </w:hyperlink>
        </w:p>
        <w:p w14:paraId="28A80B05" w14:textId="3B8D9166" w:rsidR="00DC06FF" w:rsidRDefault="00DC06FF">
          <w:pPr>
            <w:pStyle w:val="TM3"/>
            <w:tabs>
              <w:tab w:val="left" w:pos="1440"/>
              <w:tab w:val="right" w:leader="dot" w:pos="9060"/>
            </w:tabs>
            <w:rPr>
              <w:rFonts w:asciiTheme="minorHAnsi" w:eastAsiaTheme="minorEastAsia" w:hAnsiTheme="minorHAnsi"/>
              <w:noProof/>
              <w:sz w:val="24"/>
              <w:lang w:eastAsia="fr-BE"/>
            </w:rPr>
          </w:pPr>
          <w:hyperlink w:anchor="_Toc241478145" w:history="1">
            <w:r w:rsidRPr="00664CE6">
              <w:rPr>
                <w:rStyle w:val="Lienhypertexte"/>
                <w:noProof/>
              </w:rPr>
              <w:t>5.4.7.</w:t>
            </w:r>
            <w:r>
              <w:rPr>
                <w:rFonts w:asciiTheme="minorHAnsi" w:eastAsiaTheme="minorEastAsia" w:hAnsiTheme="minorHAnsi"/>
                <w:noProof/>
                <w:sz w:val="24"/>
                <w:lang w:eastAsia="fr-BE"/>
              </w:rPr>
              <w:tab/>
            </w:r>
            <w:r w:rsidRPr="00664CE6">
              <w:rPr>
                <w:rStyle w:val="Lienhypertexte"/>
                <w:noProof/>
              </w:rPr>
              <w:t>Interprétation</w:t>
            </w:r>
            <w:r>
              <w:rPr>
                <w:noProof/>
                <w:webHidden/>
              </w:rPr>
              <w:tab/>
            </w:r>
            <w:r>
              <w:rPr>
                <w:noProof/>
                <w:webHidden/>
              </w:rPr>
              <w:fldChar w:fldCharType="begin"/>
            </w:r>
            <w:r>
              <w:rPr>
                <w:noProof/>
                <w:webHidden/>
              </w:rPr>
              <w:instrText xml:space="preserve"> PAGEREF _Toc241478145 \h </w:instrText>
            </w:r>
            <w:r>
              <w:rPr>
                <w:noProof/>
                <w:webHidden/>
              </w:rPr>
            </w:r>
            <w:r>
              <w:rPr>
                <w:noProof/>
                <w:webHidden/>
              </w:rPr>
              <w:fldChar w:fldCharType="separate"/>
            </w:r>
            <w:r>
              <w:rPr>
                <w:noProof/>
                <w:webHidden/>
              </w:rPr>
              <w:t>51</w:t>
            </w:r>
            <w:r>
              <w:rPr>
                <w:noProof/>
                <w:webHidden/>
              </w:rPr>
              <w:fldChar w:fldCharType="end"/>
            </w:r>
          </w:hyperlink>
        </w:p>
        <w:p w14:paraId="51BB8B78" w14:textId="170351BA"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46" w:history="1">
            <w:r w:rsidRPr="00664CE6">
              <w:rPr>
                <w:rStyle w:val="Lienhypertexte"/>
                <w:rFonts w:cs="Calibri"/>
                <w:noProof/>
              </w:rPr>
              <w:t>5.5.</w:t>
            </w:r>
            <w:r>
              <w:rPr>
                <w:rFonts w:asciiTheme="minorHAnsi" w:eastAsiaTheme="minorEastAsia" w:hAnsiTheme="minorHAnsi"/>
                <w:noProof/>
                <w:sz w:val="24"/>
                <w:lang w:eastAsia="fr-BE"/>
              </w:rPr>
              <w:tab/>
            </w:r>
            <w:r w:rsidRPr="00664CE6">
              <w:rPr>
                <w:rStyle w:val="Lienhypertexte"/>
                <w:noProof/>
              </w:rPr>
              <w:t>Évaluation d’impact dans le cas des études sur plans et programmes</w:t>
            </w:r>
            <w:r>
              <w:rPr>
                <w:noProof/>
                <w:webHidden/>
              </w:rPr>
              <w:tab/>
            </w:r>
            <w:r>
              <w:rPr>
                <w:noProof/>
                <w:webHidden/>
              </w:rPr>
              <w:fldChar w:fldCharType="begin"/>
            </w:r>
            <w:r>
              <w:rPr>
                <w:noProof/>
                <w:webHidden/>
              </w:rPr>
              <w:instrText xml:space="preserve"> PAGEREF _Toc241478146 \h </w:instrText>
            </w:r>
            <w:r>
              <w:rPr>
                <w:noProof/>
                <w:webHidden/>
              </w:rPr>
            </w:r>
            <w:r>
              <w:rPr>
                <w:noProof/>
                <w:webHidden/>
              </w:rPr>
              <w:fldChar w:fldCharType="separate"/>
            </w:r>
            <w:r>
              <w:rPr>
                <w:noProof/>
                <w:webHidden/>
              </w:rPr>
              <w:t>52</w:t>
            </w:r>
            <w:r>
              <w:rPr>
                <w:noProof/>
                <w:webHidden/>
              </w:rPr>
              <w:fldChar w:fldCharType="end"/>
            </w:r>
          </w:hyperlink>
        </w:p>
        <w:p w14:paraId="22E24D77" w14:textId="7530398F" w:rsidR="00DC06FF" w:rsidRDefault="00DC06FF">
          <w:pPr>
            <w:pStyle w:val="TM1"/>
            <w:tabs>
              <w:tab w:val="left" w:pos="480"/>
              <w:tab w:val="right" w:leader="dot" w:pos="9060"/>
            </w:tabs>
            <w:rPr>
              <w:rFonts w:asciiTheme="minorHAnsi" w:eastAsiaTheme="minorEastAsia" w:hAnsiTheme="minorHAnsi"/>
              <w:noProof/>
              <w:sz w:val="24"/>
              <w:lang w:eastAsia="fr-BE"/>
            </w:rPr>
          </w:pPr>
          <w:hyperlink w:anchor="_Toc241478147" w:history="1">
            <w:r w:rsidRPr="00664CE6">
              <w:rPr>
                <w:rStyle w:val="Lienhypertexte"/>
                <w:noProof/>
              </w:rPr>
              <w:t>6.</w:t>
            </w:r>
            <w:r>
              <w:rPr>
                <w:rFonts w:asciiTheme="minorHAnsi" w:eastAsiaTheme="minorEastAsia" w:hAnsiTheme="minorHAnsi"/>
                <w:noProof/>
                <w:sz w:val="24"/>
                <w:lang w:eastAsia="fr-BE"/>
              </w:rPr>
              <w:tab/>
            </w:r>
            <w:r w:rsidRPr="00664CE6">
              <w:rPr>
                <w:rStyle w:val="Lienhypertexte"/>
                <w:noProof/>
              </w:rPr>
              <w:t>Recommandations</w:t>
            </w:r>
            <w:r>
              <w:rPr>
                <w:noProof/>
                <w:webHidden/>
              </w:rPr>
              <w:tab/>
            </w:r>
            <w:r>
              <w:rPr>
                <w:noProof/>
                <w:webHidden/>
              </w:rPr>
              <w:fldChar w:fldCharType="begin"/>
            </w:r>
            <w:r>
              <w:rPr>
                <w:noProof/>
                <w:webHidden/>
              </w:rPr>
              <w:instrText xml:space="preserve"> PAGEREF _Toc241478147 \h </w:instrText>
            </w:r>
            <w:r>
              <w:rPr>
                <w:noProof/>
                <w:webHidden/>
              </w:rPr>
            </w:r>
            <w:r>
              <w:rPr>
                <w:noProof/>
                <w:webHidden/>
              </w:rPr>
              <w:fldChar w:fldCharType="separate"/>
            </w:r>
            <w:r>
              <w:rPr>
                <w:noProof/>
                <w:webHidden/>
              </w:rPr>
              <w:t>53</w:t>
            </w:r>
            <w:r>
              <w:rPr>
                <w:noProof/>
                <w:webHidden/>
              </w:rPr>
              <w:fldChar w:fldCharType="end"/>
            </w:r>
          </w:hyperlink>
        </w:p>
        <w:p w14:paraId="5EC2A406" w14:textId="3519F517"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48" w:history="1">
            <w:r w:rsidRPr="00664CE6">
              <w:rPr>
                <w:rStyle w:val="Lienhypertexte"/>
                <w:rFonts w:cs="Calibri"/>
                <w:noProof/>
              </w:rPr>
              <w:t>6.1.</w:t>
            </w:r>
            <w:r>
              <w:rPr>
                <w:rFonts w:asciiTheme="minorHAnsi" w:eastAsiaTheme="minorEastAsia" w:hAnsiTheme="minorHAnsi"/>
                <w:noProof/>
                <w:sz w:val="24"/>
                <w:lang w:eastAsia="fr-BE"/>
              </w:rPr>
              <w:tab/>
            </w:r>
            <w:r w:rsidRPr="00664CE6">
              <w:rPr>
                <w:rStyle w:val="Lienhypertexte"/>
                <w:noProof/>
              </w:rPr>
              <w:t>Bonnes pratiques de gestion</w:t>
            </w:r>
            <w:r>
              <w:rPr>
                <w:noProof/>
                <w:webHidden/>
              </w:rPr>
              <w:tab/>
            </w:r>
            <w:r>
              <w:rPr>
                <w:noProof/>
                <w:webHidden/>
              </w:rPr>
              <w:fldChar w:fldCharType="begin"/>
            </w:r>
            <w:r>
              <w:rPr>
                <w:noProof/>
                <w:webHidden/>
              </w:rPr>
              <w:instrText xml:space="preserve"> PAGEREF _Toc241478148 \h </w:instrText>
            </w:r>
            <w:r>
              <w:rPr>
                <w:noProof/>
                <w:webHidden/>
              </w:rPr>
            </w:r>
            <w:r>
              <w:rPr>
                <w:noProof/>
                <w:webHidden/>
              </w:rPr>
              <w:fldChar w:fldCharType="separate"/>
            </w:r>
            <w:r>
              <w:rPr>
                <w:noProof/>
                <w:webHidden/>
              </w:rPr>
              <w:t>53</w:t>
            </w:r>
            <w:r>
              <w:rPr>
                <w:noProof/>
                <w:webHidden/>
              </w:rPr>
              <w:fldChar w:fldCharType="end"/>
            </w:r>
          </w:hyperlink>
        </w:p>
        <w:p w14:paraId="6C1B5331" w14:textId="011FEDA0"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49" w:history="1">
            <w:r w:rsidRPr="00664CE6">
              <w:rPr>
                <w:rStyle w:val="Lienhypertexte"/>
                <w:rFonts w:cs="Calibri"/>
                <w:noProof/>
              </w:rPr>
              <w:t>6.2.</w:t>
            </w:r>
            <w:r>
              <w:rPr>
                <w:rFonts w:asciiTheme="minorHAnsi" w:eastAsiaTheme="minorEastAsia" w:hAnsiTheme="minorHAnsi"/>
                <w:noProof/>
                <w:sz w:val="24"/>
                <w:lang w:eastAsia="fr-BE"/>
              </w:rPr>
              <w:tab/>
            </w:r>
            <w:r w:rsidRPr="00664CE6">
              <w:rPr>
                <w:rStyle w:val="Lienhypertexte"/>
                <w:noProof/>
              </w:rPr>
              <w:t>Mesures compensatoires</w:t>
            </w:r>
            <w:r>
              <w:rPr>
                <w:noProof/>
                <w:webHidden/>
              </w:rPr>
              <w:tab/>
            </w:r>
            <w:r>
              <w:rPr>
                <w:noProof/>
                <w:webHidden/>
              </w:rPr>
              <w:fldChar w:fldCharType="begin"/>
            </w:r>
            <w:r>
              <w:rPr>
                <w:noProof/>
                <w:webHidden/>
              </w:rPr>
              <w:instrText xml:space="preserve"> PAGEREF _Toc241478149 \h </w:instrText>
            </w:r>
            <w:r>
              <w:rPr>
                <w:noProof/>
                <w:webHidden/>
              </w:rPr>
            </w:r>
            <w:r>
              <w:rPr>
                <w:noProof/>
                <w:webHidden/>
              </w:rPr>
              <w:fldChar w:fldCharType="separate"/>
            </w:r>
            <w:r>
              <w:rPr>
                <w:noProof/>
                <w:webHidden/>
              </w:rPr>
              <w:t>57</w:t>
            </w:r>
            <w:r>
              <w:rPr>
                <w:noProof/>
                <w:webHidden/>
              </w:rPr>
              <w:fldChar w:fldCharType="end"/>
            </w:r>
          </w:hyperlink>
        </w:p>
        <w:p w14:paraId="6F5376E9" w14:textId="2FF83614"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50" w:history="1">
            <w:r w:rsidRPr="00664CE6">
              <w:rPr>
                <w:rStyle w:val="Lienhypertexte"/>
                <w:rFonts w:cs="Calibri"/>
                <w:noProof/>
              </w:rPr>
              <w:t>6.3.</w:t>
            </w:r>
            <w:r>
              <w:rPr>
                <w:rFonts w:asciiTheme="minorHAnsi" w:eastAsiaTheme="minorEastAsia" w:hAnsiTheme="minorHAnsi"/>
                <w:noProof/>
                <w:sz w:val="24"/>
                <w:lang w:eastAsia="fr-BE"/>
              </w:rPr>
              <w:tab/>
            </w:r>
            <w:r w:rsidRPr="00664CE6">
              <w:rPr>
                <w:rStyle w:val="Lienhypertexte"/>
                <w:noProof/>
              </w:rPr>
              <w:t>Mesures de prévention lors du chantier</w:t>
            </w:r>
            <w:r>
              <w:rPr>
                <w:noProof/>
                <w:webHidden/>
              </w:rPr>
              <w:tab/>
            </w:r>
            <w:r>
              <w:rPr>
                <w:noProof/>
                <w:webHidden/>
              </w:rPr>
              <w:fldChar w:fldCharType="begin"/>
            </w:r>
            <w:r>
              <w:rPr>
                <w:noProof/>
                <w:webHidden/>
              </w:rPr>
              <w:instrText xml:space="preserve"> PAGEREF _Toc241478150 \h </w:instrText>
            </w:r>
            <w:r>
              <w:rPr>
                <w:noProof/>
                <w:webHidden/>
              </w:rPr>
            </w:r>
            <w:r>
              <w:rPr>
                <w:noProof/>
                <w:webHidden/>
              </w:rPr>
              <w:fldChar w:fldCharType="separate"/>
            </w:r>
            <w:r>
              <w:rPr>
                <w:noProof/>
                <w:webHidden/>
              </w:rPr>
              <w:t>57</w:t>
            </w:r>
            <w:r>
              <w:rPr>
                <w:noProof/>
                <w:webHidden/>
              </w:rPr>
              <w:fldChar w:fldCharType="end"/>
            </w:r>
          </w:hyperlink>
        </w:p>
        <w:p w14:paraId="7005A913" w14:textId="79EC44F7"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51" w:history="1">
            <w:r w:rsidRPr="00664CE6">
              <w:rPr>
                <w:rStyle w:val="Lienhypertexte"/>
                <w:rFonts w:cs="Calibri"/>
                <w:noProof/>
              </w:rPr>
              <w:t>6.4.</w:t>
            </w:r>
            <w:r>
              <w:rPr>
                <w:rFonts w:asciiTheme="minorHAnsi" w:eastAsiaTheme="minorEastAsia" w:hAnsiTheme="minorHAnsi"/>
                <w:noProof/>
                <w:sz w:val="24"/>
                <w:lang w:eastAsia="fr-BE"/>
              </w:rPr>
              <w:tab/>
            </w:r>
            <w:r w:rsidRPr="00664CE6">
              <w:rPr>
                <w:rStyle w:val="Lienhypertexte"/>
                <w:noProof/>
              </w:rPr>
              <w:t>Suivi post-projet</w:t>
            </w:r>
            <w:r>
              <w:rPr>
                <w:noProof/>
                <w:webHidden/>
              </w:rPr>
              <w:tab/>
            </w:r>
            <w:r>
              <w:rPr>
                <w:noProof/>
                <w:webHidden/>
              </w:rPr>
              <w:fldChar w:fldCharType="begin"/>
            </w:r>
            <w:r>
              <w:rPr>
                <w:noProof/>
                <w:webHidden/>
              </w:rPr>
              <w:instrText xml:space="preserve"> PAGEREF _Toc241478151 \h </w:instrText>
            </w:r>
            <w:r>
              <w:rPr>
                <w:noProof/>
                <w:webHidden/>
              </w:rPr>
            </w:r>
            <w:r>
              <w:rPr>
                <w:noProof/>
                <w:webHidden/>
              </w:rPr>
              <w:fldChar w:fldCharType="separate"/>
            </w:r>
            <w:r>
              <w:rPr>
                <w:noProof/>
                <w:webHidden/>
              </w:rPr>
              <w:t>58</w:t>
            </w:r>
            <w:r>
              <w:rPr>
                <w:noProof/>
                <w:webHidden/>
              </w:rPr>
              <w:fldChar w:fldCharType="end"/>
            </w:r>
          </w:hyperlink>
        </w:p>
        <w:p w14:paraId="2434356A" w14:textId="4D2CE173" w:rsidR="00DC06FF" w:rsidRDefault="00DC06FF">
          <w:pPr>
            <w:pStyle w:val="TM1"/>
            <w:tabs>
              <w:tab w:val="left" w:pos="480"/>
              <w:tab w:val="right" w:leader="dot" w:pos="9060"/>
            </w:tabs>
            <w:rPr>
              <w:rFonts w:asciiTheme="minorHAnsi" w:eastAsiaTheme="minorEastAsia" w:hAnsiTheme="minorHAnsi"/>
              <w:noProof/>
              <w:sz w:val="24"/>
              <w:lang w:eastAsia="fr-BE"/>
            </w:rPr>
          </w:pPr>
          <w:hyperlink w:anchor="_Toc241478152" w:history="1">
            <w:r w:rsidRPr="00664CE6">
              <w:rPr>
                <w:rStyle w:val="Lienhypertexte"/>
                <w:noProof/>
              </w:rPr>
              <w:t>7.</w:t>
            </w:r>
            <w:r>
              <w:rPr>
                <w:rFonts w:asciiTheme="minorHAnsi" w:eastAsiaTheme="minorEastAsia" w:hAnsiTheme="minorHAnsi"/>
                <w:noProof/>
                <w:sz w:val="24"/>
                <w:lang w:eastAsia="fr-BE"/>
              </w:rPr>
              <w:tab/>
            </w:r>
            <w:r w:rsidRPr="00664CE6">
              <w:rPr>
                <w:rStyle w:val="Lienhypertexte"/>
                <w:noProof/>
              </w:rPr>
              <w:t>Étapes du diagnostic</w:t>
            </w:r>
            <w:r>
              <w:rPr>
                <w:noProof/>
                <w:webHidden/>
              </w:rPr>
              <w:tab/>
            </w:r>
            <w:r>
              <w:rPr>
                <w:noProof/>
                <w:webHidden/>
              </w:rPr>
              <w:fldChar w:fldCharType="begin"/>
            </w:r>
            <w:r>
              <w:rPr>
                <w:noProof/>
                <w:webHidden/>
              </w:rPr>
              <w:instrText xml:space="preserve"> PAGEREF _Toc241478152 \h </w:instrText>
            </w:r>
            <w:r>
              <w:rPr>
                <w:noProof/>
                <w:webHidden/>
              </w:rPr>
            </w:r>
            <w:r>
              <w:rPr>
                <w:noProof/>
                <w:webHidden/>
              </w:rPr>
              <w:fldChar w:fldCharType="separate"/>
            </w:r>
            <w:r>
              <w:rPr>
                <w:noProof/>
                <w:webHidden/>
              </w:rPr>
              <w:t>59</w:t>
            </w:r>
            <w:r>
              <w:rPr>
                <w:noProof/>
                <w:webHidden/>
              </w:rPr>
              <w:fldChar w:fldCharType="end"/>
            </w:r>
          </w:hyperlink>
        </w:p>
        <w:p w14:paraId="01F1F290" w14:textId="07CE6EF3"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53" w:history="1">
            <w:r w:rsidRPr="00664CE6">
              <w:rPr>
                <w:rStyle w:val="Lienhypertexte"/>
                <w:rFonts w:cs="Calibri"/>
                <w:noProof/>
              </w:rPr>
              <w:t>7.1.</w:t>
            </w:r>
            <w:r>
              <w:rPr>
                <w:rFonts w:asciiTheme="minorHAnsi" w:eastAsiaTheme="minorEastAsia" w:hAnsiTheme="minorHAnsi"/>
                <w:noProof/>
                <w:sz w:val="24"/>
                <w:lang w:eastAsia="fr-BE"/>
              </w:rPr>
              <w:tab/>
            </w:r>
            <w:r w:rsidRPr="00664CE6">
              <w:rPr>
                <w:rStyle w:val="Lienhypertexte"/>
                <w:noProof/>
              </w:rPr>
              <w:t>Délimitation des zones homogènes</w:t>
            </w:r>
            <w:r>
              <w:rPr>
                <w:noProof/>
                <w:webHidden/>
              </w:rPr>
              <w:tab/>
            </w:r>
            <w:r>
              <w:rPr>
                <w:noProof/>
                <w:webHidden/>
              </w:rPr>
              <w:fldChar w:fldCharType="begin"/>
            </w:r>
            <w:r>
              <w:rPr>
                <w:noProof/>
                <w:webHidden/>
              </w:rPr>
              <w:instrText xml:space="preserve"> PAGEREF _Toc241478153 \h </w:instrText>
            </w:r>
            <w:r>
              <w:rPr>
                <w:noProof/>
                <w:webHidden/>
              </w:rPr>
            </w:r>
            <w:r>
              <w:rPr>
                <w:noProof/>
                <w:webHidden/>
              </w:rPr>
              <w:fldChar w:fldCharType="separate"/>
            </w:r>
            <w:r>
              <w:rPr>
                <w:noProof/>
                <w:webHidden/>
              </w:rPr>
              <w:t>59</w:t>
            </w:r>
            <w:r>
              <w:rPr>
                <w:noProof/>
                <w:webHidden/>
              </w:rPr>
              <w:fldChar w:fldCharType="end"/>
            </w:r>
          </w:hyperlink>
        </w:p>
        <w:p w14:paraId="39F323A1" w14:textId="624311A5"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54" w:history="1">
            <w:r w:rsidRPr="00664CE6">
              <w:rPr>
                <w:rStyle w:val="Lienhypertexte"/>
                <w:rFonts w:cs="Calibri"/>
                <w:noProof/>
              </w:rPr>
              <w:t>7.2.</w:t>
            </w:r>
            <w:r>
              <w:rPr>
                <w:rFonts w:asciiTheme="minorHAnsi" w:eastAsiaTheme="minorEastAsia" w:hAnsiTheme="minorHAnsi"/>
                <w:noProof/>
                <w:sz w:val="24"/>
                <w:lang w:eastAsia="fr-BE"/>
              </w:rPr>
              <w:tab/>
            </w:r>
            <w:r w:rsidRPr="00664CE6">
              <w:rPr>
                <w:rStyle w:val="Lienhypertexte"/>
                <w:noProof/>
              </w:rPr>
              <w:t>Établissement de la stratégie d’échantillonnage</w:t>
            </w:r>
            <w:r>
              <w:rPr>
                <w:noProof/>
                <w:webHidden/>
              </w:rPr>
              <w:tab/>
            </w:r>
            <w:r>
              <w:rPr>
                <w:noProof/>
                <w:webHidden/>
              </w:rPr>
              <w:fldChar w:fldCharType="begin"/>
            </w:r>
            <w:r>
              <w:rPr>
                <w:noProof/>
                <w:webHidden/>
              </w:rPr>
              <w:instrText xml:space="preserve"> PAGEREF _Toc241478154 \h </w:instrText>
            </w:r>
            <w:r>
              <w:rPr>
                <w:noProof/>
                <w:webHidden/>
              </w:rPr>
            </w:r>
            <w:r>
              <w:rPr>
                <w:noProof/>
                <w:webHidden/>
              </w:rPr>
              <w:fldChar w:fldCharType="separate"/>
            </w:r>
            <w:r>
              <w:rPr>
                <w:noProof/>
                <w:webHidden/>
              </w:rPr>
              <w:t>59</w:t>
            </w:r>
            <w:r>
              <w:rPr>
                <w:noProof/>
                <w:webHidden/>
              </w:rPr>
              <w:fldChar w:fldCharType="end"/>
            </w:r>
          </w:hyperlink>
        </w:p>
        <w:p w14:paraId="3FAA9C80" w14:textId="655CC461"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55" w:history="1">
            <w:r w:rsidRPr="00664CE6">
              <w:rPr>
                <w:rStyle w:val="Lienhypertexte"/>
                <w:rFonts w:cs="Calibri"/>
                <w:noProof/>
              </w:rPr>
              <w:t>7.3.</w:t>
            </w:r>
            <w:r>
              <w:rPr>
                <w:rFonts w:asciiTheme="minorHAnsi" w:eastAsiaTheme="minorEastAsia" w:hAnsiTheme="minorHAnsi"/>
                <w:noProof/>
                <w:sz w:val="24"/>
                <w:lang w:eastAsia="fr-BE"/>
              </w:rPr>
              <w:tab/>
            </w:r>
            <w:r w:rsidRPr="00664CE6">
              <w:rPr>
                <w:rStyle w:val="Lienhypertexte"/>
                <w:noProof/>
              </w:rPr>
              <w:t>Travaux de terrain</w:t>
            </w:r>
            <w:r>
              <w:rPr>
                <w:noProof/>
                <w:webHidden/>
              </w:rPr>
              <w:tab/>
            </w:r>
            <w:r>
              <w:rPr>
                <w:noProof/>
                <w:webHidden/>
              </w:rPr>
              <w:fldChar w:fldCharType="begin"/>
            </w:r>
            <w:r>
              <w:rPr>
                <w:noProof/>
                <w:webHidden/>
              </w:rPr>
              <w:instrText xml:space="preserve"> PAGEREF _Toc241478155 \h </w:instrText>
            </w:r>
            <w:r>
              <w:rPr>
                <w:noProof/>
                <w:webHidden/>
              </w:rPr>
            </w:r>
            <w:r>
              <w:rPr>
                <w:noProof/>
                <w:webHidden/>
              </w:rPr>
              <w:fldChar w:fldCharType="separate"/>
            </w:r>
            <w:r>
              <w:rPr>
                <w:noProof/>
                <w:webHidden/>
              </w:rPr>
              <w:t>61</w:t>
            </w:r>
            <w:r>
              <w:rPr>
                <w:noProof/>
                <w:webHidden/>
              </w:rPr>
              <w:fldChar w:fldCharType="end"/>
            </w:r>
          </w:hyperlink>
        </w:p>
        <w:p w14:paraId="0F42B025" w14:textId="5383A8D5"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56" w:history="1">
            <w:r w:rsidRPr="00664CE6">
              <w:rPr>
                <w:rStyle w:val="Lienhypertexte"/>
                <w:rFonts w:cs="Calibri"/>
                <w:noProof/>
              </w:rPr>
              <w:t>7.4.</w:t>
            </w:r>
            <w:r>
              <w:rPr>
                <w:rFonts w:asciiTheme="minorHAnsi" w:eastAsiaTheme="minorEastAsia" w:hAnsiTheme="minorHAnsi"/>
                <w:noProof/>
                <w:sz w:val="24"/>
                <w:lang w:eastAsia="fr-BE"/>
              </w:rPr>
              <w:tab/>
            </w:r>
            <w:r w:rsidRPr="00664CE6">
              <w:rPr>
                <w:rStyle w:val="Lienhypertexte"/>
                <w:noProof/>
              </w:rPr>
              <w:t>Analyses de laboratoire</w:t>
            </w:r>
            <w:r>
              <w:rPr>
                <w:noProof/>
                <w:webHidden/>
              </w:rPr>
              <w:tab/>
            </w:r>
            <w:r>
              <w:rPr>
                <w:noProof/>
                <w:webHidden/>
              </w:rPr>
              <w:fldChar w:fldCharType="begin"/>
            </w:r>
            <w:r>
              <w:rPr>
                <w:noProof/>
                <w:webHidden/>
              </w:rPr>
              <w:instrText xml:space="preserve"> PAGEREF _Toc241478156 \h </w:instrText>
            </w:r>
            <w:r>
              <w:rPr>
                <w:noProof/>
                <w:webHidden/>
              </w:rPr>
            </w:r>
            <w:r>
              <w:rPr>
                <w:noProof/>
                <w:webHidden/>
              </w:rPr>
              <w:fldChar w:fldCharType="separate"/>
            </w:r>
            <w:r>
              <w:rPr>
                <w:noProof/>
                <w:webHidden/>
              </w:rPr>
              <w:t>61</w:t>
            </w:r>
            <w:r>
              <w:rPr>
                <w:noProof/>
                <w:webHidden/>
              </w:rPr>
              <w:fldChar w:fldCharType="end"/>
            </w:r>
          </w:hyperlink>
        </w:p>
        <w:p w14:paraId="0C6C4686" w14:textId="3F5953DC" w:rsidR="00DC06FF" w:rsidRDefault="00DC06FF">
          <w:pPr>
            <w:pStyle w:val="TM2"/>
            <w:tabs>
              <w:tab w:val="left" w:pos="880"/>
              <w:tab w:val="right" w:leader="dot" w:pos="9060"/>
            </w:tabs>
            <w:rPr>
              <w:rFonts w:asciiTheme="minorHAnsi" w:eastAsiaTheme="minorEastAsia" w:hAnsiTheme="minorHAnsi"/>
              <w:noProof/>
              <w:sz w:val="24"/>
              <w:lang w:eastAsia="fr-BE"/>
            </w:rPr>
          </w:pPr>
          <w:hyperlink w:anchor="_Toc241478157" w:history="1">
            <w:r w:rsidRPr="00664CE6">
              <w:rPr>
                <w:rStyle w:val="Lienhypertexte"/>
                <w:rFonts w:cs="Calibri"/>
                <w:noProof/>
              </w:rPr>
              <w:t>7.5.</w:t>
            </w:r>
            <w:r>
              <w:rPr>
                <w:rFonts w:asciiTheme="minorHAnsi" w:eastAsiaTheme="minorEastAsia" w:hAnsiTheme="minorHAnsi"/>
                <w:noProof/>
                <w:sz w:val="24"/>
                <w:lang w:eastAsia="fr-BE"/>
              </w:rPr>
              <w:tab/>
            </w:r>
            <w:r w:rsidRPr="00664CE6">
              <w:rPr>
                <w:rStyle w:val="Lienhypertexte"/>
                <w:noProof/>
              </w:rPr>
              <w:t>Encodage et interprétation des résultats</w:t>
            </w:r>
            <w:r>
              <w:rPr>
                <w:noProof/>
                <w:webHidden/>
              </w:rPr>
              <w:tab/>
            </w:r>
            <w:r>
              <w:rPr>
                <w:noProof/>
                <w:webHidden/>
              </w:rPr>
              <w:fldChar w:fldCharType="begin"/>
            </w:r>
            <w:r>
              <w:rPr>
                <w:noProof/>
                <w:webHidden/>
              </w:rPr>
              <w:instrText xml:space="preserve"> PAGEREF _Toc241478157 \h </w:instrText>
            </w:r>
            <w:r>
              <w:rPr>
                <w:noProof/>
                <w:webHidden/>
              </w:rPr>
            </w:r>
            <w:r>
              <w:rPr>
                <w:noProof/>
                <w:webHidden/>
              </w:rPr>
              <w:fldChar w:fldCharType="separate"/>
            </w:r>
            <w:r>
              <w:rPr>
                <w:noProof/>
                <w:webHidden/>
              </w:rPr>
              <w:t>61</w:t>
            </w:r>
            <w:r>
              <w:rPr>
                <w:noProof/>
                <w:webHidden/>
              </w:rPr>
              <w:fldChar w:fldCharType="end"/>
            </w:r>
          </w:hyperlink>
        </w:p>
        <w:p w14:paraId="30DA364E" w14:textId="60F6C846" w:rsidR="00DC06FF" w:rsidRDefault="00DC06FF">
          <w:pPr>
            <w:pStyle w:val="TM1"/>
            <w:tabs>
              <w:tab w:val="right" w:leader="dot" w:pos="9060"/>
            </w:tabs>
            <w:rPr>
              <w:rFonts w:asciiTheme="minorHAnsi" w:eastAsiaTheme="minorEastAsia" w:hAnsiTheme="minorHAnsi"/>
              <w:noProof/>
              <w:sz w:val="24"/>
              <w:lang w:eastAsia="fr-BE"/>
            </w:rPr>
          </w:pPr>
          <w:hyperlink w:anchor="_Toc241478158" w:history="1">
            <w:r w:rsidRPr="00664CE6">
              <w:rPr>
                <w:rStyle w:val="Lienhypertexte"/>
                <w:noProof/>
              </w:rPr>
              <w:t>Bibliographie</w:t>
            </w:r>
            <w:r>
              <w:rPr>
                <w:noProof/>
                <w:webHidden/>
              </w:rPr>
              <w:tab/>
            </w:r>
            <w:r>
              <w:rPr>
                <w:noProof/>
                <w:webHidden/>
              </w:rPr>
              <w:fldChar w:fldCharType="begin"/>
            </w:r>
            <w:r>
              <w:rPr>
                <w:noProof/>
                <w:webHidden/>
              </w:rPr>
              <w:instrText xml:space="preserve"> PAGEREF _Toc241478158 \h </w:instrText>
            </w:r>
            <w:r>
              <w:rPr>
                <w:noProof/>
                <w:webHidden/>
              </w:rPr>
            </w:r>
            <w:r>
              <w:rPr>
                <w:noProof/>
                <w:webHidden/>
              </w:rPr>
              <w:fldChar w:fldCharType="separate"/>
            </w:r>
            <w:r>
              <w:rPr>
                <w:noProof/>
                <w:webHidden/>
              </w:rPr>
              <w:t>62</w:t>
            </w:r>
            <w:r>
              <w:rPr>
                <w:noProof/>
                <w:webHidden/>
              </w:rPr>
              <w:fldChar w:fldCharType="end"/>
            </w:r>
          </w:hyperlink>
        </w:p>
        <w:p w14:paraId="3E622DF2" w14:textId="76F1F433" w:rsidR="00DC06FF" w:rsidRDefault="00DC06FF">
          <w:pPr>
            <w:pStyle w:val="TM1"/>
            <w:tabs>
              <w:tab w:val="right" w:leader="dot" w:pos="9060"/>
            </w:tabs>
            <w:rPr>
              <w:rFonts w:asciiTheme="minorHAnsi" w:eastAsiaTheme="minorEastAsia" w:hAnsiTheme="minorHAnsi"/>
              <w:noProof/>
              <w:sz w:val="24"/>
              <w:lang w:eastAsia="fr-BE"/>
            </w:rPr>
          </w:pPr>
          <w:hyperlink w:anchor="_Toc241478159" w:history="1">
            <w:r w:rsidRPr="00664CE6">
              <w:rPr>
                <w:rStyle w:val="Lienhypertexte"/>
                <w:noProof/>
              </w:rPr>
              <w:t>Financement et porteurs de projet</w:t>
            </w:r>
            <w:r>
              <w:rPr>
                <w:noProof/>
                <w:webHidden/>
              </w:rPr>
              <w:tab/>
            </w:r>
            <w:r>
              <w:rPr>
                <w:noProof/>
                <w:webHidden/>
              </w:rPr>
              <w:fldChar w:fldCharType="begin"/>
            </w:r>
            <w:r>
              <w:rPr>
                <w:noProof/>
                <w:webHidden/>
              </w:rPr>
              <w:instrText xml:space="preserve"> PAGEREF _Toc241478159 \h </w:instrText>
            </w:r>
            <w:r>
              <w:rPr>
                <w:noProof/>
                <w:webHidden/>
              </w:rPr>
            </w:r>
            <w:r>
              <w:rPr>
                <w:noProof/>
                <w:webHidden/>
              </w:rPr>
              <w:fldChar w:fldCharType="separate"/>
            </w:r>
            <w:r>
              <w:rPr>
                <w:noProof/>
                <w:webHidden/>
              </w:rPr>
              <w:t>69</w:t>
            </w:r>
            <w:r>
              <w:rPr>
                <w:noProof/>
                <w:webHidden/>
              </w:rPr>
              <w:fldChar w:fldCharType="end"/>
            </w:r>
          </w:hyperlink>
        </w:p>
        <w:p w14:paraId="57896E0F" w14:textId="0FE124EE" w:rsidR="00DC06FF" w:rsidRDefault="00DC06FF">
          <w:pPr>
            <w:pStyle w:val="TM1"/>
            <w:tabs>
              <w:tab w:val="right" w:leader="dot" w:pos="9060"/>
            </w:tabs>
            <w:rPr>
              <w:rFonts w:asciiTheme="minorHAnsi" w:eastAsiaTheme="minorEastAsia" w:hAnsiTheme="minorHAnsi"/>
              <w:noProof/>
              <w:sz w:val="24"/>
              <w:lang w:eastAsia="fr-BE"/>
            </w:rPr>
          </w:pPr>
          <w:hyperlink w:anchor="_Toc241478160" w:history="1">
            <w:r w:rsidRPr="00664CE6">
              <w:rPr>
                <w:rStyle w:val="Lienhypertexte"/>
                <w:noProof/>
              </w:rPr>
              <w:t>Remerciements</w:t>
            </w:r>
            <w:r>
              <w:rPr>
                <w:noProof/>
                <w:webHidden/>
              </w:rPr>
              <w:tab/>
            </w:r>
            <w:r>
              <w:rPr>
                <w:noProof/>
                <w:webHidden/>
              </w:rPr>
              <w:fldChar w:fldCharType="begin"/>
            </w:r>
            <w:r>
              <w:rPr>
                <w:noProof/>
                <w:webHidden/>
              </w:rPr>
              <w:instrText xml:space="preserve"> PAGEREF _Toc241478160 \h </w:instrText>
            </w:r>
            <w:r>
              <w:rPr>
                <w:noProof/>
                <w:webHidden/>
              </w:rPr>
            </w:r>
            <w:r>
              <w:rPr>
                <w:noProof/>
                <w:webHidden/>
              </w:rPr>
              <w:fldChar w:fldCharType="separate"/>
            </w:r>
            <w:r>
              <w:rPr>
                <w:noProof/>
                <w:webHidden/>
              </w:rPr>
              <w:t>70</w:t>
            </w:r>
            <w:r>
              <w:rPr>
                <w:noProof/>
                <w:webHidden/>
              </w:rPr>
              <w:fldChar w:fldCharType="end"/>
            </w:r>
          </w:hyperlink>
        </w:p>
        <w:p w14:paraId="05350A04" w14:textId="4E502AC9" w:rsidR="004E6804" w:rsidRDefault="001C2230">
          <w:r>
            <w:lastRenderedPageBreak/>
            <w:fldChar w:fldCharType="end"/>
          </w:r>
        </w:p>
      </w:sdtContent>
    </w:sdt>
    <w:p w14:paraId="337A1912" w14:textId="77777777" w:rsidR="00907350" w:rsidRDefault="00907350" w:rsidP="00907350"/>
    <w:bookmarkEnd w:id="0"/>
    <w:p w14:paraId="5FF4B8CA" w14:textId="41457536" w:rsidR="00C848A1" w:rsidRDefault="002B35A6" w:rsidP="00562E50">
      <w:r>
        <w:br w:type="page"/>
      </w:r>
    </w:p>
    <w:p w14:paraId="79BF0E80" w14:textId="5D673667" w:rsidR="007C00F7" w:rsidRDefault="00A95190" w:rsidP="00A95190">
      <w:pPr>
        <w:pStyle w:val="Titre1"/>
      </w:pPr>
      <w:bookmarkStart w:id="1" w:name="_Toc241478060"/>
      <w:r>
        <w:lastRenderedPageBreak/>
        <w:t>Glossaire</w:t>
      </w:r>
      <w:bookmarkEnd w:id="1"/>
    </w:p>
    <w:p w14:paraId="2E718439" w14:textId="495B304A" w:rsidR="00264005" w:rsidRPr="00306AE9" w:rsidRDefault="00FC23E9" w:rsidP="00306AE9">
      <w:r>
        <w:t xml:space="preserve">De nombreuses définitions </w:t>
      </w:r>
      <w:r w:rsidR="00335731">
        <w:t xml:space="preserve">existent pour </w:t>
      </w:r>
      <w:r w:rsidR="00240377">
        <w:t>les</w:t>
      </w:r>
      <w:r w:rsidR="00335731">
        <w:t xml:space="preserve"> concepts clés</w:t>
      </w:r>
      <w:r w:rsidR="00240377">
        <w:t xml:space="preserve"> </w:t>
      </w:r>
      <w:r>
        <w:t>listés</w:t>
      </w:r>
      <w:r w:rsidR="005F5A25">
        <w:t xml:space="preserve"> ci-dessous</w:t>
      </w:r>
      <w:r w:rsidR="0041707C">
        <w:t>. Afin d’uniformiser le vocabulaire,</w:t>
      </w:r>
      <w:r w:rsidR="00510253">
        <w:t xml:space="preserve"> </w:t>
      </w:r>
      <w:r w:rsidR="00F11A52">
        <w:t>les définitions</w:t>
      </w:r>
      <w:r>
        <w:t xml:space="preserve"> de chaque terme au sens de </w:t>
      </w:r>
      <w:r w:rsidR="00510253">
        <w:t xml:space="preserve">l’IQSW-pro </w:t>
      </w:r>
      <w:r w:rsidR="00F11A52">
        <w:t>sont</w:t>
      </w:r>
      <w:r w:rsidR="00510253">
        <w:t xml:space="preserve"> </w:t>
      </w:r>
      <w:r>
        <w:t>reprise</w:t>
      </w:r>
      <w:r w:rsidR="00F11A52">
        <w:t>s</w:t>
      </w:r>
      <w:r w:rsidR="005F5A25">
        <w:t xml:space="preserve"> dans le tableau suivant</w:t>
      </w:r>
      <w:r w:rsidR="00F11A52">
        <w:t xml:space="preserve"> et servent de balise pour la suite du document</w:t>
      </w:r>
      <w:r w:rsidR="005F5A25">
        <w:t>.</w:t>
      </w:r>
    </w:p>
    <w:tbl>
      <w:tblPr>
        <w:tblStyle w:val="Grilledutableau"/>
        <w:tblW w:w="0" w:type="auto"/>
        <w:tblLook w:val="04A0" w:firstRow="1" w:lastRow="0" w:firstColumn="1" w:lastColumn="0" w:noHBand="0" w:noVBand="1"/>
      </w:tblPr>
      <w:tblGrid>
        <w:gridCol w:w="1838"/>
        <w:gridCol w:w="5954"/>
        <w:gridCol w:w="1268"/>
      </w:tblGrid>
      <w:tr w:rsidR="00F34FA9" w:rsidRPr="0002445E" w14:paraId="438D7622" w14:textId="77777777" w:rsidTr="004306AE">
        <w:tc>
          <w:tcPr>
            <w:tcW w:w="18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4767C29" w14:textId="3600DD4C" w:rsidR="00F34FA9" w:rsidRPr="0002445E" w:rsidRDefault="00F34FA9" w:rsidP="008C773D">
            <w:pPr>
              <w:jc w:val="center"/>
              <w:rPr>
                <w:sz w:val="20"/>
                <w:szCs w:val="20"/>
              </w:rPr>
            </w:pPr>
            <w:r>
              <w:rPr>
                <w:sz w:val="20"/>
                <w:szCs w:val="20"/>
              </w:rPr>
              <w:t>Terme</w:t>
            </w:r>
          </w:p>
        </w:tc>
        <w:tc>
          <w:tcPr>
            <w:tcW w:w="722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040B60CE" w14:textId="430A48B9" w:rsidR="00F34FA9" w:rsidRPr="0002445E" w:rsidRDefault="00F34FA9" w:rsidP="008C773D">
            <w:pPr>
              <w:jc w:val="center"/>
              <w:rPr>
                <w:sz w:val="20"/>
                <w:szCs w:val="20"/>
              </w:rPr>
            </w:pPr>
            <w:r>
              <w:rPr>
                <w:sz w:val="20"/>
                <w:szCs w:val="20"/>
              </w:rPr>
              <w:t>Définition</w:t>
            </w:r>
          </w:p>
        </w:tc>
      </w:tr>
      <w:tr w:rsidR="0002445E" w:rsidRPr="0002445E" w14:paraId="62042616" w14:textId="6F8931EB" w:rsidTr="00F34FA9">
        <w:tc>
          <w:tcPr>
            <w:tcW w:w="1838" w:type="dxa"/>
            <w:tcBorders>
              <w:top w:val="single" w:sz="4" w:space="0" w:color="FFFFFF" w:themeColor="background1"/>
            </w:tcBorders>
            <w:vAlign w:val="center"/>
          </w:tcPr>
          <w:p w14:paraId="6D1BA769" w14:textId="3EAB9346" w:rsidR="0002445E" w:rsidRPr="008C773D" w:rsidRDefault="0002445E" w:rsidP="008C773D">
            <w:pPr>
              <w:jc w:val="left"/>
              <w:rPr>
                <w:b/>
                <w:bCs/>
                <w:sz w:val="20"/>
                <w:szCs w:val="20"/>
              </w:rPr>
            </w:pPr>
            <w:r w:rsidRPr="008C773D">
              <w:rPr>
                <w:b/>
                <w:bCs/>
                <w:sz w:val="20"/>
                <w:szCs w:val="20"/>
              </w:rPr>
              <w:t>Qualité du sol</w:t>
            </w:r>
          </w:p>
        </w:tc>
        <w:tc>
          <w:tcPr>
            <w:tcW w:w="5954" w:type="dxa"/>
            <w:tcBorders>
              <w:top w:val="single" w:sz="4" w:space="0" w:color="FFFFFF" w:themeColor="background1"/>
            </w:tcBorders>
          </w:tcPr>
          <w:p w14:paraId="58F249C0" w14:textId="113A1622" w:rsidR="0002445E" w:rsidRPr="0002445E" w:rsidRDefault="001E18F0" w:rsidP="00A95190">
            <w:pPr>
              <w:rPr>
                <w:sz w:val="20"/>
                <w:szCs w:val="20"/>
              </w:rPr>
            </w:pPr>
            <w:r w:rsidRPr="001E18F0">
              <w:rPr>
                <w:sz w:val="20"/>
                <w:szCs w:val="20"/>
              </w:rPr>
              <w:t>La qualité d’un sol est sa capacité actuelle à remplir un service ou une fonction donnée. Elle correspond à l’état absolu d’un indicateur. L’attribution d’un score de qualité, en lien avec une fonction donnée, consiste à interpréter la valeur mesurée d’un indicateur par rapport au niveau optimal absolu de remplissage de la fonction, établi indépendamment du type de sol évalué.</w:t>
            </w:r>
          </w:p>
        </w:tc>
        <w:tc>
          <w:tcPr>
            <w:tcW w:w="1268" w:type="dxa"/>
            <w:tcBorders>
              <w:top w:val="single" w:sz="4" w:space="0" w:color="FFFFFF" w:themeColor="background1"/>
            </w:tcBorders>
            <w:vAlign w:val="center"/>
          </w:tcPr>
          <w:p w14:paraId="7D4CFAE7" w14:textId="1844D111" w:rsidR="0002445E" w:rsidRPr="0002445E" w:rsidRDefault="0002445E" w:rsidP="00467681">
            <w:pPr>
              <w:jc w:val="left"/>
              <w:rPr>
                <w:sz w:val="20"/>
                <w:szCs w:val="20"/>
              </w:rPr>
            </w:pPr>
            <w:r w:rsidRPr="0002445E">
              <w:rPr>
                <w:rFonts w:ascii="Wingdings" w:eastAsia="Wingdings" w:hAnsi="Wingdings" w:cs="Wingdings"/>
                <w:sz w:val="20"/>
                <w:szCs w:val="20"/>
              </w:rPr>
              <w:t>à</w:t>
            </w:r>
            <w:r w:rsidR="00F34FA9">
              <w:rPr>
                <w:sz w:val="20"/>
                <w:szCs w:val="20"/>
              </w:rPr>
              <w:t xml:space="preserve"> Voir </w:t>
            </w:r>
            <w:r w:rsidR="008C34E0">
              <w:rPr>
                <w:sz w:val="20"/>
                <w:szCs w:val="20"/>
              </w:rPr>
              <w:fldChar w:fldCharType="begin"/>
            </w:r>
            <w:r w:rsidR="008C34E0">
              <w:rPr>
                <w:sz w:val="20"/>
                <w:szCs w:val="20"/>
              </w:rPr>
              <w:instrText xml:space="preserve"> REF _Ref232250869 \r \h </w:instrText>
            </w:r>
            <w:r w:rsidR="00467681">
              <w:rPr>
                <w:sz w:val="20"/>
                <w:szCs w:val="20"/>
              </w:rPr>
              <w:instrText xml:space="preserve"> \* MERGEFORMAT </w:instrText>
            </w:r>
            <w:r w:rsidR="008C34E0">
              <w:rPr>
                <w:sz w:val="20"/>
                <w:szCs w:val="20"/>
              </w:rPr>
            </w:r>
            <w:r w:rsidR="008C34E0">
              <w:rPr>
                <w:sz w:val="20"/>
                <w:szCs w:val="20"/>
              </w:rPr>
              <w:fldChar w:fldCharType="separate"/>
            </w:r>
            <w:r w:rsidR="004526A3">
              <w:rPr>
                <w:sz w:val="20"/>
                <w:szCs w:val="20"/>
              </w:rPr>
              <w:t>3.5</w:t>
            </w:r>
            <w:r w:rsidR="008C34E0">
              <w:rPr>
                <w:sz w:val="20"/>
                <w:szCs w:val="20"/>
              </w:rPr>
              <w:fldChar w:fldCharType="end"/>
            </w:r>
          </w:p>
        </w:tc>
      </w:tr>
      <w:tr w:rsidR="0002445E" w:rsidRPr="0002445E" w14:paraId="7B432E9A" w14:textId="508573F7" w:rsidTr="00F34FA9">
        <w:tc>
          <w:tcPr>
            <w:tcW w:w="1838" w:type="dxa"/>
            <w:vAlign w:val="center"/>
          </w:tcPr>
          <w:p w14:paraId="543603F1" w14:textId="3EB7C859" w:rsidR="0002445E" w:rsidRPr="008C773D" w:rsidRDefault="0002445E" w:rsidP="008C773D">
            <w:pPr>
              <w:jc w:val="left"/>
              <w:rPr>
                <w:b/>
                <w:bCs/>
                <w:sz w:val="20"/>
                <w:szCs w:val="20"/>
              </w:rPr>
            </w:pPr>
            <w:r w:rsidRPr="008C773D">
              <w:rPr>
                <w:b/>
                <w:bCs/>
                <w:sz w:val="20"/>
                <w:szCs w:val="20"/>
              </w:rPr>
              <w:t>Santé du sol</w:t>
            </w:r>
          </w:p>
        </w:tc>
        <w:tc>
          <w:tcPr>
            <w:tcW w:w="5954" w:type="dxa"/>
          </w:tcPr>
          <w:p w14:paraId="3742083F" w14:textId="6170589B" w:rsidR="0002445E" w:rsidRPr="0002445E" w:rsidRDefault="0059278B" w:rsidP="00A95190">
            <w:pPr>
              <w:rPr>
                <w:sz w:val="20"/>
                <w:szCs w:val="20"/>
              </w:rPr>
            </w:pPr>
            <w:r w:rsidRPr="0059278B">
              <w:rPr>
                <w:sz w:val="20"/>
                <w:szCs w:val="20"/>
              </w:rPr>
              <w:t>La santé d’un sol est un niveau relatif de remplissage d’une fonction par rapport au potentiel intrinsèque du sol, dépendant du type de sol. Elle correspond au rapport entre la qualité absolue et la qualité potentielle du sol (soit le potentiel maximum atteignable par un sol donné, moyennant une gestion optimale). L’attribution d’un score de santé, en lien avec une fonction donnée, consiste à interpréter la valeur mesurée d’un indicateur par rapport au niveau potentiel de remplissage de la fonction, établi selon le type de sol évalué car contraint par les propriétés intrinsèques du sol telles que la texture.</w:t>
            </w:r>
          </w:p>
        </w:tc>
        <w:tc>
          <w:tcPr>
            <w:tcW w:w="1268" w:type="dxa"/>
            <w:vAlign w:val="center"/>
          </w:tcPr>
          <w:p w14:paraId="2ABEB368" w14:textId="023E87BA" w:rsidR="00B94E98" w:rsidRPr="0002445E" w:rsidRDefault="008C34E0" w:rsidP="00467681">
            <w:pPr>
              <w:jc w:val="left"/>
              <w:rPr>
                <w:sz w:val="20"/>
                <w:szCs w:val="20"/>
              </w:rPr>
            </w:pPr>
            <w:r w:rsidRPr="0002445E">
              <w:rPr>
                <w:rFonts w:ascii="Wingdings" w:eastAsia="Wingdings" w:hAnsi="Wingdings" w:cs="Wingdings"/>
                <w:sz w:val="20"/>
                <w:szCs w:val="20"/>
              </w:rPr>
              <w:t>à</w:t>
            </w:r>
            <w:r w:rsidRPr="0002445E">
              <w:rPr>
                <w:sz w:val="20"/>
                <w:szCs w:val="20"/>
              </w:rPr>
              <w:t xml:space="preserve"> </w:t>
            </w:r>
            <w:r w:rsidR="00F34FA9">
              <w:rPr>
                <w:sz w:val="20"/>
                <w:szCs w:val="20"/>
              </w:rPr>
              <w:t xml:space="preserve">Voir </w:t>
            </w:r>
            <w:r>
              <w:rPr>
                <w:sz w:val="20"/>
                <w:szCs w:val="20"/>
              </w:rPr>
              <w:fldChar w:fldCharType="begin"/>
            </w:r>
            <w:r>
              <w:rPr>
                <w:sz w:val="20"/>
                <w:szCs w:val="20"/>
              </w:rPr>
              <w:instrText xml:space="preserve"> REF _Ref232250869 \r \h </w:instrText>
            </w:r>
            <w:r w:rsidR="00467681">
              <w:rPr>
                <w:sz w:val="20"/>
                <w:szCs w:val="20"/>
              </w:rPr>
              <w:instrText xml:space="preserve"> \* MERGEFORMAT </w:instrText>
            </w:r>
            <w:r>
              <w:rPr>
                <w:sz w:val="20"/>
                <w:szCs w:val="20"/>
              </w:rPr>
            </w:r>
            <w:r>
              <w:rPr>
                <w:sz w:val="20"/>
                <w:szCs w:val="20"/>
              </w:rPr>
              <w:fldChar w:fldCharType="separate"/>
            </w:r>
            <w:r w:rsidR="004526A3">
              <w:rPr>
                <w:sz w:val="20"/>
                <w:szCs w:val="20"/>
              </w:rPr>
              <w:t>3.5</w:t>
            </w:r>
            <w:r>
              <w:rPr>
                <w:sz w:val="20"/>
                <w:szCs w:val="20"/>
              </w:rPr>
              <w:fldChar w:fldCharType="end"/>
            </w:r>
          </w:p>
        </w:tc>
      </w:tr>
      <w:tr w:rsidR="0002445E" w:rsidRPr="0002445E" w14:paraId="100A2DF4" w14:textId="25D48AAD" w:rsidTr="00F34FA9">
        <w:tc>
          <w:tcPr>
            <w:tcW w:w="1838" w:type="dxa"/>
            <w:vAlign w:val="center"/>
          </w:tcPr>
          <w:p w14:paraId="5B5FC25B" w14:textId="41EED4AC" w:rsidR="0002445E" w:rsidRPr="008C773D" w:rsidRDefault="0002445E" w:rsidP="008C773D">
            <w:pPr>
              <w:jc w:val="left"/>
              <w:rPr>
                <w:b/>
                <w:bCs/>
                <w:sz w:val="20"/>
                <w:szCs w:val="20"/>
              </w:rPr>
            </w:pPr>
            <w:r w:rsidRPr="008C773D">
              <w:rPr>
                <w:b/>
                <w:bCs/>
                <w:sz w:val="20"/>
                <w:szCs w:val="20"/>
              </w:rPr>
              <w:t>Service écosystémique</w:t>
            </w:r>
          </w:p>
        </w:tc>
        <w:tc>
          <w:tcPr>
            <w:tcW w:w="5954" w:type="dxa"/>
          </w:tcPr>
          <w:p w14:paraId="03AFF301" w14:textId="534C88CD" w:rsidR="0002445E" w:rsidRPr="0002445E" w:rsidRDefault="000E4D2B" w:rsidP="00A95190">
            <w:pPr>
              <w:rPr>
                <w:sz w:val="20"/>
                <w:szCs w:val="20"/>
              </w:rPr>
            </w:pPr>
            <w:r>
              <w:rPr>
                <w:sz w:val="20"/>
                <w:szCs w:val="20"/>
              </w:rPr>
              <w:t>« </w:t>
            </w:r>
            <w:r w:rsidR="00897E85">
              <w:rPr>
                <w:sz w:val="20"/>
                <w:szCs w:val="20"/>
              </w:rPr>
              <w:t>Les services écosystémiques sont l</w:t>
            </w:r>
            <w:r w:rsidR="0002445E" w:rsidRPr="0002445E">
              <w:rPr>
                <w:sz w:val="20"/>
                <w:szCs w:val="20"/>
              </w:rPr>
              <w:t xml:space="preserve">es contributions directes ou indirectes des écosystèmes aux bénéfices environnementaux, économiques, sociaux, culturels et autres que les personnes tirent des écosystèmes » </w:t>
            </w:r>
            <w:r>
              <w:rPr>
                <w:sz w:val="20"/>
                <w:szCs w:val="20"/>
              </w:rPr>
              <w:t>(</w:t>
            </w:r>
            <w:r w:rsidR="003D369C">
              <w:rPr>
                <w:sz w:val="20"/>
                <w:szCs w:val="20"/>
              </w:rPr>
              <w:t>d</w:t>
            </w:r>
            <w:r>
              <w:rPr>
                <w:sz w:val="20"/>
                <w:szCs w:val="20"/>
              </w:rPr>
              <w:t xml:space="preserve">irective </w:t>
            </w:r>
            <w:r w:rsidRPr="000E4D2B">
              <w:rPr>
                <w:sz w:val="20"/>
                <w:szCs w:val="20"/>
              </w:rPr>
              <w:t>sur la surveillance des sols</w:t>
            </w:r>
            <w:r>
              <w:rPr>
                <w:sz w:val="20"/>
                <w:szCs w:val="20"/>
              </w:rPr>
              <w:t xml:space="preserve">, </w:t>
            </w:r>
            <w:r w:rsidR="00897E85">
              <w:rPr>
                <w:sz w:val="20"/>
                <w:szCs w:val="20"/>
              </w:rPr>
              <w:fldChar w:fldCharType="begin"/>
            </w:r>
            <w:r w:rsidR="00377A1A">
              <w:rPr>
                <w:sz w:val="20"/>
                <w:szCs w:val="20"/>
              </w:rPr>
              <w:instrText xml:space="preserve"> ADDIN ZOTERO_ITEM CSL_CITATION {"citationID":"S7iPW92t","properties":{"unsorted":false,"formattedCitation":"(UE, 2025)","plainCitation":"(UE, 2025)","dontUpdate":true,"noteIndex":0},"citationItems":[{"id":540,"uris":["http://zotero.org/groups/5684833/items/YXXNAEQQ"],"itemData":{"id":540,"type":"document","note":"OJ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897E85">
              <w:rPr>
                <w:sz w:val="20"/>
                <w:szCs w:val="20"/>
              </w:rPr>
              <w:fldChar w:fldCharType="separate"/>
            </w:r>
            <w:r w:rsidR="00897E85" w:rsidRPr="00897E85">
              <w:rPr>
                <w:rFonts w:cs="Calibri"/>
                <w:sz w:val="20"/>
              </w:rPr>
              <w:t>UE, 2025)</w:t>
            </w:r>
            <w:r w:rsidR="00897E85">
              <w:rPr>
                <w:sz w:val="20"/>
                <w:szCs w:val="20"/>
              </w:rPr>
              <w:fldChar w:fldCharType="end"/>
            </w:r>
            <w:r w:rsidR="003D369C">
              <w:rPr>
                <w:sz w:val="20"/>
                <w:szCs w:val="20"/>
              </w:rPr>
              <w:t>.</w:t>
            </w:r>
          </w:p>
        </w:tc>
        <w:tc>
          <w:tcPr>
            <w:tcW w:w="1268" w:type="dxa"/>
            <w:vAlign w:val="center"/>
          </w:tcPr>
          <w:p w14:paraId="65D8DAD3" w14:textId="23F6A8D2" w:rsidR="0002445E" w:rsidRPr="0002445E" w:rsidRDefault="00B94E98" w:rsidP="00467681">
            <w:pPr>
              <w:jc w:val="left"/>
              <w:rPr>
                <w:sz w:val="20"/>
                <w:szCs w:val="20"/>
              </w:rPr>
            </w:pPr>
            <w:r w:rsidRPr="00B94E98">
              <w:rPr>
                <w:rFonts w:ascii="Wingdings" w:eastAsia="Wingdings" w:hAnsi="Wingdings" w:cs="Wingdings"/>
                <w:sz w:val="20"/>
                <w:szCs w:val="20"/>
              </w:rPr>
              <w:t>à</w:t>
            </w:r>
            <w:r>
              <w:rPr>
                <w:sz w:val="20"/>
                <w:szCs w:val="20"/>
              </w:rPr>
              <w:t xml:space="preserve"> </w:t>
            </w:r>
            <w:r w:rsidR="00F34FA9">
              <w:rPr>
                <w:sz w:val="20"/>
                <w:szCs w:val="20"/>
              </w:rPr>
              <w:t xml:space="preserve">Voir </w:t>
            </w:r>
            <w:r w:rsidR="00050851">
              <w:rPr>
                <w:sz w:val="20"/>
                <w:szCs w:val="20"/>
              </w:rPr>
              <w:fldChar w:fldCharType="begin"/>
            </w:r>
            <w:r w:rsidR="00050851">
              <w:rPr>
                <w:sz w:val="20"/>
                <w:szCs w:val="20"/>
              </w:rPr>
              <w:instrText xml:space="preserve"> REF _Ref233110970 \r \h </w:instrText>
            </w:r>
            <w:r w:rsidR="00050851">
              <w:rPr>
                <w:sz w:val="20"/>
                <w:szCs w:val="20"/>
              </w:rPr>
            </w:r>
            <w:r w:rsidR="00050851">
              <w:rPr>
                <w:sz w:val="20"/>
                <w:szCs w:val="20"/>
              </w:rPr>
              <w:fldChar w:fldCharType="separate"/>
            </w:r>
            <w:r w:rsidR="004526A3">
              <w:rPr>
                <w:sz w:val="20"/>
                <w:szCs w:val="20"/>
              </w:rPr>
              <w:t>4.1.1</w:t>
            </w:r>
            <w:r w:rsidR="00050851">
              <w:rPr>
                <w:sz w:val="20"/>
                <w:szCs w:val="20"/>
              </w:rPr>
              <w:fldChar w:fldCharType="end"/>
            </w:r>
          </w:p>
        </w:tc>
      </w:tr>
      <w:tr w:rsidR="0002445E" w:rsidRPr="0002445E" w14:paraId="7667AB48" w14:textId="701D5186" w:rsidTr="00F34FA9">
        <w:tc>
          <w:tcPr>
            <w:tcW w:w="1838" w:type="dxa"/>
            <w:vAlign w:val="center"/>
          </w:tcPr>
          <w:p w14:paraId="7191B325" w14:textId="5838D7B8" w:rsidR="0002445E" w:rsidRPr="008C773D" w:rsidRDefault="0002445E" w:rsidP="008C773D">
            <w:pPr>
              <w:jc w:val="left"/>
              <w:rPr>
                <w:b/>
                <w:bCs/>
                <w:sz w:val="20"/>
                <w:szCs w:val="20"/>
              </w:rPr>
            </w:pPr>
            <w:r w:rsidRPr="008C773D">
              <w:rPr>
                <w:b/>
                <w:bCs/>
                <w:sz w:val="20"/>
                <w:szCs w:val="20"/>
              </w:rPr>
              <w:t>Fonction</w:t>
            </w:r>
          </w:p>
        </w:tc>
        <w:tc>
          <w:tcPr>
            <w:tcW w:w="5954" w:type="dxa"/>
          </w:tcPr>
          <w:p w14:paraId="7D92738C" w14:textId="7A1C7FAF" w:rsidR="0002445E" w:rsidRPr="0002445E" w:rsidRDefault="00421531" w:rsidP="00A95190">
            <w:pPr>
              <w:rPr>
                <w:sz w:val="20"/>
                <w:szCs w:val="20"/>
              </w:rPr>
            </w:pPr>
            <w:r>
              <w:rPr>
                <w:sz w:val="20"/>
                <w:szCs w:val="20"/>
              </w:rPr>
              <w:t xml:space="preserve">Échelle de sous-découpage des services écosystémiques, se référant à un processus pédologique </w:t>
            </w:r>
            <w:r w:rsidR="00A70CDA">
              <w:rPr>
                <w:sz w:val="20"/>
                <w:szCs w:val="20"/>
              </w:rPr>
              <w:t>particulier.</w:t>
            </w:r>
            <w:r w:rsidR="00BA33BB">
              <w:rPr>
                <w:sz w:val="20"/>
                <w:szCs w:val="20"/>
              </w:rPr>
              <w:t xml:space="preserve"> Une fonction est le résultat </w:t>
            </w:r>
            <w:r w:rsidR="003D369C">
              <w:rPr>
                <w:sz w:val="20"/>
                <w:szCs w:val="20"/>
              </w:rPr>
              <w:t xml:space="preserve">de processus naturels internes au sol </w:t>
            </w:r>
            <w:r w:rsidR="003D369C">
              <w:rPr>
                <w:sz w:val="20"/>
                <w:szCs w:val="20"/>
              </w:rPr>
              <w:fldChar w:fldCharType="begin"/>
            </w:r>
            <w:r w:rsidR="003D369C">
              <w:rPr>
                <w:sz w:val="20"/>
                <w:szCs w:val="20"/>
              </w:rPr>
              <w:instrText xml:space="preserve"> ADDIN ZOTERO_ITEM CSL_CITATION {"citationID":"2R0rugkb","properties":{"unsorted":false,"formattedCitation":"(de\\uc0\\u160{}Groot et al., 2002)","plainCitation":"(de Groot et al., 2002)","noteIndex":0},"citationItems":[{"id":604,"uris":["http://zotero.org/groups/5684833/items/QJRRCWD8"],"itemData":{"id":604,"type":"article-journal","abstract":"An increasing amount of information is being collected on the ecological and socio-economic value of goods and services provided by natural and semi-natural ecosystems. However, much of this information appears scattered throughout a disciplinary academic literature, unpublished government agency reports, and across the World Wide Web. In addition, data on ecosystem goods and services often appears at incompatible scales of analysis and is classified differently by different authors. In order to make comparative ecological economic analysis possible, a standardized framework for the comprehensive assessment of ecosystem functions, goods and services is needed. In response to this challenge, this paper presents a conceptual framework and typology for describing, classifying and valuing ecosystem functions, goods and services in a clear and consistent manner. In the following analysis, a classification is given for the fullest possible range of 23 ecosystem functions that provide a much larger number of goods and services. In the second part of the paper, a checklist and matrix is provided, linking these ecosystem functions to the main ecological, socio–cultural and economic valuation methods.","container-title":"Ecological Economics","DOI":"10.1016/S0921-8009(02)00089-7","ISSN":"0921-8009","issue":"3","journalAbbreviation":"Ecological Economics","page":"393-408","source":"ScienceDirect","title":"A typology for the classification, description and valuation of ecosystem functions, goods and services","volume":"41","author":[{"family":"Groot","given":"Rudolf S","non-dropping-particle":"de"},{"family":"Wilson","given":"Matthew A"},{"family":"Boumans","given":"Roelof M. J"}],"issued":{"date-parts":[["2002",6,1]]}}}],"schema":"https://github.com/citation-style-language/schema/raw/master/csl-citation.json"} </w:instrText>
            </w:r>
            <w:r w:rsidR="003D369C">
              <w:rPr>
                <w:sz w:val="20"/>
                <w:szCs w:val="20"/>
              </w:rPr>
              <w:fldChar w:fldCharType="separate"/>
            </w:r>
            <w:r w:rsidR="003D369C" w:rsidRPr="003D369C">
              <w:rPr>
                <w:rFonts w:cs="Calibri"/>
                <w:kern w:val="0"/>
                <w:sz w:val="20"/>
              </w:rPr>
              <w:t>(de Groot et al., 2002)</w:t>
            </w:r>
            <w:r w:rsidR="003D369C">
              <w:rPr>
                <w:sz w:val="20"/>
                <w:szCs w:val="20"/>
              </w:rPr>
              <w:fldChar w:fldCharType="end"/>
            </w:r>
            <w:r w:rsidR="003D369C">
              <w:rPr>
                <w:sz w:val="20"/>
                <w:szCs w:val="20"/>
              </w:rPr>
              <w:t>.</w:t>
            </w:r>
          </w:p>
        </w:tc>
        <w:tc>
          <w:tcPr>
            <w:tcW w:w="1268" w:type="dxa"/>
            <w:vAlign w:val="center"/>
          </w:tcPr>
          <w:p w14:paraId="2FCD731F" w14:textId="3A8592A1" w:rsidR="0002445E" w:rsidRPr="008C773D" w:rsidRDefault="008C773D" w:rsidP="00467681">
            <w:pPr>
              <w:jc w:val="left"/>
              <w:rPr>
                <w:sz w:val="20"/>
                <w:szCs w:val="20"/>
              </w:rPr>
            </w:pPr>
            <w:r w:rsidRPr="00B94E98">
              <w:rPr>
                <w:rFonts w:ascii="Wingdings" w:eastAsia="Wingdings" w:hAnsi="Wingdings" w:cs="Wingdings"/>
                <w:sz w:val="20"/>
                <w:szCs w:val="20"/>
              </w:rPr>
              <w:t>à</w:t>
            </w:r>
            <w:r>
              <w:rPr>
                <w:sz w:val="20"/>
                <w:szCs w:val="20"/>
              </w:rPr>
              <w:t xml:space="preserve"> </w:t>
            </w:r>
            <w:r w:rsidR="00F34FA9">
              <w:rPr>
                <w:sz w:val="20"/>
                <w:szCs w:val="20"/>
              </w:rPr>
              <w:t xml:space="preserve">Voir </w:t>
            </w:r>
            <w:r w:rsidR="008C34E0">
              <w:rPr>
                <w:sz w:val="20"/>
                <w:szCs w:val="20"/>
              </w:rPr>
              <w:fldChar w:fldCharType="begin"/>
            </w:r>
            <w:r w:rsidR="008C34E0">
              <w:rPr>
                <w:sz w:val="20"/>
                <w:szCs w:val="20"/>
              </w:rPr>
              <w:instrText xml:space="preserve"> REF _Ref232250903 \r \h </w:instrText>
            </w:r>
            <w:r w:rsidR="00467681">
              <w:rPr>
                <w:sz w:val="20"/>
                <w:szCs w:val="20"/>
              </w:rPr>
              <w:instrText xml:space="preserve"> \* MERGEFORMAT </w:instrText>
            </w:r>
            <w:r w:rsidR="008C34E0">
              <w:rPr>
                <w:sz w:val="20"/>
                <w:szCs w:val="20"/>
              </w:rPr>
            </w:r>
            <w:r w:rsidR="008C34E0">
              <w:rPr>
                <w:sz w:val="20"/>
                <w:szCs w:val="20"/>
              </w:rPr>
              <w:fldChar w:fldCharType="separate"/>
            </w:r>
            <w:r w:rsidR="004526A3">
              <w:rPr>
                <w:sz w:val="20"/>
                <w:szCs w:val="20"/>
              </w:rPr>
              <w:t>4.1.2</w:t>
            </w:r>
            <w:r w:rsidR="008C34E0">
              <w:rPr>
                <w:sz w:val="20"/>
                <w:szCs w:val="20"/>
              </w:rPr>
              <w:fldChar w:fldCharType="end"/>
            </w:r>
          </w:p>
        </w:tc>
      </w:tr>
      <w:tr w:rsidR="0002445E" w:rsidRPr="0002445E" w14:paraId="6CAA9208" w14:textId="4AC27100" w:rsidTr="00F34FA9">
        <w:tc>
          <w:tcPr>
            <w:tcW w:w="1838" w:type="dxa"/>
            <w:vAlign w:val="center"/>
          </w:tcPr>
          <w:p w14:paraId="0222D8E1" w14:textId="16AAE1E4" w:rsidR="0002445E" w:rsidRPr="008C773D" w:rsidRDefault="0002445E" w:rsidP="008C773D">
            <w:pPr>
              <w:jc w:val="left"/>
              <w:rPr>
                <w:b/>
                <w:bCs/>
                <w:sz w:val="20"/>
                <w:szCs w:val="20"/>
              </w:rPr>
            </w:pPr>
            <w:r w:rsidRPr="008C773D">
              <w:rPr>
                <w:b/>
                <w:bCs/>
                <w:sz w:val="20"/>
                <w:szCs w:val="20"/>
              </w:rPr>
              <w:t>Indicateur</w:t>
            </w:r>
          </w:p>
        </w:tc>
        <w:tc>
          <w:tcPr>
            <w:tcW w:w="5954" w:type="dxa"/>
          </w:tcPr>
          <w:p w14:paraId="0AFE9156" w14:textId="221B8BED" w:rsidR="00AE1D2B" w:rsidRDefault="00AE1D2B" w:rsidP="00AE1D2B">
            <w:pPr>
              <w:rPr>
                <w:sz w:val="20"/>
                <w:szCs w:val="20"/>
              </w:rPr>
            </w:pPr>
            <w:r w:rsidRPr="00AE1D2B">
              <w:rPr>
                <w:sz w:val="20"/>
                <w:szCs w:val="20"/>
              </w:rPr>
              <w:t>Un indicateur est un paramètre (ou une combinaison de paramètres) auquel une interprétation est attribuée en lien avec une fonction donnée (par exemple, l</w:t>
            </w:r>
            <w:r w:rsidR="00E20A7A">
              <w:rPr>
                <w:sz w:val="20"/>
                <w:szCs w:val="20"/>
              </w:rPr>
              <w:t>a teneur en</w:t>
            </w:r>
            <w:r w:rsidRPr="00AE1D2B">
              <w:rPr>
                <w:sz w:val="20"/>
                <w:szCs w:val="20"/>
              </w:rPr>
              <w:t xml:space="preserve"> phosphore est un indicateur du statut nutritif du sol). Deux types d’indicateurs se distinguent dans l’IQSW-pro : les indicateurs mesurés et les indicateurs calculés</w:t>
            </w:r>
            <w:r w:rsidR="00375514">
              <w:rPr>
                <w:sz w:val="20"/>
                <w:szCs w:val="20"/>
              </w:rPr>
              <w:t>.</w:t>
            </w:r>
          </w:p>
          <w:p w14:paraId="2DE156E1" w14:textId="77777777" w:rsidR="00375514" w:rsidRPr="00AE1D2B" w:rsidRDefault="00375514" w:rsidP="00AE1D2B">
            <w:pPr>
              <w:rPr>
                <w:sz w:val="20"/>
                <w:szCs w:val="20"/>
              </w:rPr>
            </w:pPr>
          </w:p>
          <w:p w14:paraId="631A5254" w14:textId="3C689D6C" w:rsidR="00AE1D2B" w:rsidRDefault="00AE1D2B">
            <w:pPr>
              <w:pStyle w:val="Paragraphedeliste"/>
              <w:numPr>
                <w:ilvl w:val="0"/>
                <w:numId w:val="13"/>
              </w:numPr>
              <w:rPr>
                <w:sz w:val="20"/>
                <w:szCs w:val="20"/>
              </w:rPr>
            </w:pPr>
            <w:r w:rsidRPr="00AE1D2B">
              <w:rPr>
                <w:sz w:val="20"/>
                <w:szCs w:val="20"/>
              </w:rPr>
              <w:t xml:space="preserve">Un </w:t>
            </w:r>
            <w:r w:rsidRPr="00AE1D2B">
              <w:rPr>
                <w:i/>
                <w:iCs/>
                <w:sz w:val="20"/>
                <w:szCs w:val="20"/>
              </w:rPr>
              <w:t>indicateur mesuré</w:t>
            </w:r>
            <w:r w:rsidRPr="00AE1D2B">
              <w:rPr>
                <w:sz w:val="20"/>
                <w:szCs w:val="20"/>
              </w:rPr>
              <w:t xml:space="preserve"> correspond à un paramètre qui est directement interprété individuellement (par exemple, un score est associé directement à la </w:t>
            </w:r>
            <w:r w:rsidR="00E20A7A">
              <w:rPr>
                <w:sz w:val="20"/>
                <w:szCs w:val="20"/>
              </w:rPr>
              <w:t>teneur en</w:t>
            </w:r>
            <w:r w:rsidRPr="00AE1D2B">
              <w:rPr>
                <w:sz w:val="20"/>
                <w:szCs w:val="20"/>
              </w:rPr>
              <w:t xml:space="preserve"> </w:t>
            </w:r>
            <w:r w:rsidR="00E20A7A">
              <w:rPr>
                <w:sz w:val="20"/>
                <w:szCs w:val="20"/>
              </w:rPr>
              <w:t>phosphore</w:t>
            </w:r>
            <w:r w:rsidRPr="00AE1D2B">
              <w:rPr>
                <w:sz w:val="20"/>
                <w:szCs w:val="20"/>
              </w:rPr>
              <w:t xml:space="preserve"> mesurée). </w:t>
            </w:r>
          </w:p>
          <w:p w14:paraId="6CD6A249" w14:textId="77777777" w:rsidR="00375514" w:rsidRPr="00AE1D2B" w:rsidRDefault="00375514" w:rsidP="00375514">
            <w:pPr>
              <w:pStyle w:val="Paragraphedeliste"/>
              <w:ind w:left="360"/>
              <w:rPr>
                <w:sz w:val="20"/>
                <w:szCs w:val="20"/>
              </w:rPr>
            </w:pPr>
          </w:p>
          <w:p w14:paraId="0DE6DCA0" w14:textId="6F72A191" w:rsidR="0002445E" w:rsidRPr="00AE1D2B" w:rsidRDefault="00AE1D2B">
            <w:pPr>
              <w:pStyle w:val="Paragraphedeliste"/>
              <w:numPr>
                <w:ilvl w:val="0"/>
                <w:numId w:val="13"/>
              </w:numPr>
              <w:rPr>
                <w:sz w:val="20"/>
                <w:szCs w:val="20"/>
              </w:rPr>
            </w:pPr>
            <w:r w:rsidRPr="00AE1D2B">
              <w:rPr>
                <w:sz w:val="20"/>
                <w:szCs w:val="20"/>
              </w:rPr>
              <w:t xml:space="preserve">Un </w:t>
            </w:r>
            <w:r w:rsidRPr="00AE1D2B">
              <w:rPr>
                <w:i/>
                <w:iCs/>
                <w:sz w:val="20"/>
                <w:szCs w:val="20"/>
              </w:rPr>
              <w:t>indicateur calculé</w:t>
            </w:r>
            <w:r w:rsidRPr="00AE1D2B">
              <w:rPr>
                <w:sz w:val="20"/>
                <w:szCs w:val="20"/>
              </w:rPr>
              <w:t>, quant à lui, implique une étape intermédiaire de combinaison de plusieurs paramètres, à travers un calcul (une équation) avant d’être interprété. Par exemple, la réserve en eau utile</w:t>
            </w:r>
            <w:r w:rsidR="002C6C9A">
              <w:rPr>
                <w:sz w:val="20"/>
                <w:szCs w:val="20"/>
              </w:rPr>
              <w:t xml:space="preserve"> (REU)</w:t>
            </w:r>
            <w:r w:rsidRPr="00AE1D2B">
              <w:rPr>
                <w:sz w:val="20"/>
                <w:szCs w:val="20"/>
              </w:rPr>
              <w:t xml:space="preserve"> est un indicateur calculé en intégrant différents paramètres dont la texture ou la teneur en carbone organique. Dans la fonction considérée, la texture n’est pas scorée individuellement, mais c’est le résultat du calcul de la REU qui est scoré.</w:t>
            </w:r>
          </w:p>
        </w:tc>
        <w:tc>
          <w:tcPr>
            <w:tcW w:w="1268" w:type="dxa"/>
            <w:vAlign w:val="center"/>
          </w:tcPr>
          <w:p w14:paraId="2075EAAA" w14:textId="6262E525" w:rsidR="0002445E" w:rsidRPr="002A09FF" w:rsidRDefault="002A09FF" w:rsidP="00467681">
            <w:pPr>
              <w:jc w:val="left"/>
              <w:rPr>
                <w:sz w:val="20"/>
                <w:szCs w:val="20"/>
              </w:rPr>
            </w:pPr>
            <w:r w:rsidRPr="00B94E98">
              <w:rPr>
                <w:rFonts w:ascii="Wingdings" w:eastAsia="Wingdings" w:hAnsi="Wingdings" w:cs="Wingdings"/>
                <w:sz w:val="20"/>
                <w:szCs w:val="20"/>
              </w:rPr>
              <w:t>à</w:t>
            </w:r>
            <w:r>
              <w:rPr>
                <w:sz w:val="20"/>
                <w:szCs w:val="20"/>
              </w:rPr>
              <w:t xml:space="preserve"> </w:t>
            </w:r>
            <w:r w:rsidR="00F34FA9">
              <w:rPr>
                <w:sz w:val="20"/>
                <w:szCs w:val="20"/>
              </w:rPr>
              <w:t xml:space="preserve">Voir </w:t>
            </w:r>
            <w:r w:rsidR="002224EE">
              <w:rPr>
                <w:sz w:val="20"/>
                <w:szCs w:val="20"/>
              </w:rPr>
              <w:fldChar w:fldCharType="begin"/>
            </w:r>
            <w:r w:rsidR="002224EE">
              <w:rPr>
                <w:sz w:val="20"/>
                <w:szCs w:val="20"/>
              </w:rPr>
              <w:instrText xml:space="preserve"> REF _Ref241228404 \r \h </w:instrText>
            </w:r>
            <w:r w:rsidR="002224EE">
              <w:rPr>
                <w:sz w:val="20"/>
                <w:szCs w:val="20"/>
              </w:rPr>
            </w:r>
            <w:r w:rsidR="002224EE">
              <w:rPr>
                <w:sz w:val="20"/>
                <w:szCs w:val="20"/>
              </w:rPr>
              <w:fldChar w:fldCharType="separate"/>
            </w:r>
            <w:r w:rsidR="002224EE">
              <w:rPr>
                <w:sz w:val="20"/>
                <w:szCs w:val="20"/>
              </w:rPr>
              <w:t>3.6.1</w:t>
            </w:r>
            <w:r w:rsidR="002224EE">
              <w:rPr>
                <w:sz w:val="20"/>
                <w:szCs w:val="20"/>
              </w:rPr>
              <w:fldChar w:fldCharType="end"/>
            </w:r>
          </w:p>
        </w:tc>
      </w:tr>
      <w:tr w:rsidR="0002445E" w:rsidRPr="0002445E" w14:paraId="00C5E391" w14:textId="143BB025" w:rsidTr="00F34FA9">
        <w:tc>
          <w:tcPr>
            <w:tcW w:w="1838" w:type="dxa"/>
            <w:vAlign w:val="center"/>
          </w:tcPr>
          <w:p w14:paraId="66B13EAE" w14:textId="6323C0AE" w:rsidR="0002445E" w:rsidRPr="008C773D" w:rsidRDefault="0002445E" w:rsidP="008C773D">
            <w:pPr>
              <w:jc w:val="left"/>
              <w:rPr>
                <w:b/>
                <w:bCs/>
                <w:sz w:val="20"/>
                <w:szCs w:val="20"/>
              </w:rPr>
            </w:pPr>
            <w:r w:rsidRPr="008C773D">
              <w:rPr>
                <w:b/>
                <w:bCs/>
                <w:sz w:val="20"/>
                <w:szCs w:val="20"/>
              </w:rPr>
              <w:t>Paramètre</w:t>
            </w:r>
          </w:p>
        </w:tc>
        <w:tc>
          <w:tcPr>
            <w:tcW w:w="5954" w:type="dxa"/>
          </w:tcPr>
          <w:p w14:paraId="38BE8A21" w14:textId="4F954425" w:rsidR="0002445E" w:rsidRPr="00AE1D2B" w:rsidRDefault="00AE1D2B" w:rsidP="00A95190">
            <w:pPr>
              <w:rPr>
                <w:sz w:val="20"/>
                <w:szCs w:val="20"/>
              </w:rPr>
            </w:pPr>
            <w:r w:rsidRPr="00AE1D2B">
              <w:rPr>
                <w:sz w:val="20"/>
                <w:szCs w:val="20"/>
              </w:rPr>
              <w:t>Un paramètre est une propriété qui est directement mesurée (par exemple, l</w:t>
            </w:r>
            <w:r w:rsidR="00E20A7A">
              <w:rPr>
                <w:sz w:val="20"/>
                <w:szCs w:val="20"/>
              </w:rPr>
              <w:t>a teneur en</w:t>
            </w:r>
            <w:r w:rsidRPr="00AE1D2B">
              <w:rPr>
                <w:sz w:val="20"/>
                <w:szCs w:val="20"/>
              </w:rPr>
              <w:t xml:space="preserve"> </w:t>
            </w:r>
            <w:r w:rsidR="00E20A7A">
              <w:rPr>
                <w:sz w:val="20"/>
                <w:szCs w:val="20"/>
              </w:rPr>
              <w:t>phosphore</w:t>
            </w:r>
            <w:r w:rsidRPr="00AE1D2B">
              <w:rPr>
                <w:sz w:val="20"/>
                <w:szCs w:val="20"/>
              </w:rPr>
              <w:t>). Si la valeur du paramètre est interprétée en lien avec une fonction donnée, le paramètre devient un indicateur pour la fonction.</w:t>
            </w:r>
          </w:p>
        </w:tc>
        <w:tc>
          <w:tcPr>
            <w:tcW w:w="1268" w:type="dxa"/>
            <w:vAlign w:val="center"/>
          </w:tcPr>
          <w:p w14:paraId="50E12D0B" w14:textId="47084F30" w:rsidR="0002445E" w:rsidRPr="0002445E" w:rsidRDefault="008C34E0" w:rsidP="00467681">
            <w:pPr>
              <w:jc w:val="left"/>
              <w:rPr>
                <w:sz w:val="20"/>
                <w:szCs w:val="20"/>
              </w:rPr>
            </w:pPr>
            <w:r w:rsidRPr="00B94E98">
              <w:rPr>
                <w:rFonts w:ascii="Wingdings" w:eastAsia="Wingdings" w:hAnsi="Wingdings" w:cs="Wingdings"/>
                <w:sz w:val="20"/>
                <w:szCs w:val="20"/>
              </w:rPr>
              <w:t>à</w:t>
            </w:r>
            <w:r>
              <w:rPr>
                <w:sz w:val="20"/>
                <w:szCs w:val="20"/>
              </w:rPr>
              <w:t xml:space="preserve"> </w:t>
            </w:r>
            <w:r w:rsidR="00F34FA9">
              <w:rPr>
                <w:sz w:val="20"/>
                <w:szCs w:val="20"/>
              </w:rPr>
              <w:t xml:space="preserve">Voir </w:t>
            </w:r>
            <w:r w:rsidR="002224EE">
              <w:rPr>
                <w:sz w:val="20"/>
                <w:szCs w:val="20"/>
              </w:rPr>
              <w:fldChar w:fldCharType="begin"/>
            </w:r>
            <w:r w:rsidR="002224EE">
              <w:rPr>
                <w:sz w:val="20"/>
                <w:szCs w:val="20"/>
              </w:rPr>
              <w:instrText xml:space="preserve"> REF _Ref241228421 \r \h </w:instrText>
            </w:r>
            <w:r w:rsidR="002224EE">
              <w:rPr>
                <w:sz w:val="20"/>
                <w:szCs w:val="20"/>
              </w:rPr>
            </w:r>
            <w:r w:rsidR="002224EE">
              <w:rPr>
                <w:sz w:val="20"/>
                <w:szCs w:val="20"/>
              </w:rPr>
              <w:fldChar w:fldCharType="separate"/>
            </w:r>
            <w:r w:rsidR="002224EE">
              <w:rPr>
                <w:sz w:val="20"/>
                <w:szCs w:val="20"/>
              </w:rPr>
              <w:t>3.6.1</w:t>
            </w:r>
            <w:r w:rsidR="002224EE">
              <w:rPr>
                <w:sz w:val="20"/>
                <w:szCs w:val="20"/>
              </w:rPr>
              <w:fldChar w:fldCharType="end"/>
            </w:r>
          </w:p>
        </w:tc>
      </w:tr>
    </w:tbl>
    <w:p w14:paraId="74317AB6" w14:textId="7F46BF30" w:rsidR="00A95190" w:rsidRDefault="00A95190" w:rsidP="00A95190">
      <w:pPr>
        <w:jc w:val="left"/>
      </w:pPr>
      <w:r>
        <w:br w:type="page"/>
      </w:r>
    </w:p>
    <w:p w14:paraId="54D9E413" w14:textId="483EFDC1" w:rsidR="000B7D1B" w:rsidRPr="000B7D1B" w:rsidRDefault="000B7D1B" w:rsidP="000B7D1B">
      <w:pPr>
        <w:pStyle w:val="Titre1"/>
      </w:pPr>
      <w:bookmarkStart w:id="2" w:name="_Toc241478061"/>
      <w:r>
        <w:lastRenderedPageBreak/>
        <w:t>Table des figures</w:t>
      </w:r>
      <w:bookmarkEnd w:id="2"/>
    </w:p>
    <w:p w14:paraId="3D921790" w14:textId="7232CC34" w:rsidR="001A7BE1" w:rsidRDefault="000B7D1B">
      <w:pPr>
        <w:pStyle w:val="Tabledesillustrations"/>
        <w:tabs>
          <w:tab w:val="right" w:leader="dot" w:pos="9060"/>
        </w:tabs>
        <w:rPr>
          <w:rFonts w:asciiTheme="minorHAnsi" w:eastAsiaTheme="minorEastAsia" w:hAnsiTheme="minorHAnsi"/>
          <w:noProof/>
          <w:sz w:val="24"/>
          <w:lang w:eastAsia="fr-BE"/>
        </w:rPr>
      </w:pPr>
      <w:r>
        <w:fldChar w:fldCharType="begin"/>
      </w:r>
      <w:r>
        <w:instrText xml:space="preserve"> TOC \h \z \c "Figure" </w:instrText>
      </w:r>
      <w:r>
        <w:fldChar w:fldCharType="separate"/>
      </w:r>
      <w:hyperlink w:anchor="_Toc241229816" w:history="1">
        <w:r w:rsidR="001A7BE1" w:rsidRPr="00927D43">
          <w:rPr>
            <w:rStyle w:val="Lienhypertexte"/>
            <w:noProof/>
          </w:rPr>
          <w:t>Figure 1 : Étapes du calcul des indices IQSW-pro (schéma simplifié)</w:t>
        </w:r>
        <w:r w:rsidR="001A7BE1">
          <w:rPr>
            <w:noProof/>
            <w:webHidden/>
          </w:rPr>
          <w:tab/>
        </w:r>
        <w:r w:rsidR="001A7BE1">
          <w:rPr>
            <w:noProof/>
            <w:webHidden/>
          </w:rPr>
          <w:fldChar w:fldCharType="begin"/>
        </w:r>
        <w:r w:rsidR="001A7BE1">
          <w:rPr>
            <w:noProof/>
            <w:webHidden/>
          </w:rPr>
          <w:instrText xml:space="preserve"> PAGEREF _Toc241229816 \h </w:instrText>
        </w:r>
        <w:r w:rsidR="001A7BE1">
          <w:rPr>
            <w:noProof/>
            <w:webHidden/>
          </w:rPr>
        </w:r>
        <w:r w:rsidR="001A7BE1">
          <w:rPr>
            <w:noProof/>
            <w:webHidden/>
          </w:rPr>
          <w:fldChar w:fldCharType="separate"/>
        </w:r>
        <w:r w:rsidR="001A7BE1">
          <w:rPr>
            <w:noProof/>
            <w:webHidden/>
          </w:rPr>
          <w:t>8</w:t>
        </w:r>
        <w:r w:rsidR="001A7BE1">
          <w:rPr>
            <w:noProof/>
            <w:webHidden/>
          </w:rPr>
          <w:fldChar w:fldCharType="end"/>
        </w:r>
      </w:hyperlink>
    </w:p>
    <w:p w14:paraId="289ECF99" w14:textId="62A95EA5" w:rsidR="001A7BE1" w:rsidRDefault="001A7BE1">
      <w:pPr>
        <w:pStyle w:val="Tabledesillustrations"/>
        <w:tabs>
          <w:tab w:val="right" w:leader="dot" w:pos="9060"/>
        </w:tabs>
        <w:rPr>
          <w:rFonts w:asciiTheme="minorHAnsi" w:eastAsiaTheme="minorEastAsia" w:hAnsiTheme="minorHAnsi"/>
          <w:noProof/>
          <w:sz w:val="24"/>
          <w:lang w:eastAsia="fr-BE"/>
        </w:rPr>
      </w:pPr>
      <w:hyperlink w:anchor="_Toc241229817" w:history="1">
        <w:r w:rsidRPr="00927D43">
          <w:rPr>
            <w:rStyle w:val="Lienhypertexte"/>
            <w:noProof/>
          </w:rPr>
          <w:t>Figure 2 : Étapes du calcul des indices IQSW-pro</w:t>
        </w:r>
        <w:r>
          <w:rPr>
            <w:noProof/>
            <w:webHidden/>
          </w:rPr>
          <w:tab/>
        </w:r>
        <w:r>
          <w:rPr>
            <w:noProof/>
            <w:webHidden/>
          </w:rPr>
          <w:fldChar w:fldCharType="begin"/>
        </w:r>
        <w:r>
          <w:rPr>
            <w:noProof/>
            <w:webHidden/>
          </w:rPr>
          <w:instrText xml:space="preserve"> PAGEREF _Toc241229817 \h </w:instrText>
        </w:r>
        <w:r>
          <w:rPr>
            <w:noProof/>
            <w:webHidden/>
          </w:rPr>
        </w:r>
        <w:r>
          <w:rPr>
            <w:noProof/>
            <w:webHidden/>
          </w:rPr>
          <w:fldChar w:fldCharType="separate"/>
        </w:r>
        <w:r>
          <w:rPr>
            <w:noProof/>
            <w:webHidden/>
          </w:rPr>
          <w:t>16</w:t>
        </w:r>
        <w:r>
          <w:rPr>
            <w:noProof/>
            <w:webHidden/>
          </w:rPr>
          <w:fldChar w:fldCharType="end"/>
        </w:r>
      </w:hyperlink>
    </w:p>
    <w:p w14:paraId="6F8EE3B7" w14:textId="307C8E63" w:rsidR="001A7BE1" w:rsidRDefault="001A7BE1">
      <w:pPr>
        <w:pStyle w:val="Tabledesillustrations"/>
        <w:tabs>
          <w:tab w:val="right" w:leader="dot" w:pos="9060"/>
        </w:tabs>
        <w:rPr>
          <w:rFonts w:asciiTheme="minorHAnsi" w:eastAsiaTheme="minorEastAsia" w:hAnsiTheme="minorHAnsi"/>
          <w:noProof/>
          <w:sz w:val="24"/>
          <w:lang w:eastAsia="fr-BE"/>
        </w:rPr>
      </w:pPr>
      <w:hyperlink w:anchor="_Toc241229818" w:history="1">
        <w:r w:rsidRPr="00927D43">
          <w:rPr>
            <w:rStyle w:val="Lienhypertexte"/>
            <w:noProof/>
          </w:rPr>
          <w:t>Figure 3 : Illustration schématique des concepts de qualité et santé du sol</w:t>
        </w:r>
        <w:r>
          <w:rPr>
            <w:noProof/>
            <w:webHidden/>
          </w:rPr>
          <w:tab/>
        </w:r>
        <w:r>
          <w:rPr>
            <w:noProof/>
            <w:webHidden/>
          </w:rPr>
          <w:fldChar w:fldCharType="begin"/>
        </w:r>
        <w:r>
          <w:rPr>
            <w:noProof/>
            <w:webHidden/>
          </w:rPr>
          <w:instrText xml:space="preserve"> PAGEREF _Toc241229818 \h </w:instrText>
        </w:r>
        <w:r>
          <w:rPr>
            <w:noProof/>
            <w:webHidden/>
          </w:rPr>
        </w:r>
        <w:r>
          <w:rPr>
            <w:noProof/>
            <w:webHidden/>
          </w:rPr>
          <w:fldChar w:fldCharType="separate"/>
        </w:r>
        <w:r>
          <w:rPr>
            <w:noProof/>
            <w:webHidden/>
          </w:rPr>
          <w:t>17</w:t>
        </w:r>
        <w:r>
          <w:rPr>
            <w:noProof/>
            <w:webHidden/>
          </w:rPr>
          <w:fldChar w:fldCharType="end"/>
        </w:r>
      </w:hyperlink>
    </w:p>
    <w:p w14:paraId="57C2DA17" w14:textId="085A2713" w:rsidR="001A7BE1" w:rsidRDefault="001A7BE1">
      <w:pPr>
        <w:pStyle w:val="Tabledesillustrations"/>
        <w:tabs>
          <w:tab w:val="right" w:leader="dot" w:pos="9060"/>
        </w:tabs>
        <w:rPr>
          <w:rFonts w:asciiTheme="minorHAnsi" w:eastAsiaTheme="minorEastAsia" w:hAnsiTheme="minorHAnsi"/>
          <w:noProof/>
          <w:sz w:val="24"/>
          <w:lang w:eastAsia="fr-BE"/>
        </w:rPr>
      </w:pPr>
      <w:hyperlink w:anchor="_Toc241229819" w:history="1">
        <w:r w:rsidRPr="00927D43">
          <w:rPr>
            <w:rStyle w:val="Lienhypertexte"/>
            <w:noProof/>
          </w:rPr>
          <w:t>Figure 4 : Exemple du schéma de construction d'une fonction d’interprétation (cas de l'infiltration). Des classes de valeurs sont interpolées pour calculer un score pour chaque valeur de Ksat.</w:t>
        </w:r>
        <w:r>
          <w:rPr>
            <w:noProof/>
            <w:webHidden/>
          </w:rPr>
          <w:tab/>
        </w:r>
        <w:r>
          <w:rPr>
            <w:noProof/>
            <w:webHidden/>
          </w:rPr>
          <w:fldChar w:fldCharType="begin"/>
        </w:r>
        <w:r>
          <w:rPr>
            <w:noProof/>
            <w:webHidden/>
          </w:rPr>
          <w:instrText xml:space="preserve"> PAGEREF _Toc241229819 \h </w:instrText>
        </w:r>
        <w:r>
          <w:rPr>
            <w:noProof/>
            <w:webHidden/>
          </w:rPr>
        </w:r>
        <w:r>
          <w:rPr>
            <w:noProof/>
            <w:webHidden/>
          </w:rPr>
          <w:fldChar w:fldCharType="separate"/>
        </w:r>
        <w:r>
          <w:rPr>
            <w:noProof/>
            <w:webHidden/>
          </w:rPr>
          <w:t>20</w:t>
        </w:r>
        <w:r>
          <w:rPr>
            <w:noProof/>
            <w:webHidden/>
          </w:rPr>
          <w:fldChar w:fldCharType="end"/>
        </w:r>
      </w:hyperlink>
    </w:p>
    <w:p w14:paraId="693592DF" w14:textId="72DB0FE7" w:rsidR="001A7BE1" w:rsidRDefault="001A7BE1">
      <w:pPr>
        <w:pStyle w:val="Tabledesillustrations"/>
        <w:tabs>
          <w:tab w:val="right" w:leader="dot" w:pos="9060"/>
        </w:tabs>
        <w:rPr>
          <w:rFonts w:asciiTheme="minorHAnsi" w:eastAsiaTheme="minorEastAsia" w:hAnsiTheme="minorHAnsi"/>
          <w:noProof/>
          <w:sz w:val="24"/>
          <w:lang w:eastAsia="fr-BE"/>
        </w:rPr>
      </w:pPr>
      <w:hyperlink w:anchor="_Toc241229820" w:history="1">
        <w:r w:rsidRPr="00927D43">
          <w:rPr>
            <w:rStyle w:val="Lienhypertexte"/>
            <w:noProof/>
          </w:rPr>
          <w:t>Figure 5 : Illustration graphique des trois formes que peut prendre la fonction d'interprétation (more is better, less is better ou optimum), selon l'influence du paramètre sur la combinaison service-fonction évaluée</w:t>
        </w:r>
        <w:r>
          <w:rPr>
            <w:noProof/>
            <w:webHidden/>
          </w:rPr>
          <w:tab/>
        </w:r>
        <w:r>
          <w:rPr>
            <w:noProof/>
            <w:webHidden/>
          </w:rPr>
          <w:fldChar w:fldCharType="begin"/>
        </w:r>
        <w:r>
          <w:rPr>
            <w:noProof/>
            <w:webHidden/>
          </w:rPr>
          <w:instrText xml:space="preserve"> PAGEREF _Toc241229820 \h </w:instrText>
        </w:r>
        <w:r>
          <w:rPr>
            <w:noProof/>
            <w:webHidden/>
          </w:rPr>
        </w:r>
        <w:r>
          <w:rPr>
            <w:noProof/>
            <w:webHidden/>
          </w:rPr>
          <w:fldChar w:fldCharType="separate"/>
        </w:r>
        <w:r>
          <w:rPr>
            <w:noProof/>
            <w:webHidden/>
          </w:rPr>
          <w:t>20</w:t>
        </w:r>
        <w:r>
          <w:rPr>
            <w:noProof/>
            <w:webHidden/>
          </w:rPr>
          <w:fldChar w:fldCharType="end"/>
        </w:r>
      </w:hyperlink>
    </w:p>
    <w:p w14:paraId="47507224" w14:textId="23799FBE" w:rsidR="001A7BE1" w:rsidRDefault="001A7BE1">
      <w:pPr>
        <w:pStyle w:val="Tabledesillustrations"/>
        <w:tabs>
          <w:tab w:val="right" w:leader="dot" w:pos="9060"/>
        </w:tabs>
        <w:rPr>
          <w:rFonts w:asciiTheme="minorHAnsi" w:eastAsiaTheme="minorEastAsia" w:hAnsiTheme="minorHAnsi"/>
          <w:noProof/>
          <w:sz w:val="24"/>
          <w:lang w:eastAsia="fr-BE"/>
        </w:rPr>
      </w:pPr>
      <w:hyperlink w:anchor="_Toc241229821" w:history="1">
        <w:r w:rsidRPr="00927D43">
          <w:rPr>
            <w:rStyle w:val="Lienhypertexte"/>
            <w:noProof/>
          </w:rPr>
          <w:t>Figure 6 : Étapes d'agrégation, des paramètres aux services écosystémiques décomposés en fonctions. Les paramètres, indicateurs, fonctions et services repris ici sont uniquement à titre d’exemple, et ne sont pas exhaustifs.</w:t>
        </w:r>
        <w:r>
          <w:rPr>
            <w:noProof/>
            <w:webHidden/>
          </w:rPr>
          <w:tab/>
        </w:r>
        <w:r>
          <w:rPr>
            <w:noProof/>
            <w:webHidden/>
          </w:rPr>
          <w:fldChar w:fldCharType="begin"/>
        </w:r>
        <w:r>
          <w:rPr>
            <w:noProof/>
            <w:webHidden/>
          </w:rPr>
          <w:instrText xml:space="preserve"> PAGEREF _Toc241229821 \h </w:instrText>
        </w:r>
        <w:r>
          <w:rPr>
            <w:noProof/>
            <w:webHidden/>
          </w:rPr>
        </w:r>
        <w:r>
          <w:rPr>
            <w:noProof/>
            <w:webHidden/>
          </w:rPr>
          <w:fldChar w:fldCharType="separate"/>
        </w:r>
        <w:r>
          <w:rPr>
            <w:noProof/>
            <w:webHidden/>
          </w:rPr>
          <w:t>23</w:t>
        </w:r>
        <w:r>
          <w:rPr>
            <w:noProof/>
            <w:webHidden/>
          </w:rPr>
          <w:fldChar w:fldCharType="end"/>
        </w:r>
      </w:hyperlink>
    </w:p>
    <w:p w14:paraId="7437B5F4" w14:textId="5BF96D9C" w:rsidR="001A7BE1" w:rsidRDefault="001A7BE1">
      <w:pPr>
        <w:pStyle w:val="Tabledesillustrations"/>
        <w:tabs>
          <w:tab w:val="right" w:leader="dot" w:pos="9060"/>
        </w:tabs>
        <w:rPr>
          <w:rFonts w:asciiTheme="minorHAnsi" w:eastAsiaTheme="minorEastAsia" w:hAnsiTheme="minorHAnsi"/>
          <w:noProof/>
          <w:sz w:val="24"/>
          <w:lang w:eastAsia="fr-BE"/>
        </w:rPr>
      </w:pPr>
      <w:hyperlink w:anchor="_Toc241229822" w:history="1">
        <w:r w:rsidRPr="00927D43">
          <w:rPr>
            <w:rStyle w:val="Lienhypertexte"/>
            <w:noProof/>
          </w:rPr>
          <w:t>Figure 7 : Schéma général d'évaluation du service écosystémique Production de biomasse</w:t>
        </w:r>
        <w:r>
          <w:rPr>
            <w:noProof/>
            <w:webHidden/>
          </w:rPr>
          <w:tab/>
        </w:r>
        <w:r>
          <w:rPr>
            <w:noProof/>
            <w:webHidden/>
          </w:rPr>
          <w:fldChar w:fldCharType="begin"/>
        </w:r>
        <w:r>
          <w:rPr>
            <w:noProof/>
            <w:webHidden/>
          </w:rPr>
          <w:instrText xml:space="preserve"> PAGEREF _Toc241229822 \h </w:instrText>
        </w:r>
        <w:r>
          <w:rPr>
            <w:noProof/>
            <w:webHidden/>
          </w:rPr>
        </w:r>
        <w:r>
          <w:rPr>
            <w:noProof/>
            <w:webHidden/>
          </w:rPr>
          <w:fldChar w:fldCharType="separate"/>
        </w:r>
        <w:r>
          <w:rPr>
            <w:noProof/>
            <w:webHidden/>
          </w:rPr>
          <w:t>28</w:t>
        </w:r>
        <w:r>
          <w:rPr>
            <w:noProof/>
            <w:webHidden/>
          </w:rPr>
          <w:fldChar w:fldCharType="end"/>
        </w:r>
      </w:hyperlink>
    </w:p>
    <w:p w14:paraId="184C3A8B" w14:textId="095461D3" w:rsidR="001A7BE1" w:rsidRDefault="001A7BE1">
      <w:pPr>
        <w:pStyle w:val="Tabledesillustrations"/>
        <w:tabs>
          <w:tab w:val="right" w:leader="dot" w:pos="9060"/>
        </w:tabs>
        <w:rPr>
          <w:rFonts w:asciiTheme="minorHAnsi" w:eastAsiaTheme="minorEastAsia" w:hAnsiTheme="minorHAnsi"/>
          <w:noProof/>
          <w:sz w:val="24"/>
          <w:lang w:eastAsia="fr-BE"/>
        </w:rPr>
      </w:pPr>
      <w:hyperlink w:anchor="_Toc241229823" w:history="1">
        <w:r w:rsidRPr="00927D43">
          <w:rPr>
            <w:rStyle w:val="Lienhypertexte"/>
            <w:noProof/>
          </w:rPr>
          <w:t>Figure 8 : Temporalité des études type "plans et programmes" et proposition d’intégration d’un diagnostic IQSW.</w:t>
        </w:r>
        <w:r>
          <w:rPr>
            <w:noProof/>
            <w:webHidden/>
          </w:rPr>
          <w:tab/>
        </w:r>
        <w:r>
          <w:rPr>
            <w:noProof/>
            <w:webHidden/>
          </w:rPr>
          <w:fldChar w:fldCharType="begin"/>
        </w:r>
        <w:r>
          <w:rPr>
            <w:noProof/>
            <w:webHidden/>
          </w:rPr>
          <w:instrText xml:space="preserve"> PAGEREF _Toc241229823 \h </w:instrText>
        </w:r>
        <w:r>
          <w:rPr>
            <w:noProof/>
            <w:webHidden/>
          </w:rPr>
        </w:r>
        <w:r>
          <w:rPr>
            <w:noProof/>
            <w:webHidden/>
          </w:rPr>
          <w:fldChar w:fldCharType="separate"/>
        </w:r>
        <w:r>
          <w:rPr>
            <w:noProof/>
            <w:webHidden/>
          </w:rPr>
          <w:t>46</w:t>
        </w:r>
        <w:r>
          <w:rPr>
            <w:noProof/>
            <w:webHidden/>
          </w:rPr>
          <w:fldChar w:fldCharType="end"/>
        </w:r>
      </w:hyperlink>
    </w:p>
    <w:p w14:paraId="3F6EA55C" w14:textId="0A65EB7C" w:rsidR="001A7BE1" w:rsidRDefault="001A7BE1">
      <w:pPr>
        <w:pStyle w:val="Tabledesillustrations"/>
        <w:tabs>
          <w:tab w:val="right" w:leader="dot" w:pos="9060"/>
        </w:tabs>
        <w:rPr>
          <w:rFonts w:asciiTheme="minorHAnsi" w:eastAsiaTheme="minorEastAsia" w:hAnsiTheme="minorHAnsi"/>
          <w:noProof/>
          <w:sz w:val="24"/>
          <w:lang w:eastAsia="fr-BE"/>
        </w:rPr>
      </w:pPr>
      <w:hyperlink w:anchor="_Toc241229824" w:history="1">
        <w:r w:rsidRPr="00927D43">
          <w:rPr>
            <w:rStyle w:val="Lienhypertexte"/>
            <w:noProof/>
          </w:rPr>
          <w:t>Figure 9 : Temporalité des études type "projet" et proposition d’intégration d’un diagnostic IQSW.</w:t>
        </w:r>
        <w:r>
          <w:rPr>
            <w:noProof/>
            <w:webHidden/>
          </w:rPr>
          <w:tab/>
        </w:r>
        <w:r>
          <w:rPr>
            <w:noProof/>
            <w:webHidden/>
          </w:rPr>
          <w:fldChar w:fldCharType="begin"/>
        </w:r>
        <w:r>
          <w:rPr>
            <w:noProof/>
            <w:webHidden/>
          </w:rPr>
          <w:instrText xml:space="preserve"> PAGEREF _Toc241229824 \h </w:instrText>
        </w:r>
        <w:r>
          <w:rPr>
            <w:noProof/>
            <w:webHidden/>
          </w:rPr>
        </w:r>
        <w:r>
          <w:rPr>
            <w:noProof/>
            <w:webHidden/>
          </w:rPr>
          <w:fldChar w:fldCharType="separate"/>
        </w:r>
        <w:r>
          <w:rPr>
            <w:noProof/>
            <w:webHidden/>
          </w:rPr>
          <w:t>46</w:t>
        </w:r>
        <w:r>
          <w:rPr>
            <w:noProof/>
            <w:webHidden/>
          </w:rPr>
          <w:fldChar w:fldCharType="end"/>
        </w:r>
      </w:hyperlink>
    </w:p>
    <w:p w14:paraId="12CAA379" w14:textId="59535E99" w:rsidR="001A7BE1" w:rsidRDefault="001A7BE1">
      <w:pPr>
        <w:pStyle w:val="Tabledesillustrations"/>
        <w:tabs>
          <w:tab w:val="right" w:leader="dot" w:pos="9060"/>
        </w:tabs>
        <w:rPr>
          <w:rFonts w:asciiTheme="minorHAnsi" w:eastAsiaTheme="minorEastAsia" w:hAnsiTheme="minorHAnsi"/>
          <w:noProof/>
          <w:sz w:val="24"/>
          <w:lang w:eastAsia="fr-BE"/>
        </w:rPr>
      </w:pPr>
      <w:hyperlink w:anchor="_Toc241229825" w:history="1">
        <w:r w:rsidRPr="00927D43">
          <w:rPr>
            <w:rStyle w:val="Lienhypertexte"/>
            <w:noProof/>
          </w:rPr>
          <w:t>Figure 10 : Exemple de répartition spatiale des zones d'échantillonnage, des points de mesures in situ et des lieux de prélèvement des échantillons élémentaires en fonction de la délimitation des zones homogènes et de leur superficie</w:t>
        </w:r>
        <w:r>
          <w:rPr>
            <w:noProof/>
            <w:webHidden/>
          </w:rPr>
          <w:tab/>
        </w:r>
        <w:r>
          <w:rPr>
            <w:noProof/>
            <w:webHidden/>
          </w:rPr>
          <w:fldChar w:fldCharType="begin"/>
        </w:r>
        <w:r>
          <w:rPr>
            <w:noProof/>
            <w:webHidden/>
          </w:rPr>
          <w:instrText xml:space="preserve"> PAGEREF _Toc241229825 \h </w:instrText>
        </w:r>
        <w:r>
          <w:rPr>
            <w:noProof/>
            <w:webHidden/>
          </w:rPr>
        </w:r>
        <w:r>
          <w:rPr>
            <w:noProof/>
            <w:webHidden/>
          </w:rPr>
          <w:fldChar w:fldCharType="separate"/>
        </w:r>
        <w:r>
          <w:rPr>
            <w:noProof/>
            <w:webHidden/>
          </w:rPr>
          <w:t>59</w:t>
        </w:r>
        <w:r>
          <w:rPr>
            <w:noProof/>
            <w:webHidden/>
          </w:rPr>
          <w:fldChar w:fldCharType="end"/>
        </w:r>
      </w:hyperlink>
    </w:p>
    <w:p w14:paraId="50023AC9" w14:textId="02EE25C3" w:rsidR="007129BF" w:rsidRDefault="000B7D1B" w:rsidP="00A95190">
      <w:pPr>
        <w:jc w:val="left"/>
      </w:pPr>
      <w:r>
        <w:fldChar w:fldCharType="end"/>
      </w:r>
    </w:p>
    <w:p w14:paraId="5C84C50B" w14:textId="4C1CC14D" w:rsidR="00D02637" w:rsidRPr="00A95190" w:rsidRDefault="007129BF" w:rsidP="00A95190">
      <w:pPr>
        <w:jc w:val="left"/>
      </w:pPr>
      <w:r>
        <w:br w:type="page"/>
      </w:r>
    </w:p>
    <w:p w14:paraId="67DC62B2" w14:textId="0ED8D112" w:rsidR="002B6231" w:rsidRDefault="00950888">
      <w:pPr>
        <w:pStyle w:val="Titre1"/>
        <w:numPr>
          <w:ilvl w:val="0"/>
          <w:numId w:val="12"/>
        </w:numPr>
      </w:pPr>
      <w:bookmarkStart w:id="3" w:name="_Toc230267081"/>
      <w:bookmarkStart w:id="4" w:name="_Toc241478062"/>
      <w:r>
        <w:lastRenderedPageBreak/>
        <w:t>L’</w:t>
      </w:r>
      <w:r w:rsidR="00367BDF">
        <w:t>IQSW-pro</w:t>
      </w:r>
      <w:r>
        <w:t xml:space="preserve"> en bref</w:t>
      </w:r>
      <w:bookmarkEnd w:id="4"/>
    </w:p>
    <w:p w14:paraId="6C1BA08D" w14:textId="17F7E5B5" w:rsidR="0040641B" w:rsidRDefault="00597A59" w:rsidP="0040641B">
      <w:r>
        <w:t>L’Indice de Qualité des Sols Wallons, dans son volet professionnel</w:t>
      </w:r>
      <w:r w:rsidR="00306AE9">
        <w:t xml:space="preserve"> (IQSW-pro)</w:t>
      </w:r>
      <w:r w:rsidRPr="003513E1">
        <w:rPr>
          <w:rStyle w:val="Appelnotedebasdep"/>
        </w:rPr>
        <w:footnoteReference w:id="1"/>
      </w:r>
      <w:r>
        <w:t>, a pour vocation</w:t>
      </w:r>
      <w:r w:rsidR="0040641B">
        <w:t xml:space="preserve"> </w:t>
      </w:r>
      <w:r w:rsidR="00273CF1">
        <w:t>d’interpréter des</w:t>
      </w:r>
      <w:r w:rsidR="0040641B">
        <w:t xml:space="preserve"> paramètres physiques, chimiques et biologiques</w:t>
      </w:r>
      <w:r w:rsidR="00454A50">
        <w:t xml:space="preserve"> en </w:t>
      </w:r>
      <w:r w:rsidR="006947FC">
        <w:t>indices</w:t>
      </w:r>
      <w:r w:rsidR="00454A50">
        <w:t xml:space="preserve"> de services écosystémiques. Le résultat du diagnostic doit </w:t>
      </w:r>
      <w:r w:rsidR="00982655">
        <w:t xml:space="preserve">servir (1) d’outil d’aide à la décision dans l’aménagement du territoire </w:t>
      </w:r>
      <w:r w:rsidR="3158152B">
        <w:t>et</w:t>
      </w:r>
      <w:r w:rsidR="00982655">
        <w:t xml:space="preserve"> (2) </w:t>
      </w:r>
      <w:r w:rsidR="00E80718">
        <w:t xml:space="preserve">de balise </w:t>
      </w:r>
      <w:r w:rsidR="008A0234">
        <w:t>pour l’amélioration de la santé des sols</w:t>
      </w:r>
      <w:r w:rsidR="00E80718">
        <w:t>.</w:t>
      </w:r>
      <w:r w:rsidR="00BA1211">
        <w:t xml:space="preserve"> </w:t>
      </w:r>
      <w:r w:rsidR="00BE1B43">
        <w:t xml:space="preserve">Pour remplir ces objectifs, </w:t>
      </w:r>
      <w:r w:rsidR="00124B17">
        <w:t xml:space="preserve">l’IQSW-pro </w:t>
      </w:r>
      <w:r w:rsidR="001543DC">
        <w:t>mobilise les</w:t>
      </w:r>
      <w:r w:rsidR="00124B17">
        <w:t xml:space="preserve"> no</w:t>
      </w:r>
      <w:r w:rsidR="008D293B">
        <w:t xml:space="preserve">tions de qualité et de santé du sol </w:t>
      </w:r>
      <w:r w:rsidR="001543DC">
        <w:t>(</w:t>
      </w:r>
      <w:r w:rsidR="00942D14">
        <w:t>définies dans le Glossaire)</w:t>
      </w:r>
      <w:r w:rsidR="001543DC">
        <w:t xml:space="preserve"> </w:t>
      </w:r>
      <w:r w:rsidR="008D293B">
        <w:t>en</w:t>
      </w:r>
      <w:r w:rsidR="00124B17">
        <w:t xml:space="preserve"> se décompos</w:t>
      </w:r>
      <w:r w:rsidR="00942D14">
        <w:t xml:space="preserve">ant </w:t>
      </w:r>
      <w:r w:rsidR="00124B17">
        <w:t>en deux indices miroir : l’IQSW (</w:t>
      </w:r>
      <w:r w:rsidR="008D293B">
        <w:t>I</w:t>
      </w:r>
      <w:r w:rsidR="00124B17">
        <w:t xml:space="preserve">ndice de </w:t>
      </w:r>
      <w:r w:rsidR="008D293B">
        <w:t>Q</w:t>
      </w:r>
      <w:r w:rsidR="00124B17">
        <w:t>ualité</w:t>
      </w:r>
      <w:r w:rsidR="008D293B">
        <w:t xml:space="preserve"> des Sols Wallons</w:t>
      </w:r>
      <w:r w:rsidR="00124B17">
        <w:t>) et l’ISSW (</w:t>
      </w:r>
      <w:r w:rsidR="008D293B">
        <w:t>Indice de Santé des Sols Wallons</w:t>
      </w:r>
      <w:r w:rsidR="00124B17">
        <w:t>)</w:t>
      </w:r>
      <w:r w:rsidR="008D293B">
        <w:t>.</w:t>
      </w:r>
      <w:r w:rsidR="0060724E">
        <w:t xml:space="preserve"> </w:t>
      </w:r>
      <w:r w:rsidR="0040641B">
        <w:t xml:space="preserve">Le calcul des </w:t>
      </w:r>
      <w:r w:rsidR="006947FC">
        <w:t>indices</w:t>
      </w:r>
      <w:r w:rsidR="0040641B">
        <w:t xml:space="preserve"> IQSW-pro </w:t>
      </w:r>
      <w:r w:rsidR="3EDAE3E3">
        <w:t xml:space="preserve">(IQSW et ISSW) </w:t>
      </w:r>
      <w:r w:rsidR="0040641B">
        <w:t>s’effectue suivant ces étapes</w:t>
      </w:r>
      <w:r w:rsidR="009E59FE">
        <w:t xml:space="preserve"> (voir partie </w:t>
      </w:r>
      <w:r w:rsidR="009E59FE">
        <w:fldChar w:fldCharType="begin"/>
      </w:r>
      <w:r w:rsidR="009E59FE">
        <w:instrText xml:space="preserve"> REF _Ref232208232 \r \h </w:instrText>
      </w:r>
      <w:r w:rsidR="009E59FE">
        <w:fldChar w:fldCharType="separate"/>
      </w:r>
      <w:r w:rsidR="00316A78">
        <w:t>3.4</w:t>
      </w:r>
      <w:r w:rsidR="009E59FE">
        <w:fldChar w:fldCharType="end"/>
      </w:r>
      <w:r w:rsidR="009E59FE">
        <w:t>)</w:t>
      </w:r>
      <w:r w:rsidR="0040641B">
        <w:t> :</w:t>
      </w:r>
    </w:p>
    <w:p w14:paraId="7AEB4338" w14:textId="69C6AC9B" w:rsidR="0040641B" w:rsidRDefault="004664F1">
      <w:pPr>
        <w:pStyle w:val="Paragraphedeliste"/>
        <w:numPr>
          <w:ilvl w:val="0"/>
          <w:numId w:val="23"/>
        </w:numPr>
      </w:pPr>
      <w:r>
        <w:t xml:space="preserve">Attribution d’un score </w:t>
      </w:r>
      <w:r w:rsidR="00784AB4">
        <w:t xml:space="preserve">aux indicateurs individuels </w:t>
      </w:r>
      <w:r w:rsidR="4E58C278">
        <w:t>(qu’ils soient mesurés ou calculés)</w:t>
      </w:r>
      <w:r w:rsidR="0040641B">
        <w:t xml:space="preserve"> au sein de la fonction et/ou du service considéré</w:t>
      </w:r>
      <w:r w:rsidR="00C119A1">
        <w:t> ;</w:t>
      </w:r>
    </w:p>
    <w:p w14:paraId="2E7EC13E" w14:textId="17407039" w:rsidR="0040641B" w:rsidRDefault="00E66089">
      <w:pPr>
        <w:pStyle w:val="Paragraphedeliste"/>
        <w:numPr>
          <w:ilvl w:val="0"/>
          <w:numId w:val="23"/>
        </w:numPr>
      </w:pPr>
      <w:r>
        <w:t>A</w:t>
      </w:r>
      <w:r w:rsidR="0040641B">
        <w:t xml:space="preserve">grégation des scores </w:t>
      </w:r>
      <w:r w:rsidR="0DBE7626">
        <w:t xml:space="preserve">de ces </w:t>
      </w:r>
      <w:r w:rsidR="0040641B">
        <w:t>indicateurs en scores de fonction</w:t>
      </w:r>
      <w:r w:rsidR="00C119A1">
        <w:t> ;</w:t>
      </w:r>
    </w:p>
    <w:p w14:paraId="4FC831C7" w14:textId="4A03DB3A" w:rsidR="0040641B" w:rsidRDefault="0040641B">
      <w:pPr>
        <w:pStyle w:val="Paragraphedeliste"/>
        <w:numPr>
          <w:ilvl w:val="0"/>
          <w:numId w:val="23"/>
        </w:numPr>
      </w:pPr>
      <w:r>
        <w:t>Agrégation des scores de fonction en scores de service écosystémique</w:t>
      </w:r>
      <w:r w:rsidR="00C119A1">
        <w:t> ;</w:t>
      </w:r>
    </w:p>
    <w:p w14:paraId="4E2A795B" w14:textId="39E962D2" w:rsidR="0040641B" w:rsidRDefault="0040641B">
      <w:pPr>
        <w:pStyle w:val="Paragraphedeliste"/>
        <w:numPr>
          <w:ilvl w:val="0"/>
          <w:numId w:val="23"/>
        </w:numPr>
      </w:pPr>
      <w:r>
        <w:t xml:space="preserve">Application des </w:t>
      </w:r>
      <w:r w:rsidR="00DA5D59">
        <w:t>coefficients</w:t>
      </w:r>
      <w:r>
        <w:t xml:space="preserve"> de contrainte</w:t>
      </w:r>
      <w:r w:rsidR="00F70624">
        <w:t xml:space="preserve"> </w:t>
      </w:r>
      <w:r>
        <w:t>sur les services,</w:t>
      </w:r>
      <w:r w:rsidR="00CD2898">
        <w:t xml:space="preserve"> afin d’atténuer un score s’il est contraint par exemple par la présence de cailloux (</w:t>
      </w:r>
      <w:r w:rsidR="00D62DAA">
        <w:t>réduction</w:t>
      </w:r>
      <w:r w:rsidR="00CD2898">
        <w:t xml:space="preserve"> volume de sol utile)</w:t>
      </w:r>
      <w:r w:rsidR="00D62DAA">
        <w:t>, la présence d</w:t>
      </w:r>
      <w:r w:rsidR="00B12AB2">
        <w:t xml:space="preserve">’espèces </w:t>
      </w:r>
      <w:r w:rsidR="00D62DAA">
        <w:t>exotiques envahissante</w:t>
      </w:r>
      <w:r w:rsidR="00B12AB2">
        <w:t>s</w:t>
      </w:r>
      <w:r w:rsidR="00741A20">
        <w:t xml:space="preserve"> (EEE)</w:t>
      </w:r>
      <w:r w:rsidR="00D62DAA">
        <w:t xml:space="preserve"> </w:t>
      </w:r>
      <w:r w:rsidR="003E32CF">
        <w:t>ou une pollution avérée</w:t>
      </w:r>
      <w:r w:rsidR="00C119A1">
        <w:t> ;</w:t>
      </w:r>
    </w:p>
    <w:p w14:paraId="4E7E7EA3" w14:textId="3E370564" w:rsidR="0040641B" w:rsidRDefault="00AD0839">
      <w:pPr>
        <w:pStyle w:val="Paragraphedeliste"/>
        <w:numPr>
          <w:ilvl w:val="0"/>
          <w:numId w:val="23"/>
        </w:numPr>
      </w:pPr>
      <w:r>
        <w:t>Pondération de l’importance des services écosystémiques au sein d’un usage donné et a</w:t>
      </w:r>
      <w:r w:rsidR="0040641B">
        <w:t>grégation des scores de services</w:t>
      </w:r>
      <w:r>
        <w:t xml:space="preserve"> écosystémiques</w:t>
      </w:r>
      <w:r w:rsidR="0040641B">
        <w:t xml:space="preserve"> en score IQSW-pro global</w:t>
      </w:r>
      <w:r w:rsidR="00613CE0">
        <w:t xml:space="preserve"> par usage</w:t>
      </w:r>
      <w:r w:rsidR="0040641B">
        <w:t>.</w:t>
      </w:r>
    </w:p>
    <w:p w14:paraId="7EBEA34B" w14:textId="2B5C4B5F" w:rsidR="00515EC7" w:rsidRDefault="00613CE0" w:rsidP="005A0ED0">
      <w:r>
        <w:t xml:space="preserve">Bien </w:t>
      </w:r>
      <w:r w:rsidR="007F0358">
        <w:t>que la</w:t>
      </w:r>
      <w:r w:rsidR="007F0358" w:rsidRPr="007F0358">
        <w:t xml:space="preserve"> </w:t>
      </w:r>
      <w:r w:rsidR="007F0358">
        <w:t xml:space="preserve">méthode permette </w:t>
      </w:r>
      <w:r w:rsidR="00CE34F1">
        <w:t>de déduire</w:t>
      </w:r>
      <w:r w:rsidR="007F0358">
        <w:t xml:space="preserve"> </w:t>
      </w:r>
      <w:r w:rsidR="00CE34F1">
        <w:t xml:space="preserve">un </w:t>
      </w:r>
      <w:r w:rsidR="007F0358">
        <w:t>indice global par usage</w:t>
      </w:r>
      <w:r w:rsidR="00CE34F1">
        <w:t>,</w:t>
      </w:r>
      <w:r w:rsidR="006D7026">
        <w:t xml:space="preserve"> qui </w:t>
      </w:r>
      <w:r>
        <w:t xml:space="preserve">présente </w:t>
      </w:r>
      <w:r w:rsidR="00F80291">
        <w:t xml:space="preserve">l’avantage </w:t>
      </w:r>
      <w:r w:rsidR="000148EF">
        <w:t xml:space="preserve">opérationnel </w:t>
      </w:r>
      <w:r w:rsidR="006D7026">
        <w:t>de donner</w:t>
      </w:r>
      <w:r w:rsidR="000148EF">
        <w:t xml:space="preserve"> un aperçu</w:t>
      </w:r>
      <w:r w:rsidR="00CE34F1">
        <w:t xml:space="preserve"> rapide</w:t>
      </w:r>
      <w:r w:rsidR="000148EF">
        <w:t xml:space="preserve"> de l’adéquation d’un sol avec un usage donné, </w:t>
      </w:r>
      <w:r w:rsidR="00515EC7">
        <w:t xml:space="preserve">c’est </w:t>
      </w:r>
      <w:r w:rsidR="00642751">
        <w:t>à l’échelle des</w:t>
      </w:r>
      <w:r w:rsidR="00BB370A">
        <w:t xml:space="preserve"> scores de </w:t>
      </w:r>
      <w:r w:rsidR="00642751">
        <w:t>services écosystémiques que les conclusions en termes d</w:t>
      </w:r>
      <w:r w:rsidR="007F0358">
        <w:t>’orientation de l’usage devront être tirées</w:t>
      </w:r>
      <w:r w:rsidR="006D7026">
        <w:t xml:space="preserve">, en raison des antagonismes </w:t>
      </w:r>
      <w:r w:rsidR="00945B4D">
        <w:t xml:space="preserve">pouvant exister entre </w:t>
      </w:r>
      <w:r w:rsidR="00613713">
        <w:t>service écosystémique</w:t>
      </w:r>
      <w:r w:rsidR="00945B4D">
        <w:t xml:space="preserve"> (une même propriété </w:t>
      </w:r>
      <w:r w:rsidR="008C34E0">
        <w:t xml:space="preserve">peut être </w:t>
      </w:r>
      <w:r w:rsidR="00945B4D">
        <w:t xml:space="preserve">favorable </w:t>
      </w:r>
      <w:r w:rsidR="008C34E0">
        <w:t>pour</w:t>
      </w:r>
      <w:r w:rsidR="00945B4D">
        <w:t xml:space="preserve"> un </w:t>
      </w:r>
      <w:r w:rsidR="00613713">
        <w:t>service écosystémique</w:t>
      </w:r>
      <w:r w:rsidR="00945B4D">
        <w:t xml:space="preserve"> et </w:t>
      </w:r>
      <w:r w:rsidR="008C34E0">
        <w:t>défavorable pour un autre)</w:t>
      </w:r>
      <w:r w:rsidR="007F0358">
        <w:t>.</w:t>
      </w:r>
      <w:r w:rsidR="001514E8">
        <w:t xml:space="preserve"> Concernant les questions relatives à la gestion durable</w:t>
      </w:r>
      <w:r w:rsidR="003D4217">
        <w:t xml:space="preserve"> des sols dans leur usage donné, </w:t>
      </w:r>
      <w:r w:rsidR="00FC7412">
        <w:t xml:space="preserve">la prise en compte des scores des fonctions et des indicateurs individuels </w:t>
      </w:r>
      <w:r w:rsidR="4E4F41A5">
        <w:t>complète</w:t>
      </w:r>
      <w:r w:rsidR="00434C7D">
        <w:t xml:space="preserve"> avantageusement les scores de services écosystémiques, car </w:t>
      </w:r>
      <w:r w:rsidR="4E4F41A5">
        <w:t>ceux-ci</w:t>
      </w:r>
      <w:r w:rsidR="00434C7D">
        <w:t xml:space="preserve"> permettent d’affiner le</w:t>
      </w:r>
      <w:r w:rsidR="00466D12">
        <w:t xml:space="preserve"> diagnostic et d’identifier </w:t>
      </w:r>
      <w:r w:rsidR="4E4F41A5">
        <w:t>avec plus de précision</w:t>
      </w:r>
      <w:r w:rsidR="00466D12">
        <w:t xml:space="preserve"> les caractéristiques à améliorer.</w:t>
      </w:r>
    </w:p>
    <w:p w14:paraId="25E1C5EF" w14:textId="0149AD59" w:rsidR="00453497" w:rsidRDefault="00F80291" w:rsidP="0040641B">
      <w:pPr>
        <w:rPr>
          <w:noProof/>
        </w:rPr>
      </w:pPr>
      <w:r>
        <w:t>Les</w:t>
      </w:r>
      <w:r w:rsidR="005A0ED0">
        <w:t xml:space="preserve"> étapes</w:t>
      </w:r>
      <w:r>
        <w:t xml:space="preserve"> de calcul</w:t>
      </w:r>
      <w:r w:rsidR="005A0ED0">
        <w:t xml:space="preserve"> sont </w:t>
      </w:r>
      <w:r w:rsidR="006F1D1E">
        <w:t>similaires pour l’établissement des deux indices (qualité et santé)</w:t>
      </w:r>
      <w:r w:rsidR="008A0234">
        <w:t xml:space="preserve">, qui se calculent donc </w:t>
      </w:r>
      <w:r w:rsidR="69589AF5">
        <w:t>à partir des</w:t>
      </w:r>
      <w:r w:rsidR="2188EE97">
        <w:t xml:space="preserve"> mêmes indicateurs et des</w:t>
      </w:r>
      <w:r w:rsidR="69589AF5">
        <w:t xml:space="preserve"> </w:t>
      </w:r>
      <w:r w:rsidR="007A4BC2">
        <w:t>mêmes équations</w:t>
      </w:r>
      <w:r w:rsidR="006F1D1E">
        <w:t xml:space="preserve">. La seule différence réside dans </w:t>
      </w:r>
      <w:r w:rsidR="006C3E43">
        <w:t>le choix des</w:t>
      </w:r>
      <w:r w:rsidR="008475FE">
        <w:t xml:space="preserve"> référentiels utilisés pour l’interprétation des paramètres et indicateurs (étape 1)</w:t>
      </w:r>
      <w:r w:rsidR="006C3E43">
        <w:t xml:space="preserve"> : référentiels </w:t>
      </w:r>
      <w:r w:rsidR="00D31087">
        <w:t xml:space="preserve">absolus </w:t>
      </w:r>
      <w:r w:rsidR="006C3E43">
        <w:t xml:space="preserve">pour l’IQSW, référentiels </w:t>
      </w:r>
      <w:r w:rsidR="00A616A1">
        <w:t xml:space="preserve">relatifs (c’est-à-dire, </w:t>
      </w:r>
      <w:r w:rsidR="006C3E43">
        <w:t>selon le type de sol</w:t>
      </w:r>
      <w:r w:rsidR="00A616A1">
        <w:t>)</w:t>
      </w:r>
      <w:r w:rsidR="006C3E43">
        <w:t xml:space="preserve"> pour l’ISSW.</w:t>
      </w:r>
      <w:r w:rsidR="00945B4D">
        <w:t xml:space="preserve"> </w:t>
      </w:r>
      <w:r w:rsidR="0040641B">
        <w:t xml:space="preserve">Le schéma </w:t>
      </w:r>
      <w:r w:rsidR="202868E3">
        <w:t xml:space="preserve">présenté à la </w:t>
      </w:r>
      <w:r w:rsidR="006472FD">
        <w:fldChar w:fldCharType="begin"/>
      </w:r>
      <w:r w:rsidR="006472FD">
        <w:instrText xml:space="preserve"> REF _Ref233111472 \h  \* MERGEFORMAT </w:instrText>
      </w:r>
      <w:r w:rsidR="006472FD">
        <w:fldChar w:fldCharType="separate"/>
      </w:r>
      <w:r w:rsidR="00F423D5" w:rsidRPr="005B53C5">
        <w:t xml:space="preserve">Figure </w:t>
      </w:r>
      <w:r w:rsidR="00F423D5" w:rsidRPr="00F423D5">
        <w:rPr>
          <w:noProof/>
        </w:rPr>
        <w:t>1</w:t>
      </w:r>
      <w:r w:rsidR="006472FD">
        <w:fldChar w:fldCharType="end"/>
      </w:r>
      <w:r w:rsidR="006472FD">
        <w:t xml:space="preserve"> </w:t>
      </w:r>
      <w:r w:rsidR="0040641B">
        <w:t xml:space="preserve">décrit </w:t>
      </w:r>
      <w:r w:rsidR="202868E3">
        <w:t xml:space="preserve">les </w:t>
      </w:r>
      <w:r w:rsidR="0040641B">
        <w:t>étapes</w:t>
      </w:r>
      <w:r w:rsidR="202868E3">
        <w:t xml:space="preserve"> du système</w:t>
      </w:r>
      <w:r w:rsidR="23DCF134">
        <w:t xml:space="preserve"> de </w:t>
      </w:r>
      <w:r w:rsidR="00892709">
        <w:t>notation</w:t>
      </w:r>
      <w:r w:rsidR="7203AA8C">
        <w:t>.</w:t>
      </w:r>
      <w:r w:rsidR="23DCF134">
        <w:t xml:space="preserve"> Chaque score obtenu est présenté sur une échelle de 0 à 5</w:t>
      </w:r>
      <w:r w:rsidR="0040641B">
        <w:t>.</w:t>
      </w:r>
      <w:r w:rsidR="00453497" w:rsidRPr="00453497">
        <w:rPr>
          <w:noProof/>
        </w:rPr>
        <w:t xml:space="preserve"> </w:t>
      </w:r>
    </w:p>
    <w:p w14:paraId="65CD003D" w14:textId="4FA2714F" w:rsidR="0040641B" w:rsidRDefault="00453497" w:rsidP="0040641B">
      <w:r>
        <w:rPr>
          <w:noProof/>
        </w:rPr>
        <w:drawing>
          <wp:inline distT="0" distB="0" distL="0" distR="0" wp14:anchorId="6121CFB5" wp14:editId="018DE05E">
            <wp:extent cx="5781675" cy="913522"/>
            <wp:effectExtent l="0" t="0" r="0" b="1270"/>
            <wp:docPr id="53032532"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2532" name="Image 5303253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97355" cy="931800"/>
                    </a:xfrm>
                    <a:prstGeom prst="rect">
                      <a:avLst/>
                    </a:prstGeom>
                  </pic:spPr>
                </pic:pic>
              </a:graphicData>
            </a:graphic>
          </wp:inline>
        </w:drawing>
      </w:r>
    </w:p>
    <w:p w14:paraId="1F318873" w14:textId="44E66427" w:rsidR="00A24278" w:rsidRPr="00642858" w:rsidRDefault="005B53C5" w:rsidP="00642858">
      <w:pPr>
        <w:pStyle w:val="Lgende"/>
        <w:jc w:val="center"/>
        <w:rPr>
          <w:i w:val="0"/>
          <w:iCs w:val="0"/>
        </w:rPr>
      </w:pPr>
      <w:bookmarkStart w:id="5" w:name="_Ref233111472"/>
      <w:bookmarkStart w:id="6" w:name="_Toc241229816"/>
      <w:r w:rsidRPr="005B53C5">
        <w:rPr>
          <w:i w:val="0"/>
          <w:iCs w:val="0"/>
        </w:rPr>
        <w:t xml:space="preserve">Figure </w:t>
      </w:r>
      <w:r w:rsidRPr="005B53C5">
        <w:rPr>
          <w:i w:val="0"/>
          <w:iCs w:val="0"/>
        </w:rPr>
        <w:fldChar w:fldCharType="begin"/>
      </w:r>
      <w:r w:rsidRPr="005B53C5">
        <w:rPr>
          <w:i w:val="0"/>
          <w:iCs w:val="0"/>
        </w:rPr>
        <w:instrText xml:space="preserve"> SEQ Figure \* ARABIC </w:instrText>
      </w:r>
      <w:r w:rsidRPr="005B53C5">
        <w:rPr>
          <w:i w:val="0"/>
          <w:iCs w:val="0"/>
        </w:rPr>
        <w:fldChar w:fldCharType="separate"/>
      </w:r>
      <w:r w:rsidR="00F423D5">
        <w:rPr>
          <w:i w:val="0"/>
          <w:iCs w:val="0"/>
          <w:noProof/>
        </w:rPr>
        <w:t>1</w:t>
      </w:r>
      <w:r w:rsidRPr="005B53C5">
        <w:rPr>
          <w:i w:val="0"/>
          <w:iCs w:val="0"/>
        </w:rPr>
        <w:fldChar w:fldCharType="end"/>
      </w:r>
      <w:bookmarkEnd w:id="5"/>
      <w:r w:rsidRPr="005B53C5">
        <w:rPr>
          <w:i w:val="0"/>
          <w:iCs w:val="0"/>
        </w:rPr>
        <w:t xml:space="preserve"> : </w:t>
      </w:r>
      <w:r w:rsidR="0059516C">
        <w:rPr>
          <w:i w:val="0"/>
          <w:iCs w:val="0"/>
        </w:rPr>
        <w:t>É</w:t>
      </w:r>
      <w:r w:rsidRPr="005B53C5">
        <w:rPr>
          <w:i w:val="0"/>
          <w:iCs w:val="0"/>
        </w:rPr>
        <w:t xml:space="preserve">tapes du </w:t>
      </w:r>
      <w:r>
        <w:rPr>
          <w:i w:val="0"/>
          <w:iCs w:val="0"/>
        </w:rPr>
        <w:t>calcul des indices</w:t>
      </w:r>
      <w:r w:rsidRPr="005B53C5">
        <w:rPr>
          <w:i w:val="0"/>
          <w:iCs w:val="0"/>
        </w:rPr>
        <w:t xml:space="preserve"> IQSW-pro</w:t>
      </w:r>
      <w:r w:rsidR="0059516C">
        <w:rPr>
          <w:i w:val="0"/>
          <w:iCs w:val="0"/>
        </w:rPr>
        <w:t xml:space="preserve"> (schéma simplifié)</w:t>
      </w:r>
      <w:bookmarkEnd w:id="6"/>
    </w:p>
    <w:p w14:paraId="0C9821EE" w14:textId="33EBAE1D" w:rsidR="003536C9" w:rsidRDefault="003F7C4F">
      <w:pPr>
        <w:pStyle w:val="Titre1"/>
        <w:numPr>
          <w:ilvl w:val="0"/>
          <w:numId w:val="12"/>
        </w:numPr>
      </w:pPr>
      <w:bookmarkStart w:id="7" w:name="_Toc241478063"/>
      <w:r>
        <w:lastRenderedPageBreak/>
        <w:t>É</w:t>
      </w:r>
      <w:r w:rsidR="00D25497">
        <w:t>valuer la qualité des sols</w:t>
      </w:r>
      <w:r>
        <w:t> : pourquoi</w:t>
      </w:r>
      <w:r w:rsidR="00211597">
        <w:t> ?</w:t>
      </w:r>
      <w:bookmarkEnd w:id="3"/>
      <w:bookmarkEnd w:id="7"/>
    </w:p>
    <w:p w14:paraId="1895D213" w14:textId="6EAC5CD0" w:rsidR="00563ED2" w:rsidRDefault="00850343">
      <w:pPr>
        <w:pStyle w:val="Titre2"/>
        <w:numPr>
          <w:ilvl w:val="1"/>
          <w:numId w:val="12"/>
        </w:numPr>
      </w:pPr>
      <w:bookmarkStart w:id="8" w:name="_Toc230267082"/>
      <w:bookmarkStart w:id="9" w:name="_Toc241478064"/>
      <w:r>
        <w:t>Améliorer la gestion des sols en Wallonie</w:t>
      </w:r>
      <w:bookmarkEnd w:id="8"/>
      <w:bookmarkEnd w:id="9"/>
    </w:p>
    <w:p w14:paraId="21E7FA44" w14:textId="788DA5F9" w:rsidR="002B35A6" w:rsidRPr="000626B8" w:rsidRDefault="00FC5D6A" w:rsidP="00E067EE">
      <w:r>
        <w:t>S</w:t>
      </w:r>
      <w:r w:rsidR="00DB7AF9">
        <w:t>elon l</w:t>
      </w:r>
      <w:r w:rsidR="00550DEE">
        <w:t>e</w:t>
      </w:r>
      <w:r w:rsidR="003F7C4F">
        <w:t xml:space="preserve"> cahier des charges </w:t>
      </w:r>
      <w:r w:rsidR="00A24278">
        <w:t xml:space="preserve">établi à la genèse </w:t>
      </w:r>
      <w:r w:rsidR="003F7C4F">
        <w:t>du projet</w:t>
      </w:r>
      <w:r w:rsidR="00DB7AF9">
        <w:t xml:space="preserve">, </w:t>
      </w:r>
      <w:r>
        <w:t xml:space="preserve">la volonté première </w:t>
      </w:r>
      <w:r w:rsidR="00DB7AF9">
        <w:t xml:space="preserve">est de </w:t>
      </w:r>
      <w:r w:rsidR="00624BA1">
        <w:t>permettre</w:t>
      </w:r>
      <w:r w:rsidR="00C20F47">
        <w:t xml:space="preserve">, à travers l’IQSW-pro, </w:t>
      </w:r>
      <w:r w:rsidR="00624BA1">
        <w:t xml:space="preserve">de faciliter l’intégration de la notion de qualité du sol dans la conception et l’évaluation </w:t>
      </w:r>
      <w:r w:rsidR="004629B7">
        <w:t>des projets pour les différents types d’usage de sol</w:t>
      </w:r>
      <w:r w:rsidR="006D6D40">
        <w:t xml:space="preserve"> </w:t>
      </w:r>
      <w:r w:rsidR="00EF7473">
        <w:t>tels que définis dans le</w:t>
      </w:r>
      <w:r w:rsidR="004F3683">
        <w:t xml:space="preserve"> </w:t>
      </w:r>
      <w:r w:rsidR="004F3683" w:rsidRPr="004F3683">
        <w:t>Décret relatif à la gestion et à l'assainissement des sols du 1er mars 2018</w:t>
      </w:r>
      <w:r w:rsidR="001D1C12">
        <w:t>, aussi appelé Décret sols</w:t>
      </w:r>
      <w:r w:rsidR="004F3683">
        <w:t xml:space="preserve"> </w:t>
      </w:r>
      <w:r w:rsidR="004F3683">
        <w:fldChar w:fldCharType="begin"/>
      </w:r>
      <w:r w:rsidR="00A00849">
        <w:instrText xml:space="preserve"> ADDIN ZOTERO_ITEM CSL_CITATION {"citationID":"BVVYaun0","properties":{"formattedCitation":"(Gouvernement wallon, 2018)","plainCitation":"(Gouvernement wallon, 2018)","noteIndex":0},"citationItems":[{"id":542,"uris":["http://zotero.org/groups/5684833/items/XS5CPQ3E"],"itemData":{"id":542,"type":"document","language":"fr","title":"Décret relatif à la gestion et à l'assainissement des sols du 1er mars 2018","URL":"https://wallex.wallonie.be/eli/loi-decret/2018/03/01/2018070014/2018/04/01","author":[{"family":"Gouvernement wallon","given":""}],"accessed":{"date-parts":[["2026",5,15]]},"issued":{"date-parts":[["2018"]]}}}],"schema":"https://github.com/citation-style-language/schema/raw/master/csl-citation.json"} </w:instrText>
      </w:r>
      <w:r w:rsidR="004F3683">
        <w:fldChar w:fldCharType="separate"/>
      </w:r>
      <w:r w:rsidR="00A00849" w:rsidRPr="00A00849">
        <w:rPr>
          <w:rFonts w:cs="Calibri"/>
        </w:rPr>
        <w:t>(Gouvernement wallon, 2018)</w:t>
      </w:r>
      <w:r w:rsidR="004F3683">
        <w:fldChar w:fldCharType="end"/>
      </w:r>
      <w:r w:rsidR="007E364E">
        <w:rPr>
          <w:rStyle w:val="Appelnotedebasdep"/>
        </w:rPr>
        <w:footnoteReference w:id="2"/>
      </w:r>
      <w:r w:rsidR="004629B7">
        <w:t xml:space="preserve">, et </w:t>
      </w:r>
      <w:r w:rsidR="00020EB3">
        <w:t xml:space="preserve">d’adapter au mieux l’adéquation entre l’utilisation future du sol et son état </w:t>
      </w:r>
      <w:r>
        <w:t>de qualité</w:t>
      </w:r>
      <w:r w:rsidR="00020EB3">
        <w:t xml:space="preserve"> actuel.</w:t>
      </w:r>
      <w:r w:rsidR="007F7280">
        <w:t xml:space="preserve"> Il doit également alimenter l</w:t>
      </w:r>
      <w:r w:rsidR="006D6D40">
        <w:t>es réflexions sur la restauration de la qualité des sols</w:t>
      </w:r>
      <w:r w:rsidR="00501A01">
        <w:t>, selon les types d’usages considérés, et sur la meilleure affectation des sols en fonction des services écosystémiques qu’ils peuvent fournir.</w:t>
      </w:r>
    </w:p>
    <w:p w14:paraId="20B40C25" w14:textId="30629FD9" w:rsidR="00D001E2" w:rsidRDefault="002C23BB">
      <w:pPr>
        <w:pStyle w:val="Titre2"/>
        <w:numPr>
          <w:ilvl w:val="1"/>
          <w:numId w:val="12"/>
        </w:numPr>
      </w:pPr>
      <w:bookmarkStart w:id="10" w:name="_Toc230267083"/>
      <w:bookmarkStart w:id="11" w:name="_Toc241478065"/>
      <w:r>
        <w:t>Contexte européen</w:t>
      </w:r>
      <w:bookmarkEnd w:id="10"/>
      <w:bookmarkEnd w:id="11"/>
    </w:p>
    <w:p w14:paraId="766396D3" w14:textId="320F0B17" w:rsidR="0046723B" w:rsidRDefault="00B80679" w:rsidP="003700E7">
      <w:r>
        <w:t xml:space="preserve">Le développement </w:t>
      </w:r>
      <w:r w:rsidR="000508C6">
        <w:t xml:space="preserve">de l’IQSW-pro est en phase avec une </w:t>
      </w:r>
      <w:r w:rsidR="00325EDF">
        <w:t xml:space="preserve">prise de conscience de l’importance </w:t>
      </w:r>
      <w:r w:rsidR="00314C37">
        <w:t xml:space="preserve">de la santé </w:t>
      </w:r>
      <w:r w:rsidR="00325EDF">
        <w:t xml:space="preserve">des sols au niveau européen. </w:t>
      </w:r>
      <w:r w:rsidR="00FF38FC">
        <w:t xml:space="preserve">En 2021, la publication de la </w:t>
      </w:r>
      <w:r w:rsidR="002F1CFB" w:rsidRPr="00F71673">
        <w:rPr>
          <w:rFonts w:cs="Calibri"/>
          <w:kern w:val="0"/>
        </w:rPr>
        <w:t>Stratégie de l’UE pour la protection des sols à l’horizon 2030</w:t>
      </w:r>
      <w:r w:rsidR="00CA5B59">
        <w:rPr>
          <w:rFonts w:cs="Calibri"/>
          <w:kern w:val="0"/>
        </w:rPr>
        <w:t xml:space="preserve"> </w:t>
      </w:r>
      <w:r w:rsidR="00A40DD8">
        <w:rPr>
          <w:rFonts w:cs="Calibri"/>
          <w:kern w:val="0"/>
        </w:rPr>
        <w:fldChar w:fldCharType="begin"/>
      </w:r>
      <w:r w:rsidR="007F616D">
        <w:rPr>
          <w:rFonts w:cs="Calibri"/>
          <w:kern w:val="0"/>
        </w:rPr>
        <w:instrText xml:space="preserve"> ADDIN ZOTERO_ITEM CSL_CITATION {"citationID":"DoxbcWdu","properties":{"formattedCitation":"(UE COM/2021/699, 2021)","plainCitation":"(UE COM/2021/699, 2021)","noteIndex":0},"citationItems":[{"id":548,"uris":["http://zotero.org/groups/5684833/items/TYNIXDBV"],"itemData":{"id":548,"type":"document","citation-key":"COMMUNICATION DE LA COMMISSION AU PARLEMENT EUROPÉEN, AU CONSEIL, AU COMITÉ ÉCONOMIQUE ET SOCIAL EUROPÉEN ET AU COMITÉ DES RÉGIONS","language":"fr","note":"Récolter les fruits de sols en bonne santé pour les êtres humains, l’alimentation, la nature et le climat","title":"Stratégie de l’UE pour la protection des sols à l’horizon 2030","URL":"https://eur-lex.europa.eu/legal-content/FR/TXT/?uri=CELEX%3A52021DC0699&amp;lang1=FR&amp;from=EN&amp;lang3=choose&amp;lang2=choose&amp;_csrf=a78b6a5f-f9e9-44c3-85cc-836ba47b3c12","author":[{"family":"UE COM/2021/699","given":""}],"accessed":{"date-parts":[["2026",5,21]]},"issued":{"date-parts":[["2021"]]}}}],"schema":"https://github.com/citation-style-language/schema/raw/master/csl-citation.json"} </w:instrText>
      </w:r>
      <w:r w:rsidR="00A40DD8">
        <w:rPr>
          <w:rFonts w:cs="Calibri"/>
          <w:kern w:val="0"/>
        </w:rPr>
        <w:fldChar w:fldCharType="separate"/>
      </w:r>
      <w:r w:rsidR="007F616D" w:rsidRPr="007F616D">
        <w:rPr>
          <w:rFonts w:cs="Calibri"/>
        </w:rPr>
        <w:t>(UE COM/2021/699, 2021)</w:t>
      </w:r>
      <w:r w:rsidR="00A40DD8">
        <w:rPr>
          <w:rFonts w:cs="Calibri"/>
          <w:kern w:val="0"/>
        </w:rPr>
        <w:fldChar w:fldCharType="end"/>
      </w:r>
      <w:r w:rsidR="00F71673">
        <w:t xml:space="preserve"> </w:t>
      </w:r>
      <w:r w:rsidR="00DA7CCA">
        <w:t xml:space="preserve">propose une série de mesures pour atteindre un bon état de santé des sols dans l’UE à l’horizon 2050. </w:t>
      </w:r>
      <w:r w:rsidR="00E75CA9">
        <w:t xml:space="preserve">Une proposition de directive voit ensuite le jour et, </w:t>
      </w:r>
      <w:r w:rsidR="003700E7">
        <w:t xml:space="preserve">après </w:t>
      </w:r>
      <w:r w:rsidR="00F42BE4">
        <w:t>plusieurs</w:t>
      </w:r>
      <w:r w:rsidR="003700E7">
        <w:t xml:space="preserve"> </w:t>
      </w:r>
      <w:r w:rsidR="00F42BE4">
        <w:t>phases de révision</w:t>
      </w:r>
      <w:r w:rsidR="003700E7">
        <w:t xml:space="preserve">, </w:t>
      </w:r>
      <w:r w:rsidR="00612553">
        <w:t>la</w:t>
      </w:r>
      <w:r w:rsidR="00F90507">
        <w:t xml:space="preserve"> </w:t>
      </w:r>
      <w:r w:rsidR="00F90507" w:rsidRPr="00CD3886">
        <w:rPr>
          <w:rFonts w:cs="Calibri"/>
          <w:kern w:val="0"/>
        </w:rPr>
        <w:t>Directive du Parlement européen et du Conseil du 12 novembre 2025 relative à la surveillance et à la résilience des sols (directive sur la surveillance des sols)</w:t>
      </w:r>
      <w:r w:rsidR="00F90507">
        <w:t xml:space="preserve"> </w:t>
      </w:r>
      <w:r w:rsidR="003D1E08">
        <w:t>est entrée en vigueur</w:t>
      </w:r>
      <w:r w:rsidR="00F42BE4">
        <w:t xml:space="preserve"> </w:t>
      </w:r>
      <w:r w:rsidR="00F90507">
        <w:fldChar w:fldCharType="begin"/>
      </w:r>
      <w:r w:rsidR="00377A1A">
        <w:instrText xml:space="preserve"> ADDIN ZOTERO_ITEM CSL_CITATION {"citationID":"oqcymlcM","properties":{"formattedCitation":"(UE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F90507">
        <w:fldChar w:fldCharType="separate"/>
      </w:r>
      <w:r w:rsidR="00377A1A" w:rsidRPr="00377A1A">
        <w:rPr>
          <w:rFonts w:cs="Calibri"/>
        </w:rPr>
        <w:t>(UE 2025/2360, 2025)</w:t>
      </w:r>
      <w:r w:rsidR="00F90507">
        <w:fldChar w:fldCharType="end"/>
      </w:r>
      <w:r w:rsidR="00F42BE4">
        <w:t>.</w:t>
      </w:r>
      <w:r w:rsidR="00BB6B96">
        <w:t xml:space="preserve"> </w:t>
      </w:r>
    </w:p>
    <w:p w14:paraId="2EABA960" w14:textId="247F5CFC" w:rsidR="00A51355" w:rsidRDefault="002F12E9" w:rsidP="00D001E2">
      <w:r>
        <w:t>Considérant</w:t>
      </w:r>
      <w:r w:rsidR="00DD4C86">
        <w:t xml:space="preserve"> que « l</w:t>
      </w:r>
      <w:r w:rsidR="00A51355" w:rsidRPr="00A51355">
        <w:t>es sols constituent une ressource vitale limitée et sont considérés comme étant non renouvelables et irremplaçables sur une échelle de temps humain</w:t>
      </w:r>
      <w:r w:rsidR="00DD4C86">
        <w:t> »</w:t>
      </w:r>
      <w:r w:rsidR="00563EC2">
        <w:t>,</w:t>
      </w:r>
      <w:r>
        <w:t xml:space="preserve"> la directive établit un cadre </w:t>
      </w:r>
      <w:r w:rsidR="004772CA">
        <w:t>pour</w:t>
      </w:r>
      <w:r w:rsidR="00BF40F4">
        <w:t xml:space="preserve"> répondre à l’objecti</w:t>
      </w:r>
      <w:r w:rsidR="004A7EF0">
        <w:t>f de la stratégie pour la protection des sols (sols sains en 2050)</w:t>
      </w:r>
      <w:r w:rsidR="004357E9">
        <w:t xml:space="preserve"> à travers :</w:t>
      </w:r>
      <w:r w:rsidR="004772CA">
        <w:t xml:space="preserve"> (1) la surveillance et l’évaluation de la santé des sols, (2) la résilience des sols et (3) la gestion des sites contaminés</w:t>
      </w:r>
      <w:r w:rsidR="004357E9">
        <w:t xml:space="preserve">. </w:t>
      </w:r>
      <w:r w:rsidR="00CB0D70">
        <w:t xml:space="preserve">La directive </w:t>
      </w:r>
      <w:r w:rsidR="00500A1A">
        <w:t>définit les sols en bonne santé comme « </w:t>
      </w:r>
      <w:r w:rsidR="006A0E3F" w:rsidRPr="006A0E3F">
        <w:t>présentant un bon état chimique, biologique et physique et qui peuvent dès lors fournir des services écosystémiques vitaux pour les humains et l'environnement</w:t>
      </w:r>
      <w:r w:rsidR="006A0E3F">
        <w:t xml:space="preserve"> </w:t>
      </w:r>
      <w:r w:rsidR="007B3938" w:rsidRPr="007B3938">
        <w:t>[</w:t>
      </w:r>
      <w:r w:rsidR="007B3938">
        <w:t>…</w:t>
      </w:r>
      <w:r w:rsidR="007B3938" w:rsidRPr="007B3938">
        <w:t>]</w:t>
      </w:r>
      <w:r w:rsidR="006A0E3F">
        <w:t> ».</w:t>
      </w:r>
    </w:p>
    <w:p w14:paraId="48A6CE69" w14:textId="36C62AD9" w:rsidR="002652F6" w:rsidRDefault="0057779E" w:rsidP="00D001E2">
      <w:r>
        <w:t>Ainsi, en plus de la mise en œuvre d’un réseau de surveillance de la qualité des sols, l</w:t>
      </w:r>
      <w:r w:rsidR="00823E9F">
        <w:t xml:space="preserve">a directive invite </w:t>
      </w:r>
      <w:r w:rsidR="00667B3E">
        <w:t xml:space="preserve">notamment </w:t>
      </w:r>
      <w:r w:rsidR="00823E9F">
        <w:t>les États membres</w:t>
      </w:r>
      <w:r w:rsidR="002652F6">
        <w:t> </w:t>
      </w:r>
      <w:r w:rsidR="00B37796">
        <w:t>à</w:t>
      </w:r>
      <w:r w:rsidR="002652F6">
        <w:t> :</w:t>
      </w:r>
    </w:p>
    <w:p w14:paraId="39FAA5C4" w14:textId="5031ADBB" w:rsidR="002652F6" w:rsidRDefault="002652F6">
      <w:pPr>
        <w:pStyle w:val="Paragraphedeliste"/>
        <w:numPr>
          <w:ilvl w:val="0"/>
          <w:numId w:val="1"/>
        </w:numPr>
      </w:pPr>
      <w:r>
        <w:t>S</w:t>
      </w:r>
      <w:r w:rsidR="00B37796">
        <w:t xml:space="preserve">urveiller les effets de l’imperméabilisation et </w:t>
      </w:r>
      <w:r w:rsidR="009C7311">
        <w:t xml:space="preserve">l’excavation </w:t>
      </w:r>
      <w:r w:rsidR="00B37796">
        <w:t>des sols sur leur capacité à fournir des services écosystémiques</w:t>
      </w:r>
      <w:r>
        <w:t> ;</w:t>
      </w:r>
    </w:p>
    <w:p w14:paraId="5E8E4FB0" w14:textId="4A142D88" w:rsidR="00EF3E11" w:rsidRDefault="002652F6">
      <w:pPr>
        <w:pStyle w:val="Paragraphedeliste"/>
        <w:numPr>
          <w:ilvl w:val="0"/>
          <w:numId w:val="1"/>
        </w:numPr>
      </w:pPr>
      <w:r>
        <w:t>S</w:t>
      </w:r>
      <w:r w:rsidR="0020197D">
        <w:t xml:space="preserve">urveiller et gérer durablement </w:t>
      </w:r>
      <w:r>
        <w:t>les sols des</w:t>
      </w:r>
      <w:r w:rsidR="00145576">
        <w:t xml:space="preserve"> </w:t>
      </w:r>
      <w:r w:rsidR="00145576" w:rsidRPr="00145576">
        <w:t>superficies d'établissement qui ne sont pas imperméabilisés</w:t>
      </w:r>
      <w:r w:rsidR="00145576">
        <w:t xml:space="preserve"> (notamment en zones urbaines) ;</w:t>
      </w:r>
    </w:p>
    <w:p w14:paraId="7B8D87B0" w14:textId="6593EF2A" w:rsidR="00FC1D43" w:rsidRDefault="004C2621">
      <w:pPr>
        <w:pStyle w:val="Paragraphedeliste"/>
        <w:numPr>
          <w:ilvl w:val="0"/>
          <w:numId w:val="1"/>
        </w:numPr>
      </w:pPr>
      <w:r>
        <w:t xml:space="preserve">Veiller à </w:t>
      </w:r>
      <w:r w:rsidR="00C17492">
        <w:t>« </w:t>
      </w:r>
      <w:r>
        <w:t xml:space="preserve">atténuer </w:t>
      </w:r>
      <w:r w:rsidR="00C17492">
        <w:t>l</w:t>
      </w:r>
      <w:r w:rsidR="00C17492" w:rsidRPr="00C17492">
        <w:t xml:space="preserve">'incidence de l'imperméabilisation des sols et de </w:t>
      </w:r>
      <w:r w:rsidR="006F0D3E">
        <w:t>l’excavation</w:t>
      </w:r>
      <w:r w:rsidR="006F0D3E" w:rsidRPr="00C17492">
        <w:t xml:space="preserve"> </w:t>
      </w:r>
      <w:r w:rsidR="00C17492" w:rsidRPr="00C17492">
        <w:t xml:space="preserve">des sols, en adoptant une approche fondée sur l'effort qui tienne compte d'un large éventail de bonnes </w:t>
      </w:r>
      <w:r w:rsidR="00C17492" w:rsidRPr="00C17492">
        <w:lastRenderedPageBreak/>
        <w:t>pratiques visant à réduire au minimum et à compenser la perte de la capacité des sols à fournir des services écosystémiques</w:t>
      </w:r>
      <w:r w:rsidR="00C17492">
        <w:t xml:space="preserve"> »</w:t>
      </w:r>
      <w:r w:rsidR="00190277">
        <w:t xml:space="preserve">, en respectant le principe de hiérarchisation des </w:t>
      </w:r>
      <w:r w:rsidR="00903867">
        <w:t>usages</w:t>
      </w:r>
      <w:r w:rsidR="00C17492">
        <w:t>.</w:t>
      </w:r>
    </w:p>
    <w:p w14:paraId="09B786D4" w14:textId="45E7C5A8" w:rsidR="00FC1D43" w:rsidRDefault="004D492D">
      <w:pPr>
        <w:pStyle w:val="Titre2"/>
        <w:numPr>
          <w:ilvl w:val="1"/>
          <w:numId w:val="12"/>
        </w:numPr>
      </w:pPr>
      <w:bookmarkStart w:id="12" w:name="_Toc230267084"/>
      <w:bookmarkStart w:id="13" w:name="_Toc241478066"/>
      <w:r>
        <w:t>L’IQSW</w:t>
      </w:r>
      <w:r w:rsidR="006F375F">
        <w:t>-pro</w:t>
      </w:r>
      <w:r>
        <w:t xml:space="preserve"> pour o</w:t>
      </w:r>
      <w:r w:rsidR="003F526D">
        <w:t>rienter l’usage du sol</w:t>
      </w:r>
      <w:bookmarkEnd w:id="12"/>
      <w:bookmarkEnd w:id="13"/>
    </w:p>
    <w:p w14:paraId="1D1219D7" w14:textId="4D8A6CD8" w:rsidR="008D4FB0" w:rsidRDefault="008D4FB0" w:rsidP="008D4FB0">
      <w:r>
        <w:t>En accord avec les principes de hiérarchisation des usages, article 12 de la</w:t>
      </w:r>
      <w:r w:rsidR="00BF7C19">
        <w:t xml:space="preserve"> </w:t>
      </w:r>
      <w:r w:rsidR="00BF7C19" w:rsidRPr="00CD3886">
        <w:rPr>
          <w:rFonts w:cs="Calibri"/>
          <w:kern w:val="0"/>
        </w:rPr>
        <w:t>directive sur la surveillance des sols</w:t>
      </w:r>
      <w:r>
        <w:t xml:space="preserve"> </w:t>
      </w:r>
      <w:r>
        <w:fldChar w:fldCharType="begin"/>
      </w:r>
      <w:r w:rsidR="00377A1A">
        <w:instrText xml:space="preserve"> ADDIN ZOTERO_ITEM CSL_CITATION {"citationID":"uUbVPAi1","properties":{"formattedCitation":"(UE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fldChar w:fldCharType="separate"/>
      </w:r>
      <w:r w:rsidR="00377A1A" w:rsidRPr="00377A1A">
        <w:rPr>
          <w:rFonts w:cs="Calibri"/>
        </w:rPr>
        <w:t>(UE 2025/2360, 2025)</w:t>
      </w:r>
      <w:r>
        <w:fldChar w:fldCharType="end"/>
      </w:r>
      <w:r w:rsidR="00A24159">
        <w:t xml:space="preserve">, il est </w:t>
      </w:r>
      <w:r w:rsidR="00633359">
        <w:t>nécessaire de pouvoir réserver « le bon usage pour le bon sol ».</w:t>
      </w:r>
    </w:p>
    <w:p w14:paraId="356C9BA3" w14:textId="410942A3" w:rsidR="006A4307" w:rsidRDefault="006A4307" w:rsidP="006A4307">
      <w:r>
        <w:t>L’IQSW</w:t>
      </w:r>
      <w:r w:rsidR="001E5953">
        <w:t>-pro</w:t>
      </w:r>
      <w:r>
        <w:t xml:space="preserve">, en permettant d’améliorer la connaissance </w:t>
      </w:r>
      <w:r w:rsidR="00087D58">
        <w:t>des</w:t>
      </w:r>
      <w:r>
        <w:t xml:space="preserve"> sols au-delà des paramètres de pollution, </w:t>
      </w:r>
      <w:r w:rsidR="00087D58">
        <w:t xml:space="preserve">a pour vocation de contribuer </w:t>
      </w:r>
      <w:r>
        <w:t xml:space="preserve">à mieux les préserver. </w:t>
      </w:r>
      <w:r w:rsidR="009D4C48">
        <w:t>L</w:t>
      </w:r>
      <w:r>
        <w:t xml:space="preserve">’outil </w:t>
      </w:r>
      <w:r w:rsidR="001E5953">
        <w:t xml:space="preserve">vise à </w:t>
      </w:r>
      <w:r>
        <w:t>orienter l’usage futur d’un sol</w:t>
      </w:r>
      <w:r w:rsidR="00D32C07">
        <w:t xml:space="preserve"> à travers, par exemple </w:t>
      </w:r>
      <w:r>
        <w:t>:</w:t>
      </w:r>
    </w:p>
    <w:p w14:paraId="229B81AD" w14:textId="2FD33105" w:rsidR="006A4307" w:rsidRDefault="006A4307">
      <w:pPr>
        <w:pStyle w:val="Paragraphedeliste"/>
        <w:numPr>
          <w:ilvl w:val="0"/>
          <w:numId w:val="6"/>
        </w:numPr>
        <w:spacing w:after="200" w:line="276" w:lineRule="auto"/>
      </w:pPr>
      <w:r>
        <w:t>Une amélioration de la prise en compte de l’impact des projets d’aménagement</w:t>
      </w:r>
      <w:r w:rsidR="0083343C">
        <w:t xml:space="preserve"> sur la ressource « sol » et les services écosystémiques associés</w:t>
      </w:r>
      <w:r w:rsidR="001E5953">
        <w:t> ;</w:t>
      </w:r>
    </w:p>
    <w:p w14:paraId="42CA8BEF" w14:textId="621E0D3C" w:rsidR="006A4307" w:rsidRDefault="006A4307">
      <w:pPr>
        <w:pStyle w:val="Paragraphedeliste"/>
        <w:numPr>
          <w:ilvl w:val="0"/>
          <w:numId w:val="6"/>
        </w:numPr>
        <w:spacing w:after="200" w:line="276" w:lineRule="auto"/>
      </w:pPr>
      <w:r>
        <w:t xml:space="preserve">Une revalorisation des terres à haut potentiel agricole ou naturel, afin d’objectiver l’impact de la dégradation </w:t>
      </w:r>
      <w:r w:rsidR="00FE606C">
        <w:t xml:space="preserve">ou de l’artificialisation </w:t>
      </w:r>
      <w:r w:rsidR="0032376F">
        <w:t>des sols de ces usages</w:t>
      </w:r>
      <w:r>
        <w:t>,</w:t>
      </w:r>
      <w:r w:rsidR="003652A2">
        <w:t xml:space="preserve"> ou</w:t>
      </w:r>
      <w:r>
        <w:t xml:space="preserve"> la protection d’écosystèmes particuliers</w:t>
      </w:r>
      <w:r w:rsidR="006F16AD">
        <w:t xml:space="preserve"> </w:t>
      </w:r>
      <w:r w:rsidR="001E5953">
        <w:t>;</w:t>
      </w:r>
    </w:p>
    <w:p w14:paraId="6F67319A" w14:textId="5BEB66E8" w:rsidR="006A4307" w:rsidRDefault="006A4307">
      <w:pPr>
        <w:pStyle w:val="Paragraphedeliste"/>
        <w:numPr>
          <w:ilvl w:val="0"/>
          <w:numId w:val="6"/>
        </w:numPr>
        <w:spacing w:after="200" w:line="276" w:lineRule="auto"/>
      </w:pPr>
      <w:r>
        <w:t>Une aide à l’orientation des projets dans le cadre du schéma de développement territorial (SDT) ou d’un schéma de développement communal (SDC)</w:t>
      </w:r>
      <w:r w:rsidR="001E5953">
        <w:t> ;</w:t>
      </w:r>
    </w:p>
    <w:p w14:paraId="64E6E2B8" w14:textId="11A9E273" w:rsidR="006A4307" w:rsidRDefault="006A4307">
      <w:pPr>
        <w:pStyle w:val="Paragraphedeliste"/>
        <w:numPr>
          <w:ilvl w:val="0"/>
          <w:numId w:val="6"/>
        </w:numPr>
        <w:spacing w:after="200" w:line="276" w:lineRule="auto"/>
      </w:pPr>
      <w:r>
        <w:t xml:space="preserve">Une meilleure prise en compte du potentiel du sol d’une parcelle, en identifiant les zones </w:t>
      </w:r>
      <w:r w:rsidR="00E771EF">
        <w:t xml:space="preserve">les plus à même </w:t>
      </w:r>
      <w:r>
        <w:t xml:space="preserve">d’accueillir un potager, des arbres, du bâti, </w:t>
      </w:r>
      <w:r w:rsidR="001E5953">
        <w:t>etc. ;</w:t>
      </w:r>
    </w:p>
    <w:p w14:paraId="001D464E" w14:textId="4A02ECA4" w:rsidR="00004707" w:rsidRDefault="006A4307">
      <w:pPr>
        <w:pStyle w:val="Paragraphedeliste"/>
        <w:numPr>
          <w:ilvl w:val="0"/>
          <w:numId w:val="6"/>
        </w:numPr>
        <w:spacing w:after="200" w:line="276" w:lineRule="auto"/>
      </w:pPr>
      <w:r>
        <w:t>L’établissement de mesures de compensation adaptées</w:t>
      </w:r>
      <w:r w:rsidR="002B7EEB">
        <w:t xml:space="preserve"> en cas de dégradation inévitable</w:t>
      </w:r>
      <w:r>
        <w:t>, pensées en termes de qualité du sol et pas seulement en termes surfaciques</w:t>
      </w:r>
      <w:r w:rsidR="008B3CB5">
        <w:t xml:space="preserve">, </w:t>
      </w:r>
      <w:r>
        <w:t>notamment dans le cadre des objectifs de zéro artificialisation nette</w:t>
      </w:r>
      <w:r w:rsidR="008B3CB5">
        <w:t xml:space="preserve"> </w:t>
      </w:r>
      <w:r w:rsidR="00432908">
        <w:fldChar w:fldCharType="begin"/>
      </w:r>
      <w:r w:rsidR="00432908">
        <w:instrText xml:space="preserve"> ADDIN ZOTERO_ITEM CSL_CITATION {"citationID":"hFmw4L1s","properties":{"unsorted":false,"formattedCitation":"(G\\uc0\\u233{}ronnez et al., 2025)","plainCitation":"(Géronnez et al., 2025)","noteIndex":0},"citationItems":[{"id":634,"uris":["http://zotero.org/groups/5684833/items/I595X3U3"],"itemData":{"id":634,"type":"report","abstract":"Quelles actions possibles pour concilier le « zéro artificialisation nette » (ZAN) et accessibilité financière du logement ? Où produire si le sol compte ? [2025] | , Ce document a été réalisé dans le cadre de la Présidence belge du Conseil de l’Union eur","ISBN":"978-2-8056-0748-6","language":"fr-be","page":"44","publisher":"SPW / EDIWALL","title":"Quelles actions possibles pour concilier le « zéro artificialisation nette » (ZAN) et accessibilité financière du logement ? Où produire si le sol compte ?","title-short":"Quelles actions possibles pour concilier le « zéro artificialisation nette » (ZAN) et accessibilité financière du logement ?","URL":"https://ediwall.wallonie.be/quelles-actions-possibles-pour-concilier-le-zero-artificialisation-nette-zan-et-accessibilite-financiere-du-logement-ou-produire-si-le-sol-compte-2025-135835","author":[{"family":"Géronnez","given":"Loïc"},{"family":"Vialay","given":"Gaëlle"},{"family":"Zaman","given":"Jan"}],"accessed":{"date-parts":[["2026",9,23]]},"issued":{"date-parts":[["2025"]]}}}],"schema":"https://github.com/citation-style-language/schema/raw/master/csl-citation.json"} </w:instrText>
      </w:r>
      <w:r w:rsidR="00432908">
        <w:fldChar w:fldCharType="separate"/>
      </w:r>
      <w:r w:rsidR="00432908" w:rsidRPr="00984752">
        <w:rPr>
          <w:rFonts w:cs="Calibri"/>
          <w:kern w:val="0"/>
        </w:rPr>
        <w:t>(Géronnez et al., 2025)</w:t>
      </w:r>
      <w:r w:rsidR="00432908">
        <w:fldChar w:fldCharType="end"/>
      </w:r>
      <w:r>
        <w:t>.</w:t>
      </w:r>
    </w:p>
    <w:p w14:paraId="7989CF0E" w14:textId="778D9048" w:rsidR="00800A59" w:rsidRDefault="00800A59" w:rsidP="00800A59">
      <w:pPr>
        <w:spacing w:after="200" w:line="276" w:lineRule="auto"/>
      </w:pPr>
      <w:r>
        <w:t xml:space="preserve">Ainsi, à travers un guide méthodologique </w:t>
      </w:r>
      <w:r w:rsidR="0010513B">
        <w:t>spécifique</w:t>
      </w:r>
      <w:r>
        <w:t>, l’IQSW-pro vise à baliser le volet « sol » de</w:t>
      </w:r>
      <w:r w:rsidR="0010513B">
        <w:t>s</w:t>
      </w:r>
      <w:r w:rsidR="00F7725B">
        <w:t xml:space="preserve"> évaluations environnementales</w:t>
      </w:r>
      <w:r w:rsidR="00EF4216">
        <w:t xml:space="preserve">, </w:t>
      </w:r>
      <w:r w:rsidR="00F7725B">
        <w:t xml:space="preserve">dont </w:t>
      </w:r>
      <w:r w:rsidR="00EF4216">
        <w:t xml:space="preserve">les </w:t>
      </w:r>
      <w:r w:rsidR="00F7725B">
        <w:t>É</w:t>
      </w:r>
      <w:r w:rsidR="0010513B">
        <w:t>tudes d’Incidence Environnementale</w:t>
      </w:r>
      <w:r w:rsidR="00EF4216">
        <w:t xml:space="preserve"> (EIE)</w:t>
      </w:r>
      <w:r w:rsidR="0089278B">
        <w:t xml:space="preserve"> </w:t>
      </w:r>
      <w:r w:rsidR="00F7725B">
        <w:t>et</w:t>
      </w:r>
      <w:r w:rsidR="0089278B">
        <w:t xml:space="preserve"> </w:t>
      </w:r>
      <w:r w:rsidR="00EF4216">
        <w:t xml:space="preserve">les </w:t>
      </w:r>
      <w:r w:rsidR="0089278B">
        <w:t>Rapports d’Incidence Environnementale (RIE)</w:t>
      </w:r>
      <w:r w:rsidR="000571F9">
        <w:t>, pour traduire les principes de la directive en actions concrètes en faveur de la qualité des sols.</w:t>
      </w:r>
    </w:p>
    <w:p w14:paraId="7F0154E2" w14:textId="313F2736" w:rsidR="002B4718" w:rsidRDefault="00814B95" w:rsidP="00FB4A39">
      <w:pPr>
        <w:spacing w:after="200" w:line="276" w:lineRule="auto"/>
      </w:pPr>
      <w:r>
        <w:t xml:space="preserve">L’IQSW-pro, </w:t>
      </w:r>
      <w:r w:rsidR="00BF11A4">
        <w:t>par son architecture</w:t>
      </w:r>
      <w:r>
        <w:t xml:space="preserve"> (</w:t>
      </w:r>
      <w:r w:rsidR="00D74544">
        <w:t xml:space="preserve">voir </w:t>
      </w:r>
      <w:r w:rsidR="002B4718" w:rsidRPr="00BF11A4">
        <w:t>partie</w:t>
      </w:r>
      <w:r w:rsidR="00991B38">
        <w:t xml:space="preserve"> </w:t>
      </w:r>
      <w:r w:rsidR="00991B38">
        <w:fldChar w:fldCharType="begin"/>
      </w:r>
      <w:r w:rsidR="00991B38">
        <w:instrText xml:space="preserve"> REF _Ref233111183 \r \h </w:instrText>
      </w:r>
      <w:r w:rsidR="00991B38">
        <w:fldChar w:fldCharType="separate"/>
      </w:r>
      <w:r w:rsidR="0089263B">
        <w:t>3.5</w:t>
      </w:r>
      <w:r w:rsidR="00991B38">
        <w:fldChar w:fldCharType="end"/>
      </w:r>
      <w:r w:rsidR="002B4718">
        <w:t xml:space="preserve">), </w:t>
      </w:r>
      <w:r w:rsidR="00BF11A4">
        <w:t>vise</w:t>
      </w:r>
      <w:r w:rsidR="002B4718">
        <w:t xml:space="preserve"> </w:t>
      </w:r>
      <w:r w:rsidR="00FB4A39">
        <w:t xml:space="preserve">d’une part </w:t>
      </w:r>
      <w:r w:rsidR="00BF11A4">
        <w:t>à</w:t>
      </w:r>
      <w:r w:rsidR="002B4718">
        <w:t xml:space="preserve"> diagnostiquer </w:t>
      </w:r>
      <w:r w:rsidR="00FB4A39">
        <w:t>l</w:t>
      </w:r>
      <w:r w:rsidR="002B4718">
        <w:t>a qualité du sol</w:t>
      </w:r>
      <w:r w:rsidR="00331163">
        <w:t xml:space="preserve"> pour un usage défini</w:t>
      </w:r>
      <w:r w:rsidR="002B4718">
        <w:t xml:space="preserve">, </w:t>
      </w:r>
      <w:r w:rsidR="00FB4A39">
        <w:t>soit s</w:t>
      </w:r>
      <w:r w:rsidR="00331163">
        <w:t xml:space="preserve">on adéquation en l’état actuel, mais également </w:t>
      </w:r>
      <w:r w:rsidR="0090545B">
        <w:t>d’identifier le potentiel maximal atteignable par le sol</w:t>
      </w:r>
      <w:r w:rsidR="00740385">
        <w:t>,</w:t>
      </w:r>
      <w:r w:rsidR="00761879">
        <w:t xml:space="preserve"> afin d’identifier la marge de progression possible</w:t>
      </w:r>
      <w:r w:rsidR="003F7F51">
        <w:t xml:space="preserve"> via des pratiques de gestion améliorées.</w:t>
      </w:r>
    </w:p>
    <w:p w14:paraId="7FB186BE" w14:textId="4C90D5DE" w:rsidR="00004707" w:rsidRDefault="004D492D">
      <w:pPr>
        <w:pStyle w:val="Titre2"/>
        <w:numPr>
          <w:ilvl w:val="1"/>
          <w:numId w:val="12"/>
        </w:numPr>
      </w:pPr>
      <w:bookmarkStart w:id="14" w:name="_Toc230267085"/>
      <w:bookmarkStart w:id="15" w:name="_Toc241478067"/>
      <w:r>
        <w:t>L’IQSW</w:t>
      </w:r>
      <w:r w:rsidR="006F375F">
        <w:t>-pro</w:t>
      </w:r>
      <w:r>
        <w:t xml:space="preserve"> pour a</w:t>
      </w:r>
      <w:r w:rsidR="00004707">
        <w:t>méliorer la qualité des sols</w:t>
      </w:r>
      <w:bookmarkEnd w:id="14"/>
      <w:bookmarkEnd w:id="15"/>
    </w:p>
    <w:p w14:paraId="2F461A66" w14:textId="2FFBF283" w:rsidR="002B03B1" w:rsidRDefault="005E576F" w:rsidP="002F033D">
      <w:r>
        <w:t>L’IQSW-pro permet également d’améliorer la qualité du sol à travers une meilleure évaluation de l’impact des pratiques</w:t>
      </w:r>
      <w:r w:rsidR="002F033D">
        <w:t xml:space="preserve"> </w:t>
      </w:r>
      <w:r w:rsidR="583AEBF7">
        <w:t>et par</w:t>
      </w:r>
      <w:r>
        <w:t xml:space="preserve"> des recommandations pour une meilleure gestion et ce, pour tous les usages</w:t>
      </w:r>
      <w:r w:rsidR="002F033D">
        <w:t>.</w:t>
      </w:r>
    </w:p>
    <w:p w14:paraId="7D30765F" w14:textId="6D3D2585" w:rsidR="00800A59" w:rsidRPr="00800A59" w:rsidRDefault="00A66415" w:rsidP="00800A59">
      <w:r>
        <w:t xml:space="preserve">L’IQSW-pro a également pour vocation d’être utilisé en tant qu’outil de </w:t>
      </w:r>
      <w:r w:rsidR="531632A2">
        <w:t>surveillance</w:t>
      </w:r>
      <w:r w:rsidR="25BBEF94">
        <w:t>.</w:t>
      </w:r>
      <w:r w:rsidR="002975CC">
        <w:t xml:space="preserve"> </w:t>
      </w:r>
      <w:r w:rsidR="00460498">
        <w:t>En effet</w:t>
      </w:r>
      <w:r>
        <w:t xml:space="preserve">, via une évaluation de l’état initial et final de la </w:t>
      </w:r>
      <w:r w:rsidR="002F2BBB">
        <w:t xml:space="preserve">santé </w:t>
      </w:r>
      <w:r>
        <w:t>du sol</w:t>
      </w:r>
      <w:r w:rsidR="00460498">
        <w:t>, l’IQSW</w:t>
      </w:r>
      <w:r w:rsidR="27BA1DE0">
        <w:t>-pro</w:t>
      </w:r>
      <w:r w:rsidR="00460498">
        <w:t xml:space="preserve"> </w:t>
      </w:r>
      <w:r w:rsidR="009E203A">
        <w:t>peut aider</w:t>
      </w:r>
      <w:r w:rsidR="00460498">
        <w:t xml:space="preserve"> à guider</w:t>
      </w:r>
      <w:r w:rsidR="00DC0420">
        <w:t xml:space="preserve"> les démar</w:t>
      </w:r>
      <w:r w:rsidR="00C67086">
        <w:t>ches</w:t>
      </w:r>
      <w:r w:rsidR="00482DFA">
        <w:t xml:space="preserve"> entreprises, par exemple,</w:t>
      </w:r>
      <w:r w:rsidR="00C67086">
        <w:t xml:space="preserve"> dans le cadre de</w:t>
      </w:r>
      <w:r w:rsidR="00460498">
        <w:t xml:space="preserve"> projets de restauration, de réhabilitation de friches ou d’assainissement</w:t>
      </w:r>
      <w:r w:rsidR="00C67086">
        <w:t>, et à en objectiver l’impact</w:t>
      </w:r>
      <w:r>
        <w:t>. À ce sujet, l</w:t>
      </w:r>
      <w:r w:rsidR="009D51BC">
        <w:t>a directive</w:t>
      </w:r>
      <w:r w:rsidR="00F22252">
        <w:t xml:space="preserve"> sur la surveillance des sols </w:t>
      </w:r>
      <w:r>
        <w:fldChar w:fldCharType="begin"/>
      </w:r>
      <w:r>
        <w:instrText xml:space="preserve"> ADDIN ZOTERO_ITEM CSL_CITATION {"citationID":"WH348vnp","properties":{"unsorted":false,"formattedCitation":"(UE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fldChar w:fldCharType="separate"/>
      </w:r>
      <w:r w:rsidR="00377A1A" w:rsidRPr="0291EC99">
        <w:rPr>
          <w:rFonts w:cs="Calibri"/>
        </w:rPr>
        <w:t>(UE 2025/2360, 2025)</w:t>
      </w:r>
      <w:r>
        <w:fldChar w:fldCharType="end"/>
      </w:r>
      <w:r w:rsidR="009D51BC">
        <w:t xml:space="preserve"> </w:t>
      </w:r>
      <w:r w:rsidR="00A4152A">
        <w:t>propose des recommandations</w:t>
      </w:r>
      <w:r w:rsidR="009D51BC">
        <w:t xml:space="preserve"> </w:t>
      </w:r>
      <w:r w:rsidR="00EE5218">
        <w:t xml:space="preserve">pour la prise en compte de la qualité des sols dans les mesures de régénération </w:t>
      </w:r>
      <w:r w:rsidR="009D7155">
        <w:t>(</w:t>
      </w:r>
      <w:r w:rsidR="005E5AD3">
        <w:t>considérant 58</w:t>
      </w:r>
      <w:r w:rsidR="009D7155">
        <w:t>)</w:t>
      </w:r>
      <w:r w:rsidR="005E5AD3">
        <w:t xml:space="preserve"> et de réhabilitation d’un sol (considérant 68) </w:t>
      </w:r>
      <w:r w:rsidR="00CD558F">
        <w:t>basées sur l’amélioration de l’état du sol vis-à-vis de son potentiel atteignable.</w:t>
      </w:r>
    </w:p>
    <w:p w14:paraId="654B26B3" w14:textId="611C37E7" w:rsidR="006F375F" w:rsidRPr="006F375F" w:rsidRDefault="006F375F">
      <w:pPr>
        <w:pStyle w:val="Titre2"/>
        <w:numPr>
          <w:ilvl w:val="1"/>
          <w:numId w:val="12"/>
        </w:numPr>
      </w:pPr>
      <w:bookmarkStart w:id="16" w:name="_Toc230267086"/>
      <w:bookmarkStart w:id="17" w:name="_Toc241478068"/>
      <w:r>
        <w:lastRenderedPageBreak/>
        <w:t xml:space="preserve">L’IQSW-pro pour estimer le potentiel </w:t>
      </w:r>
      <w:bookmarkEnd w:id="16"/>
      <w:r w:rsidR="0071293A">
        <w:t xml:space="preserve">des </w:t>
      </w:r>
      <w:r w:rsidR="00CB5017">
        <w:t xml:space="preserve">terres </w:t>
      </w:r>
      <w:r w:rsidR="00C16300">
        <w:t>excavé</w:t>
      </w:r>
      <w:r w:rsidR="00CB5017">
        <w:t>e</w:t>
      </w:r>
      <w:r w:rsidR="00C16300">
        <w:t>s</w:t>
      </w:r>
      <w:r w:rsidR="00CB5017">
        <w:t xml:space="preserve"> et des sols remaniés</w:t>
      </w:r>
      <w:bookmarkEnd w:id="17"/>
      <w:r w:rsidR="00C16300">
        <w:t xml:space="preserve"> </w:t>
      </w:r>
    </w:p>
    <w:p w14:paraId="060C3A47" w14:textId="470870B3" w:rsidR="002544BE" w:rsidRDefault="002544BE" w:rsidP="002544BE">
      <w:r>
        <w:t xml:space="preserve">Dans un contexte de réutilisation des terres, il peut être intéressant de diagnostiquer la qualité </w:t>
      </w:r>
      <w:r w:rsidR="612A3DF3">
        <w:t>des terres</w:t>
      </w:r>
      <w:r w:rsidR="0CBE8C49">
        <w:t xml:space="preserve"> </w:t>
      </w:r>
      <w:r w:rsidR="27B88087">
        <w:t>excavé</w:t>
      </w:r>
      <w:r w:rsidR="27C1A291">
        <w:t>es</w:t>
      </w:r>
      <w:r>
        <w:t xml:space="preserve"> </w:t>
      </w:r>
      <w:r w:rsidR="5851B81A">
        <w:t>pour</w:t>
      </w:r>
      <w:r w:rsidR="0CBE8C49">
        <w:t xml:space="preserve"> </w:t>
      </w:r>
      <w:r>
        <w:t xml:space="preserve">s’assurer que </w:t>
      </w:r>
      <w:r w:rsidR="64C00BA7">
        <w:t>c</w:t>
      </w:r>
      <w:r w:rsidR="0CBE8C49">
        <w:t>es</w:t>
      </w:r>
      <w:r>
        <w:t xml:space="preserve"> terres ont bien le potentiel de répondre aux besoins du site récepteur</w:t>
      </w:r>
      <w:r w:rsidR="3FBD531F">
        <w:t>, a</w:t>
      </w:r>
      <w:r w:rsidR="4ACF2E1C">
        <w:t>u</w:t>
      </w:r>
      <w:r w:rsidR="005A3620">
        <w:t>-delà de</w:t>
      </w:r>
      <w:r w:rsidR="003E43E6">
        <w:t xml:space="preserve">s </w:t>
      </w:r>
      <w:r w:rsidR="37492F7D">
        <w:t xml:space="preserve">seuls </w:t>
      </w:r>
      <w:r w:rsidR="003E43E6">
        <w:t xml:space="preserve">critères </w:t>
      </w:r>
      <w:r w:rsidR="005A3620">
        <w:t>de pollution.</w:t>
      </w:r>
      <w:r>
        <w:t xml:space="preserve"> </w:t>
      </w:r>
      <w:r w:rsidR="1B115712">
        <w:t>V</w:t>
      </w:r>
      <w:r w:rsidR="0CBE8C49">
        <w:t>érifier</w:t>
      </w:r>
      <w:r>
        <w:t xml:space="preserve"> la qualité des terres en amont du projet permet aussi de mieux guider la gestion et la mise en œuvre de bonnes pratiques pour favoriser la régénération du site.</w:t>
      </w:r>
    </w:p>
    <w:p w14:paraId="51E62AFE" w14:textId="2C4A95F4" w:rsidR="002544BE" w:rsidRDefault="002544BE" w:rsidP="00FA6BD0">
      <w:r>
        <w:t xml:space="preserve">De la même manière que l’outil permet de diagnostiquer le potentiel atteignable par un sol au vu de ses propriétés intrinsèques, </w:t>
      </w:r>
      <w:r w:rsidR="00E053C3">
        <w:t xml:space="preserve">certains éléments du diagnostic </w:t>
      </w:r>
      <w:r w:rsidR="0089263B">
        <w:t>pourraient</w:t>
      </w:r>
      <w:r>
        <w:t xml:space="preserve"> être appliqué</w:t>
      </w:r>
      <w:r w:rsidR="00877D6D">
        <w:t>s</w:t>
      </w:r>
      <w:r>
        <w:t xml:space="preserve"> sur </w:t>
      </w:r>
      <w:r w:rsidR="24C8776A">
        <w:t>des terres</w:t>
      </w:r>
      <w:r w:rsidR="0CBE8C49">
        <w:t xml:space="preserve"> excavé</w:t>
      </w:r>
      <w:r w:rsidR="5B6C7476">
        <w:t>es</w:t>
      </w:r>
      <w:r w:rsidR="003D1CE2">
        <w:t xml:space="preserve"> (moyennant adaptations</w:t>
      </w:r>
      <w:r w:rsidR="00B81720">
        <w:t>)</w:t>
      </w:r>
      <w:r w:rsidR="003D1CE2">
        <w:t>, afin de se projeter dans sa réutilisation.</w:t>
      </w:r>
    </w:p>
    <w:p w14:paraId="71288046" w14:textId="3E13CCE6" w:rsidR="00D33DA6" w:rsidRDefault="006F375F" w:rsidP="00506AEF">
      <w:r>
        <w:t>Ainsi</w:t>
      </w:r>
      <w:r w:rsidR="00FA6BD0">
        <w:t xml:space="preserve">, </w:t>
      </w:r>
      <w:r w:rsidR="00C0337C">
        <w:t>l’outil peut</w:t>
      </w:r>
      <w:r w:rsidR="00FA6BD0">
        <w:t xml:space="preserve"> </w:t>
      </w:r>
      <w:r w:rsidR="00C0337C">
        <w:t>aider à</w:t>
      </w:r>
      <w:r w:rsidR="00FA6BD0">
        <w:t xml:space="preserve"> mieux orienter les mouvements de terre, en considérant les caractéristiques</w:t>
      </w:r>
      <w:r w:rsidR="009E5DCD">
        <w:t xml:space="preserve"> chimiques et biologiques</w:t>
      </w:r>
      <w:r w:rsidR="00FA6BD0">
        <w:t xml:space="preserve"> de la terre déplacée et </w:t>
      </w:r>
      <w:r w:rsidR="2346FBC5">
        <w:t xml:space="preserve">en les mettant en parallèle </w:t>
      </w:r>
      <w:r w:rsidR="0071293A">
        <w:t>avec les</w:t>
      </w:r>
      <w:r w:rsidR="2346FBC5">
        <w:t xml:space="preserve"> besoins du</w:t>
      </w:r>
      <w:r w:rsidR="00FA6BD0">
        <w:t xml:space="preserve"> site récepteur</w:t>
      </w:r>
      <w:r w:rsidR="0C479CC0">
        <w:t xml:space="preserve"> compte-tenu de son usage projeté</w:t>
      </w:r>
      <w:r w:rsidR="0008021B">
        <w:t xml:space="preserve"> (ex. </w:t>
      </w:r>
      <w:r w:rsidR="00FA6BD0">
        <w:t>éviter l’apport de remblais</w:t>
      </w:r>
      <w:r w:rsidR="00560570">
        <w:t xml:space="preserve"> d’origine agricole</w:t>
      </w:r>
      <w:r w:rsidR="00FA6BD0">
        <w:t xml:space="preserve"> en milieu naturel</w:t>
      </w:r>
      <w:r w:rsidR="00560570">
        <w:t xml:space="preserve"> oligotrophe</w:t>
      </w:r>
      <w:r w:rsidR="00DC5487">
        <w:t>)</w:t>
      </w:r>
      <w:r w:rsidR="0071293A">
        <w:t>.</w:t>
      </w:r>
    </w:p>
    <w:p w14:paraId="4D470F00" w14:textId="3DB0E4DE" w:rsidR="00232E07" w:rsidRPr="00506AEF" w:rsidRDefault="00232E07" w:rsidP="00232E07">
      <w:pPr>
        <w:jc w:val="left"/>
      </w:pPr>
      <w:r>
        <w:br w:type="page"/>
      </w:r>
    </w:p>
    <w:p w14:paraId="766235B3" w14:textId="0531E523" w:rsidR="00BC44EA" w:rsidRDefault="004A6040">
      <w:pPr>
        <w:pStyle w:val="Titre1"/>
        <w:numPr>
          <w:ilvl w:val="0"/>
          <w:numId w:val="12"/>
        </w:numPr>
      </w:pPr>
      <w:bookmarkStart w:id="18" w:name="_Toc241478069"/>
      <w:r>
        <w:lastRenderedPageBreak/>
        <w:t>Approche conceptuelle</w:t>
      </w:r>
      <w:bookmarkEnd w:id="18"/>
    </w:p>
    <w:p w14:paraId="673CDEE2" w14:textId="1F132C65" w:rsidR="00604C45" w:rsidRDefault="00DC5487">
      <w:pPr>
        <w:pStyle w:val="Titre2"/>
        <w:numPr>
          <w:ilvl w:val="1"/>
          <w:numId w:val="12"/>
        </w:numPr>
      </w:pPr>
      <w:bookmarkStart w:id="19" w:name="_Toc241478070"/>
      <w:r>
        <w:t xml:space="preserve">Consultation </w:t>
      </w:r>
      <w:r w:rsidR="00C80D07">
        <w:t xml:space="preserve">des </w:t>
      </w:r>
      <w:r w:rsidR="00CD5F0E">
        <w:t>secteurs</w:t>
      </w:r>
      <w:bookmarkEnd w:id="19"/>
    </w:p>
    <w:p w14:paraId="4DB9E600" w14:textId="696AFF31" w:rsidR="00604C45" w:rsidRDefault="00604C45" w:rsidP="00604C45">
      <w:r>
        <w:t xml:space="preserve">Dès le lancement du projet, </w:t>
      </w:r>
      <w:r w:rsidR="009C0D2E">
        <w:t>l</w:t>
      </w:r>
      <w:r>
        <w:t>es parties prenantes</w:t>
      </w:r>
      <w:r w:rsidR="00CD5F0E">
        <w:t xml:space="preserve"> des différents secteurs liés </w:t>
      </w:r>
      <w:r w:rsidR="00BB5C6F">
        <w:t>à la gestion ou à l’aménagement du sol (agricole, forestier, urbain et industriel)</w:t>
      </w:r>
      <w:r>
        <w:t xml:space="preserve"> </w:t>
      </w:r>
      <w:r w:rsidR="009C0D2E">
        <w:t>ont été invités à participer au</w:t>
      </w:r>
      <w:r>
        <w:t xml:space="preserve"> processus de conception</w:t>
      </w:r>
      <w:r w:rsidRPr="004444C9">
        <w:t xml:space="preserve"> </w:t>
      </w:r>
      <w:r>
        <w:t>de l’IQSW-pro</w:t>
      </w:r>
      <w:r w:rsidR="009C0D2E">
        <w:t>. Cette mo</w:t>
      </w:r>
      <w:r w:rsidR="003430F1">
        <w:t>bilisation</w:t>
      </w:r>
      <w:r>
        <w:t xml:space="preserve"> a été identifiée</w:t>
      </w:r>
      <w:r w:rsidR="003430F1">
        <w:t xml:space="preserve"> </w:t>
      </w:r>
      <w:r>
        <w:t xml:space="preserve">comme indispensable pour la bonne mise en œuvre de l’outil à terme. </w:t>
      </w:r>
      <w:r w:rsidR="002C70F5">
        <w:t>Les parties prenantes</w:t>
      </w:r>
      <w:r>
        <w:t xml:space="preserve"> ont été mobilisé</w:t>
      </w:r>
      <w:r w:rsidR="00B50359">
        <w:t>e</w:t>
      </w:r>
      <w:r>
        <w:t>s</w:t>
      </w:r>
      <w:r w:rsidR="00427F36">
        <w:t xml:space="preserve"> et consultées</w:t>
      </w:r>
      <w:r>
        <w:t xml:space="preserve"> </w:t>
      </w:r>
      <w:r w:rsidR="00B50359">
        <w:t>à travers divers évènements</w:t>
      </w:r>
      <w:r w:rsidR="00A17A1A">
        <w:t xml:space="preserve"> </w:t>
      </w:r>
      <w:r>
        <w:t>: colloque de lancement, séances de groupes de réflexion, réunions spécifiques ciblées, etc. Ces rencontres ont permis de :</w:t>
      </w:r>
    </w:p>
    <w:p w14:paraId="375427EE" w14:textId="58017F6C" w:rsidR="00604C45" w:rsidRDefault="00604C45">
      <w:pPr>
        <w:pStyle w:val="Paragraphedeliste"/>
        <w:numPr>
          <w:ilvl w:val="0"/>
          <w:numId w:val="19"/>
        </w:numPr>
      </w:pPr>
      <w:r>
        <w:t xml:space="preserve">Comprendre les réalités et les challenges de chaque secteur </w:t>
      </w:r>
      <w:r w:rsidR="00B33472">
        <w:t xml:space="preserve">d’activité </w:t>
      </w:r>
      <w:r w:rsidR="00427F36">
        <w:t>en lien avec la gestion du</w:t>
      </w:r>
      <w:r w:rsidR="00B33472">
        <w:t xml:space="preserve"> sol ;</w:t>
      </w:r>
    </w:p>
    <w:p w14:paraId="487E698F" w14:textId="77777777" w:rsidR="00482DFA" w:rsidRPr="00482DFA" w:rsidRDefault="00482DFA" w:rsidP="00482DFA">
      <w:pPr>
        <w:pStyle w:val="Paragraphedeliste"/>
        <w:numPr>
          <w:ilvl w:val="0"/>
          <w:numId w:val="19"/>
        </w:numPr>
      </w:pPr>
      <w:r w:rsidRPr="00482DFA">
        <w:t>Récolter les attentes et les craintes des différents secteurs liées à la mise en œuvre de l’IQSW-pro ;</w:t>
      </w:r>
    </w:p>
    <w:p w14:paraId="328C996C" w14:textId="3BC19C78" w:rsidR="00604C45" w:rsidRDefault="00604C45" w:rsidP="00482DFA">
      <w:pPr>
        <w:pStyle w:val="Paragraphedeliste"/>
        <w:numPr>
          <w:ilvl w:val="0"/>
          <w:numId w:val="19"/>
        </w:numPr>
      </w:pPr>
      <w:r>
        <w:t>Saisir les enjeux et priorités spécifiques aux usages de sol</w:t>
      </w:r>
      <w:r w:rsidR="3323928C">
        <w:t xml:space="preserve"> </w:t>
      </w:r>
      <w:r w:rsidR="00B33472">
        <w:t>en termes de services écosystémiques ;</w:t>
      </w:r>
    </w:p>
    <w:p w14:paraId="071B53FA" w14:textId="0D9C8B1A" w:rsidR="00B33472" w:rsidRDefault="009D49A7">
      <w:pPr>
        <w:pStyle w:val="Paragraphedeliste"/>
        <w:numPr>
          <w:ilvl w:val="0"/>
          <w:numId w:val="19"/>
        </w:numPr>
      </w:pPr>
      <w:r>
        <w:t xml:space="preserve">Identifier les paramètres </w:t>
      </w:r>
      <w:r w:rsidR="0DBA6C26">
        <w:t xml:space="preserve">de </w:t>
      </w:r>
      <w:r>
        <w:t>sol les plus importants</w:t>
      </w:r>
      <w:r w:rsidR="002B5DFE">
        <w:t xml:space="preserve"> à </w:t>
      </w:r>
      <w:r w:rsidR="5CC8C0F7">
        <w:t xml:space="preserve">surveiller </w:t>
      </w:r>
      <w:r w:rsidR="002B5DFE">
        <w:t>selon les contextes, etc.</w:t>
      </w:r>
    </w:p>
    <w:p w14:paraId="3D293619" w14:textId="72E50C59" w:rsidR="001B2067" w:rsidRDefault="001B2067">
      <w:pPr>
        <w:pStyle w:val="Paragraphedeliste"/>
        <w:numPr>
          <w:ilvl w:val="0"/>
          <w:numId w:val="19"/>
        </w:numPr>
      </w:pPr>
      <w:r>
        <w:t xml:space="preserve">Collecter du feedback sur les résultats </w:t>
      </w:r>
      <w:r w:rsidR="00965EBC">
        <w:t>dans une démarche itérative d’amélioration</w:t>
      </w:r>
      <w:r w:rsidR="006F5574">
        <w:t xml:space="preserve"> de l’outil</w:t>
      </w:r>
      <w:r w:rsidR="00965EBC">
        <w:t>.</w:t>
      </w:r>
    </w:p>
    <w:p w14:paraId="014EF92D" w14:textId="06A496AC" w:rsidR="00604C45" w:rsidRPr="00604C45" w:rsidRDefault="00604C45" w:rsidP="00B33472">
      <w:r>
        <w:t xml:space="preserve">Les </w:t>
      </w:r>
      <w:r w:rsidR="00B33472">
        <w:t>enseignements</w:t>
      </w:r>
      <w:r>
        <w:t xml:space="preserve"> tirés à l’issue de ces échanges ont été autant que possible pris en compte dans la philosophie de construction de l’outil. Les synthèses sont présentées </w:t>
      </w:r>
      <w:r w:rsidR="0014550A">
        <w:t xml:space="preserve">sur le site internet du projet </w:t>
      </w:r>
      <w:hyperlink r:id="rId17" w:history="1">
        <w:r w:rsidR="0014550A" w:rsidRPr="0014550A">
          <w:rPr>
            <w:rStyle w:val="Lienhypertexte"/>
          </w:rPr>
          <w:t>(</w:t>
        </w:r>
        <w:r w:rsidR="00D4369E" w:rsidRPr="00D4369E">
          <w:rPr>
            <w:rFonts w:ascii="Arial" w:hAnsi="Arial" w:cs="Arial"/>
            <w:sz w:val="20"/>
            <w:szCs w:val="20"/>
          </w:rPr>
          <w:t xml:space="preserve"> </w:t>
        </w:r>
        <w:hyperlink r:id="rId18" w:history="1">
          <w:r w:rsidR="00D4369E" w:rsidRPr="00D4369E">
            <w:rPr>
              <w:rStyle w:val="Lienhypertexte"/>
            </w:rPr>
            <w:t>www.iqsw.be</w:t>
          </w:r>
        </w:hyperlink>
        <w:r w:rsidR="0014550A" w:rsidRPr="009346C6">
          <w:rPr>
            <w:rStyle w:val="Lienhypertexte"/>
          </w:rPr>
          <w:t>)</w:t>
        </w:r>
      </w:hyperlink>
      <w:r w:rsidR="00C42D06">
        <w:t>. L</w:t>
      </w:r>
      <w:r w:rsidR="00AD2A4F">
        <w:t xml:space="preserve">a manière dont les conclusions de ces échanges ont été </w:t>
      </w:r>
      <w:r w:rsidR="00C42D06">
        <w:t>implémentées dans les choix posés pour la construction de l’indice est explicitée dans les sections correspondantes.</w:t>
      </w:r>
    </w:p>
    <w:p w14:paraId="02A420ED" w14:textId="66EA0345" w:rsidR="006A6196" w:rsidRDefault="00184FAC">
      <w:pPr>
        <w:pStyle w:val="Titre2"/>
        <w:numPr>
          <w:ilvl w:val="1"/>
          <w:numId w:val="12"/>
        </w:numPr>
      </w:pPr>
      <w:bookmarkStart w:id="20" w:name="_Toc230267088"/>
      <w:bookmarkStart w:id="21" w:name="_Toc241478071"/>
      <w:r>
        <w:t>Périmètre</w:t>
      </w:r>
      <w:bookmarkEnd w:id="20"/>
      <w:r w:rsidR="00C80D07">
        <w:t xml:space="preserve"> de l’outil</w:t>
      </w:r>
      <w:bookmarkEnd w:id="21"/>
    </w:p>
    <w:p w14:paraId="2894F607" w14:textId="0882A8CC" w:rsidR="006A6196" w:rsidRPr="00E067EE" w:rsidRDefault="00DE7F10">
      <w:pPr>
        <w:pStyle w:val="Titre3"/>
        <w:numPr>
          <w:ilvl w:val="2"/>
          <w:numId w:val="12"/>
        </w:numPr>
      </w:pPr>
      <w:bookmarkStart w:id="22" w:name="_Toc230267089"/>
      <w:bookmarkStart w:id="23" w:name="_Toc241478072"/>
      <w:r w:rsidRPr="00E067EE">
        <w:t>Définition du sol</w:t>
      </w:r>
      <w:r w:rsidR="00184FAC" w:rsidRPr="00E067EE">
        <w:t xml:space="preserve"> et profondeur de diagnostic</w:t>
      </w:r>
      <w:bookmarkEnd w:id="22"/>
      <w:bookmarkEnd w:id="23"/>
    </w:p>
    <w:p w14:paraId="00644C02" w14:textId="38E3A55A" w:rsidR="00C3569F" w:rsidRDefault="004C6A21" w:rsidP="004C6A21">
      <w:r>
        <w:t xml:space="preserve">L’IQSW-pro est un </w:t>
      </w:r>
      <w:r w:rsidR="00C3569F">
        <w:t>outil d’évaluation du</w:t>
      </w:r>
      <w:r>
        <w:t xml:space="preserve"> sol. </w:t>
      </w:r>
      <w:r w:rsidR="0011373E">
        <w:t xml:space="preserve">Avant de rentrer </w:t>
      </w:r>
      <w:r w:rsidR="000B224C">
        <w:t xml:space="preserve">dans des considérations plus détaillées, il est important de définir </w:t>
      </w:r>
      <w:r w:rsidR="004548EC">
        <w:t xml:space="preserve">sur quelle couche de sol porte le diagnostic. </w:t>
      </w:r>
    </w:p>
    <w:p w14:paraId="52DB2399" w14:textId="3F6BAFCF" w:rsidR="0022002E" w:rsidRDefault="00E73ECB" w:rsidP="004C6A21">
      <w:r>
        <w:t xml:space="preserve">La </w:t>
      </w:r>
      <w:r w:rsidR="000E489F">
        <w:t>directive</w:t>
      </w:r>
      <w:r w:rsidR="00393FE8">
        <w:t xml:space="preserve"> </w:t>
      </w:r>
      <w:r w:rsidR="00393FE8" w:rsidRPr="00393FE8">
        <w:t>sur la surveillance des sols</w:t>
      </w:r>
      <w:r w:rsidR="000E489F">
        <w:t xml:space="preserve"> </w:t>
      </w:r>
      <w:r>
        <w:fldChar w:fldCharType="begin"/>
      </w:r>
      <w:r w:rsidR="00377A1A">
        <w:instrText xml:space="preserve"> ADDIN ZOTERO_ITEM CSL_CITATION {"citationID":"r9nOuNsH","properties":{"formattedCitation":"(UE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fldChar w:fldCharType="separate"/>
      </w:r>
      <w:r w:rsidR="00377A1A" w:rsidRPr="00377A1A">
        <w:rPr>
          <w:rFonts w:cs="Calibri"/>
        </w:rPr>
        <w:t>(UE 2025/2360, 2025)</w:t>
      </w:r>
      <w:r>
        <w:fldChar w:fldCharType="end"/>
      </w:r>
      <w:r>
        <w:t xml:space="preserve"> définit le sol comme étant la couche située entre </w:t>
      </w:r>
      <w:r w:rsidR="00EC4E92">
        <w:t>le matériau parental et la surface terrestre.</w:t>
      </w:r>
      <w:r w:rsidR="00EB2CD4">
        <w:t xml:space="preserve"> Les principaux enjeux liés à la dégradation du sol </w:t>
      </w:r>
      <w:r w:rsidR="00EF3907">
        <w:t>ont lieu dans le sol de surface : érosion et perte en sol</w:t>
      </w:r>
      <w:r w:rsidR="0031237F">
        <w:t>, perte de fertilité, compaction</w:t>
      </w:r>
      <w:r w:rsidR="00F13DAA">
        <w:t>, acidification, pollution, perte en matière organique, excès de nutriments…</w:t>
      </w:r>
      <w:r w:rsidR="008D7FE0">
        <w:t xml:space="preserve"> Pour cette raison, </w:t>
      </w:r>
      <w:r w:rsidR="00784418">
        <w:t xml:space="preserve">la plupart des </w:t>
      </w:r>
      <w:r w:rsidR="00190288">
        <w:t xml:space="preserve">mesures </w:t>
      </w:r>
      <w:r w:rsidR="00784418">
        <w:t xml:space="preserve">réalisées dans </w:t>
      </w:r>
      <w:r w:rsidR="008D7FE0">
        <w:t xml:space="preserve">pour le diagnostic </w:t>
      </w:r>
      <w:r w:rsidR="00920D3D">
        <w:t>IQSW-pro porte</w:t>
      </w:r>
      <w:r w:rsidR="00784418">
        <w:t>nt</w:t>
      </w:r>
      <w:r w:rsidR="00920D3D">
        <w:t xml:space="preserve"> sur</w:t>
      </w:r>
      <w:r w:rsidR="00BB375B">
        <w:t xml:space="preserve"> le sol de surface (0-30 cm)</w:t>
      </w:r>
      <w:r w:rsidR="0001265A">
        <w:t xml:space="preserve">, conformément aux requis de la </w:t>
      </w:r>
      <w:r w:rsidR="0064146C">
        <w:t>d</w:t>
      </w:r>
      <w:r w:rsidR="0001265A">
        <w:t>irective</w:t>
      </w:r>
      <w:r w:rsidR="0031297D">
        <w:t xml:space="preserve"> sur la surveillance des sols</w:t>
      </w:r>
      <w:r w:rsidR="0064146C">
        <w:t xml:space="preserve"> </w:t>
      </w:r>
      <w:r w:rsidR="0031297D">
        <w:fldChar w:fldCharType="begin"/>
      </w:r>
      <w:r w:rsidR="0031297D">
        <w:instrText xml:space="preserve"> ADDIN ZOTERO_ITEM CSL_CITATION {"citationID":"s9rr093T","properties":{"unsorted":false,"formattedCitation":"(UE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31297D">
        <w:fldChar w:fldCharType="separate"/>
      </w:r>
      <w:r w:rsidR="0031297D" w:rsidRPr="0031297D">
        <w:rPr>
          <w:rFonts w:cs="Calibri"/>
        </w:rPr>
        <w:t>(UE 2025/2360, 2025)</w:t>
      </w:r>
      <w:r w:rsidR="0031297D">
        <w:fldChar w:fldCharType="end"/>
      </w:r>
      <w:r w:rsidR="0001265A">
        <w:t>.</w:t>
      </w:r>
      <w:r w:rsidR="00920D3D">
        <w:t xml:space="preserve"> Toutefois, pour </w:t>
      </w:r>
      <w:r w:rsidR="00185CDA">
        <w:t xml:space="preserve">garantir </w:t>
      </w:r>
      <w:r w:rsidR="00920D3D">
        <w:t xml:space="preserve">une évaluation </w:t>
      </w:r>
      <w:r w:rsidR="00185CDA">
        <w:t xml:space="preserve">en adéquation avec les processus pédologiques, il est </w:t>
      </w:r>
      <w:r w:rsidR="00041800">
        <w:t>pertinent</w:t>
      </w:r>
      <w:r w:rsidR="00185CDA">
        <w:t xml:space="preserve"> d’évaluer certains paramètres jusqu’à une profondeur de 1 m. C’est le cas</w:t>
      </w:r>
      <w:r w:rsidR="0630D188">
        <w:t>,</w:t>
      </w:r>
      <w:r w:rsidR="00185CDA">
        <w:t xml:space="preserve"> </w:t>
      </w:r>
      <w:r w:rsidR="00F4607F">
        <w:t>par exemple</w:t>
      </w:r>
      <w:r w:rsidR="7546CA9E">
        <w:t>,</w:t>
      </w:r>
      <w:r w:rsidR="00185CDA">
        <w:t xml:space="preserve"> </w:t>
      </w:r>
      <w:r w:rsidR="00784418">
        <w:t xml:space="preserve">des paramètres </w:t>
      </w:r>
      <w:r w:rsidR="00F4607F">
        <w:t xml:space="preserve">nécessaires </w:t>
      </w:r>
      <w:r w:rsidR="004338F7">
        <w:t>à la caractérisation du drainage</w:t>
      </w:r>
      <w:r w:rsidR="001C391B">
        <w:t xml:space="preserve"> ou de la réserve en eau utile</w:t>
      </w:r>
      <w:r w:rsidR="00041800">
        <w:t xml:space="preserve">, car les racines </w:t>
      </w:r>
      <w:r w:rsidR="00184FAC">
        <w:t>explorent en pratique assez fréquemment les horizons sous-jacents.</w:t>
      </w:r>
      <w:r w:rsidR="003C12BF">
        <w:t xml:space="preserve"> </w:t>
      </w:r>
      <w:r w:rsidR="00526198">
        <w:t xml:space="preserve">Il est nécessaire de prendre en compte les horizons profonds du sol </w:t>
      </w:r>
      <w:r w:rsidR="00791846">
        <w:t>pour appréhender leur rôle dans la fourniture de certaines fonctions</w:t>
      </w:r>
      <w:r w:rsidR="00AD7F43">
        <w:t xml:space="preserve"> par le sol</w:t>
      </w:r>
      <w:r w:rsidR="00791846">
        <w:t>, comme la rétention d’eau</w:t>
      </w:r>
      <w:r w:rsidR="007D2891">
        <w:t xml:space="preserve"> utile à la croissance des plantes, afin de différencier les propriétés des sols superficiels et profonds. </w:t>
      </w:r>
    </w:p>
    <w:p w14:paraId="0848A5D7" w14:textId="4E599128" w:rsidR="006A6196" w:rsidRDefault="006A6196">
      <w:pPr>
        <w:pStyle w:val="Titre3"/>
        <w:numPr>
          <w:ilvl w:val="2"/>
          <w:numId w:val="12"/>
        </w:numPr>
      </w:pPr>
      <w:bookmarkStart w:id="24" w:name="_Toc230267090"/>
      <w:bookmarkStart w:id="25" w:name="_Toc241478073"/>
      <w:r>
        <w:lastRenderedPageBreak/>
        <w:t xml:space="preserve">Complémentarité </w:t>
      </w:r>
      <w:r w:rsidR="00ED011E">
        <w:t xml:space="preserve">et cohérence </w:t>
      </w:r>
      <w:r w:rsidR="009D7F81">
        <w:t>avec les outils existants</w:t>
      </w:r>
      <w:bookmarkEnd w:id="24"/>
      <w:bookmarkEnd w:id="25"/>
    </w:p>
    <w:p w14:paraId="6D11542B" w14:textId="204156E2" w:rsidR="00EB5CE3" w:rsidRDefault="00AD7F43" w:rsidP="00C73FAF">
      <w:r>
        <w:t>L</w:t>
      </w:r>
      <w:r w:rsidR="008F2304">
        <w:t xml:space="preserve">’IQSW-pro consiste à </w:t>
      </w:r>
      <w:r w:rsidR="00C87189">
        <w:t xml:space="preserve">évaluer la qualité </w:t>
      </w:r>
      <w:r>
        <w:t xml:space="preserve">et la santé </w:t>
      </w:r>
      <w:r w:rsidR="00C87189">
        <w:t xml:space="preserve">du sol, soit son adéquation avec </w:t>
      </w:r>
      <w:r w:rsidR="00192799">
        <w:t>un ou plusieurs usages donnés</w:t>
      </w:r>
      <w:r>
        <w:t xml:space="preserve"> et </w:t>
      </w:r>
      <w:r w:rsidR="00F63416">
        <w:t xml:space="preserve">son niveau de dégradation le cas échéant (voir partie </w:t>
      </w:r>
      <w:r>
        <w:fldChar w:fldCharType="begin"/>
      </w:r>
      <w:r>
        <w:instrText xml:space="preserve"> REF _Ref233046123 \r \h </w:instrText>
      </w:r>
      <w:r>
        <w:fldChar w:fldCharType="separate"/>
      </w:r>
      <w:r w:rsidR="009327CA">
        <w:t>3.5</w:t>
      </w:r>
      <w:r>
        <w:fldChar w:fldCharType="end"/>
      </w:r>
      <w:r w:rsidR="00F63416">
        <w:t>)</w:t>
      </w:r>
      <w:r w:rsidR="00626C40">
        <w:t xml:space="preserve">. De nombreux outils </w:t>
      </w:r>
      <w:r w:rsidR="00F51FC7">
        <w:t xml:space="preserve">de gestion </w:t>
      </w:r>
      <w:r w:rsidR="00626C40">
        <w:t xml:space="preserve">existent déjà </w:t>
      </w:r>
      <w:r w:rsidR="00F51FC7">
        <w:t>pour guider</w:t>
      </w:r>
      <w:r w:rsidR="000E6286">
        <w:t xml:space="preserve"> l’optimisation de pratiques spécifiques </w:t>
      </w:r>
      <w:r w:rsidR="00ED738B">
        <w:t>(ex</w:t>
      </w:r>
      <w:r w:rsidR="5F2C673A">
        <w:t>.</w:t>
      </w:r>
      <w:r w:rsidR="00ED738B">
        <w:t xml:space="preserve"> </w:t>
      </w:r>
      <w:r w:rsidR="00192799">
        <w:t>le conseil de fertilisation pour les sols agricoles ou le fichier écologique des essences pour les sols forestiers).</w:t>
      </w:r>
      <w:r w:rsidR="00E75131">
        <w:t xml:space="preserve"> La vocation de l’IQSW-pro est </w:t>
      </w:r>
      <w:r w:rsidR="00ED011E">
        <w:t>d’intervenir</w:t>
      </w:r>
      <w:r w:rsidR="00E75131">
        <w:t xml:space="preserve"> en amont </w:t>
      </w:r>
      <w:r w:rsidR="000F1B0D">
        <w:t xml:space="preserve">et en complément </w:t>
      </w:r>
      <w:r w:rsidR="00E75131">
        <w:t>de ces outils, mais sans les remplacer</w:t>
      </w:r>
      <w:r w:rsidR="00687EED">
        <w:t xml:space="preserve">. Ainsi, si on prend l’exemple d’un </w:t>
      </w:r>
      <w:r w:rsidR="00ED011E">
        <w:t>usage</w:t>
      </w:r>
      <w:r w:rsidR="00687EED">
        <w:t xml:space="preserve"> agricole, l’IQSW-pro répond </w:t>
      </w:r>
      <w:r w:rsidR="00D15BAB">
        <w:t>aux</w:t>
      </w:r>
      <w:r w:rsidR="00687EED">
        <w:t xml:space="preserve"> question</w:t>
      </w:r>
      <w:r w:rsidR="00D15BAB">
        <w:t>s</w:t>
      </w:r>
      <w:r w:rsidR="00687EED">
        <w:t xml:space="preserve"> </w:t>
      </w:r>
      <w:r w:rsidR="004C1ECB">
        <w:t>« </w:t>
      </w:r>
      <w:r w:rsidR="5818A27D">
        <w:t>L</w:t>
      </w:r>
      <w:r w:rsidR="00ED011E">
        <w:t>e sol est-il capable d’accueillir une production agricole ?</w:t>
      </w:r>
      <w:r w:rsidR="00150F87">
        <w:t> »</w:t>
      </w:r>
      <w:r w:rsidR="004C1ECB">
        <w:t> </w:t>
      </w:r>
      <w:r w:rsidR="5D6F409B">
        <w:t>ou</w:t>
      </w:r>
      <w:r w:rsidR="00150F87">
        <w:t xml:space="preserve"> « Quels sont les services à la société qu’il rend, en plus de supporter la production agricole (ex. habitat pour la biodiversité, régulation des flux d’eau, stockage de carbone) ? </w:t>
      </w:r>
      <w:r w:rsidR="004C1ECB">
        <w:t xml:space="preserve">». </w:t>
      </w:r>
      <w:r w:rsidR="00943DBA">
        <w:t xml:space="preserve">Ces </w:t>
      </w:r>
      <w:r w:rsidR="004C1ECB">
        <w:t>question</w:t>
      </w:r>
      <w:r w:rsidR="00943DBA">
        <w:t>s</w:t>
      </w:r>
      <w:r w:rsidR="004C1ECB">
        <w:t xml:space="preserve"> intervien</w:t>
      </w:r>
      <w:r w:rsidR="007A11D5">
        <w:t>n</w:t>
      </w:r>
      <w:r w:rsidR="00943DBA">
        <w:t>en</w:t>
      </w:r>
      <w:r w:rsidR="004C1ECB">
        <w:t>t en amont</w:t>
      </w:r>
      <w:r w:rsidR="007C0A23">
        <w:t xml:space="preserve"> ou en complément d’un conseil de fumure</w:t>
      </w:r>
      <w:r w:rsidR="007A11D5">
        <w:t xml:space="preserve"> classique. </w:t>
      </w:r>
    </w:p>
    <w:p w14:paraId="053AC8A4" w14:textId="219FCCEF" w:rsidR="00A960F0" w:rsidRDefault="00F51FC7" w:rsidP="00C73FAF">
      <w:r>
        <w:t xml:space="preserve">De la même manière, </w:t>
      </w:r>
      <w:r w:rsidR="00E523BC">
        <w:t xml:space="preserve">l’IQSW-pro </w:t>
      </w:r>
      <w:r w:rsidR="007A11D5">
        <w:t>est</w:t>
      </w:r>
      <w:r w:rsidR="00E523BC">
        <w:t xml:space="preserve"> complémentaire au </w:t>
      </w:r>
      <w:r w:rsidR="003E24EF">
        <w:t>Décret sols</w:t>
      </w:r>
      <w:r w:rsidR="001D1C12">
        <w:t xml:space="preserve"> </w:t>
      </w:r>
      <w:r w:rsidR="001D1C12">
        <w:fldChar w:fldCharType="begin"/>
      </w:r>
      <w:r w:rsidR="001D1C12">
        <w:instrText xml:space="preserve"> ADDIN ZOTERO_ITEM CSL_CITATION {"citationID":"wssGyQd1","properties":{"unsorted":false,"formattedCitation":"(Gouvernement wallon, 2018)","plainCitation":"(Gouvernement wallon, 2018)","noteIndex":0},"citationItems":[{"id":542,"uris":["http://zotero.org/groups/5684833/items/XS5CPQ3E"],"itemData":{"id":542,"type":"document","language":"fr","title":"Décret relatif à la gestion et à l'assainissement des sols du 1er mars 2018","URL":"https://wallex.wallonie.be/eli/loi-decret/2018/03/01/2018070014/2018/04/01","author":[{"family":"Gouvernement wallon","given":""}],"accessed":{"date-parts":[["2026",5,15]]},"issued":{"date-parts":[["2018"]]}}}],"schema":"https://github.com/citation-style-language/schema/raw/master/csl-citation.json"} </w:instrText>
      </w:r>
      <w:r w:rsidR="001D1C12">
        <w:fldChar w:fldCharType="separate"/>
      </w:r>
      <w:r w:rsidR="001D1C12" w:rsidRPr="001D1C12">
        <w:rPr>
          <w:rFonts w:cs="Calibri"/>
        </w:rPr>
        <w:t>(Gouvernement wallon, 2018)</w:t>
      </w:r>
      <w:r w:rsidR="001D1C12">
        <w:fldChar w:fldCharType="end"/>
      </w:r>
      <w:r w:rsidR="003E24EF">
        <w:t>.</w:t>
      </w:r>
      <w:r w:rsidR="00475A89">
        <w:t xml:space="preserve"> En </w:t>
      </w:r>
      <w:r w:rsidR="004B503E">
        <w:t>pratique</w:t>
      </w:r>
      <w:r w:rsidR="00475A89">
        <w:t xml:space="preserve">, la présence d’une pollution </w:t>
      </w:r>
      <w:r w:rsidR="002755CD">
        <w:t xml:space="preserve">peut affecter négativement, voire contraindre (pour raisons sanitaires) l’application d’un usage sur un sol donné. </w:t>
      </w:r>
      <w:r w:rsidR="00C81627">
        <w:t>Si la présence d’une pollution est suspectée, sur base de l’historique du site ou d’observations de terrain, l</w:t>
      </w:r>
      <w:r w:rsidR="004B503E">
        <w:t>es polluants sont mesurés</w:t>
      </w:r>
      <w:r w:rsidR="00BC7888">
        <w:t xml:space="preserve">, et leur présence dans le sol est interprétée </w:t>
      </w:r>
      <w:r w:rsidR="00C81627">
        <w:t xml:space="preserve">dans l’IQSW-pro </w:t>
      </w:r>
      <w:r w:rsidR="00BC7888">
        <w:t>comme une contrainte s’appliqu</w:t>
      </w:r>
      <w:r w:rsidR="00C81627">
        <w:t>ant</w:t>
      </w:r>
      <w:r w:rsidR="00BC7888">
        <w:t xml:space="preserve"> sur </w:t>
      </w:r>
      <w:r w:rsidR="5B6AC29A">
        <w:t xml:space="preserve">certains </w:t>
      </w:r>
      <w:r w:rsidR="00613713">
        <w:t>service</w:t>
      </w:r>
      <w:r w:rsidR="003408D5">
        <w:t>s</w:t>
      </w:r>
      <w:r w:rsidR="00613713">
        <w:t xml:space="preserve"> écosystémique</w:t>
      </w:r>
      <w:r w:rsidR="003408D5">
        <w:t>s</w:t>
      </w:r>
      <w:r w:rsidR="001A11E6">
        <w:t xml:space="preserve"> (voir </w:t>
      </w:r>
      <w:r w:rsidR="001A11E6" w:rsidRPr="006472FD">
        <w:t>partie</w:t>
      </w:r>
      <w:r w:rsidR="00020060">
        <w:t xml:space="preserve"> </w:t>
      </w:r>
      <w:r w:rsidR="00020060">
        <w:rPr>
          <w:highlight w:val="yellow"/>
        </w:rPr>
        <w:fldChar w:fldCharType="begin"/>
      </w:r>
      <w:r w:rsidR="00020060">
        <w:instrText xml:space="preserve"> REF _Ref232207791 \r \h </w:instrText>
      </w:r>
      <w:r w:rsidR="00020060">
        <w:rPr>
          <w:highlight w:val="yellow"/>
        </w:rPr>
      </w:r>
      <w:r w:rsidR="00020060">
        <w:rPr>
          <w:highlight w:val="yellow"/>
        </w:rPr>
        <w:fldChar w:fldCharType="separate"/>
      </w:r>
      <w:r w:rsidR="009327CA">
        <w:t>4.1.3</w:t>
      </w:r>
      <w:r w:rsidR="00020060">
        <w:rPr>
          <w:highlight w:val="yellow"/>
        </w:rPr>
        <w:fldChar w:fldCharType="end"/>
      </w:r>
      <w:r w:rsidR="00912FAD">
        <w:t>)</w:t>
      </w:r>
      <w:r w:rsidR="00BC7888">
        <w:t xml:space="preserve">. </w:t>
      </w:r>
      <w:r w:rsidR="002F6329">
        <w:t xml:space="preserve">L’interprétation se base </w:t>
      </w:r>
      <w:r w:rsidR="00912FAD">
        <w:t>soit</w:t>
      </w:r>
      <w:r w:rsidR="00A960F0">
        <w:t> :</w:t>
      </w:r>
    </w:p>
    <w:p w14:paraId="2E7889F4" w14:textId="77777777" w:rsidR="00A960F0" w:rsidRDefault="00A960F0">
      <w:pPr>
        <w:pStyle w:val="Paragraphedeliste"/>
        <w:numPr>
          <w:ilvl w:val="0"/>
          <w:numId w:val="27"/>
        </w:numPr>
      </w:pPr>
      <w:r>
        <w:t>S</w:t>
      </w:r>
      <w:r w:rsidR="002F6329">
        <w:t>ur les</w:t>
      </w:r>
      <w:r w:rsidR="00912FAD">
        <w:t xml:space="preserve"> valeurs seuils telles que définies</w:t>
      </w:r>
      <w:r w:rsidR="002F6329">
        <w:t xml:space="preserve"> </w:t>
      </w:r>
      <w:r w:rsidR="00912FAD">
        <w:t xml:space="preserve">dans le Décret sols, </w:t>
      </w:r>
    </w:p>
    <w:p w14:paraId="553C1CE7" w14:textId="2B9347EB" w:rsidR="00A960F0" w:rsidRDefault="00A960F0">
      <w:pPr>
        <w:pStyle w:val="Paragraphedeliste"/>
        <w:numPr>
          <w:ilvl w:val="0"/>
          <w:numId w:val="27"/>
        </w:numPr>
      </w:pPr>
      <w:r>
        <w:t xml:space="preserve">Sur les modèles développés dans le Guide de Référence pour </w:t>
      </w:r>
      <w:r w:rsidR="0092600B">
        <w:t>l’Étude de Risques (</w:t>
      </w:r>
      <w:r w:rsidR="0092600B" w:rsidRPr="002B6C81">
        <w:t>GRER</w:t>
      </w:r>
      <w:r w:rsidR="0092600B">
        <w:t>)</w:t>
      </w:r>
      <w:r w:rsidR="00A25C09">
        <w:rPr>
          <w:rStyle w:val="Appelnotedebasdep"/>
        </w:rPr>
        <w:footnoteReference w:id="3"/>
      </w:r>
      <w:r w:rsidR="0092600B">
        <w:t>,</w:t>
      </w:r>
    </w:p>
    <w:p w14:paraId="4AC2D1DA" w14:textId="2B208AEA" w:rsidR="00912FAD" w:rsidRDefault="00A960F0">
      <w:pPr>
        <w:pStyle w:val="Paragraphedeliste"/>
        <w:numPr>
          <w:ilvl w:val="0"/>
          <w:numId w:val="27"/>
        </w:numPr>
      </w:pPr>
      <w:r>
        <w:t>S</w:t>
      </w:r>
      <w:r w:rsidR="000D0500">
        <w:t>ur des valeurs de risque simulées</w:t>
      </w:r>
      <w:r w:rsidR="74D06678">
        <w:t xml:space="preserve">, </w:t>
      </w:r>
      <w:r w:rsidR="1330D234">
        <w:t>en fonction des spécificités de l’usage,</w:t>
      </w:r>
      <w:r w:rsidR="000D0500">
        <w:t xml:space="preserve"> via </w:t>
      </w:r>
      <w:r w:rsidR="00B7C037">
        <w:t>le logiciel de référence en Région wallonne pour l’évaluation des risques pour la santé humaine</w:t>
      </w:r>
      <w:r w:rsidR="004C1728">
        <w:t xml:space="preserve"> (</w:t>
      </w:r>
      <w:r w:rsidR="000D0500">
        <w:t>S-Risk</w:t>
      </w:r>
      <w:r w:rsidR="004C1728">
        <w:t>)</w:t>
      </w:r>
      <w:r w:rsidR="000D0500">
        <w:t>.</w:t>
      </w:r>
    </w:p>
    <w:p w14:paraId="132C3F1D" w14:textId="6A08C8B5" w:rsidR="00ED011E" w:rsidRPr="00C73FAF" w:rsidRDefault="00C81627" w:rsidP="00C73FAF">
      <w:r>
        <w:t>Dans tous les cas, u</w:t>
      </w:r>
      <w:r w:rsidR="00BC477C">
        <w:t xml:space="preserve">ne attention particulière a </w:t>
      </w:r>
      <w:r w:rsidR="006D5964">
        <w:t>été portée à l</w:t>
      </w:r>
      <w:r w:rsidR="00BC477C">
        <w:t xml:space="preserve">a cohérence </w:t>
      </w:r>
      <w:r w:rsidR="006D5964">
        <w:t>entre</w:t>
      </w:r>
      <w:r w:rsidR="00BC477C">
        <w:t xml:space="preserve"> l’IQSW-pro </w:t>
      </w:r>
      <w:r w:rsidR="006D5964">
        <w:t>et</w:t>
      </w:r>
      <w:r w:rsidR="00BC477C">
        <w:t xml:space="preserve"> ces outils existants</w:t>
      </w:r>
      <w:r w:rsidR="006D5964">
        <w:t xml:space="preserve">, de </w:t>
      </w:r>
      <w:r w:rsidR="006F24D5">
        <w:t>sorte</w:t>
      </w:r>
      <w:r w:rsidR="006D5964">
        <w:t xml:space="preserve"> à éviter des conclusions contradictoires</w:t>
      </w:r>
      <w:r w:rsidR="006F24D5">
        <w:t xml:space="preserve"> pour un même usage</w:t>
      </w:r>
      <w:r w:rsidR="006D5964">
        <w:t>.</w:t>
      </w:r>
    </w:p>
    <w:p w14:paraId="62CCF789" w14:textId="4B739763" w:rsidR="007D23CD" w:rsidRPr="007E420F" w:rsidRDefault="008746FB">
      <w:pPr>
        <w:pStyle w:val="Titre2"/>
        <w:numPr>
          <w:ilvl w:val="1"/>
          <w:numId w:val="12"/>
        </w:numPr>
      </w:pPr>
      <w:bookmarkStart w:id="26" w:name="_Ref232206889"/>
      <w:bookmarkStart w:id="27" w:name="_Toc241478074"/>
      <w:r>
        <w:t>Sélection</w:t>
      </w:r>
      <w:r w:rsidR="002B1137">
        <w:t xml:space="preserve"> des paramètres</w:t>
      </w:r>
      <w:r w:rsidR="005B5A3F">
        <w:t xml:space="preserve"> du </w:t>
      </w:r>
      <w:r w:rsidR="007D23CD" w:rsidRPr="007E420F">
        <w:t>pa</w:t>
      </w:r>
      <w:r w:rsidR="00282C4F">
        <w:t>ck</w:t>
      </w:r>
      <w:r w:rsidR="007D23CD" w:rsidRPr="007E420F">
        <w:t xml:space="preserve"> IQSW</w:t>
      </w:r>
      <w:r w:rsidR="00253F54" w:rsidRPr="007E420F">
        <w:t>-pro</w:t>
      </w:r>
      <w:bookmarkEnd w:id="26"/>
      <w:bookmarkEnd w:id="27"/>
    </w:p>
    <w:p w14:paraId="56B25D85" w14:textId="3432BB4D" w:rsidR="00AE63E4" w:rsidRDefault="000D4001">
      <w:pPr>
        <w:pStyle w:val="Titre3"/>
        <w:numPr>
          <w:ilvl w:val="2"/>
          <w:numId w:val="12"/>
        </w:numPr>
      </w:pPr>
      <w:bookmarkStart w:id="28" w:name="_Toc241478075"/>
      <w:r>
        <w:t>Paramètres de base</w:t>
      </w:r>
      <w:bookmarkEnd w:id="28"/>
    </w:p>
    <w:p w14:paraId="560DA5FE" w14:textId="6AA202FF" w:rsidR="009B7E04" w:rsidRDefault="009B7E04" w:rsidP="00963BE7">
      <w:r>
        <w:t>U</w:t>
      </w:r>
      <w:r w:rsidRPr="009B7E04">
        <w:t xml:space="preserve">n </w:t>
      </w:r>
      <w:r>
        <w:t>jeu minimal</w:t>
      </w:r>
      <w:r w:rsidRPr="009B7E04">
        <w:t xml:space="preserve"> de paramètre</w:t>
      </w:r>
      <w:r w:rsidR="00D5211F">
        <w:t>s physiques, chimiques et biologiques</w:t>
      </w:r>
      <w:r w:rsidRPr="009B7E04">
        <w:t xml:space="preserve"> </w:t>
      </w:r>
      <w:r w:rsidR="00FD4424">
        <w:t>a été établi</w:t>
      </w:r>
      <w:r w:rsidRPr="009B7E04">
        <w:t xml:space="preserve"> pour</w:t>
      </w:r>
      <w:r w:rsidR="00FD4424">
        <w:t xml:space="preserve"> obtenir un diagnostic IQSW</w:t>
      </w:r>
      <w:r w:rsidR="006472FD">
        <w:t>-pro</w:t>
      </w:r>
      <w:r w:rsidR="00FD4424">
        <w:t xml:space="preserve"> complet </w:t>
      </w:r>
      <w:r w:rsidR="00E50CFC">
        <w:t>tout en limitant les coûts liés aux mesures de terrain et de laboratoire. Ce</w:t>
      </w:r>
      <w:r w:rsidR="00687FCF">
        <w:t xml:space="preserve">tte sélection </w:t>
      </w:r>
      <w:r w:rsidR="00E50CFC">
        <w:t>de paramètres permet d’</w:t>
      </w:r>
      <w:r w:rsidRPr="009B7E04">
        <w:t>estimer l</w:t>
      </w:r>
      <w:r w:rsidR="00E50CFC">
        <w:t>’ensemble d</w:t>
      </w:r>
      <w:r w:rsidRPr="009B7E04">
        <w:t xml:space="preserve">es fonctions et services </w:t>
      </w:r>
      <w:r w:rsidR="00401221">
        <w:t>considérés comme</w:t>
      </w:r>
      <w:r w:rsidRPr="009B7E04">
        <w:t xml:space="preserve"> essentiels pour offrir une vision globale de la qualité et de la santé du sol</w:t>
      </w:r>
      <w:r w:rsidR="3094327C">
        <w:t>,</w:t>
      </w:r>
      <w:r w:rsidRPr="009B7E04">
        <w:t xml:space="preserve"> quel que soit </w:t>
      </w:r>
      <w:r w:rsidR="00E50CFC">
        <w:t xml:space="preserve">son </w:t>
      </w:r>
      <w:r w:rsidRPr="009B7E04">
        <w:t>usage</w:t>
      </w:r>
      <w:r w:rsidR="00DA17B5">
        <w:t xml:space="preserve">, et ainsi pouvoir servir de boussole en </w:t>
      </w:r>
      <w:r w:rsidR="00E80E53">
        <w:t>cas de changement d’usage dans un projet d’aménagement</w:t>
      </w:r>
      <w:r w:rsidRPr="009B7E04">
        <w:t xml:space="preserve">. </w:t>
      </w:r>
      <w:r w:rsidR="00EA18E1">
        <w:t>U</w:t>
      </w:r>
      <w:r w:rsidR="00780946">
        <w:t xml:space="preserve">n diagnostic partiel sur base d’une sous-sélection </w:t>
      </w:r>
      <w:r w:rsidR="7EC1893A">
        <w:t>d’indicateur</w:t>
      </w:r>
      <w:r w:rsidR="1F618797">
        <w:t>s</w:t>
      </w:r>
      <w:r w:rsidR="001A7627">
        <w:t xml:space="preserve"> est techniquement possible mais</w:t>
      </w:r>
      <w:r w:rsidR="00780946">
        <w:t xml:space="preserve"> n’est pas recommandé, </w:t>
      </w:r>
      <w:r w:rsidR="001A7627">
        <w:t xml:space="preserve">car il </w:t>
      </w:r>
      <w:r w:rsidR="009346C6">
        <w:t>empêcherait une comparaison objective entre des sites</w:t>
      </w:r>
      <w:r w:rsidR="00D35068">
        <w:t xml:space="preserve">. De plus, en ne couvrant </w:t>
      </w:r>
      <w:r w:rsidR="00D108F0">
        <w:t xml:space="preserve">pas l’ensemble des </w:t>
      </w:r>
      <w:r w:rsidR="00613713">
        <w:t>service</w:t>
      </w:r>
      <w:r w:rsidR="003408D5">
        <w:t>s</w:t>
      </w:r>
      <w:r w:rsidR="00613713">
        <w:t xml:space="preserve"> écosystémique</w:t>
      </w:r>
      <w:r w:rsidR="003408D5">
        <w:t>s</w:t>
      </w:r>
      <w:r w:rsidR="00D108F0">
        <w:t xml:space="preserve">, </w:t>
      </w:r>
      <w:r w:rsidR="00E45E2D">
        <w:t xml:space="preserve">il </w:t>
      </w:r>
      <w:r w:rsidR="009D05A1">
        <w:t>ne permettrait p</w:t>
      </w:r>
      <w:r w:rsidR="005F2D93">
        <w:t>as d’évaluer l’adéquation du sol pour l’ensemble des usages considérés.</w:t>
      </w:r>
    </w:p>
    <w:p w14:paraId="2FB39AF7" w14:textId="04DEE733" w:rsidR="00174553" w:rsidRDefault="00174553" w:rsidP="00963BE7">
      <w:r>
        <w:t xml:space="preserve">Seule l’analyse des polluants normés par le Décret sols </w:t>
      </w:r>
      <w:r>
        <w:fldChar w:fldCharType="begin"/>
      </w:r>
      <w:r w:rsidR="00A00849">
        <w:instrText xml:space="preserve"> ADDIN ZOTERO_ITEM CSL_CITATION {"citationID":"95mj1NYQ","properties":{"unsorted":false,"formattedCitation":"(Gouvernement wallon, 2018)","plainCitation":"(Gouvernement wallon, 2018)","noteIndex":0},"citationItems":[{"id":542,"uris":["http://zotero.org/groups/5684833/items/XS5CPQ3E"],"itemData":{"id":542,"type":"document","language":"fr","title":"Décret relatif à la gestion et à l'assainissement des sols du 1er mars 2018","URL":"https://wallex.wallonie.be/eli/loi-decret/2018/03/01/2018070014/2018/04/01","author":[{"family":"Gouvernement wallon","given":""}],"accessed":{"date-parts":[["2026",5,15]]},"issued":{"date-parts":[["2018"]]}}}],"schema":"https://github.com/citation-style-language/schema/raw/master/csl-citation.json"} </w:instrText>
      </w:r>
      <w:r>
        <w:fldChar w:fldCharType="separate"/>
      </w:r>
      <w:r w:rsidR="00A00849" w:rsidRPr="00A00849">
        <w:rPr>
          <w:rFonts w:cs="Calibri"/>
        </w:rPr>
        <w:t>(Gouvernement wallon, 2018)</w:t>
      </w:r>
      <w:r>
        <w:fldChar w:fldCharType="end"/>
      </w:r>
      <w:r w:rsidR="004A3E8E">
        <w:t xml:space="preserve"> fait exception. Elle</w:t>
      </w:r>
      <w:r>
        <w:t xml:space="preserve"> est uniquement requise en cas de suspicion de pollution quant à l’un ou plusieurs groupes de </w:t>
      </w:r>
      <w:r>
        <w:lastRenderedPageBreak/>
        <w:t>paramètres</w:t>
      </w:r>
      <w:r w:rsidR="00331A70">
        <w:t>, en fonction de l’</w:t>
      </w:r>
      <w:r>
        <w:t xml:space="preserve">historique du site ou </w:t>
      </w:r>
      <w:r w:rsidR="00DA7C68">
        <w:t>d’</w:t>
      </w:r>
      <w:r>
        <w:t xml:space="preserve">observations de terrain. </w:t>
      </w:r>
      <w:r w:rsidR="00292FBE">
        <w:t>Le cas échéant</w:t>
      </w:r>
      <w:r w:rsidR="00DA7C68">
        <w:t xml:space="preserve">, </w:t>
      </w:r>
      <w:r w:rsidR="00292FBE">
        <w:t xml:space="preserve">l’analyse est </w:t>
      </w:r>
      <w:r w:rsidR="00EC0FFD">
        <w:t>préconisée et</w:t>
      </w:r>
      <w:r>
        <w:t xml:space="preserve"> sera indispensable au calcul des indices. Sinon, une telle analyse n’est pas requise pour le diagnostic.</w:t>
      </w:r>
    </w:p>
    <w:p w14:paraId="203CFFB5" w14:textId="73368DE2" w:rsidR="00925CB2" w:rsidRDefault="00925CB2" w:rsidP="00963BE7">
      <w:r>
        <w:t xml:space="preserve">Les </w:t>
      </w:r>
      <w:r w:rsidR="00916251">
        <w:t xml:space="preserve">principaux </w:t>
      </w:r>
      <w:r w:rsidR="00A84E54">
        <w:t>critères</w:t>
      </w:r>
      <w:r>
        <w:t xml:space="preserve"> </w:t>
      </w:r>
      <w:r w:rsidR="008E634C">
        <w:t>suivants</w:t>
      </w:r>
      <w:r>
        <w:t xml:space="preserve"> ont</w:t>
      </w:r>
      <w:r w:rsidR="00A84E54">
        <w:t xml:space="preserve"> guidé</w:t>
      </w:r>
      <w:r w:rsidR="00174553">
        <w:t xml:space="preserve"> </w:t>
      </w:r>
      <w:r w:rsidR="008E634C">
        <w:t>la sélection</w:t>
      </w:r>
      <w:r w:rsidR="00A84E54">
        <w:t xml:space="preserve"> d</w:t>
      </w:r>
      <w:r w:rsidR="008E634C">
        <w:t>es paramètres d</w:t>
      </w:r>
      <w:r w:rsidR="00A84E54">
        <w:t>u</w:t>
      </w:r>
      <w:r w:rsidR="00161384">
        <w:t xml:space="preserve"> pa</w:t>
      </w:r>
      <w:r w:rsidR="00ED0EA4">
        <w:t>ck</w:t>
      </w:r>
      <w:r w:rsidR="00161384">
        <w:t xml:space="preserve"> IQSW-pro</w:t>
      </w:r>
      <w:r w:rsidR="008E634C">
        <w:t> :</w:t>
      </w:r>
    </w:p>
    <w:p w14:paraId="10E02CBE" w14:textId="170C3167" w:rsidR="005B5A3F" w:rsidRDefault="005B5A3F">
      <w:pPr>
        <w:pStyle w:val="Paragraphedeliste"/>
        <w:numPr>
          <w:ilvl w:val="0"/>
          <w:numId w:val="16"/>
        </w:numPr>
      </w:pPr>
      <w:r>
        <w:t xml:space="preserve">Intégration </w:t>
      </w:r>
      <w:r w:rsidR="00DE334D">
        <w:t>des diverses dimensions</w:t>
      </w:r>
      <w:r>
        <w:t xml:space="preserve"> de la qualité du sol (physique, chimique et biologique) ;</w:t>
      </w:r>
    </w:p>
    <w:p w14:paraId="68460E38" w14:textId="371DDE51" w:rsidR="008E634C" w:rsidRDefault="008E634C">
      <w:pPr>
        <w:pStyle w:val="Paragraphedeliste"/>
        <w:numPr>
          <w:ilvl w:val="0"/>
          <w:numId w:val="16"/>
        </w:numPr>
      </w:pPr>
      <w:r>
        <w:t xml:space="preserve">Pertinence </w:t>
      </w:r>
      <w:r w:rsidR="00E27D88">
        <w:t xml:space="preserve">et maturité </w:t>
      </w:r>
      <w:r>
        <w:t xml:space="preserve">des </w:t>
      </w:r>
      <w:r w:rsidR="00A744B5">
        <w:t>indicateurs : validité scientifique, robustesse méthodologique,</w:t>
      </w:r>
      <w:r w:rsidR="005B5A3F">
        <w:t xml:space="preserve"> stabilité temporelle</w:t>
      </w:r>
      <w:r w:rsidR="00E27D88">
        <w:t xml:space="preserve">, </w:t>
      </w:r>
      <w:r w:rsidR="008E3C88">
        <w:t>disponibilité de référentiels d’interprétation</w:t>
      </w:r>
      <w:r w:rsidR="005B5A3F">
        <w:t> ;</w:t>
      </w:r>
    </w:p>
    <w:p w14:paraId="283F48B6" w14:textId="565C7228" w:rsidR="00A744B5" w:rsidRDefault="00812A92">
      <w:pPr>
        <w:pStyle w:val="Paragraphedeliste"/>
        <w:numPr>
          <w:ilvl w:val="0"/>
          <w:numId w:val="16"/>
        </w:numPr>
      </w:pPr>
      <w:r>
        <w:t>Disponibilité des filières analytiques et faisabilité des méthodes de terrain</w:t>
      </w:r>
      <w:r w:rsidR="005B5A3F">
        <w:t> ;</w:t>
      </w:r>
    </w:p>
    <w:p w14:paraId="5FC9B760" w14:textId="0DD4B85F" w:rsidR="00012AA7" w:rsidRDefault="004A5BF2">
      <w:pPr>
        <w:pStyle w:val="Paragraphedeliste"/>
        <w:numPr>
          <w:ilvl w:val="0"/>
          <w:numId w:val="16"/>
        </w:numPr>
      </w:pPr>
      <w:r>
        <w:t>Limitation des coûts : éviter les redondances d’information</w:t>
      </w:r>
      <w:r w:rsidR="006B5AB0">
        <w:t>, éviter d’engendrer des coûts disproportionnés</w:t>
      </w:r>
      <w:r w:rsidR="005F333C">
        <w:t>.</w:t>
      </w:r>
    </w:p>
    <w:p w14:paraId="4B37AFBB" w14:textId="0418C6FE" w:rsidR="003F5A7B" w:rsidRDefault="006B5AB0" w:rsidP="00963BE7">
      <w:r>
        <w:t xml:space="preserve">Ces critères ont permis d’aboutir </w:t>
      </w:r>
      <w:r w:rsidR="00FE6357">
        <w:t>à la liste de paramètres</w:t>
      </w:r>
      <w:r w:rsidR="00835834">
        <w:t xml:space="preserve"> permettant d’obtenir un diagnostic IQSW-pro complet,</w:t>
      </w:r>
      <w:r w:rsidR="00FE6357">
        <w:t xml:space="preserve"> reprise dans la </w:t>
      </w:r>
      <w:r w:rsidR="00FE6357" w:rsidRPr="006472FD">
        <w:t>partie</w:t>
      </w:r>
      <w:r w:rsidR="007F3189">
        <w:t xml:space="preserve"> </w:t>
      </w:r>
      <w:r w:rsidR="007F3189">
        <w:fldChar w:fldCharType="begin"/>
      </w:r>
      <w:r w:rsidR="007F3189">
        <w:instrText xml:space="preserve"> REF _Ref241227803 \r \h </w:instrText>
      </w:r>
      <w:r w:rsidR="007F3189">
        <w:fldChar w:fldCharType="separate"/>
      </w:r>
      <w:r w:rsidR="007F3189">
        <w:t>5.1.1</w:t>
      </w:r>
      <w:r w:rsidR="007F3189">
        <w:fldChar w:fldCharType="end"/>
      </w:r>
      <w:r w:rsidR="0028619F">
        <w:t xml:space="preserve">. </w:t>
      </w:r>
    </w:p>
    <w:p w14:paraId="475EF836" w14:textId="4D03CA1D" w:rsidR="003F5A7B" w:rsidRDefault="00F12248">
      <w:pPr>
        <w:pStyle w:val="Titre3"/>
        <w:numPr>
          <w:ilvl w:val="2"/>
          <w:numId w:val="12"/>
        </w:numPr>
      </w:pPr>
      <w:r>
        <w:t xml:space="preserve"> </w:t>
      </w:r>
      <w:bookmarkStart w:id="29" w:name="_Toc241478076"/>
      <w:r>
        <w:t>« </w:t>
      </w:r>
      <w:r w:rsidR="003F5A7B">
        <w:t>Pour aller plus loin</w:t>
      </w:r>
      <w:r>
        <w:t> »</w:t>
      </w:r>
      <w:bookmarkEnd w:id="29"/>
    </w:p>
    <w:p w14:paraId="0BB80A80" w14:textId="05F6AEAF" w:rsidR="0050200A" w:rsidRDefault="00AE63E4" w:rsidP="0050200A">
      <w:r>
        <w:t>En</w:t>
      </w:r>
      <w:r w:rsidR="0028619F">
        <w:t xml:space="preserve"> vue de conserver une certaine souplesse et de </w:t>
      </w:r>
      <w:r w:rsidR="00E673AF">
        <w:t>permettre de répondre à des attentes ciblées</w:t>
      </w:r>
      <w:r w:rsidR="0028619F">
        <w:t>,</w:t>
      </w:r>
      <w:r w:rsidR="00E90737">
        <w:t xml:space="preserve"> des paramètres </w:t>
      </w:r>
      <w:r w:rsidR="00F575EB">
        <w:t xml:space="preserve">complémentaires </w:t>
      </w:r>
      <w:r w:rsidR="00E90737">
        <w:t xml:space="preserve">peuvent être mesurés dans le cadre d’une analyse IQSW-pro. </w:t>
      </w:r>
      <w:r w:rsidR="00F575EB">
        <w:t xml:space="preserve">Il s’agit d’un niveau d’analyse « Pour aller plus loin » (parallèlement aux tests complémentaires proposés dans l’IQSW-citoyen). </w:t>
      </w:r>
      <w:r w:rsidR="00BB7CED">
        <w:t>Le résultat de ces analyses ne sera pas valorisé directement dans les indices et sera uniquement communiqué à titre informatif.</w:t>
      </w:r>
      <w:r w:rsidR="00F12248">
        <w:t xml:space="preserve"> Cette liste de paramètres </w:t>
      </w:r>
      <w:r w:rsidR="00D35BE2">
        <w:t>pourrait évoluer au fil du temps</w:t>
      </w:r>
      <w:r w:rsidR="00F12248">
        <w:t xml:space="preserve"> et contient</w:t>
      </w:r>
      <w:r w:rsidR="1D8056F8">
        <w:t>,</w:t>
      </w:r>
      <w:r w:rsidR="00F12248">
        <w:t xml:space="preserve"> à ce stade</w:t>
      </w:r>
      <w:r w:rsidR="5B318F4D">
        <w:t>,</w:t>
      </w:r>
      <w:r w:rsidR="00F12248">
        <w:t xml:space="preserve"> </w:t>
      </w:r>
      <w:r w:rsidR="00030CBA">
        <w:t>des paramètres</w:t>
      </w:r>
      <w:r w:rsidR="00381BD6">
        <w:t xml:space="preserve"> pouvant présenter une plus-value dans certains contextes</w:t>
      </w:r>
      <w:r w:rsidR="00431D15">
        <w:t xml:space="preserve"> mais relativement coûteux</w:t>
      </w:r>
      <w:r w:rsidR="00381BD6">
        <w:t xml:space="preserve"> (ex</w:t>
      </w:r>
      <w:r w:rsidR="3DEE82CD">
        <w:t>.</w:t>
      </w:r>
      <w:r w:rsidR="00381BD6">
        <w:t xml:space="preserve"> analyse</w:t>
      </w:r>
      <w:r>
        <w:t xml:space="preserve"> de la diversité de</w:t>
      </w:r>
      <w:r w:rsidR="00C30215">
        <w:t>s</w:t>
      </w:r>
      <w:r>
        <w:t xml:space="preserve"> bactéries et champignons du sol)</w:t>
      </w:r>
      <w:r w:rsidR="00381BD6">
        <w:t>, ou</w:t>
      </w:r>
      <w:r w:rsidR="00030CBA">
        <w:t xml:space="preserve"> dont l’interprétation est complexe</w:t>
      </w:r>
      <w:r>
        <w:t xml:space="preserve"> (ex</w:t>
      </w:r>
      <w:r w:rsidR="1DE505D6">
        <w:t>.</w:t>
      </w:r>
      <w:r>
        <w:t xml:space="preserve"> résistance à la pénétration, mesure extrêmement influencée par le taux d’humidité du sol).</w:t>
      </w:r>
      <w:r w:rsidR="00030CBA">
        <w:t xml:space="preserve"> </w:t>
      </w:r>
    </w:p>
    <w:p w14:paraId="6BB32CD8" w14:textId="7D758119" w:rsidR="003E500A" w:rsidRDefault="003E500A" w:rsidP="003E500A">
      <w:pPr>
        <w:jc w:val="left"/>
      </w:pPr>
      <w:r>
        <w:br w:type="page"/>
      </w:r>
    </w:p>
    <w:p w14:paraId="14C30C52" w14:textId="453CC59E" w:rsidR="0050200A" w:rsidRDefault="0050200A" w:rsidP="0050200A">
      <w:pPr>
        <w:pStyle w:val="Titre3"/>
        <w:numPr>
          <w:ilvl w:val="2"/>
          <w:numId w:val="12"/>
        </w:numPr>
      </w:pPr>
      <w:bookmarkStart w:id="30" w:name="_Toc241478077"/>
      <w:r>
        <w:lastRenderedPageBreak/>
        <w:t xml:space="preserve">Synthèse des </w:t>
      </w:r>
      <w:r w:rsidR="004526A3">
        <w:t>indicateurs</w:t>
      </w:r>
      <w:r>
        <w:t xml:space="preserve"> mesurés</w:t>
      </w:r>
      <w:r w:rsidR="004526A3">
        <w:t xml:space="preserve"> ou calculés</w:t>
      </w:r>
      <w:bookmarkEnd w:id="30"/>
    </w:p>
    <w:p w14:paraId="6374697D" w14:textId="1DE36457" w:rsidR="0050200A" w:rsidRPr="007F0D21" w:rsidRDefault="0050200A" w:rsidP="0050200A">
      <w:pPr>
        <w:pStyle w:val="Lgende"/>
        <w:keepNext/>
        <w:jc w:val="center"/>
        <w:rPr>
          <w:i w:val="0"/>
          <w:iCs w:val="0"/>
        </w:rPr>
      </w:pPr>
      <w:bookmarkStart w:id="31" w:name="_Ref241228645"/>
      <w:r w:rsidRPr="007F0D21">
        <w:rPr>
          <w:i w:val="0"/>
          <w:iCs w:val="0"/>
        </w:rPr>
        <w:t xml:space="preserve">Tableau </w:t>
      </w:r>
      <w:r w:rsidRPr="007F0D21">
        <w:rPr>
          <w:i w:val="0"/>
          <w:iCs w:val="0"/>
        </w:rPr>
        <w:fldChar w:fldCharType="begin"/>
      </w:r>
      <w:r w:rsidRPr="007F0D21">
        <w:rPr>
          <w:i w:val="0"/>
          <w:iCs w:val="0"/>
        </w:rPr>
        <w:instrText xml:space="preserve"> SEQ Tableau \* ARABIC </w:instrText>
      </w:r>
      <w:r w:rsidRPr="007F0D21">
        <w:rPr>
          <w:i w:val="0"/>
          <w:iCs w:val="0"/>
        </w:rPr>
        <w:fldChar w:fldCharType="separate"/>
      </w:r>
      <w:r>
        <w:rPr>
          <w:i w:val="0"/>
          <w:iCs w:val="0"/>
          <w:noProof/>
        </w:rPr>
        <w:t>1</w:t>
      </w:r>
      <w:r w:rsidRPr="007F0D21">
        <w:rPr>
          <w:i w:val="0"/>
          <w:iCs w:val="0"/>
        </w:rPr>
        <w:fldChar w:fldCharType="end"/>
      </w:r>
      <w:bookmarkEnd w:id="31"/>
      <w:r w:rsidRPr="007F0D21">
        <w:rPr>
          <w:i w:val="0"/>
          <w:iCs w:val="0"/>
        </w:rPr>
        <w:t xml:space="preserve"> : Liste des </w:t>
      </w:r>
      <w:r w:rsidRPr="6CB535F6">
        <w:rPr>
          <w:i w:val="0"/>
          <w:iCs w:val="0"/>
        </w:rPr>
        <w:t>indicateurs mesurés</w:t>
      </w:r>
      <w:r>
        <w:rPr>
          <w:i w:val="0"/>
          <w:iCs w:val="0"/>
        </w:rPr>
        <w:t xml:space="preserve"> </w:t>
      </w:r>
      <w:r w:rsidRPr="007F0D21">
        <w:rPr>
          <w:i w:val="0"/>
          <w:iCs w:val="0"/>
        </w:rPr>
        <w:t>(E = éléments de contexte environnemental</w:t>
      </w:r>
      <w:r>
        <w:rPr>
          <w:i w:val="0"/>
          <w:iCs w:val="0"/>
        </w:rPr>
        <w:t xml:space="preserve"> ; </w:t>
      </w:r>
      <w:r w:rsidRPr="007F0D21">
        <w:rPr>
          <w:i w:val="0"/>
          <w:iCs w:val="0"/>
        </w:rPr>
        <w:t xml:space="preserve">P = </w:t>
      </w:r>
      <w:r w:rsidRPr="6CB535F6">
        <w:rPr>
          <w:i w:val="0"/>
          <w:iCs w:val="0"/>
        </w:rPr>
        <w:t>indicateurs</w:t>
      </w:r>
      <w:r w:rsidRPr="007F0D21">
        <w:rPr>
          <w:i w:val="0"/>
          <w:iCs w:val="0"/>
        </w:rPr>
        <w:t xml:space="preserve"> physiques</w:t>
      </w:r>
      <w:r>
        <w:rPr>
          <w:i w:val="0"/>
          <w:iCs w:val="0"/>
        </w:rPr>
        <w:t> ;</w:t>
      </w:r>
      <w:r w:rsidRPr="007F0D21">
        <w:rPr>
          <w:i w:val="0"/>
          <w:iCs w:val="0"/>
        </w:rPr>
        <w:t xml:space="preserve"> C = </w:t>
      </w:r>
      <w:r w:rsidRPr="6CB535F6">
        <w:rPr>
          <w:i w:val="0"/>
          <w:iCs w:val="0"/>
        </w:rPr>
        <w:t xml:space="preserve">indicateurs </w:t>
      </w:r>
      <w:r w:rsidRPr="007F0D21">
        <w:rPr>
          <w:i w:val="0"/>
          <w:iCs w:val="0"/>
        </w:rPr>
        <w:t>chimiques ; B</w:t>
      </w:r>
      <w:r>
        <w:rPr>
          <w:i w:val="0"/>
          <w:iCs w:val="0"/>
        </w:rPr>
        <w:t xml:space="preserve"> </w:t>
      </w:r>
      <w:r w:rsidRPr="007F0D21">
        <w:rPr>
          <w:i w:val="0"/>
          <w:iCs w:val="0"/>
        </w:rPr>
        <w:t>=</w:t>
      </w:r>
      <w:r>
        <w:rPr>
          <w:i w:val="0"/>
          <w:iCs w:val="0"/>
        </w:rPr>
        <w:t xml:space="preserve"> </w:t>
      </w:r>
      <w:r w:rsidRPr="6CB535F6">
        <w:rPr>
          <w:i w:val="0"/>
          <w:iCs w:val="0"/>
        </w:rPr>
        <w:t xml:space="preserve">indicateurs </w:t>
      </w:r>
      <w:r w:rsidRPr="007F0D21">
        <w:rPr>
          <w:i w:val="0"/>
          <w:iCs w:val="0"/>
        </w:rPr>
        <w:t>biologiques)</w:t>
      </w:r>
      <w:r w:rsidR="00440AE5">
        <w:rPr>
          <w:i w:val="0"/>
          <w:iCs w:val="0"/>
        </w:rPr>
        <w:t xml:space="preserve"> et calculés (I</w:t>
      </w:r>
      <w:r w:rsidR="003E500A">
        <w:rPr>
          <w:i w:val="0"/>
          <w:iCs w:val="0"/>
        </w:rPr>
        <w:t xml:space="preserve"> = indicateurs calculés</w:t>
      </w:r>
      <w:r w:rsidR="00440AE5">
        <w:rPr>
          <w:i w:val="0"/>
          <w:iCs w:val="0"/>
        </w:rPr>
        <w:t>)</w:t>
      </w:r>
      <w:r w:rsidR="003E500A">
        <w:rPr>
          <w:i w:val="0"/>
          <w:iCs w:val="0"/>
        </w:rPr>
        <w:t xml:space="preserve"> de l’IQSW-pro</w:t>
      </w:r>
    </w:p>
    <w:tbl>
      <w:tblPr>
        <w:tblW w:w="8980" w:type="dxa"/>
        <w:tblCellMar>
          <w:left w:w="70" w:type="dxa"/>
          <w:right w:w="70" w:type="dxa"/>
        </w:tblCellMar>
        <w:tblLook w:val="04A0" w:firstRow="1" w:lastRow="0" w:firstColumn="1" w:lastColumn="0" w:noHBand="0" w:noVBand="1"/>
      </w:tblPr>
      <w:tblGrid>
        <w:gridCol w:w="279"/>
        <w:gridCol w:w="2901"/>
        <w:gridCol w:w="840"/>
        <w:gridCol w:w="2779"/>
        <w:gridCol w:w="2181"/>
      </w:tblGrid>
      <w:tr w:rsidR="0050200A" w:rsidRPr="0003177C" w14:paraId="12253386" w14:textId="77777777" w:rsidTr="006A5298">
        <w:trPr>
          <w:trHeight w:val="225"/>
        </w:trPr>
        <w:tc>
          <w:tcPr>
            <w:tcW w:w="27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hideMark/>
          </w:tcPr>
          <w:p w14:paraId="03FFBFA6" w14:textId="77777777" w:rsidR="0050200A" w:rsidRPr="0003177C" w:rsidRDefault="0050200A" w:rsidP="0045117F">
            <w:pPr>
              <w:spacing w:after="0" w:line="240" w:lineRule="auto"/>
              <w:jc w:val="center"/>
              <w:rPr>
                <w:rFonts w:ascii="Aptos Narrow" w:eastAsia="Times New Roman" w:hAnsi="Aptos Narrow" w:cs="Times New Roman"/>
                <w:b/>
                <w:bCs/>
                <w:color w:val="FFFFFF"/>
                <w:kern w:val="0"/>
                <w:sz w:val="16"/>
                <w:szCs w:val="16"/>
                <w:lang w:eastAsia="fr-BE"/>
                <w14:ligatures w14:val="none"/>
              </w:rPr>
            </w:pPr>
          </w:p>
        </w:tc>
        <w:tc>
          <w:tcPr>
            <w:tcW w:w="290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hideMark/>
          </w:tcPr>
          <w:p w14:paraId="0567F19D" w14:textId="77777777" w:rsidR="0050200A" w:rsidRPr="0003177C" w:rsidRDefault="0050200A" w:rsidP="0045117F">
            <w:pPr>
              <w:spacing w:after="0" w:line="240" w:lineRule="auto"/>
              <w:jc w:val="center"/>
              <w:rPr>
                <w:rFonts w:ascii="Aptos Narrow" w:eastAsia="Times New Roman" w:hAnsi="Aptos Narrow" w:cs="Times New Roman"/>
                <w:b/>
                <w:bCs/>
                <w:color w:val="FFFFFF"/>
                <w:kern w:val="0"/>
                <w:sz w:val="16"/>
                <w:szCs w:val="16"/>
                <w:lang w:eastAsia="fr-BE"/>
                <w14:ligatures w14:val="none"/>
              </w:rPr>
            </w:pPr>
            <w:r w:rsidRPr="0003177C">
              <w:rPr>
                <w:rFonts w:ascii="Aptos Narrow" w:eastAsia="Times New Roman" w:hAnsi="Aptos Narrow" w:cs="Times New Roman"/>
                <w:b/>
                <w:bCs/>
                <w:color w:val="FFFFFF"/>
                <w:kern w:val="0"/>
                <w:sz w:val="16"/>
                <w:szCs w:val="16"/>
                <w:lang w:eastAsia="fr-BE"/>
                <w14:ligatures w14:val="none"/>
              </w:rPr>
              <w:t>Paramètre</w:t>
            </w:r>
          </w:p>
        </w:tc>
        <w:tc>
          <w:tcPr>
            <w:tcW w:w="84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noWrap/>
            <w:vAlign w:val="center"/>
            <w:hideMark/>
          </w:tcPr>
          <w:p w14:paraId="7FACD13F" w14:textId="77777777" w:rsidR="0050200A" w:rsidRPr="0003177C" w:rsidRDefault="0050200A" w:rsidP="0045117F">
            <w:pPr>
              <w:spacing w:after="0" w:line="240" w:lineRule="auto"/>
              <w:jc w:val="center"/>
              <w:rPr>
                <w:rFonts w:ascii="Aptos Narrow" w:eastAsia="Times New Roman" w:hAnsi="Aptos Narrow" w:cs="Times New Roman"/>
                <w:b/>
                <w:bCs/>
                <w:color w:val="FFFFFF"/>
                <w:kern w:val="0"/>
                <w:sz w:val="16"/>
                <w:szCs w:val="16"/>
                <w:lang w:eastAsia="fr-BE"/>
                <w14:ligatures w14:val="none"/>
              </w:rPr>
            </w:pPr>
            <w:r w:rsidRPr="0003177C">
              <w:rPr>
                <w:rFonts w:ascii="Aptos Narrow" w:eastAsia="Times New Roman" w:hAnsi="Aptos Narrow" w:cs="Times New Roman"/>
                <w:b/>
                <w:bCs/>
                <w:color w:val="FFFFFF"/>
                <w:kern w:val="0"/>
                <w:sz w:val="16"/>
                <w:szCs w:val="16"/>
                <w:lang w:eastAsia="fr-BE"/>
                <w14:ligatures w14:val="none"/>
              </w:rPr>
              <w:t>Prof (cm)</w:t>
            </w:r>
          </w:p>
        </w:tc>
        <w:tc>
          <w:tcPr>
            <w:tcW w:w="277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noWrap/>
            <w:vAlign w:val="center"/>
            <w:hideMark/>
          </w:tcPr>
          <w:p w14:paraId="23E46D74" w14:textId="77777777" w:rsidR="0050200A" w:rsidRPr="0003177C" w:rsidRDefault="0050200A" w:rsidP="0045117F">
            <w:pPr>
              <w:spacing w:after="0" w:line="240" w:lineRule="auto"/>
              <w:jc w:val="center"/>
              <w:rPr>
                <w:rFonts w:ascii="Aptos Narrow" w:eastAsia="Times New Roman" w:hAnsi="Aptos Narrow" w:cs="Times New Roman"/>
                <w:b/>
                <w:bCs/>
                <w:color w:val="FFFFFF"/>
                <w:kern w:val="0"/>
                <w:sz w:val="16"/>
                <w:szCs w:val="16"/>
                <w:lang w:eastAsia="fr-BE"/>
                <w14:ligatures w14:val="none"/>
              </w:rPr>
            </w:pPr>
            <w:r w:rsidRPr="0003177C">
              <w:rPr>
                <w:rFonts w:ascii="Aptos Narrow" w:eastAsia="Times New Roman" w:hAnsi="Aptos Narrow" w:cs="Times New Roman"/>
                <w:b/>
                <w:bCs/>
                <w:color w:val="FFFFFF"/>
                <w:kern w:val="0"/>
                <w:sz w:val="16"/>
                <w:szCs w:val="16"/>
                <w:lang w:eastAsia="fr-BE"/>
                <w14:ligatures w14:val="none"/>
              </w:rPr>
              <w:t>Protocole/calcul</w:t>
            </w:r>
          </w:p>
        </w:tc>
        <w:tc>
          <w:tcPr>
            <w:tcW w:w="218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noWrap/>
            <w:vAlign w:val="center"/>
            <w:hideMark/>
          </w:tcPr>
          <w:p w14:paraId="0D47AF85" w14:textId="77777777" w:rsidR="0050200A" w:rsidRPr="0003177C" w:rsidRDefault="0050200A" w:rsidP="0045117F">
            <w:pPr>
              <w:spacing w:after="0" w:line="240" w:lineRule="auto"/>
              <w:jc w:val="center"/>
              <w:rPr>
                <w:rFonts w:ascii="Aptos Narrow" w:eastAsia="Times New Roman" w:hAnsi="Aptos Narrow" w:cs="Times New Roman"/>
                <w:b/>
                <w:bCs/>
                <w:color w:val="FFFFFF"/>
                <w:kern w:val="0"/>
                <w:sz w:val="16"/>
                <w:szCs w:val="16"/>
                <w:lang w:eastAsia="fr-BE"/>
                <w14:ligatures w14:val="none"/>
              </w:rPr>
            </w:pPr>
            <w:r w:rsidRPr="0003177C">
              <w:rPr>
                <w:rFonts w:ascii="Aptos Narrow" w:eastAsia="Times New Roman" w:hAnsi="Aptos Narrow" w:cs="Times New Roman"/>
                <w:b/>
                <w:bCs/>
                <w:color w:val="FFFFFF"/>
                <w:kern w:val="0"/>
                <w:sz w:val="16"/>
                <w:szCs w:val="16"/>
                <w:lang w:eastAsia="fr-BE"/>
                <w14:ligatures w14:val="none"/>
              </w:rPr>
              <w:t>Norme</w:t>
            </w:r>
          </w:p>
        </w:tc>
      </w:tr>
      <w:tr w:rsidR="0050200A" w:rsidRPr="0003177C" w14:paraId="31705D85"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36439E"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E</w:t>
            </w:r>
          </w:p>
        </w:tc>
        <w:tc>
          <w:tcPr>
            <w:tcW w:w="2901" w:type="dxa"/>
            <w:tcBorders>
              <w:top w:val="single" w:sz="4" w:space="0" w:color="auto"/>
              <w:left w:val="single" w:sz="4" w:space="0" w:color="auto"/>
              <w:bottom w:val="single" w:sz="4" w:space="0" w:color="auto"/>
              <w:right w:val="single" w:sz="4" w:space="0" w:color="auto"/>
            </w:tcBorders>
            <w:vAlign w:val="center"/>
            <w:hideMark/>
          </w:tcPr>
          <w:p w14:paraId="14CCD71F"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Densité du couvert végétal</w:t>
            </w:r>
          </w:p>
        </w:tc>
        <w:tc>
          <w:tcPr>
            <w:tcW w:w="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65881F" w14:textId="62DB842A"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7F23C827"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0</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C27788"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3669E536"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C08B3D"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E</w:t>
            </w:r>
          </w:p>
        </w:tc>
        <w:tc>
          <w:tcPr>
            <w:tcW w:w="2901" w:type="dxa"/>
            <w:tcBorders>
              <w:top w:val="single" w:sz="4" w:space="0" w:color="auto"/>
              <w:left w:val="single" w:sz="4" w:space="0" w:color="auto"/>
              <w:bottom w:val="single" w:sz="4" w:space="0" w:color="auto"/>
              <w:right w:val="single" w:sz="4" w:space="0" w:color="auto"/>
            </w:tcBorders>
            <w:vAlign w:val="center"/>
            <w:hideMark/>
          </w:tcPr>
          <w:p w14:paraId="7BAA676B"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Exposition</w:t>
            </w:r>
          </w:p>
        </w:tc>
        <w:tc>
          <w:tcPr>
            <w:tcW w:w="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4E5FEB" w14:textId="1A6A2623"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00C29184"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0</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5531F2"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7E4B3658"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8B14D2"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E</w:t>
            </w:r>
          </w:p>
        </w:tc>
        <w:tc>
          <w:tcPr>
            <w:tcW w:w="2901" w:type="dxa"/>
            <w:tcBorders>
              <w:top w:val="single" w:sz="4" w:space="0" w:color="auto"/>
              <w:left w:val="single" w:sz="4" w:space="0" w:color="auto"/>
              <w:bottom w:val="single" w:sz="4" w:space="0" w:color="auto"/>
              <w:right w:val="single" w:sz="4" w:space="0" w:color="auto"/>
            </w:tcBorders>
            <w:vAlign w:val="center"/>
            <w:hideMark/>
          </w:tcPr>
          <w:p w14:paraId="4DAA8BB6"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Pente</w:t>
            </w:r>
          </w:p>
        </w:tc>
        <w:tc>
          <w:tcPr>
            <w:tcW w:w="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BEB3A3" w14:textId="7545CF40"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08FE4AFC"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0</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8F6610"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1C7694C3" w14:textId="77777777" w:rsidTr="006A5298">
        <w:trPr>
          <w:trHeight w:val="450"/>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70D990"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E</w:t>
            </w:r>
          </w:p>
        </w:tc>
        <w:tc>
          <w:tcPr>
            <w:tcW w:w="2901" w:type="dxa"/>
            <w:tcBorders>
              <w:top w:val="single" w:sz="4" w:space="0" w:color="auto"/>
              <w:left w:val="single" w:sz="4" w:space="0" w:color="auto"/>
              <w:bottom w:val="single" w:sz="4" w:space="0" w:color="auto"/>
              <w:right w:val="single" w:sz="4" w:space="0" w:color="auto"/>
            </w:tcBorders>
            <w:vAlign w:val="center"/>
            <w:hideMark/>
          </w:tcPr>
          <w:p w14:paraId="52572C13"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Profondeur de sol (plancher imperméable)</w:t>
            </w:r>
          </w:p>
        </w:tc>
        <w:tc>
          <w:tcPr>
            <w:tcW w:w="840" w:type="dxa"/>
            <w:tcBorders>
              <w:top w:val="single" w:sz="4" w:space="0" w:color="auto"/>
              <w:left w:val="single" w:sz="4" w:space="0" w:color="auto"/>
              <w:bottom w:val="single" w:sz="4" w:space="0" w:color="auto"/>
              <w:right w:val="single" w:sz="4" w:space="0" w:color="auto"/>
            </w:tcBorders>
            <w:vAlign w:val="center"/>
            <w:hideMark/>
          </w:tcPr>
          <w:p w14:paraId="7542A8AB"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0-100</w:t>
            </w:r>
          </w:p>
        </w:tc>
        <w:tc>
          <w:tcPr>
            <w:tcW w:w="2779" w:type="dxa"/>
            <w:tcBorders>
              <w:top w:val="single" w:sz="4" w:space="0" w:color="auto"/>
              <w:left w:val="single" w:sz="4" w:space="0" w:color="auto"/>
              <w:bottom w:val="single" w:sz="4" w:space="0" w:color="auto"/>
              <w:right w:val="nil"/>
            </w:tcBorders>
            <w:vAlign w:val="center"/>
            <w:hideMark/>
          </w:tcPr>
          <w:p w14:paraId="194DAB2C" w14:textId="1DC87D16"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 xml:space="preserve">Tige pénétrométrique / </w:t>
            </w:r>
            <w:r w:rsidR="00440AE5">
              <w:rPr>
                <w:rFonts w:ascii="Aptos Narrow" w:eastAsia="Times New Roman" w:hAnsi="Aptos Narrow" w:cs="Times New Roman"/>
                <w:color w:val="000000"/>
                <w:kern w:val="0"/>
                <w:sz w:val="16"/>
                <w:szCs w:val="16"/>
                <w:lang w:eastAsia="fr-BE"/>
                <w14:ligatures w14:val="none"/>
              </w:rPr>
              <w:t>sondage</w:t>
            </w:r>
          </w:p>
        </w:tc>
        <w:tc>
          <w:tcPr>
            <w:tcW w:w="2181" w:type="dxa"/>
            <w:tcBorders>
              <w:top w:val="single" w:sz="4" w:space="0" w:color="auto"/>
              <w:left w:val="single" w:sz="4" w:space="0" w:color="auto"/>
              <w:bottom w:val="single" w:sz="4" w:space="0" w:color="auto"/>
              <w:right w:val="single" w:sz="4" w:space="0" w:color="auto"/>
            </w:tcBorders>
            <w:vAlign w:val="center"/>
            <w:hideMark/>
          </w:tcPr>
          <w:p w14:paraId="53AC84FC" w14:textId="77777777" w:rsidR="0050200A" w:rsidRPr="0003177C" w:rsidRDefault="0050200A" w:rsidP="0045117F">
            <w:pPr>
              <w:spacing w:after="0" w:line="240" w:lineRule="auto"/>
              <w:jc w:val="left"/>
              <w:rPr>
                <w:rFonts w:ascii="Aptos Narrow" w:eastAsia="Times New Roman" w:hAnsi="Aptos Narrow" w:cs="Times New Roman"/>
                <w:color w:val="FFFFFF"/>
                <w:kern w:val="0"/>
                <w:sz w:val="16"/>
                <w:szCs w:val="16"/>
                <w:lang w:eastAsia="fr-BE"/>
                <w14:ligatures w14:val="none"/>
              </w:rPr>
            </w:pPr>
            <w:r w:rsidRPr="0003177C">
              <w:rPr>
                <w:rFonts w:ascii="Aptos Narrow" w:eastAsia="Times New Roman" w:hAnsi="Aptos Narrow" w:cs="Times New Roman"/>
                <w:color w:val="FFFFFF"/>
                <w:kern w:val="0"/>
                <w:sz w:val="16"/>
                <w:szCs w:val="16"/>
                <w:lang w:eastAsia="fr-BE"/>
                <w14:ligatures w14:val="none"/>
              </w:rPr>
              <w:t> </w:t>
            </w:r>
          </w:p>
        </w:tc>
      </w:tr>
      <w:tr w:rsidR="0050200A" w:rsidRPr="0003177C" w14:paraId="5C0EEA29" w14:textId="77777777" w:rsidTr="006A5298">
        <w:trPr>
          <w:trHeight w:val="450"/>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35AED2"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E</w:t>
            </w:r>
          </w:p>
        </w:tc>
        <w:tc>
          <w:tcPr>
            <w:tcW w:w="2901" w:type="dxa"/>
            <w:tcBorders>
              <w:top w:val="single" w:sz="4" w:space="0" w:color="auto"/>
              <w:left w:val="single" w:sz="4" w:space="0" w:color="auto"/>
              <w:bottom w:val="single" w:sz="4" w:space="0" w:color="auto"/>
              <w:right w:val="single" w:sz="4" w:space="0" w:color="auto"/>
            </w:tcBorders>
            <w:vAlign w:val="center"/>
            <w:hideMark/>
          </w:tcPr>
          <w:p w14:paraId="028067B0"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Présence et niveau d'eau nappe permanente</w:t>
            </w:r>
          </w:p>
        </w:tc>
        <w:tc>
          <w:tcPr>
            <w:tcW w:w="840" w:type="dxa"/>
            <w:tcBorders>
              <w:top w:val="single" w:sz="4" w:space="0" w:color="auto"/>
              <w:left w:val="single" w:sz="4" w:space="0" w:color="auto"/>
              <w:bottom w:val="single" w:sz="4" w:space="0" w:color="auto"/>
              <w:right w:val="single" w:sz="4" w:space="0" w:color="auto"/>
            </w:tcBorders>
            <w:vAlign w:val="center"/>
            <w:hideMark/>
          </w:tcPr>
          <w:p w14:paraId="131683A9"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0-100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61C5B121"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0</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291B72"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4D8949C1"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3A0993"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E</w:t>
            </w:r>
          </w:p>
        </w:tc>
        <w:tc>
          <w:tcPr>
            <w:tcW w:w="2901" w:type="dxa"/>
            <w:tcBorders>
              <w:top w:val="single" w:sz="4" w:space="0" w:color="auto"/>
              <w:left w:val="single" w:sz="4" w:space="0" w:color="auto"/>
              <w:bottom w:val="single" w:sz="4" w:space="0" w:color="auto"/>
              <w:right w:val="single" w:sz="4" w:space="0" w:color="auto"/>
            </w:tcBorders>
            <w:vAlign w:val="center"/>
            <w:hideMark/>
          </w:tcPr>
          <w:p w14:paraId="248E2EB6"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Espèces exotiques envahissantes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7DA2BB94" w14:textId="122CAF7B"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p>
        </w:tc>
        <w:tc>
          <w:tcPr>
            <w:tcW w:w="2779" w:type="dxa"/>
            <w:tcBorders>
              <w:top w:val="single" w:sz="4" w:space="0" w:color="auto"/>
              <w:left w:val="single" w:sz="4" w:space="0" w:color="auto"/>
              <w:bottom w:val="single" w:sz="4" w:space="0" w:color="auto"/>
              <w:right w:val="nil"/>
            </w:tcBorders>
            <w:vAlign w:val="center"/>
            <w:hideMark/>
          </w:tcPr>
          <w:p w14:paraId="67031732"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Nombre d'espèces ; proportion de recouvrement</w:t>
            </w:r>
          </w:p>
        </w:tc>
        <w:tc>
          <w:tcPr>
            <w:tcW w:w="2181" w:type="dxa"/>
            <w:tcBorders>
              <w:top w:val="single" w:sz="4" w:space="0" w:color="auto"/>
              <w:left w:val="single" w:sz="4" w:space="0" w:color="auto"/>
              <w:bottom w:val="single" w:sz="4" w:space="0" w:color="auto"/>
              <w:right w:val="single" w:sz="4" w:space="0" w:color="auto"/>
            </w:tcBorders>
            <w:vAlign w:val="center"/>
            <w:hideMark/>
          </w:tcPr>
          <w:p w14:paraId="7C9DD1DF" w14:textId="77777777" w:rsidR="0050200A" w:rsidRPr="0003177C" w:rsidRDefault="0050200A" w:rsidP="0045117F">
            <w:pPr>
              <w:spacing w:after="0" w:line="240" w:lineRule="auto"/>
              <w:jc w:val="left"/>
              <w:rPr>
                <w:rFonts w:ascii="Aptos Narrow" w:eastAsia="Times New Roman" w:hAnsi="Aptos Narrow" w:cs="Times New Roman"/>
                <w:color w:val="FFFFFF"/>
                <w:kern w:val="0"/>
                <w:sz w:val="16"/>
                <w:szCs w:val="16"/>
                <w:lang w:eastAsia="fr-BE"/>
                <w14:ligatures w14:val="none"/>
              </w:rPr>
            </w:pPr>
            <w:r w:rsidRPr="0003177C">
              <w:rPr>
                <w:rFonts w:ascii="Aptos Narrow" w:eastAsia="Times New Roman" w:hAnsi="Aptos Narrow" w:cs="Times New Roman"/>
                <w:color w:val="FFFFFF"/>
                <w:kern w:val="0"/>
                <w:sz w:val="16"/>
                <w:szCs w:val="16"/>
                <w:lang w:eastAsia="fr-BE"/>
                <w14:ligatures w14:val="none"/>
              </w:rPr>
              <w:t> </w:t>
            </w:r>
          </w:p>
        </w:tc>
      </w:tr>
      <w:tr w:rsidR="0050200A" w:rsidRPr="0003177C" w14:paraId="44A3FD9F" w14:textId="77777777" w:rsidTr="006A5298">
        <w:trPr>
          <w:trHeight w:val="450"/>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DF40C4"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5DC455E6"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Texture</w:t>
            </w:r>
          </w:p>
        </w:tc>
        <w:tc>
          <w:tcPr>
            <w:tcW w:w="840" w:type="dxa"/>
            <w:tcBorders>
              <w:top w:val="single" w:sz="4" w:space="0" w:color="auto"/>
              <w:left w:val="single" w:sz="4" w:space="0" w:color="auto"/>
              <w:bottom w:val="single" w:sz="4" w:space="0" w:color="auto"/>
              <w:right w:val="single" w:sz="4" w:space="0" w:color="auto"/>
            </w:tcBorders>
            <w:vAlign w:val="center"/>
            <w:hideMark/>
          </w:tcPr>
          <w:p w14:paraId="50204952"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01A9B6CB" w14:textId="77777777" w:rsidR="0050200A" w:rsidRPr="0003177C" w:rsidRDefault="0050200A" w:rsidP="0045117F">
            <w:pPr>
              <w:spacing w:after="0" w:line="240" w:lineRule="auto"/>
              <w:jc w:val="left"/>
              <w:rPr>
                <w:rFonts w:ascii="Aptos Narrow" w:eastAsia="Times New Roman" w:hAnsi="Aptos Narrow" w:cs="Times New Roman"/>
                <w:color w:val="747474"/>
                <w:kern w:val="0"/>
                <w:sz w:val="16"/>
                <w:szCs w:val="16"/>
                <w:lang w:eastAsia="fr-BE"/>
                <w14:ligatures w14:val="none"/>
              </w:rPr>
            </w:pPr>
            <w:r w:rsidRPr="0003177C">
              <w:rPr>
                <w:rFonts w:ascii="Aptos Narrow" w:eastAsia="Times New Roman" w:hAnsi="Aptos Narrow" w:cs="Times New Roman"/>
                <w:color w:val="747474"/>
                <w:kern w:val="0"/>
                <w:sz w:val="16"/>
                <w:szCs w:val="16"/>
                <w:lang w:eastAsia="fr-BE"/>
                <w14:ligatures w14:val="none"/>
              </w:rPr>
              <w:t>Pipet Method - dérivé</w:t>
            </w:r>
          </w:p>
        </w:tc>
        <w:tc>
          <w:tcPr>
            <w:tcW w:w="2181" w:type="dxa"/>
            <w:tcBorders>
              <w:top w:val="single" w:sz="4" w:space="0" w:color="auto"/>
              <w:left w:val="single" w:sz="4" w:space="0" w:color="auto"/>
              <w:bottom w:val="single" w:sz="4" w:space="0" w:color="auto"/>
              <w:right w:val="single" w:sz="4" w:space="0" w:color="auto"/>
            </w:tcBorders>
            <w:vAlign w:val="center"/>
            <w:hideMark/>
          </w:tcPr>
          <w:p w14:paraId="66D641B7" w14:textId="77777777" w:rsidR="0050200A" w:rsidRPr="0003177C" w:rsidRDefault="0050200A" w:rsidP="0045117F">
            <w:pPr>
              <w:spacing w:after="0" w:line="240" w:lineRule="auto"/>
              <w:jc w:val="left"/>
              <w:rPr>
                <w:rFonts w:ascii="Aptos Narrow" w:eastAsia="Times New Roman" w:hAnsi="Aptos Narrow" w:cs="Times New Roman"/>
                <w:color w:val="747474"/>
                <w:kern w:val="0"/>
                <w:sz w:val="16"/>
                <w:szCs w:val="16"/>
                <w:lang w:eastAsia="fr-BE"/>
                <w14:ligatures w14:val="none"/>
              </w:rPr>
            </w:pPr>
            <w:r w:rsidRPr="0003177C">
              <w:rPr>
                <w:rFonts w:ascii="Aptos Narrow" w:eastAsia="Times New Roman" w:hAnsi="Aptos Narrow" w:cs="Times New Roman"/>
                <w:color w:val="747474"/>
                <w:kern w:val="0"/>
                <w:sz w:val="16"/>
                <w:szCs w:val="16"/>
                <w:lang w:eastAsia="fr-BE"/>
                <w14:ligatures w14:val="none"/>
              </w:rPr>
              <w:t>ISO 11277:2020 - Dérivé NF X31-107</w:t>
            </w:r>
          </w:p>
        </w:tc>
      </w:tr>
      <w:tr w:rsidR="0050200A" w:rsidRPr="0003177C" w14:paraId="00B24E4F" w14:textId="77777777" w:rsidTr="006A5298">
        <w:trPr>
          <w:trHeight w:val="407"/>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459088"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21C68E18"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 xml:space="preserve">Matière sèche </w:t>
            </w:r>
          </w:p>
        </w:tc>
        <w:tc>
          <w:tcPr>
            <w:tcW w:w="840" w:type="dxa"/>
            <w:tcBorders>
              <w:top w:val="single" w:sz="4" w:space="0" w:color="auto"/>
              <w:left w:val="single" w:sz="4" w:space="0" w:color="auto"/>
              <w:bottom w:val="single" w:sz="4" w:space="0" w:color="auto"/>
              <w:right w:val="single" w:sz="4" w:space="0" w:color="auto"/>
            </w:tcBorders>
            <w:vAlign w:val="center"/>
            <w:hideMark/>
          </w:tcPr>
          <w:p w14:paraId="5945FCA5"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6CFA1C2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CWEA S-I-3</w:t>
            </w:r>
          </w:p>
        </w:tc>
        <w:tc>
          <w:tcPr>
            <w:tcW w:w="2181" w:type="dxa"/>
            <w:tcBorders>
              <w:top w:val="single" w:sz="4" w:space="0" w:color="auto"/>
              <w:left w:val="single" w:sz="4" w:space="0" w:color="auto"/>
              <w:bottom w:val="single" w:sz="4" w:space="0" w:color="auto"/>
              <w:right w:val="single" w:sz="4" w:space="0" w:color="auto"/>
            </w:tcBorders>
            <w:vAlign w:val="center"/>
            <w:hideMark/>
          </w:tcPr>
          <w:p w14:paraId="52181389"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NBN EN 15934:2012 ; ref CWEA ISO 11465 : 1993 cor 1994</w:t>
            </w:r>
          </w:p>
        </w:tc>
      </w:tr>
      <w:tr w:rsidR="0050200A" w:rsidRPr="0003177C" w14:paraId="12524423"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72D084"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76B62B0C"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eastAsia="Times New Roman" w:hAnsi="Aptos Narrow" w:cs="Times New Roman"/>
                <w:color w:val="000000"/>
                <w:kern w:val="0"/>
                <w:sz w:val="16"/>
                <w:szCs w:val="16"/>
                <w:lang w:eastAsia="fr-BE"/>
                <w14:ligatures w14:val="none"/>
              </w:rPr>
              <w:t>Masse volumique apparente</w:t>
            </w:r>
          </w:p>
        </w:tc>
        <w:tc>
          <w:tcPr>
            <w:tcW w:w="840" w:type="dxa"/>
            <w:tcBorders>
              <w:top w:val="single" w:sz="4" w:space="0" w:color="auto"/>
              <w:left w:val="single" w:sz="4" w:space="0" w:color="auto"/>
              <w:bottom w:val="single" w:sz="4" w:space="0" w:color="auto"/>
              <w:right w:val="single" w:sz="4" w:space="0" w:color="auto"/>
            </w:tcBorders>
            <w:vAlign w:val="center"/>
            <w:hideMark/>
          </w:tcPr>
          <w:p w14:paraId="459E6185"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68101663"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Excavation-remplacement ou Kopecky</w:t>
            </w:r>
          </w:p>
        </w:tc>
        <w:tc>
          <w:tcPr>
            <w:tcW w:w="2181" w:type="dxa"/>
            <w:tcBorders>
              <w:top w:val="single" w:sz="4" w:space="0" w:color="auto"/>
              <w:left w:val="single" w:sz="4" w:space="0" w:color="auto"/>
              <w:bottom w:val="single" w:sz="4" w:space="0" w:color="auto"/>
              <w:right w:val="single" w:sz="4" w:space="0" w:color="auto"/>
            </w:tcBorders>
            <w:vAlign w:val="center"/>
            <w:hideMark/>
          </w:tcPr>
          <w:p w14:paraId="4C37C375"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ISO 11272:2017</w:t>
            </w:r>
          </w:p>
        </w:tc>
      </w:tr>
      <w:tr w:rsidR="0050200A" w:rsidRPr="0003177C" w14:paraId="5C68F22C"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0CA404"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74FD1B38"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Qualité structurale</w:t>
            </w:r>
          </w:p>
        </w:tc>
        <w:tc>
          <w:tcPr>
            <w:tcW w:w="840" w:type="dxa"/>
            <w:tcBorders>
              <w:top w:val="single" w:sz="4" w:space="0" w:color="auto"/>
              <w:left w:val="single" w:sz="4" w:space="0" w:color="auto"/>
              <w:bottom w:val="single" w:sz="4" w:space="0" w:color="auto"/>
              <w:right w:val="single" w:sz="4" w:space="0" w:color="auto"/>
            </w:tcBorders>
            <w:vAlign w:val="center"/>
            <w:hideMark/>
          </w:tcPr>
          <w:p w14:paraId="2D0A3798"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7C038C9F"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Test VESS</w:t>
            </w:r>
          </w:p>
        </w:tc>
        <w:tc>
          <w:tcPr>
            <w:tcW w:w="2181" w:type="dxa"/>
            <w:tcBorders>
              <w:top w:val="single" w:sz="4" w:space="0" w:color="auto"/>
              <w:left w:val="single" w:sz="4" w:space="0" w:color="auto"/>
              <w:bottom w:val="single" w:sz="4" w:space="0" w:color="auto"/>
              <w:right w:val="single" w:sz="4" w:space="0" w:color="auto"/>
            </w:tcBorders>
            <w:vAlign w:val="center"/>
            <w:hideMark/>
          </w:tcPr>
          <w:p w14:paraId="2F3697C3" w14:textId="77777777" w:rsidR="0050200A" w:rsidRPr="0003177C" w:rsidRDefault="0050200A" w:rsidP="0045117F">
            <w:pPr>
              <w:spacing w:after="0" w:line="240" w:lineRule="auto"/>
              <w:jc w:val="left"/>
              <w:rPr>
                <w:rFonts w:ascii="Aptos Narrow" w:eastAsia="Times New Roman" w:hAnsi="Aptos Narrow" w:cs="Times New Roman"/>
                <w:color w:val="FFFFFF"/>
                <w:kern w:val="0"/>
                <w:sz w:val="16"/>
                <w:szCs w:val="16"/>
                <w:lang w:eastAsia="fr-BE"/>
                <w14:ligatures w14:val="none"/>
              </w:rPr>
            </w:pPr>
            <w:r w:rsidRPr="0003177C">
              <w:rPr>
                <w:rFonts w:ascii="Aptos Narrow" w:eastAsia="Times New Roman" w:hAnsi="Aptos Narrow" w:cs="Times New Roman"/>
                <w:color w:val="FFFFFF"/>
                <w:kern w:val="0"/>
                <w:sz w:val="16"/>
                <w:szCs w:val="16"/>
                <w:lang w:eastAsia="fr-BE"/>
                <w14:ligatures w14:val="none"/>
              </w:rPr>
              <w:t> </w:t>
            </w:r>
          </w:p>
        </w:tc>
      </w:tr>
      <w:tr w:rsidR="0050200A" w:rsidRPr="0003177C" w14:paraId="6F758760"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1F7620"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6F0371E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Charge vol. en éléments grossiers</w:t>
            </w:r>
          </w:p>
        </w:tc>
        <w:tc>
          <w:tcPr>
            <w:tcW w:w="840" w:type="dxa"/>
            <w:tcBorders>
              <w:top w:val="single" w:sz="4" w:space="0" w:color="auto"/>
              <w:left w:val="single" w:sz="4" w:space="0" w:color="auto"/>
              <w:bottom w:val="single" w:sz="4" w:space="0" w:color="auto"/>
              <w:right w:val="single" w:sz="4" w:space="0" w:color="auto"/>
            </w:tcBorders>
            <w:vAlign w:val="center"/>
            <w:hideMark/>
          </w:tcPr>
          <w:p w14:paraId="72369C29"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3411D5E5"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0</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47758E"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58FF20B6"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D74FF6"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01233B01"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Taches d’hydromorphie</w:t>
            </w:r>
          </w:p>
        </w:tc>
        <w:tc>
          <w:tcPr>
            <w:tcW w:w="840" w:type="dxa"/>
            <w:tcBorders>
              <w:top w:val="single" w:sz="4" w:space="0" w:color="auto"/>
              <w:left w:val="single" w:sz="4" w:space="0" w:color="auto"/>
              <w:bottom w:val="single" w:sz="4" w:space="0" w:color="auto"/>
              <w:right w:val="single" w:sz="4" w:space="0" w:color="auto"/>
            </w:tcBorders>
            <w:vAlign w:val="center"/>
            <w:hideMark/>
          </w:tcPr>
          <w:p w14:paraId="3F9B5667"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0-100</w:t>
            </w:r>
          </w:p>
        </w:tc>
        <w:tc>
          <w:tcPr>
            <w:tcW w:w="2779" w:type="dxa"/>
            <w:tcBorders>
              <w:top w:val="single" w:sz="4" w:space="0" w:color="auto"/>
              <w:left w:val="single" w:sz="4" w:space="0" w:color="auto"/>
              <w:bottom w:val="single" w:sz="4" w:space="0" w:color="auto"/>
              <w:right w:val="nil"/>
            </w:tcBorders>
            <w:vAlign w:val="center"/>
            <w:hideMark/>
          </w:tcPr>
          <w:p w14:paraId="454E7A5F"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Observation</w:t>
            </w:r>
          </w:p>
        </w:tc>
        <w:tc>
          <w:tcPr>
            <w:tcW w:w="2181" w:type="dxa"/>
            <w:tcBorders>
              <w:top w:val="single" w:sz="4" w:space="0" w:color="auto"/>
              <w:left w:val="single" w:sz="4" w:space="0" w:color="auto"/>
              <w:bottom w:val="single" w:sz="4" w:space="0" w:color="auto"/>
              <w:right w:val="single" w:sz="4" w:space="0" w:color="auto"/>
            </w:tcBorders>
            <w:vAlign w:val="center"/>
            <w:hideMark/>
          </w:tcPr>
          <w:p w14:paraId="6EB9625B" w14:textId="77777777" w:rsidR="0050200A" w:rsidRPr="0003177C" w:rsidRDefault="0050200A" w:rsidP="0045117F">
            <w:pPr>
              <w:spacing w:after="0" w:line="240" w:lineRule="auto"/>
              <w:jc w:val="left"/>
              <w:rPr>
                <w:rFonts w:ascii="Aptos Narrow" w:eastAsia="Times New Roman" w:hAnsi="Aptos Narrow" w:cs="Times New Roman"/>
                <w:color w:val="FFFFFF"/>
                <w:kern w:val="0"/>
                <w:sz w:val="16"/>
                <w:szCs w:val="16"/>
                <w:lang w:eastAsia="fr-BE"/>
                <w14:ligatures w14:val="none"/>
              </w:rPr>
            </w:pPr>
            <w:r w:rsidRPr="0003177C">
              <w:rPr>
                <w:rFonts w:ascii="Aptos Narrow" w:eastAsia="Times New Roman" w:hAnsi="Aptos Narrow" w:cs="Times New Roman"/>
                <w:color w:val="FFFFFF"/>
                <w:kern w:val="0"/>
                <w:sz w:val="16"/>
                <w:szCs w:val="16"/>
                <w:lang w:eastAsia="fr-BE"/>
                <w14:ligatures w14:val="none"/>
              </w:rPr>
              <w:t> </w:t>
            </w:r>
          </w:p>
        </w:tc>
      </w:tr>
      <w:tr w:rsidR="0050200A" w:rsidRPr="0003177C" w14:paraId="593FFEC1" w14:textId="77777777" w:rsidTr="006A5298">
        <w:trPr>
          <w:trHeight w:val="450"/>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96D66F"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0BAD44E2"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Ksat</w:t>
            </w:r>
          </w:p>
        </w:tc>
        <w:tc>
          <w:tcPr>
            <w:tcW w:w="840" w:type="dxa"/>
            <w:tcBorders>
              <w:top w:val="single" w:sz="4" w:space="0" w:color="auto"/>
              <w:left w:val="single" w:sz="4" w:space="0" w:color="auto"/>
              <w:bottom w:val="single" w:sz="4" w:space="0" w:color="auto"/>
              <w:right w:val="single" w:sz="4" w:space="0" w:color="auto"/>
            </w:tcBorders>
            <w:vAlign w:val="center"/>
            <w:hideMark/>
          </w:tcPr>
          <w:p w14:paraId="11383C70"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35736037"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 xml:space="preserve">In-situ (Porchet) ou </w:t>
            </w:r>
            <w:r w:rsidRPr="0003177C">
              <w:rPr>
                <w:rFonts w:ascii="Aptos Narrow" w:eastAsia="Times New Roman" w:hAnsi="Aptos Narrow" w:cs="Times New Roman"/>
                <w:i/>
                <w:iCs/>
                <w:color w:val="000000"/>
                <w:kern w:val="0"/>
                <w:sz w:val="16"/>
                <w:szCs w:val="16"/>
                <w:lang w:eastAsia="fr-BE"/>
                <w14:ligatures w14:val="none"/>
              </w:rPr>
              <w:t>labo</w:t>
            </w:r>
          </w:p>
        </w:tc>
        <w:tc>
          <w:tcPr>
            <w:tcW w:w="2181" w:type="dxa"/>
            <w:tcBorders>
              <w:top w:val="single" w:sz="4" w:space="0" w:color="auto"/>
              <w:left w:val="single" w:sz="4" w:space="0" w:color="auto"/>
              <w:bottom w:val="single" w:sz="4" w:space="0" w:color="auto"/>
              <w:right w:val="single" w:sz="4" w:space="0" w:color="auto"/>
            </w:tcBorders>
            <w:vAlign w:val="center"/>
            <w:hideMark/>
          </w:tcPr>
          <w:p w14:paraId="263EFB6B" w14:textId="77777777" w:rsidR="0050200A" w:rsidRPr="0003177C" w:rsidRDefault="0050200A" w:rsidP="0045117F">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03177C">
              <w:rPr>
                <w:rFonts w:ascii="Aptos Narrow" w:eastAsia="Times New Roman" w:hAnsi="Aptos Narrow" w:cs="Times New Roman"/>
                <w:i/>
                <w:iCs/>
                <w:color w:val="000000"/>
                <w:kern w:val="0"/>
                <w:sz w:val="16"/>
                <w:szCs w:val="16"/>
                <w:lang w:eastAsia="fr-BE"/>
                <w14:ligatures w14:val="none"/>
              </w:rPr>
              <w:t>ISO 17313</w:t>
            </w:r>
          </w:p>
        </w:tc>
      </w:tr>
      <w:tr w:rsidR="0050200A" w:rsidRPr="0003177C" w14:paraId="77CB314B" w14:textId="77777777" w:rsidTr="006A5298">
        <w:trPr>
          <w:trHeight w:val="450"/>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1D0583"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7F692C6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Texture</w:t>
            </w:r>
          </w:p>
        </w:tc>
        <w:tc>
          <w:tcPr>
            <w:tcW w:w="840" w:type="dxa"/>
            <w:tcBorders>
              <w:top w:val="single" w:sz="4" w:space="0" w:color="auto"/>
              <w:left w:val="single" w:sz="4" w:space="0" w:color="auto"/>
              <w:bottom w:val="single" w:sz="4" w:space="0" w:color="auto"/>
              <w:right w:val="single" w:sz="4" w:space="0" w:color="auto"/>
            </w:tcBorders>
            <w:vAlign w:val="center"/>
            <w:hideMark/>
          </w:tcPr>
          <w:p w14:paraId="00DA80DC"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30-50</w:t>
            </w:r>
          </w:p>
        </w:tc>
        <w:tc>
          <w:tcPr>
            <w:tcW w:w="2779" w:type="dxa"/>
            <w:tcBorders>
              <w:top w:val="single" w:sz="4" w:space="0" w:color="auto"/>
              <w:left w:val="single" w:sz="4" w:space="0" w:color="auto"/>
              <w:bottom w:val="single" w:sz="4" w:space="0" w:color="auto"/>
              <w:right w:val="nil"/>
            </w:tcBorders>
            <w:vAlign w:val="center"/>
            <w:hideMark/>
          </w:tcPr>
          <w:p w14:paraId="598E2600" w14:textId="77777777" w:rsidR="0050200A" w:rsidRPr="0003177C" w:rsidRDefault="0050200A" w:rsidP="0045117F">
            <w:pPr>
              <w:spacing w:after="0" w:line="240" w:lineRule="auto"/>
              <w:jc w:val="left"/>
              <w:rPr>
                <w:rFonts w:ascii="Aptos Narrow" w:eastAsia="Times New Roman" w:hAnsi="Aptos Narrow" w:cs="Times New Roman"/>
                <w:color w:val="747474"/>
                <w:kern w:val="0"/>
                <w:sz w:val="16"/>
                <w:szCs w:val="16"/>
                <w:lang w:eastAsia="fr-BE"/>
                <w14:ligatures w14:val="none"/>
              </w:rPr>
            </w:pPr>
            <w:r w:rsidRPr="0003177C">
              <w:rPr>
                <w:rFonts w:ascii="Aptos Narrow" w:eastAsia="Times New Roman" w:hAnsi="Aptos Narrow" w:cs="Times New Roman"/>
                <w:color w:val="747474"/>
                <w:kern w:val="0"/>
                <w:sz w:val="16"/>
                <w:szCs w:val="16"/>
                <w:lang w:eastAsia="fr-BE"/>
                <w14:ligatures w14:val="none"/>
              </w:rPr>
              <w:t>Pipet Method - dérivé</w:t>
            </w:r>
          </w:p>
        </w:tc>
        <w:tc>
          <w:tcPr>
            <w:tcW w:w="2181" w:type="dxa"/>
            <w:tcBorders>
              <w:top w:val="single" w:sz="4" w:space="0" w:color="auto"/>
              <w:left w:val="single" w:sz="4" w:space="0" w:color="auto"/>
              <w:bottom w:val="single" w:sz="4" w:space="0" w:color="auto"/>
              <w:right w:val="single" w:sz="4" w:space="0" w:color="auto"/>
            </w:tcBorders>
            <w:vAlign w:val="center"/>
            <w:hideMark/>
          </w:tcPr>
          <w:p w14:paraId="3D54C30A" w14:textId="77777777" w:rsidR="0050200A" w:rsidRPr="0003177C" w:rsidRDefault="0050200A" w:rsidP="0045117F">
            <w:pPr>
              <w:spacing w:after="0" w:line="240" w:lineRule="auto"/>
              <w:jc w:val="left"/>
              <w:rPr>
                <w:rFonts w:ascii="Aptos Narrow" w:eastAsia="Times New Roman" w:hAnsi="Aptos Narrow" w:cs="Times New Roman"/>
                <w:color w:val="747474"/>
                <w:kern w:val="0"/>
                <w:sz w:val="16"/>
                <w:szCs w:val="16"/>
                <w:lang w:eastAsia="fr-BE"/>
                <w14:ligatures w14:val="none"/>
              </w:rPr>
            </w:pPr>
            <w:r w:rsidRPr="0003177C">
              <w:rPr>
                <w:rFonts w:ascii="Aptos Narrow" w:eastAsia="Times New Roman" w:hAnsi="Aptos Narrow" w:cs="Times New Roman"/>
                <w:color w:val="747474"/>
                <w:kern w:val="0"/>
                <w:sz w:val="16"/>
                <w:szCs w:val="16"/>
                <w:lang w:eastAsia="fr-BE"/>
                <w14:ligatures w14:val="none"/>
              </w:rPr>
              <w:t>ISO 11277:2020 - Dérivé NF X31-107</w:t>
            </w:r>
          </w:p>
        </w:tc>
      </w:tr>
      <w:tr w:rsidR="0050200A" w:rsidRPr="0003177C" w14:paraId="616F2D21"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2F0235"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2B747DC0"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Capacité de rétention d'eau</w:t>
            </w:r>
          </w:p>
        </w:tc>
        <w:tc>
          <w:tcPr>
            <w:tcW w:w="840" w:type="dxa"/>
            <w:tcBorders>
              <w:top w:val="single" w:sz="4" w:space="0" w:color="auto"/>
              <w:left w:val="single" w:sz="4" w:space="0" w:color="auto"/>
              <w:bottom w:val="single" w:sz="4" w:space="0" w:color="auto"/>
              <w:right w:val="single" w:sz="4" w:space="0" w:color="auto"/>
            </w:tcBorders>
            <w:vAlign w:val="center"/>
            <w:hideMark/>
          </w:tcPr>
          <w:p w14:paraId="2F090811"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08873B70"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 xml:space="preserve">PTF ou </w:t>
            </w:r>
            <w:r w:rsidRPr="0003177C">
              <w:rPr>
                <w:rFonts w:ascii="Aptos Narrow" w:eastAsia="Times New Roman" w:hAnsi="Aptos Narrow" w:cs="Times New Roman"/>
                <w:i/>
                <w:iCs/>
                <w:color w:val="000000"/>
                <w:kern w:val="0"/>
                <w:sz w:val="16"/>
                <w:szCs w:val="16"/>
                <w:lang w:eastAsia="fr-BE"/>
                <w14:ligatures w14:val="none"/>
              </w:rPr>
              <w:t>labo</w:t>
            </w:r>
          </w:p>
        </w:tc>
        <w:tc>
          <w:tcPr>
            <w:tcW w:w="2181" w:type="dxa"/>
            <w:tcBorders>
              <w:top w:val="single" w:sz="4" w:space="0" w:color="auto"/>
              <w:left w:val="single" w:sz="4" w:space="0" w:color="auto"/>
              <w:bottom w:val="single" w:sz="4" w:space="0" w:color="auto"/>
              <w:right w:val="single" w:sz="4" w:space="0" w:color="auto"/>
            </w:tcBorders>
            <w:vAlign w:val="center"/>
            <w:hideMark/>
          </w:tcPr>
          <w:p w14:paraId="46FFE133" w14:textId="77777777" w:rsidR="0050200A" w:rsidRPr="0003177C" w:rsidRDefault="0050200A" w:rsidP="0045117F">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03177C">
              <w:rPr>
                <w:rFonts w:ascii="Aptos Narrow" w:eastAsia="Times New Roman" w:hAnsi="Aptos Narrow" w:cs="Times New Roman"/>
                <w:i/>
                <w:iCs/>
                <w:color w:val="000000"/>
                <w:kern w:val="0"/>
                <w:sz w:val="16"/>
                <w:szCs w:val="16"/>
                <w:lang w:eastAsia="fr-BE"/>
                <w14:ligatures w14:val="none"/>
              </w:rPr>
              <w:t>ISO 11274</w:t>
            </w:r>
          </w:p>
        </w:tc>
      </w:tr>
      <w:tr w:rsidR="0050200A" w:rsidRPr="0003177C" w14:paraId="5E70E06C"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232F65"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3DDDF874"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Résistance à la pénétration</w:t>
            </w:r>
          </w:p>
        </w:tc>
        <w:tc>
          <w:tcPr>
            <w:tcW w:w="840" w:type="dxa"/>
            <w:tcBorders>
              <w:top w:val="single" w:sz="4" w:space="0" w:color="auto"/>
              <w:left w:val="single" w:sz="4" w:space="0" w:color="auto"/>
              <w:bottom w:val="single" w:sz="4" w:space="0" w:color="auto"/>
              <w:right w:val="single" w:sz="4" w:space="0" w:color="auto"/>
            </w:tcBorders>
            <w:vAlign w:val="center"/>
            <w:hideMark/>
          </w:tcPr>
          <w:p w14:paraId="07914DEA"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0-100</w:t>
            </w:r>
          </w:p>
        </w:tc>
        <w:tc>
          <w:tcPr>
            <w:tcW w:w="2779" w:type="dxa"/>
            <w:tcBorders>
              <w:top w:val="single" w:sz="4" w:space="0" w:color="auto"/>
              <w:left w:val="single" w:sz="4" w:space="0" w:color="auto"/>
              <w:bottom w:val="single" w:sz="4" w:space="0" w:color="auto"/>
              <w:right w:val="nil"/>
            </w:tcBorders>
            <w:vAlign w:val="center"/>
            <w:hideMark/>
          </w:tcPr>
          <w:p w14:paraId="6C66CBCB"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Tige pénétrométrique</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A51705"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570BA2D1"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5E859F"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P</w:t>
            </w:r>
          </w:p>
        </w:tc>
        <w:tc>
          <w:tcPr>
            <w:tcW w:w="2901" w:type="dxa"/>
            <w:tcBorders>
              <w:top w:val="single" w:sz="4" w:space="0" w:color="auto"/>
              <w:left w:val="single" w:sz="4" w:space="0" w:color="auto"/>
              <w:bottom w:val="single" w:sz="4" w:space="0" w:color="auto"/>
              <w:right w:val="single" w:sz="4" w:space="0" w:color="auto"/>
            </w:tcBorders>
            <w:vAlign w:val="center"/>
            <w:hideMark/>
          </w:tcPr>
          <w:p w14:paraId="6438FE4D"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Stabilité des agrégats</w:t>
            </w:r>
          </w:p>
        </w:tc>
        <w:tc>
          <w:tcPr>
            <w:tcW w:w="840" w:type="dxa"/>
            <w:tcBorders>
              <w:top w:val="single" w:sz="4" w:space="0" w:color="auto"/>
              <w:left w:val="single" w:sz="4" w:space="0" w:color="auto"/>
              <w:bottom w:val="single" w:sz="4" w:space="0" w:color="auto"/>
              <w:right w:val="single" w:sz="4" w:space="0" w:color="auto"/>
            </w:tcBorders>
            <w:vAlign w:val="center"/>
            <w:hideMark/>
          </w:tcPr>
          <w:p w14:paraId="7980AC22"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0-5</w:t>
            </w:r>
          </w:p>
        </w:tc>
        <w:tc>
          <w:tcPr>
            <w:tcW w:w="2779" w:type="dxa"/>
            <w:tcBorders>
              <w:top w:val="single" w:sz="4" w:space="0" w:color="auto"/>
              <w:left w:val="single" w:sz="4" w:space="0" w:color="auto"/>
              <w:bottom w:val="single" w:sz="4" w:space="0" w:color="auto"/>
              <w:right w:val="nil"/>
            </w:tcBorders>
            <w:vAlign w:val="center"/>
            <w:hideMark/>
          </w:tcPr>
          <w:p w14:paraId="58587E39"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QuantiSlake Test</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EF43DF"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08008F0D"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721FD6"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593C54D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P disponible</w:t>
            </w:r>
          </w:p>
        </w:tc>
        <w:tc>
          <w:tcPr>
            <w:tcW w:w="840" w:type="dxa"/>
            <w:tcBorders>
              <w:top w:val="single" w:sz="4" w:space="0" w:color="auto"/>
              <w:left w:val="single" w:sz="4" w:space="0" w:color="auto"/>
              <w:bottom w:val="single" w:sz="4" w:space="0" w:color="auto"/>
              <w:right w:val="single" w:sz="4" w:space="0" w:color="auto"/>
            </w:tcBorders>
            <w:vAlign w:val="center"/>
            <w:hideMark/>
          </w:tcPr>
          <w:p w14:paraId="7A90B9DD"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1D373EBC"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eastAsia="Times New Roman" w:hAnsi="Aptos Narrow" w:cs="Times New Roman"/>
                <w:color w:val="000000"/>
                <w:kern w:val="0"/>
                <w:sz w:val="16"/>
                <w:szCs w:val="16"/>
                <w:lang w:eastAsia="fr-BE"/>
                <w14:ligatures w14:val="none"/>
              </w:rPr>
              <w:t>Lakanen</w:t>
            </w:r>
            <w:r w:rsidRPr="0003177C">
              <w:rPr>
                <w:rFonts w:ascii="Aptos Narrow" w:eastAsia="Times New Roman" w:hAnsi="Aptos Narrow" w:cs="Times New Roman"/>
                <w:color w:val="000000"/>
                <w:kern w:val="0"/>
                <w:sz w:val="16"/>
                <w:szCs w:val="16"/>
                <w:lang w:eastAsia="fr-BE"/>
                <w14:ligatures w14:val="none"/>
              </w:rPr>
              <w:t>-Erviö (EDTA)</w:t>
            </w:r>
          </w:p>
        </w:tc>
        <w:tc>
          <w:tcPr>
            <w:tcW w:w="2181" w:type="dxa"/>
            <w:tcBorders>
              <w:top w:val="single" w:sz="4" w:space="0" w:color="auto"/>
              <w:left w:val="single" w:sz="4" w:space="0" w:color="auto"/>
              <w:bottom w:val="single" w:sz="4" w:space="0" w:color="auto"/>
              <w:right w:val="single" w:sz="4" w:space="0" w:color="auto"/>
            </w:tcBorders>
            <w:vAlign w:val="center"/>
            <w:hideMark/>
          </w:tcPr>
          <w:p w14:paraId="6B6E780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CWEA SII-12</w:t>
            </w:r>
          </w:p>
        </w:tc>
      </w:tr>
      <w:tr w:rsidR="0050200A" w:rsidRPr="0003177C" w14:paraId="5E6A6196"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7C90CF"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7DCC19A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K, Mg, Ca disponibles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1A02292A"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5FF1FAF6"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eastAsia="Times New Roman" w:hAnsi="Aptos Narrow" w:cs="Times New Roman"/>
                <w:color w:val="000000"/>
                <w:kern w:val="0"/>
                <w:sz w:val="16"/>
                <w:szCs w:val="16"/>
                <w:lang w:eastAsia="fr-BE"/>
                <w14:ligatures w14:val="none"/>
              </w:rPr>
              <w:t>Lakanen</w:t>
            </w:r>
            <w:r w:rsidRPr="0003177C">
              <w:rPr>
                <w:rFonts w:ascii="Aptos Narrow" w:eastAsia="Times New Roman" w:hAnsi="Aptos Narrow" w:cs="Times New Roman"/>
                <w:color w:val="000000"/>
                <w:kern w:val="0"/>
                <w:sz w:val="16"/>
                <w:szCs w:val="16"/>
                <w:lang w:eastAsia="fr-BE"/>
                <w14:ligatures w14:val="none"/>
              </w:rPr>
              <w:t>-Erviö (EDTA)</w:t>
            </w:r>
          </w:p>
        </w:tc>
        <w:tc>
          <w:tcPr>
            <w:tcW w:w="2181" w:type="dxa"/>
            <w:tcBorders>
              <w:top w:val="single" w:sz="4" w:space="0" w:color="auto"/>
              <w:left w:val="single" w:sz="4" w:space="0" w:color="auto"/>
              <w:bottom w:val="single" w:sz="4" w:space="0" w:color="auto"/>
              <w:right w:val="single" w:sz="4" w:space="0" w:color="auto"/>
            </w:tcBorders>
            <w:vAlign w:val="center"/>
            <w:hideMark/>
          </w:tcPr>
          <w:p w14:paraId="61358CE0"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CWEA SII-12</w:t>
            </w:r>
          </w:p>
        </w:tc>
      </w:tr>
      <w:tr w:rsidR="0050200A" w:rsidRPr="0003177C" w14:paraId="4E2BE2FC"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2EAD21"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43B4AB92"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CEC effective</w:t>
            </w:r>
          </w:p>
        </w:tc>
        <w:tc>
          <w:tcPr>
            <w:tcW w:w="840" w:type="dxa"/>
            <w:tcBorders>
              <w:top w:val="single" w:sz="4" w:space="0" w:color="auto"/>
              <w:left w:val="single" w:sz="4" w:space="0" w:color="auto"/>
              <w:bottom w:val="single" w:sz="4" w:space="0" w:color="auto"/>
              <w:right w:val="single" w:sz="4" w:space="0" w:color="auto"/>
            </w:tcBorders>
            <w:vAlign w:val="center"/>
            <w:hideMark/>
          </w:tcPr>
          <w:p w14:paraId="0526DF0D"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3F47B57D"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Cobaltihexamine</w:t>
            </w:r>
          </w:p>
        </w:tc>
        <w:tc>
          <w:tcPr>
            <w:tcW w:w="2181" w:type="dxa"/>
            <w:tcBorders>
              <w:top w:val="single" w:sz="4" w:space="0" w:color="auto"/>
              <w:left w:val="single" w:sz="4" w:space="0" w:color="auto"/>
              <w:bottom w:val="single" w:sz="4" w:space="0" w:color="auto"/>
              <w:right w:val="single" w:sz="4" w:space="0" w:color="auto"/>
            </w:tcBorders>
            <w:vAlign w:val="center"/>
            <w:hideMark/>
          </w:tcPr>
          <w:p w14:paraId="3D0A45F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ISO 23470:2018</w:t>
            </w:r>
          </w:p>
        </w:tc>
      </w:tr>
      <w:tr w:rsidR="0050200A" w:rsidRPr="0003177C" w14:paraId="4C1D6C58"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AFC2DB"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65D2EED9"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 org</w:t>
            </w:r>
          </w:p>
        </w:tc>
        <w:tc>
          <w:tcPr>
            <w:tcW w:w="840" w:type="dxa"/>
            <w:tcBorders>
              <w:top w:val="single" w:sz="4" w:space="0" w:color="auto"/>
              <w:left w:val="single" w:sz="4" w:space="0" w:color="auto"/>
              <w:bottom w:val="single" w:sz="4" w:space="0" w:color="auto"/>
              <w:right w:val="single" w:sz="4" w:space="0" w:color="auto"/>
            </w:tcBorders>
            <w:vAlign w:val="center"/>
            <w:hideMark/>
          </w:tcPr>
          <w:p w14:paraId="6821E9E0"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7816178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Observation</w:t>
            </w:r>
          </w:p>
        </w:tc>
        <w:tc>
          <w:tcPr>
            <w:tcW w:w="2181" w:type="dxa"/>
            <w:tcBorders>
              <w:top w:val="single" w:sz="4" w:space="0" w:color="auto"/>
              <w:left w:val="single" w:sz="4" w:space="0" w:color="auto"/>
              <w:bottom w:val="single" w:sz="4" w:space="0" w:color="auto"/>
              <w:right w:val="single" w:sz="4" w:space="0" w:color="auto"/>
            </w:tcBorders>
            <w:vAlign w:val="center"/>
            <w:hideMark/>
          </w:tcPr>
          <w:p w14:paraId="029292FC"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ISO 10694:1995</w:t>
            </w:r>
          </w:p>
        </w:tc>
      </w:tr>
      <w:tr w:rsidR="0050200A" w:rsidRPr="0003177C" w14:paraId="24305D4D"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D2388D"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5ED035C3"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N total</w:t>
            </w:r>
          </w:p>
        </w:tc>
        <w:tc>
          <w:tcPr>
            <w:tcW w:w="840" w:type="dxa"/>
            <w:tcBorders>
              <w:top w:val="single" w:sz="4" w:space="0" w:color="auto"/>
              <w:left w:val="single" w:sz="4" w:space="0" w:color="auto"/>
              <w:bottom w:val="single" w:sz="4" w:space="0" w:color="auto"/>
              <w:right w:val="single" w:sz="4" w:space="0" w:color="auto"/>
            </w:tcBorders>
            <w:vAlign w:val="center"/>
            <w:hideMark/>
          </w:tcPr>
          <w:p w14:paraId="74AB710C"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701CD92F"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Combustion sèche</w:t>
            </w:r>
          </w:p>
        </w:tc>
        <w:tc>
          <w:tcPr>
            <w:tcW w:w="2181" w:type="dxa"/>
            <w:tcBorders>
              <w:top w:val="single" w:sz="4" w:space="0" w:color="auto"/>
              <w:left w:val="single" w:sz="4" w:space="0" w:color="auto"/>
              <w:bottom w:val="single" w:sz="4" w:space="0" w:color="auto"/>
              <w:right w:val="single" w:sz="4" w:space="0" w:color="auto"/>
            </w:tcBorders>
            <w:vAlign w:val="center"/>
            <w:hideMark/>
          </w:tcPr>
          <w:p w14:paraId="1DC4DBC9"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ISO 10694:1995</w:t>
            </w:r>
          </w:p>
        </w:tc>
      </w:tr>
      <w:tr w:rsidR="0050200A" w:rsidRPr="0003177C" w14:paraId="75810533"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781E0C"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1125B2B7"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pH KCl</w:t>
            </w:r>
          </w:p>
        </w:tc>
        <w:tc>
          <w:tcPr>
            <w:tcW w:w="840" w:type="dxa"/>
            <w:tcBorders>
              <w:top w:val="single" w:sz="4" w:space="0" w:color="auto"/>
              <w:left w:val="single" w:sz="4" w:space="0" w:color="auto"/>
              <w:bottom w:val="single" w:sz="4" w:space="0" w:color="auto"/>
              <w:right w:val="single" w:sz="4" w:space="0" w:color="auto"/>
            </w:tcBorders>
            <w:vAlign w:val="center"/>
            <w:hideMark/>
          </w:tcPr>
          <w:p w14:paraId="6E45CFCC"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0741C398"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Ratio massique sol:solution 1:6</w:t>
            </w:r>
          </w:p>
        </w:tc>
        <w:tc>
          <w:tcPr>
            <w:tcW w:w="2181" w:type="dxa"/>
            <w:tcBorders>
              <w:top w:val="single" w:sz="4" w:space="0" w:color="auto"/>
              <w:left w:val="single" w:sz="4" w:space="0" w:color="auto"/>
              <w:bottom w:val="single" w:sz="4" w:space="0" w:color="auto"/>
              <w:right w:val="single" w:sz="4" w:space="0" w:color="auto"/>
            </w:tcBorders>
            <w:vAlign w:val="center"/>
            <w:hideMark/>
          </w:tcPr>
          <w:p w14:paraId="00F942B7"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ISO 10390:2021</w:t>
            </w:r>
          </w:p>
        </w:tc>
      </w:tr>
      <w:tr w:rsidR="0050200A" w:rsidRPr="0003177C" w14:paraId="1C096CC9"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B1617F"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3CF64723"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Conductivité électrique</w:t>
            </w:r>
          </w:p>
        </w:tc>
        <w:tc>
          <w:tcPr>
            <w:tcW w:w="840" w:type="dxa"/>
            <w:tcBorders>
              <w:top w:val="single" w:sz="4" w:space="0" w:color="auto"/>
              <w:left w:val="single" w:sz="4" w:space="0" w:color="auto"/>
              <w:bottom w:val="single" w:sz="4" w:space="0" w:color="auto"/>
              <w:right w:val="single" w:sz="4" w:space="0" w:color="auto"/>
            </w:tcBorders>
            <w:vAlign w:val="center"/>
            <w:hideMark/>
          </w:tcPr>
          <w:p w14:paraId="4F13E93F"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single" w:sz="4" w:space="0" w:color="auto"/>
            </w:tcBorders>
            <w:vAlign w:val="center"/>
            <w:hideMark/>
          </w:tcPr>
          <w:p w14:paraId="49E8066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Extrait de pâte saturée</w:t>
            </w:r>
          </w:p>
        </w:tc>
        <w:tc>
          <w:tcPr>
            <w:tcW w:w="2181" w:type="dxa"/>
            <w:tcBorders>
              <w:top w:val="single" w:sz="4" w:space="0" w:color="auto"/>
              <w:left w:val="single" w:sz="4" w:space="0" w:color="auto"/>
              <w:bottom w:val="single" w:sz="4" w:space="0" w:color="auto"/>
              <w:right w:val="single" w:sz="4" w:space="0" w:color="auto"/>
            </w:tcBorders>
            <w:noWrap/>
            <w:vAlign w:val="center"/>
            <w:hideMark/>
          </w:tcPr>
          <w:p w14:paraId="654B7D0E" w14:textId="77777777" w:rsidR="0050200A" w:rsidRPr="0003177C" w:rsidRDefault="0050200A" w:rsidP="0045117F">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03177C">
              <w:rPr>
                <w:rFonts w:ascii="Aptos Narrow" w:eastAsia="Times New Roman" w:hAnsi="Aptos Narrow" w:cs="Times New Roman"/>
                <w:i/>
                <w:iCs/>
                <w:color w:val="000000"/>
                <w:kern w:val="0"/>
                <w:sz w:val="16"/>
                <w:szCs w:val="16"/>
                <w:lang w:eastAsia="fr-BE"/>
                <w14:ligatures w14:val="none"/>
              </w:rPr>
              <w:t>ISO 11260:1994</w:t>
            </w:r>
          </w:p>
        </w:tc>
      </w:tr>
      <w:tr w:rsidR="0050200A" w:rsidRPr="0003177C" w14:paraId="4ECB7524" w14:textId="77777777" w:rsidTr="006A5298">
        <w:trPr>
          <w:trHeight w:val="450"/>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9F27AC"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64C1C45A"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Signes de pollution</w:t>
            </w:r>
          </w:p>
        </w:tc>
        <w:tc>
          <w:tcPr>
            <w:tcW w:w="840" w:type="dxa"/>
            <w:tcBorders>
              <w:top w:val="single" w:sz="4" w:space="0" w:color="auto"/>
              <w:left w:val="single" w:sz="4" w:space="0" w:color="auto"/>
              <w:bottom w:val="single" w:sz="4" w:space="0" w:color="auto"/>
              <w:right w:val="single" w:sz="4" w:space="0" w:color="auto"/>
            </w:tcBorders>
            <w:vAlign w:val="center"/>
            <w:hideMark/>
          </w:tcPr>
          <w:p w14:paraId="7896ACD9"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single" w:sz="4" w:space="0" w:color="auto"/>
            </w:tcBorders>
            <w:vAlign w:val="center"/>
            <w:hideMark/>
          </w:tcPr>
          <w:p w14:paraId="47720036"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Observation terrain (indices organoleptiques, matériaux suspects)</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7EE95C"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0C2B0946" w14:textId="77777777" w:rsidTr="006A5298">
        <w:trPr>
          <w:trHeight w:val="311"/>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59D6B1"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078E44BB"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Polluants : ETM</w:t>
            </w:r>
          </w:p>
        </w:tc>
        <w:tc>
          <w:tcPr>
            <w:tcW w:w="840" w:type="dxa"/>
            <w:tcBorders>
              <w:top w:val="single" w:sz="4" w:space="0" w:color="auto"/>
              <w:left w:val="single" w:sz="4" w:space="0" w:color="auto"/>
              <w:bottom w:val="single" w:sz="4" w:space="0" w:color="auto"/>
              <w:right w:val="single" w:sz="4" w:space="0" w:color="auto"/>
            </w:tcBorders>
            <w:vAlign w:val="center"/>
            <w:hideMark/>
          </w:tcPr>
          <w:p w14:paraId="77EF7A4B"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39339093" w14:textId="77777777" w:rsidR="0050200A" w:rsidRPr="0003177C" w:rsidRDefault="0050200A" w:rsidP="0045117F">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03177C">
              <w:rPr>
                <w:rFonts w:ascii="Aptos Narrow" w:eastAsia="Times New Roman" w:hAnsi="Aptos Narrow" w:cs="Times New Roman"/>
                <w:i/>
                <w:iCs/>
                <w:color w:val="000000"/>
                <w:kern w:val="0"/>
                <w:sz w:val="16"/>
                <w:szCs w:val="16"/>
                <w:lang w:eastAsia="fr-BE"/>
                <w14:ligatures w14:val="none"/>
              </w:rPr>
              <w:t>CWEA S-III (eau régale)</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3E1EAA"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26533E74" w14:textId="77777777" w:rsidTr="006A5298">
        <w:trPr>
          <w:trHeight w:val="27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0F67AB"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6C08EF86"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Polluants : HM, HAP, BTEX, (HCOV)</w:t>
            </w:r>
          </w:p>
        </w:tc>
        <w:tc>
          <w:tcPr>
            <w:tcW w:w="840" w:type="dxa"/>
            <w:tcBorders>
              <w:top w:val="single" w:sz="4" w:space="0" w:color="auto"/>
              <w:left w:val="single" w:sz="4" w:space="0" w:color="auto"/>
              <w:bottom w:val="single" w:sz="4" w:space="0" w:color="auto"/>
              <w:right w:val="single" w:sz="4" w:space="0" w:color="auto"/>
            </w:tcBorders>
            <w:vAlign w:val="center"/>
            <w:hideMark/>
          </w:tcPr>
          <w:p w14:paraId="2DD9D0CE"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182C42AF" w14:textId="77777777" w:rsidR="0050200A" w:rsidRPr="0003177C" w:rsidRDefault="0050200A" w:rsidP="0045117F">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03177C">
              <w:rPr>
                <w:rFonts w:ascii="Aptos Narrow" w:eastAsia="Times New Roman" w:hAnsi="Aptos Narrow" w:cs="Times New Roman"/>
                <w:i/>
                <w:iCs/>
                <w:color w:val="000000"/>
                <w:kern w:val="0"/>
                <w:sz w:val="16"/>
                <w:szCs w:val="16"/>
                <w:lang w:eastAsia="fr-BE"/>
                <w14:ligatures w14:val="none"/>
              </w:rPr>
              <w:t>CWEA S-II (chromatographie en phase gazeuse)</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06F0DD"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61B9E44E" w14:textId="77777777" w:rsidTr="006A5298">
        <w:trPr>
          <w:trHeight w:val="450"/>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8FBED5"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C</w:t>
            </w:r>
          </w:p>
        </w:tc>
        <w:tc>
          <w:tcPr>
            <w:tcW w:w="2901" w:type="dxa"/>
            <w:tcBorders>
              <w:top w:val="single" w:sz="4" w:space="0" w:color="auto"/>
              <w:left w:val="single" w:sz="4" w:space="0" w:color="auto"/>
              <w:bottom w:val="single" w:sz="4" w:space="0" w:color="auto"/>
              <w:right w:val="single" w:sz="4" w:space="0" w:color="auto"/>
            </w:tcBorders>
            <w:vAlign w:val="center"/>
            <w:hideMark/>
          </w:tcPr>
          <w:p w14:paraId="3F98D14A"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Polluants émergents (PFAS etc) et substances actives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64A1CA8A"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2DE3F4FD" w14:textId="77777777" w:rsidR="0050200A" w:rsidRPr="0003177C" w:rsidRDefault="0050200A" w:rsidP="0045117F">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03177C">
              <w:rPr>
                <w:rFonts w:ascii="Aptos Narrow" w:eastAsia="Times New Roman" w:hAnsi="Aptos Narrow" w:cs="Times New Roman"/>
                <w:i/>
                <w:iCs/>
                <w:color w:val="000000"/>
                <w:kern w:val="0"/>
                <w:sz w:val="16"/>
                <w:szCs w:val="16"/>
                <w:lang w:eastAsia="fr-BE"/>
                <w14:ligatures w14:val="none"/>
              </w:rPr>
              <w:t>CWEA S-III</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3A541F"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13B3F661"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786345"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B</w:t>
            </w:r>
          </w:p>
        </w:tc>
        <w:tc>
          <w:tcPr>
            <w:tcW w:w="2901" w:type="dxa"/>
            <w:tcBorders>
              <w:top w:val="single" w:sz="4" w:space="0" w:color="auto"/>
              <w:left w:val="single" w:sz="4" w:space="0" w:color="auto"/>
              <w:bottom w:val="single" w:sz="4" w:space="0" w:color="auto"/>
              <w:right w:val="single" w:sz="4" w:space="0" w:color="auto"/>
            </w:tcBorders>
            <w:vAlign w:val="center"/>
            <w:hideMark/>
          </w:tcPr>
          <w:p w14:paraId="2C852D3A"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Biomasse microbienne</w:t>
            </w:r>
          </w:p>
        </w:tc>
        <w:tc>
          <w:tcPr>
            <w:tcW w:w="840" w:type="dxa"/>
            <w:tcBorders>
              <w:top w:val="single" w:sz="4" w:space="0" w:color="auto"/>
              <w:left w:val="single" w:sz="4" w:space="0" w:color="auto"/>
              <w:bottom w:val="single" w:sz="4" w:space="0" w:color="auto"/>
              <w:right w:val="single" w:sz="4" w:space="0" w:color="auto"/>
            </w:tcBorders>
            <w:vAlign w:val="center"/>
            <w:hideMark/>
          </w:tcPr>
          <w:p w14:paraId="0C24D7C6"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7C768844"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Fumigation au chloroforme</w:t>
            </w:r>
          </w:p>
        </w:tc>
        <w:tc>
          <w:tcPr>
            <w:tcW w:w="2181" w:type="dxa"/>
            <w:tcBorders>
              <w:top w:val="single" w:sz="4" w:space="0" w:color="auto"/>
              <w:left w:val="single" w:sz="4" w:space="0" w:color="auto"/>
              <w:bottom w:val="single" w:sz="4" w:space="0" w:color="auto"/>
              <w:right w:val="single" w:sz="4" w:space="0" w:color="auto"/>
            </w:tcBorders>
            <w:vAlign w:val="center"/>
            <w:hideMark/>
          </w:tcPr>
          <w:p w14:paraId="6A568187"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ISO 14240-1/2:1997</w:t>
            </w:r>
          </w:p>
        </w:tc>
      </w:tr>
      <w:tr w:rsidR="0050200A" w:rsidRPr="0003177C" w14:paraId="6B80A0C9"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FFB503"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B</w:t>
            </w:r>
          </w:p>
        </w:tc>
        <w:tc>
          <w:tcPr>
            <w:tcW w:w="2901" w:type="dxa"/>
            <w:tcBorders>
              <w:top w:val="single" w:sz="4" w:space="0" w:color="auto"/>
              <w:left w:val="single" w:sz="4" w:space="0" w:color="auto"/>
              <w:bottom w:val="single" w:sz="4" w:space="0" w:color="auto"/>
              <w:right w:val="single" w:sz="4" w:space="0" w:color="auto"/>
            </w:tcBorders>
            <w:vAlign w:val="center"/>
            <w:hideMark/>
          </w:tcPr>
          <w:p w14:paraId="61D022C2"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Nématodes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08D25142"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07841038"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Métabarcoding</w:t>
            </w:r>
          </w:p>
        </w:tc>
        <w:tc>
          <w:tcPr>
            <w:tcW w:w="2181" w:type="dxa"/>
            <w:tcBorders>
              <w:top w:val="single" w:sz="4" w:space="0" w:color="auto"/>
              <w:left w:val="single" w:sz="4" w:space="0" w:color="auto"/>
              <w:bottom w:val="single" w:sz="4" w:space="0" w:color="auto"/>
              <w:right w:val="single" w:sz="4" w:space="0" w:color="auto"/>
            </w:tcBorders>
            <w:noWrap/>
            <w:vAlign w:val="center"/>
            <w:hideMark/>
          </w:tcPr>
          <w:p w14:paraId="706EF381" w14:textId="77777777" w:rsidR="0050200A" w:rsidRPr="0003177C" w:rsidRDefault="0050200A" w:rsidP="0045117F">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03177C">
              <w:rPr>
                <w:rFonts w:ascii="Aptos Narrow" w:eastAsia="Times New Roman" w:hAnsi="Aptos Narrow" w:cs="Times New Roman"/>
                <w:i/>
                <w:iCs/>
                <w:color w:val="000000"/>
                <w:kern w:val="0"/>
                <w:sz w:val="16"/>
                <w:szCs w:val="16"/>
                <w:lang w:eastAsia="fr-BE"/>
                <w14:ligatures w14:val="none"/>
              </w:rPr>
              <w:t>ISO 11063:2020</w:t>
            </w:r>
          </w:p>
        </w:tc>
      </w:tr>
      <w:tr w:rsidR="0050200A" w:rsidRPr="0003177C" w14:paraId="2C8DBCD2"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A521DA"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B</w:t>
            </w:r>
          </w:p>
        </w:tc>
        <w:tc>
          <w:tcPr>
            <w:tcW w:w="2901" w:type="dxa"/>
            <w:tcBorders>
              <w:top w:val="single" w:sz="4" w:space="0" w:color="auto"/>
              <w:left w:val="single" w:sz="4" w:space="0" w:color="auto"/>
              <w:bottom w:val="single" w:sz="4" w:space="0" w:color="auto"/>
              <w:right w:val="single" w:sz="4" w:space="0" w:color="auto"/>
            </w:tcBorders>
            <w:vAlign w:val="center"/>
            <w:hideMark/>
          </w:tcPr>
          <w:p w14:paraId="1A107227"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Diversité bactéries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03F8005D"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5C329A1E"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Métabarcoding</w:t>
            </w:r>
          </w:p>
        </w:tc>
        <w:tc>
          <w:tcPr>
            <w:tcW w:w="2181" w:type="dxa"/>
            <w:tcBorders>
              <w:top w:val="single" w:sz="4" w:space="0" w:color="auto"/>
              <w:left w:val="single" w:sz="4" w:space="0" w:color="auto"/>
              <w:bottom w:val="single" w:sz="4" w:space="0" w:color="auto"/>
              <w:right w:val="single" w:sz="4" w:space="0" w:color="auto"/>
            </w:tcBorders>
            <w:noWrap/>
            <w:vAlign w:val="center"/>
            <w:hideMark/>
          </w:tcPr>
          <w:p w14:paraId="1C4F62CB" w14:textId="77777777" w:rsidR="0050200A" w:rsidRPr="0003177C" w:rsidRDefault="0050200A" w:rsidP="0045117F">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03177C">
              <w:rPr>
                <w:rFonts w:ascii="Aptos Narrow" w:eastAsia="Times New Roman" w:hAnsi="Aptos Narrow" w:cs="Times New Roman"/>
                <w:i/>
                <w:iCs/>
                <w:color w:val="000000"/>
                <w:kern w:val="0"/>
                <w:sz w:val="16"/>
                <w:szCs w:val="16"/>
                <w:lang w:eastAsia="fr-BE"/>
                <w14:ligatures w14:val="none"/>
              </w:rPr>
              <w:t>ISO 11063:2020</w:t>
            </w:r>
          </w:p>
        </w:tc>
      </w:tr>
      <w:tr w:rsidR="0050200A" w:rsidRPr="0003177C" w14:paraId="66A97639"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918B2C"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B</w:t>
            </w:r>
          </w:p>
        </w:tc>
        <w:tc>
          <w:tcPr>
            <w:tcW w:w="2901" w:type="dxa"/>
            <w:tcBorders>
              <w:top w:val="single" w:sz="4" w:space="0" w:color="auto"/>
              <w:left w:val="single" w:sz="4" w:space="0" w:color="auto"/>
              <w:bottom w:val="single" w:sz="4" w:space="0" w:color="auto"/>
              <w:right w:val="single" w:sz="4" w:space="0" w:color="auto"/>
            </w:tcBorders>
            <w:vAlign w:val="center"/>
            <w:hideMark/>
          </w:tcPr>
          <w:p w14:paraId="6E94EA61"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Diversité champignons</w:t>
            </w:r>
          </w:p>
        </w:tc>
        <w:tc>
          <w:tcPr>
            <w:tcW w:w="840" w:type="dxa"/>
            <w:tcBorders>
              <w:top w:val="single" w:sz="4" w:space="0" w:color="auto"/>
              <w:left w:val="single" w:sz="4" w:space="0" w:color="auto"/>
              <w:bottom w:val="single" w:sz="4" w:space="0" w:color="auto"/>
              <w:right w:val="single" w:sz="4" w:space="0" w:color="auto"/>
            </w:tcBorders>
            <w:vAlign w:val="center"/>
            <w:hideMark/>
          </w:tcPr>
          <w:p w14:paraId="61F06B72"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5F56D6F1"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Métabarcoding</w:t>
            </w:r>
          </w:p>
        </w:tc>
        <w:tc>
          <w:tcPr>
            <w:tcW w:w="2181" w:type="dxa"/>
            <w:tcBorders>
              <w:top w:val="single" w:sz="4" w:space="0" w:color="auto"/>
              <w:left w:val="single" w:sz="4" w:space="0" w:color="auto"/>
              <w:bottom w:val="single" w:sz="4" w:space="0" w:color="auto"/>
              <w:right w:val="single" w:sz="4" w:space="0" w:color="auto"/>
            </w:tcBorders>
            <w:noWrap/>
            <w:vAlign w:val="center"/>
            <w:hideMark/>
          </w:tcPr>
          <w:p w14:paraId="2180D649" w14:textId="77777777" w:rsidR="0050200A" w:rsidRPr="0003177C" w:rsidRDefault="0050200A" w:rsidP="0045117F">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03177C">
              <w:rPr>
                <w:rFonts w:ascii="Aptos Narrow" w:eastAsia="Times New Roman" w:hAnsi="Aptos Narrow" w:cs="Times New Roman"/>
                <w:i/>
                <w:iCs/>
                <w:color w:val="000000"/>
                <w:kern w:val="0"/>
                <w:sz w:val="16"/>
                <w:szCs w:val="16"/>
                <w:lang w:eastAsia="fr-BE"/>
                <w14:ligatures w14:val="none"/>
              </w:rPr>
              <w:t>ISO 11063:2020</w:t>
            </w:r>
          </w:p>
        </w:tc>
      </w:tr>
      <w:tr w:rsidR="0050200A" w:rsidRPr="0003177C" w14:paraId="3F5A73DA" w14:textId="77777777" w:rsidTr="006A5298">
        <w:trPr>
          <w:trHeight w:val="273"/>
        </w:trPr>
        <w:tc>
          <w:tcPr>
            <w:tcW w:w="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296265"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B</w:t>
            </w:r>
          </w:p>
        </w:tc>
        <w:tc>
          <w:tcPr>
            <w:tcW w:w="2901" w:type="dxa"/>
            <w:tcBorders>
              <w:top w:val="single" w:sz="4" w:space="0" w:color="auto"/>
              <w:left w:val="single" w:sz="4" w:space="0" w:color="auto"/>
              <w:bottom w:val="single" w:sz="4" w:space="0" w:color="auto"/>
              <w:right w:val="single" w:sz="4" w:space="0" w:color="auto"/>
            </w:tcBorders>
            <w:vAlign w:val="center"/>
            <w:hideMark/>
          </w:tcPr>
          <w:p w14:paraId="64B06F91"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Ratio d'abondance bact/champignons</w:t>
            </w:r>
          </w:p>
        </w:tc>
        <w:tc>
          <w:tcPr>
            <w:tcW w:w="840" w:type="dxa"/>
            <w:tcBorders>
              <w:top w:val="single" w:sz="4" w:space="0" w:color="auto"/>
              <w:left w:val="single" w:sz="4" w:space="0" w:color="auto"/>
              <w:bottom w:val="single" w:sz="4" w:space="0" w:color="auto"/>
              <w:right w:val="single" w:sz="4" w:space="0" w:color="auto"/>
            </w:tcBorders>
            <w:vAlign w:val="center"/>
            <w:hideMark/>
          </w:tcPr>
          <w:p w14:paraId="5FB4F453"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vAlign w:val="center"/>
            <w:hideMark/>
          </w:tcPr>
          <w:p w14:paraId="3C0E0E83"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qPCR</w:t>
            </w:r>
          </w:p>
        </w:tc>
        <w:tc>
          <w:tcPr>
            <w:tcW w:w="2181" w:type="dxa"/>
            <w:tcBorders>
              <w:top w:val="single" w:sz="4" w:space="0" w:color="auto"/>
              <w:left w:val="single" w:sz="4" w:space="0" w:color="auto"/>
              <w:bottom w:val="single" w:sz="4" w:space="0" w:color="auto"/>
              <w:right w:val="single" w:sz="4" w:space="0" w:color="auto"/>
            </w:tcBorders>
            <w:noWrap/>
            <w:vAlign w:val="center"/>
            <w:hideMark/>
          </w:tcPr>
          <w:p w14:paraId="024F82D2" w14:textId="77777777" w:rsidR="0050200A" w:rsidRPr="0003177C" w:rsidRDefault="0050200A" w:rsidP="0045117F">
            <w:pPr>
              <w:spacing w:after="0" w:line="240" w:lineRule="auto"/>
              <w:jc w:val="left"/>
              <w:rPr>
                <w:rFonts w:ascii="Aptos Narrow" w:eastAsia="Times New Roman" w:hAnsi="Aptos Narrow" w:cs="Times New Roman"/>
                <w:i/>
                <w:iCs/>
                <w:color w:val="747474"/>
                <w:kern w:val="0"/>
                <w:sz w:val="16"/>
                <w:szCs w:val="16"/>
                <w:lang w:eastAsia="fr-BE"/>
                <w14:ligatures w14:val="none"/>
              </w:rPr>
            </w:pPr>
            <w:r w:rsidRPr="0003177C">
              <w:rPr>
                <w:rFonts w:ascii="Aptos Narrow" w:eastAsia="Times New Roman" w:hAnsi="Aptos Narrow" w:cs="Times New Roman"/>
                <w:i/>
                <w:iCs/>
                <w:color w:val="747474"/>
                <w:kern w:val="0"/>
                <w:sz w:val="16"/>
                <w:szCs w:val="16"/>
                <w:lang w:eastAsia="fr-BE"/>
                <w14:ligatures w14:val="none"/>
              </w:rPr>
              <w:t>ISO 17601:2016</w:t>
            </w:r>
          </w:p>
        </w:tc>
      </w:tr>
      <w:tr w:rsidR="0050200A" w:rsidRPr="0003177C" w14:paraId="33499BB5" w14:textId="77777777" w:rsidTr="006A5298">
        <w:trPr>
          <w:trHeight w:val="301"/>
        </w:trPr>
        <w:tc>
          <w:tcPr>
            <w:tcW w:w="279"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0C1B4991"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I</w:t>
            </w:r>
          </w:p>
        </w:tc>
        <w:tc>
          <w:tcPr>
            <w:tcW w:w="2901" w:type="dxa"/>
            <w:tcBorders>
              <w:top w:val="single" w:sz="4" w:space="0" w:color="auto"/>
              <w:left w:val="single" w:sz="4" w:space="0" w:color="000000"/>
              <w:bottom w:val="single" w:sz="4" w:space="0" w:color="auto"/>
              <w:right w:val="single" w:sz="4" w:space="0" w:color="auto"/>
            </w:tcBorders>
            <w:vAlign w:val="center"/>
            <w:hideMark/>
          </w:tcPr>
          <w:p w14:paraId="0DE20237"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hAnsi="Aptos Narrow"/>
                <w:color w:val="000000"/>
                <w:sz w:val="16"/>
                <w:szCs w:val="16"/>
              </w:rPr>
              <w:t>REU (profil)</w:t>
            </w:r>
          </w:p>
        </w:tc>
        <w:tc>
          <w:tcPr>
            <w:tcW w:w="840" w:type="dxa"/>
            <w:tcBorders>
              <w:top w:val="single" w:sz="4" w:space="0" w:color="auto"/>
              <w:left w:val="single" w:sz="4" w:space="0" w:color="auto"/>
              <w:bottom w:val="single" w:sz="4" w:space="0" w:color="auto"/>
              <w:right w:val="single" w:sz="4" w:space="0" w:color="auto"/>
            </w:tcBorders>
            <w:vAlign w:val="center"/>
            <w:hideMark/>
          </w:tcPr>
          <w:p w14:paraId="327BB6D9"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30-100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4F226585"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9D6C1D"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0F96ED12"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9E73C4E"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I</w:t>
            </w:r>
          </w:p>
        </w:tc>
        <w:tc>
          <w:tcPr>
            <w:tcW w:w="2901" w:type="dxa"/>
            <w:tcBorders>
              <w:top w:val="single" w:sz="4" w:space="0" w:color="auto"/>
              <w:left w:val="single" w:sz="4" w:space="0" w:color="000000"/>
              <w:bottom w:val="single" w:sz="4" w:space="0" w:color="auto"/>
              <w:right w:val="single" w:sz="4" w:space="0" w:color="auto"/>
            </w:tcBorders>
            <w:vAlign w:val="center"/>
            <w:hideMark/>
          </w:tcPr>
          <w:p w14:paraId="2701561A"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hAnsi="Aptos Narrow"/>
                <w:color w:val="000000"/>
                <w:sz w:val="16"/>
                <w:szCs w:val="16"/>
              </w:rPr>
              <w:t>Abondance bactérienne</w:t>
            </w:r>
          </w:p>
        </w:tc>
        <w:tc>
          <w:tcPr>
            <w:tcW w:w="840" w:type="dxa"/>
            <w:tcBorders>
              <w:top w:val="single" w:sz="4" w:space="0" w:color="auto"/>
              <w:left w:val="single" w:sz="4" w:space="0" w:color="auto"/>
              <w:bottom w:val="single" w:sz="4" w:space="0" w:color="auto"/>
              <w:right w:val="single" w:sz="4" w:space="0" w:color="auto"/>
            </w:tcBorders>
            <w:vAlign w:val="center"/>
            <w:hideMark/>
          </w:tcPr>
          <w:p w14:paraId="7950EE25"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30CD0551"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51C247"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4F86C107"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C1185C3"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I</w:t>
            </w:r>
          </w:p>
        </w:tc>
        <w:tc>
          <w:tcPr>
            <w:tcW w:w="2901" w:type="dxa"/>
            <w:tcBorders>
              <w:top w:val="single" w:sz="4" w:space="0" w:color="auto"/>
              <w:left w:val="single" w:sz="4" w:space="0" w:color="000000"/>
              <w:bottom w:val="single" w:sz="4" w:space="0" w:color="auto"/>
              <w:right w:val="single" w:sz="4" w:space="0" w:color="auto"/>
            </w:tcBorders>
            <w:vAlign w:val="center"/>
            <w:hideMark/>
          </w:tcPr>
          <w:p w14:paraId="3745427D"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hAnsi="Aptos Narrow"/>
                <w:color w:val="000000"/>
                <w:sz w:val="16"/>
                <w:szCs w:val="16"/>
              </w:rPr>
              <w:t>Stock C</w:t>
            </w:r>
          </w:p>
        </w:tc>
        <w:tc>
          <w:tcPr>
            <w:tcW w:w="840" w:type="dxa"/>
            <w:tcBorders>
              <w:top w:val="single" w:sz="4" w:space="0" w:color="auto"/>
              <w:left w:val="single" w:sz="4" w:space="0" w:color="auto"/>
              <w:bottom w:val="single" w:sz="4" w:space="0" w:color="auto"/>
              <w:right w:val="single" w:sz="4" w:space="0" w:color="auto"/>
            </w:tcBorders>
            <w:vAlign w:val="center"/>
            <w:hideMark/>
          </w:tcPr>
          <w:p w14:paraId="7714752C"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66E008ED"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C35453"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25921539"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FA81151"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I</w:t>
            </w:r>
          </w:p>
        </w:tc>
        <w:tc>
          <w:tcPr>
            <w:tcW w:w="2901" w:type="dxa"/>
            <w:tcBorders>
              <w:top w:val="single" w:sz="4" w:space="0" w:color="auto"/>
              <w:left w:val="single" w:sz="4" w:space="0" w:color="000000"/>
              <w:bottom w:val="single" w:sz="4" w:space="0" w:color="auto"/>
              <w:right w:val="single" w:sz="4" w:space="0" w:color="auto"/>
            </w:tcBorders>
            <w:vAlign w:val="center"/>
            <w:hideMark/>
          </w:tcPr>
          <w:p w14:paraId="6DAD4037"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hAnsi="Aptos Narrow"/>
                <w:color w:val="000000"/>
                <w:sz w:val="16"/>
                <w:szCs w:val="16"/>
              </w:rPr>
              <w:t>REU (H surface)</w:t>
            </w:r>
          </w:p>
        </w:tc>
        <w:tc>
          <w:tcPr>
            <w:tcW w:w="840" w:type="dxa"/>
            <w:tcBorders>
              <w:top w:val="single" w:sz="4" w:space="0" w:color="auto"/>
              <w:left w:val="single" w:sz="4" w:space="0" w:color="auto"/>
              <w:bottom w:val="single" w:sz="4" w:space="0" w:color="auto"/>
              <w:right w:val="single" w:sz="4" w:space="0" w:color="auto"/>
            </w:tcBorders>
            <w:vAlign w:val="center"/>
            <w:hideMark/>
          </w:tcPr>
          <w:p w14:paraId="2A857E7C"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5E52224D"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FADA36"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65964CFD"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044E9BF"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I</w:t>
            </w:r>
          </w:p>
        </w:tc>
        <w:tc>
          <w:tcPr>
            <w:tcW w:w="2901" w:type="dxa"/>
            <w:tcBorders>
              <w:top w:val="single" w:sz="4" w:space="0" w:color="auto"/>
              <w:left w:val="single" w:sz="4" w:space="0" w:color="000000"/>
              <w:bottom w:val="single" w:sz="4" w:space="0" w:color="auto"/>
              <w:right w:val="single" w:sz="4" w:space="0" w:color="auto"/>
            </w:tcBorders>
            <w:vAlign w:val="center"/>
            <w:hideMark/>
          </w:tcPr>
          <w:p w14:paraId="1EC82D83"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hAnsi="Aptos Narrow"/>
                <w:color w:val="000000"/>
                <w:sz w:val="16"/>
                <w:szCs w:val="16"/>
              </w:rPr>
              <w:t>Rapport C/N</w:t>
            </w:r>
          </w:p>
        </w:tc>
        <w:tc>
          <w:tcPr>
            <w:tcW w:w="840" w:type="dxa"/>
            <w:tcBorders>
              <w:top w:val="single" w:sz="4" w:space="0" w:color="auto"/>
              <w:left w:val="single" w:sz="4" w:space="0" w:color="auto"/>
              <w:bottom w:val="single" w:sz="4" w:space="0" w:color="auto"/>
              <w:right w:val="single" w:sz="4" w:space="0" w:color="auto"/>
            </w:tcBorders>
            <w:vAlign w:val="center"/>
            <w:hideMark/>
          </w:tcPr>
          <w:p w14:paraId="0086CE70"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4EAA5BFA"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9775FC"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00B2FCCA"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2147D45"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I</w:t>
            </w:r>
          </w:p>
        </w:tc>
        <w:tc>
          <w:tcPr>
            <w:tcW w:w="2901" w:type="dxa"/>
            <w:tcBorders>
              <w:top w:val="single" w:sz="4" w:space="0" w:color="auto"/>
              <w:left w:val="single" w:sz="4" w:space="0" w:color="000000"/>
              <w:bottom w:val="single" w:sz="4" w:space="0" w:color="auto"/>
              <w:right w:val="single" w:sz="4" w:space="0" w:color="auto"/>
            </w:tcBorders>
            <w:vAlign w:val="center"/>
            <w:hideMark/>
          </w:tcPr>
          <w:p w14:paraId="7716A777"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hAnsi="Aptos Narrow"/>
                <w:color w:val="000000"/>
                <w:sz w:val="16"/>
                <w:szCs w:val="16"/>
              </w:rPr>
              <w:t>Corg/argile</w:t>
            </w:r>
          </w:p>
        </w:tc>
        <w:tc>
          <w:tcPr>
            <w:tcW w:w="840" w:type="dxa"/>
            <w:tcBorders>
              <w:top w:val="single" w:sz="4" w:space="0" w:color="auto"/>
              <w:left w:val="single" w:sz="4" w:space="0" w:color="auto"/>
              <w:bottom w:val="single" w:sz="4" w:space="0" w:color="auto"/>
              <w:right w:val="single" w:sz="4" w:space="0" w:color="auto"/>
            </w:tcBorders>
            <w:vAlign w:val="center"/>
            <w:hideMark/>
          </w:tcPr>
          <w:p w14:paraId="3B23738C"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5A148A50"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0B11B3"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319F0655" w14:textId="77777777" w:rsidTr="006A5298">
        <w:trPr>
          <w:trHeight w:val="237"/>
        </w:trPr>
        <w:tc>
          <w:tcPr>
            <w:tcW w:w="279"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D986F0D"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I</w:t>
            </w:r>
          </w:p>
        </w:tc>
        <w:tc>
          <w:tcPr>
            <w:tcW w:w="2901" w:type="dxa"/>
            <w:tcBorders>
              <w:top w:val="single" w:sz="4" w:space="0" w:color="auto"/>
              <w:left w:val="single" w:sz="4" w:space="0" w:color="000000"/>
              <w:bottom w:val="single" w:sz="4" w:space="0" w:color="auto"/>
              <w:right w:val="single" w:sz="4" w:space="0" w:color="auto"/>
            </w:tcBorders>
            <w:vAlign w:val="center"/>
            <w:hideMark/>
          </w:tcPr>
          <w:p w14:paraId="0BE9433B"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hAnsi="Aptos Narrow"/>
                <w:color w:val="000000"/>
                <w:sz w:val="16"/>
                <w:szCs w:val="16"/>
              </w:rPr>
              <w:t>Corg/argile (stockage additionnel)</w:t>
            </w:r>
          </w:p>
        </w:tc>
        <w:tc>
          <w:tcPr>
            <w:tcW w:w="840" w:type="dxa"/>
            <w:tcBorders>
              <w:top w:val="single" w:sz="4" w:space="0" w:color="auto"/>
              <w:left w:val="single" w:sz="4" w:space="0" w:color="auto"/>
              <w:bottom w:val="single" w:sz="4" w:space="0" w:color="auto"/>
              <w:right w:val="single" w:sz="4" w:space="0" w:color="auto"/>
            </w:tcBorders>
            <w:vAlign w:val="center"/>
            <w:hideMark/>
          </w:tcPr>
          <w:p w14:paraId="0EC4F70B"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354614D9"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9A96FB"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r w:rsidR="0050200A" w:rsidRPr="0003177C" w14:paraId="4F453983" w14:textId="77777777" w:rsidTr="006A5298">
        <w:trPr>
          <w:trHeight w:val="225"/>
        </w:trPr>
        <w:tc>
          <w:tcPr>
            <w:tcW w:w="279"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CC2BAFA" w14:textId="77777777" w:rsidR="0050200A" w:rsidRPr="007F0D21" w:rsidRDefault="0050200A" w:rsidP="0045117F">
            <w:pPr>
              <w:spacing w:after="0" w:line="240" w:lineRule="auto"/>
              <w:jc w:val="center"/>
              <w:rPr>
                <w:rFonts w:ascii="Aptos Narrow" w:eastAsia="Times New Roman" w:hAnsi="Aptos Narrow" w:cs="Times New Roman"/>
                <w:color w:val="3A3A3A" w:themeColor="background2" w:themeShade="40"/>
                <w:kern w:val="0"/>
                <w:sz w:val="16"/>
                <w:szCs w:val="16"/>
                <w:lang w:eastAsia="fr-BE"/>
                <w14:ligatures w14:val="none"/>
              </w:rPr>
            </w:pPr>
            <w:r>
              <w:rPr>
                <w:rFonts w:ascii="Aptos Narrow" w:eastAsia="Times New Roman" w:hAnsi="Aptos Narrow" w:cs="Times New Roman"/>
                <w:color w:val="3A3A3A" w:themeColor="background2" w:themeShade="40"/>
                <w:kern w:val="0"/>
                <w:sz w:val="16"/>
                <w:szCs w:val="16"/>
                <w:lang w:eastAsia="fr-BE"/>
                <w14:ligatures w14:val="none"/>
              </w:rPr>
              <w:t>I</w:t>
            </w:r>
          </w:p>
        </w:tc>
        <w:tc>
          <w:tcPr>
            <w:tcW w:w="2901" w:type="dxa"/>
            <w:tcBorders>
              <w:top w:val="single" w:sz="4" w:space="0" w:color="auto"/>
              <w:left w:val="single" w:sz="4" w:space="0" w:color="000000"/>
              <w:bottom w:val="single" w:sz="4" w:space="0" w:color="auto"/>
              <w:right w:val="single" w:sz="4" w:space="0" w:color="auto"/>
            </w:tcBorders>
            <w:vAlign w:val="center"/>
            <w:hideMark/>
          </w:tcPr>
          <w:p w14:paraId="158BE955" w14:textId="77777777" w:rsidR="0050200A" w:rsidRPr="0003177C" w:rsidRDefault="0050200A" w:rsidP="0045117F">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hAnsi="Aptos Narrow"/>
                <w:color w:val="000000"/>
                <w:sz w:val="16"/>
                <w:szCs w:val="16"/>
              </w:rPr>
              <w:t>Indice de battance</w:t>
            </w:r>
          </w:p>
        </w:tc>
        <w:tc>
          <w:tcPr>
            <w:tcW w:w="840" w:type="dxa"/>
            <w:tcBorders>
              <w:top w:val="single" w:sz="4" w:space="0" w:color="auto"/>
              <w:left w:val="single" w:sz="4" w:space="0" w:color="auto"/>
              <w:bottom w:val="single" w:sz="4" w:space="0" w:color="auto"/>
              <w:right w:val="single" w:sz="4" w:space="0" w:color="auto"/>
            </w:tcBorders>
            <w:vAlign w:val="center"/>
            <w:hideMark/>
          </w:tcPr>
          <w:p w14:paraId="3383138F" w14:textId="77777777" w:rsidR="0050200A" w:rsidRPr="0003177C" w:rsidRDefault="0050200A" w:rsidP="0045117F">
            <w:pPr>
              <w:spacing w:after="0" w:line="240" w:lineRule="auto"/>
              <w:jc w:val="center"/>
              <w:rPr>
                <w:rFonts w:ascii="Aptos Narrow" w:eastAsia="Times New Roman" w:hAnsi="Aptos Narrow" w:cs="Times New Roman"/>
                <w:color w:val="000000"/>
                <w:kern w:val="0"/>
                <w:sz w:val="16"/>
                <w:szCs w:val="16"/>
                <w:lang w:eastAsia="fr-BE"/>
                <w14:ligatures w14:val="none"/>
              </w:rPr>
            </w:pPr>
            <w:r w:rsidRPr="0003177C">
              <w:rPr>
                <w:rFonts w:ascii="Aptos Narrow" w:eastAsia="Times New Roman" w:hAnsi="Aptos Narrow" w:cs="Times New Roman"/>
                <w:color w:val="000000"/>
                <w:kern w:val="0"/>
                <w:sz w:val="16"/>
                <w:szCs w:val="16"/>
                <w:lang w:eastAsia="fr-BE"/>
                <w14:ligatures w14:val="none"/>
              </w:rPr>
              <w:t>0-30</w:t>
            </w:r>
          </w:p>
        </w:tc>
        <w:tc>
          <w:tcPr>
            <w:tcW w:w="2779" w:type="dxa"/>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469218D6"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c>
          <w:tcPr>
            <w:tcW w:w="2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CF92F2" w14:textId="77777777" w:rsidR="0050200A" w:rsidRPr="00440AE5" w:rsidRDefault="0050200A" w:rsidP="0045117F">
            <w:pPr>
              <w:spacing w:after="0" w:line="240" w:lineRule="auto"/>
              <w:jc w:val="left"/>
              <w:rPr>
                <w:rFonts w:ascii="Aptos Narrow" w:eastAsia="Times New Roman" w:hAnsi="Aptos Narrow" w:cs="Times New Roman"/>
                <w:color w:val="F2F2F2" w:themeColor="background1" w:themeShade="F2"/>
                <w:kern w:val="0"/>
                <w:sz w:val="16"/>
                <w:szCs w:val="16"/>
                <w:lang w:eastAsia="fr-BE"/>
                <w14:ligatures w14:val="none"/>
              </w:rPr>
            </w:pPr>
            <w:r w:rsidRPr="00440AE5">
              <w:rPr>
                <w:rFonts w:ascii="Aptos Narrow" w:eastAsia="Times New Roman" w:hAnsi="Aptos Narrow" w:cs="Times New Roman"/>
                <w:color w:val="F2F2F2" w:themeColor="background1" w:themeShade="F2"/>
                <w:kern w:val="0"/>
                <w:sz w:val="16"/>
                <w:szCs w:val="16"/>
                <w:lang w:eastAsia="fr-BE"/>
                <w14:ligatures w14:val="none"/>
              </w:rPr>
              <w:t> </w:t>
            </w:r>
          </w:p>
        </w:tc>
      </w:tr>
    </w:tbl>
    <w:p w14:paraId="079BD85C" w14:textId="77777777" w:rsidR="008D0536" w:rsidRDefault="008D0536" w:rsidP="008A4E60"/>
    <w:p w14:paraId="691A2A56" w14:textId="0C0F0654" w:rsidR="00F370FB" w:rsidRDefault="00EC5BB9">
      <w:pPr>
        <w:pStyle w:val="Titre2"/>
        <w:numPr>
          <w:ilvl w:val="1"/>
          <w:numId w:val="12"/>
        </w:numPr>
      </w:pPr>
      <w:bookmarkStart w:id="32" w:name="_Ref232208232"/>
      <w:bookmarkStart w:id="33" w:name="_Toc241478078"/>
      <w:r>
        <w:lastRenderedPageBreak/>
        <w:t>Étapes de calcul des indices</w:t>
      </w:r>
      <w:bookmarkEnd w:id="32"/>
      <w:bookmarkEnd w:id="33"/>
    </w:p>
    <w:p w14:paraId="4C1FE127" w14:textId="7849FF5E" w:rsidR="00BA06E6" w:rsidRDefault="00BA06E6" w:rsidP="00BA06E6">
      <w:r>
        <w:t xml:space="preserve">Le calcul des indices IQSW-pro s’effectue </w:t>
      </w:r>
      <w:r w:rsidR="001375D6">
        <w:t xml:space="preserve">en cinq </w:t>
      </w:r>
      <w:r>
        <w:t>étapes</w:t>
      </w:r>
      <w:r w:rsidR="00D979AF">
        <w:t xml:space="preserve"> </w:t>
      </w:r>
      <w:r w:rsidR="00D979AF" w:rsidRPr="006472FD">
        <w:t>(</w:t>
      </w:r>
      <w:r w:rsidR="006472FD" w:rsidRPr="006472FD">
        <w:rPr>
          <w:highlight w:val="yellow"/>
        </w:rPr>
        <w:fldChar w:fldCharType="begin"/>
      </w:r>
      <w:r w:rsidR="006472FD" w:rsidRPr="006472FD">
        <w:instrText xml:space="preserve"> REF _Ref233111450 \h </w:instrText>
      </w:r>
      <w:r w:rsidR="006472FD" w:rsidRPr="006472FD">
        <w:rPr>
          <w:highlight w:val="yellow"/>
        </w:rPr>
        <w:instrText xml:space="preserve"> \* MERGEFORMAT </w:instrText>
      </w:r>
      <w:r w:rsidR="006472FD" w:rsidRPr="006472FD">
        <w:rPr>
          <w:highlight w:val="yellow"/>
        </w:rPr>
      </w:r>
      <w:r w:rsidR="006472FD" w:rsidRPr="006472FD">
        <w:rPr>
          <w:highlight w:val="yellow"/>
        </w:rPr>
        <w:fldChar w:fldCharType="separate"/>
      </w:r>
      <w:r w:rsidR="006F5834" w:rsidRPr="005B53C5">
        <w:t xml:space="preserve">Figure </w:t>
      </w:r>
      <w:r w:rsidR="006F5834" w:rsidRPr="006F5834">
        <w:rPr>
          <w:noProof/>
        </w:rPr>
        <w:t>2</w:t>
      </w:r>
      <w:r w:rsidR="006472FD" w:rsidRPr="006472FD">
        <w:rPr>
          <w:highlight w:val="yellow"/>
        </w:rPr>
        <w:fldChar w:fldCharType="end"/>
      </w:r>
      <w:r w:rsidR="00D979AF">
        <w:t xml:space="preserve">) </w:t>
      </w:r>
      <w:r>
        <w:t>:</w:t>
      </w:r>
    </w:p>
    <w:p w14:paraId="399E7224" w14:textId="219867C3" w:rsidR="00BA06E6" w:rsidRDefault="00BA06E6">
      <w:pPr>
        <w:pStyle w:val="Paragraphedeliste"/>
        <w:numPr>
          <w:ilvl w:val="0"/>
          <w:numId w:val="24"/>
        </w:numPr>
      </w:pPr>
      <w:r>
        <w:t xml:space="preserve">Interprétation des indicateurs </w:t>
      </w:r>
      <w:r w:rsidR="3D1D3B84">
        <w:t xml:space="preserve">(mesurés ou calculés) </w:t>
      </w:r>
      <w:r>
        <w:t>au sein de la fonction et/ou du service considéré, et attribution des scores de paramètres</w:t>
      </w:r>
      <w:r w:rsidR="00BC459A">
        <w:t xml:space="preserve"> sur une échelle de 0 à 5</w:t>
      </w:r>
      <w:r w:rsidR="00DA5D59">
        <w:t xml:space="preserve"> </w:t>
      </w:r>
      <w:r w:rsidR="4E535207">
        <w:t>(</w:t>
      </w:r>
      <w:r w:rsidR="00D979AF">
        <w:t>Score</w:t>
      </w:r>
      <w:r w:rsidR="00D979AF">
        <w:rPr>
          <w:vertAlign w:val="subscript"/>
        </w:rPr>
        <w:t>indicateur</w:t>
      </w:r>
      <w:r w:rsidR="5A0E3644">
        <w:t>)</w:t>
      </w:r>
      <w:r>
        <w:t>,</w:t>
      </w:r>
    </w:p>
    <w:p w14:paraId="29E3DEAD" w14:textId="11CEC352" w:rsidR="00BA06E6" w:rsidRDefault="00BA06E6">
      <w:pPr>
        <w:pStyle w:val="Paragraphedeliste"/>
        <w:numPr>
          <w:ilvl w:val="0"/>
          <w:numId w:val="24"/>
        </w:numPr>
        <w:rPr>
          <w:szCs w:val="22"/>
        </w:rPr>
      </w:pPr>
      <w:r>
        <w:t>Agrégation des scores d</w:t>
      </w:r>
      <w:r w:rsidR="2C8B0DF4">
        <w:t>'</w:t>
      </w:r>
      <w:r w:rsidR="4CEB46FC">
        <w:t>indicateurs</w:t>
      </w:r>
      <w:r>
        <w:t xml:space="preserve"> en scores de fonction</w:t>
      </w:r>
      <w:r w:rsidR="002B6DAE">
        <w:t xml:space="preserve"> sur une échelle de 0 à 5</w:t>
      </w:r>
      <w:r w:rsidR="00DA5D59">
        <w:t xml:space="preserve"> </w:t>
      </w:r>
      <w:r w:rsidR="3C3E4558">
        <w:t>(</w:t>
      </w:r>
      <w:r w:rsidR="00D979AF">
        <w:t>S</w:t>
      </w:r>
      <w:r w:rsidR="00D979AF">
        <w:rPr>
          <w:vertAlign w:val="subscript"/>
        </w:rPr>
        <w:t>fonction</w:t>
      </w:r>
      <w:r w:rsidR="01435660" w:rsidRPr="7252FACE">
        <w:rPr>
          <w:rFonts w:eastAsia="Calibri" w:cs="Calibri"/>
          <w:color w:val="000000" w:themeColor="text1"/>
          <w:szCs w:val="22"/>
        </w:rPr>
        <w:t>)</w:t>
      </w:r>
      <w:r>
        <w:t>,</w:t>
      </w:r>
    </w:p>
    <w:p w14:paraId="41435B8E" w14:textId="4AEF595F" w:rsidR="00BA06E6" w:rsidRDefault="00BA06E6">
      <w:pPr>
        <w:pStyle w:val="Paragraphedeliste"/>
        <w:numPr>
          <w:ilvl w:val="0"/>
          <w:numId w:val="24"/>
        </w:numPr>
        <w:rPr>
          <w:szCs w:val="22"/>
        </w:rPr>
      </w:pPr>
      <w:r>
        <w:t>Agrégation des scores de fonction en scores de service écosystémique</w:t>
      </w:r>
      <w:r w:rsidR="002B6DAE">
        <w:t xml:space="preserve"> sur une échelle de 0 à 5</w:t>
      </w:r>
      <w:r w:rsidR="00D979AF">
        <w:t xml:space="preserve"> </w:t>
      </w:r>
      <w:r w:rsidR="00005D14">
        <w:t>(</w:t>
      </w:r>
      <w:r w:rsidR="00D979AF">
        <w:t>S</w:t>
      </w:r>
      <w:r w:rsidR="00D979AF">
        <w:rPr>
          <w:vertAlign w:val="subscript"/>
        </w:rPr>
        <w:t>SERVICE</w:t>
      </w:r>
      <w:r w:rsidR="6BE70A3A" w:rsidRPr="7252FACE">
        <w:rPr>
          <w:rFonts w:eastAsia="Calibri" w:cs="Calibri"/>
          <w:color w:val="000000" w:themeColor="text1"/>
          <w:szCs w:val="22"/>
        </w:rPr>
        <w:t>)</w:t>
      </w:r>
      <w:r>
        <w:t>,</w:t>
      </w:r>
    </w:p>
    <w:p w14:paraId="20D922F0" w14:textId="447A6520" w:rsidR="00BA06E6" w:rsidRDefault="00BA06E6">
      <w:pPr>
        <w:pStyle w:val="Paragraphedeliste"/>
        <w:numPr>
          <w:ilvl w:val="0"/>
          <w:numId w:val="24"/>
        </w:numPr>
        <w:rPr>
          <w:szCs w:val="22"/>
        </w:rPr>
      </w:pPr>
      <w:r>
        <w:t xml:space="preserve">Application des </w:t>
      </w:r>
      <w:r w:rsidR="00DA5D59">
        <w:t>coefficients</w:t>
      </w:r>
      <w:r>
        <w:t xml:space="preserve"> de contrainte</w:t>
      </w:r>
      <w:r w:rsidR="002B6DAE" w:rsidRPr="002B6DAE">
        <w:t xml:space="preserve"> </w:t>
      </w:r>
      <w:r w:rsidR="002B6DAE">
        <w:t xml:space="preserve">sur une échelle de 0 à </w:t>
      </w:r>
      <w:r w:rsidR="00BB397C">
        <w:t>1</w:t>
      </w:r>
      <w:r w:rsidR="00DA5D59">
        <w:t xml:space="preserve"> </w:t>
      </w:r>
      <w:r w:rsidR="4369F44E">
        <w:t>(</w:t>
      </w:r>
      <w:r w:rsidR="00DA5D59">
        <w:t>C</w:t>
      </w:r>
      <w:r w:rsidR="00DA5D59">
        <w:rPr>
          <w:vertAlign w:val="subscript"/>
        </w:rPr>
        <w:t>contrainte</w:t>
      </w:r>
      <w:r w:rsidR="589D0E87" w:rsidRPr="7252FACE">
        <w:rPr>
          <w:rFonts w:eastAsia="Calibri" w:cs="Calibri"/>
          <w:color w:val="000000" w:themeColor="text1"/>
          <w:szCs w:val="22"/>
        </w:rPr>
        <w:t>)</w:t>
      </w:r>
      <w:r w:rsidR="00DA5D59">
        <w:t xml:space="preserve">, </w:t>
      </w:r>
      <w:r>
        <w:t>sur les services</w:t>
      </w:r>
      <w:r w:rsidR="00B22789">
        <w:t xml:space="preserve">. </w:t>
      </w:r>
      <w:r w:rsidR="00B22789" w:rsidRPr="00AA6CA0">
        <w:t xml:space="preserve">Le coefficient de contrainte </w:t>
      </w:r>
      <w:r w:rsidR="009876FD" w:rsidRPr="00AA6CA0">
        <w:t>permet de pondérer</w:t>
      </w:r>
      <w:r w:rsidR="041FFBF1" w:rsidRPr="00AA6CA0">
        <w:t xml:space="preserve"> le niveau d’atteinte du service en fonction d’une contrainte particulière. </w:t>
      </w:r>
      <w:r w:rsidR="00831B7A">
        <w:t>Par exemple,</w:t>
      </w:r>
      <w:r w:rsidR="69FFC4CD" w:rsidRPr="00AA6CA0">
        <w:t xml:space="preserve"> un</w:t>
      </w:r>
      <w:r w:rsidR="318213F1" w:rsidRPr="00AA6CA0">
        <w:t xml:space="preserve"> sol peut avoir un nive</w:t>
      </w:r>
      <w:r w:rsidR="1F5F9CA0" w:rsidRPr="00AA6CA0">
        <w:t>au de fertilité permet</w:t>
      </w:r>
      <w:r w:rsidR="40577926" w:rsidRPr="00AA6CA0">
        <w:t>t</w:t>
      </w:r>
      <w:r w:rsidR="28315888" w:rsidRPr="00AA6CA0">
        <w:t>ant</w:t>
      </w:r>
      <w:r w:rsidR="1F5F9CA0" w:rsidRPr="00AA6CA0">
        <w:t xml:space="preserve"> une bonne production </w:t>
      </w:r>
      <w:r w:rsidR="75874CE2" w:rsidRPr="00AA6CA0">
        <w:t xml:space="preserve">de biomasse </w:t>
      </w:r>
      <w:r w:rsidR="1F5F9CA0" w:rsidRPr="00AA6CA0">
        <w:t xml:space="preserve">mais </w:t>
      </w:r>
      <w:r w:rsidR="1D843C8A" w:rsidRPr="00AA6CA0">
        <w:t>un</w:t>
      </w:r>
      <w:r w:rsidR="1F5F9CA0" w:rsidRPr="00AA6CA0">
        <w:t xml:space="preserve"> niveau de pollution </w:t>
      </w:r>
      <w:r w:rsidR="74F009F7" w:rsidRPr="00AA6CA0">
        <w:t>tel</w:t>
      </w:r>
      <w:r w:rsidR="529C2741" w:rsidRPr="00AA6CA0">
        <w:t xml:space="preserve"> (dépassement des valeurs de risque pour la santé humaine)</w:t>
      </w:r>
      <w:r w:rsidR="74F009F7" w:rsidRPr="00AA6CA0">
        <w:t xml:space="preserve"> qu’il </w:t>
      </w:r>
      <w:r w:rsidR="1F5F9CA0" w:rsidRPr="00AA6CA0">
        <w:t xml:space="preserve">empêche </w:t>
      </w:r>
      <w:r w:rsidR="260BACBC" w:rsidRPr="00AA6CA0">
        <w:t xml:space="preserve">l’utilisation de la biomasse produite à des fins alimentaires. </w:t>
      </w:r>
      <w:r w:rsidR="6D7F5FBB" w:rsidRPr="00AA6CA0">
        <w:t xml:space="preserve">La prise en compte du niveau de pollution est intégrée dans le coefficient de contrainte, qui permet de traduire l’incompatibilité du </w:t>
      </w:r>
      <w:r w:rsidR="37EB4202" w:rsidRPr="00AA6CA0">
        <w:t xml:space="preserve">niveau de pollution avec l’atteinte du </w:t>
      </w:r>
      <w:r w:rsidR="00613713">
        <w:t>service écosystémique</w:t>
      </w:r>
      <w:r w:rsidR="37EB4202" w:rsidRPr="00AA6CA0">
        <w:t xml:space="preserve"> </w:t>
      </w:r>
      <w:r w:rsidR="00963FD1" w:rsidRPr="00963FD1">
        <w:rPr>
          <w:i/>
          <w:iCs/>
        </w:rPr>
        <w:t>P</w:t>
      </w:r>
      <w:r w:rsidR="37EB4202" w:rsidRPr="00963FD1">
        <w:rPr>
          <w:i/>
          <w:iCs/>
        </w:rPr>
        <w:t>roduction de biomasse alimentaire</w:t>
      </w:r>
      <w:r w:rsidR="3BF3BE82" w:rsidRPr="00AA6CA0">
        <w:t xml:space="preserve">. </w:t>
      </w:r>
      <w:r>
        <w:t xml:space="preserve">Pondération de l’importance des services écosystémiques </w:t>
      </w:r>
      <w:r w:rsidR="00336398">
        <w:t>dans un</w:t>
      </w:r>
      <w:r>
        <w:t xml:space="preserve"> usage donné et agrégation des scores de services écosystémiques en score IQSW-pro global</w:t>
      </w:r>
      <w:r w:rsidR="005E7CBC">
        <w:t xml:space="preserve"> par usage</w:t>
      </w:r>
      <w:r w:rsidR="624FBC45">
        <w:t xml:space="preserve"> sur une échelle de 0 à </w:t>
      </w:r>
      <w:r w:rsidR="0A276B7B">
        <w:t>5</w:t>
      </w:r>
      <w:r w:rsidR="00336398">
        <w:t xml:space="preserve"> </w:t>
      </w:r>
      <w:r w:rsidR="23DF1C19">
        <w:t>(</w:t>
      </w:r>
      <w:r w:rsidR="00336398">
        <w:t>S</w:t>
      </w:r>
      <w:r w:rsidR="00336398">
        <w:rPr>
          <w:vertAlign w:val="subscript"/>
        </w:rPr>
        <w:t>IQSW</w:t>
      </w:r>
      <w:r w:rsidR="30274D1F" w:rsidRPr="7252FACE">
        <w:rPr>
          <w:rFonts w:eastAsia="Calibri" w:cs="Calibri"/>
          <w:color w:val="000000" w:themeColor="text1"/>
          <w:szCs w:val="22"/>
        </w:rPr>
        <w:t>)</w:t>
      </w:r>
      <w:r>
        <w:t>.</w:t>
      </w:r>
    </w:p>
    <w:p w14:paraId="2615F97C" w14:textId="458B140D" w:rsidR="00BA06E6" w:rsidRDefault="00E92F50" w:rsidP="00BA06E6">
      <w:pPr>
        <w:keepNext/>
        <w:jc w:val="center"/>
      </w:pPr>
      <w:r>
        <w:rPr>
          <w:noProof/>
        </w:rPr>
        <w:drawing>
          <wp:inline distT="0" distB="0" distL="0" distR="0" wp14:anchorId="038D16B6" wp14:editId="41ADC085">
            <wp:extent cx="5759450" cy="1207770"/>
            <wp:effectExtent l="0" t="0" r="0" b="0"/>
            <wp:docPr id="1586822609"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22609" name="Image 158682260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9450" cy="1207770"/>
                    </a:xfrm>
                    <a:prstGeom prst="rect">
                      <a:avLst/>
                    </a:prstGeom>
                  </pic:spPr>
                </pic:pic>
              </a:graphicData>
            </a:graphic>
          </wp:inline>
        </w:drawing>
      </w:r>
    </w:p>
    <w:p w14:paraId="3CA6A4B7" w14:textId="058243BB" w:rsidR="00B62AB9" w:rsidRPr="00EC5BB9" w:rsidRDefault="00BA06E6" w:rsidP="00EC5BB9">
      <w:pPr>
        <w:pStyle w:val="Lgende"/>
        <w:jc w:val="center"/>
        <w:rPr>
          <w:i w:val="0"/>
          <w:iCs w:val="0"/>
        </w:rPr>
      </w:pPr>
      <w:bookmarkStart w:id="34" w:name="_Ref233111450"/>
      <w:bookmarkStart w:id="35" w:name="_Toc241229817"/>
      <w:r w:rsidRPr="005B53C5">
        <w:rPr>
          <w:i w:val="0"/>
          <w:iCs w:val="0"/>
        </w:rPr>
        <w:t xml:space="preserve">Figure </w:t>
      </w:r>
      <w:r w:rsidRPr="005B53C5">
        <w:rPr>
          <w:i w:val="0"/>
          <w:iCs w:val="0"/>
        </w:rPr>
        <w:fldChar w:fldCharType="begin"/>
      </w:r>
      <w:r w:rsidRPr="005B53C5">
        <w:rPr>
          <w:i w:val="0"/>
          <w:iCs w:val="0"/>
        </w:rPr>
        <w:instrText xml:space="preserve"> SEQ Figure \* ARABIC </w:instrText>
      </w:r>
      <w:r w:rsidRPr="005B53C5">
        <w:rPr>
          <w:i w:val="0"/>
          <w:iCs w:val="0"/>
        </w:rPr>
        <w:fldChar w:fldCharType="separate"/>
      </w:r>
      <w:r w:rsidR="006F5834">
        <w:rPr>
          <w:i w:val="0"/>
          <w:iCs w:val="0"/>
          <w:noProof/>
        </w:rPr>
        <w:t>2</w:t>
      </w:r>
      <w:r w:rsidRPr="005B53C5">
        <w:rPr>
          <w:i w:val="0"/>
          <w:iCs w:val="0"/>
        </w:rPr>
        <w:fldChar w:fldCharType="end"/>
      </w:r>
      <w:bookmarkEnd w:id="34"/>
      <w:r w:rsidRPr="005B53C5">
        <w:rPr>
          <w:i w:val="0"/>
          <w:iCs w:val="0"/>
        </w:rPr>
        <w:t xml:space="preserve"> : Étapes du </w:t>
      </w:r>
      <w:r>
        <w:rPr>
          <w:i w:val="0"/>
          <w:iCs w:val="0"/>
        </w:rPr>
        <w:t>calcul des indices</w:t>
      </w:r>
      <w:r w:rsidRPr="005B53C5">
        <w:rPr>
          <w:i w:val="0"/>
          <w:iCs w:val="0"/>
        </w:rPr>
        <w:t xml:space="preserve"> IQSW-pro</w:t>
      </w:r>
      <w:bookmarkEnd w:id="35"/>
    </w:p>
    <w:p w14:paraId="15ED860B" w14:textId="77211610" w:rsidR="00E15F64" w:rsidRDefault="00CE0779">
      <w:pPr>
        <w:pStyle w:val="Titre2"/>
        <w:numPr>
          <w:ilvl w:val="1"/>
          <w:numId w:val="12"/>
        </w:numPr>
      </w:pPr>
      <w:bookmarkStart w:id="36" w:name="_Toc230267093"/>
      <w:bookmarkStart w:id="37" w:name="_Ref231291808"/>
      <w:bookmarkStart w:id="38" w:name="_Ref231291863"/>
      <w:bookmarkStart w:id="39" w:name="_Ref231291891"/>
      <w:bookmarkStart w:id="40" w:name="_Ref231291901"/>
      <w:bookmarkStart w:id="41" w:name="_Ref232206592"/>
      <w:bookmarkStart w:id="42" w:name="_Ref232206971"/>
      <w:bookmarkStart w:id="43" w:name="_Ref232250869"/>
      <w:bookmarkStart w:id="44" w:name="_Ref233046123"/>
      <w:bookmarkStart w:id="45" w:name="_Ref233111183"/>
      <w:bookmarkStart w:id="46" w:name="_Toc241478079"/>
      <w:r>
        <w:t>Qualité et santé</w:t>
      </w:r>
      <w:r w:rsidR="0078583F">
        <w:t xml:space="preserve"> du sol</w:t>
      </w:r>
      <w:r>
        <w:t xml:space="preserve">, deux </w:t>
      </w:r>
      <w:r w:rsidR="00883F73">
        <w:t>notions</w:t>
      </w:r>
      <w:r>
        <w:t xml:space="preserve"> complémentaires</w:t>
      </w:r>
      <w:bookmarkEnd w:id="36"/>
      <w:bookmarkEnd w:id="37"/>
      <w:bookmarkEnd w:id="38"/>
      <w:bookmarkEnd w:id="39"/>
      <w:bookmarkEnd w:id="40"/>
      <w:bookmarkEnd w:id="41"/>
      <w:bookmarkEnd w:id="42"/>
      <w:bookmarkEnd w:id="43"/>
      <w:bookmarkEnd w:id="44"/>
      <w:bookmarkEnd w:id="45"/>
      <w:bookmarkEnd w:id="46"/>
    </w:p>
    <w:p w14:paraId="21F4E637" w14:textId="1E64DE52" w:rsidR="00ED6EFC" w:rsidRDefault="00ED6EFC">
      <w:pPr>
        <w:pStyle w:val="Titre3"/>
        <w:numPr>
          <w:ilvl w:val="2"/>
          <w:numId w:val="12"/>
        </w:numPr>
      </w:pPr>
      <w:bookmarkStart w:id="47" w:name="_Toc241478080"/>
      <w:r>
        <w:t>Historique</w:t>
      </w:r>
      <w:bookmarkEnd w:id="47"/>
    </w:p>
    <w:p w14:paraId="2F5E1D83" w14:textId="73C5F352" w:rsidR="000F38A3" w:rsidRDefault="000F38A3" w:rsidP="000F38A3">
      <w:r>
        <w:t xml:space="preserve">Quelle différence y a-t-il entre la qualité et la santé d’un sol, deux termes fréquemment utilisés de manière interchangeable dans les publications scientifiques et les politiques publiques ? Par exemple, </w:t>
      </w:r>
      <w:r w:rsidR="2BD56146">
        <w:t>D</w:t>
      </w:r>
      <w:r>
        <w:t xml:space="preserve">ans la récente directive sur la surveillance des sols </w:t>
      </w:r>
      <w:r>
        <w:fldChar w:fldCharType="begin"/>
      </w:r>
      <w:r>
        <w:instrText xml:space="preserve"> ADDIN ZOTERO_ITEM CSL_CITATION {"citationID":"cOdyZody","properties":{"formattedCitation":"(UE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fldChar w:fldCharType="separate"/>
      </w:r>
      <w:r w:rsidR="00377A1A" w:rsidRPr="115D0481">
        <w:rPr>
          <w:rFonts w:cs="Calibri"/>
        </w:rPr>
        <w:t>(UE 2025/2360, 2025)</w:t>
      </w:r>
      <w:r>
        <w:fldChar w:fldCharType="end"/>
      </w:r>
      <w:r>
        <w:t xml:space="preserve">, </w:t>
      </w:r>
      <w:r w:rsidR="6E3C7D3E">
        <w:t xml:space="preserve">par exemple, </w:t>
      </w:r>
      <w:r>
        <w:t xml:space="preserve">un sol </w:t>
      </w:r>
      <w:r w:rsidRPr="115D0481">
        <w:rPr>
          <w:i/>
          <w:iCs/>
        </w:rPr>
        <w:t>sain</w:t>
      </w:r>
      <w:r>
        <w:t xml:space="preserve"> est défini comme étant capable de fournir des services écosystémiques, sans évoquer la notion de qualité.</w:t>
      </w:r>
      <w:r w:rsidR="008342D4">
        <w:t xml:space="preserve"> Le concept de </w:t>
      </w:r>
      <w:r w:rsidR="008342D4" w:rsidRPr="115D0481">
        <w:rPr>
          <w:i/>
          <w:iCs/>
        </w:rPr>
        <w:t>santé</w:t>
      </w:r>
      <w:r w:rsidR="008342D4">
        <w:t xml:space="preserve"> est mis en avant dans le texte européen, </w:t>
      </w:r>
      <w:r w:rsidR="00E875F3">
        <w:t xml:space="preserve">alors qu’en parallèle de nombreux indices de </w:t>
      </w:r>
      <w:r w:rsidR="00E875F3" w:rsidRPr="115D0481">
        <w:rPr>
          <w:i/>
          <w:iCs/>
        </w:rPr>
        <w:t>qualité</w:t>
      </w:r>
      <w:r w:rsidR="00E875F3">
        <w:t xml:space="preserve"> du sol sont développés.</w:t>
      </w:r>
      <w:r>
        <w:t xml:space="preserve"> Depuis l’émergence de ces deux concepts, une confusion subsist</w:t>
      </w:r>
      <w:r w:rsidR="00E875F3">
        <w:t>e</w:t>
      </w:r>
      <w:r>
        <w:t xml:space="preserve"> au sein de la communauté scientifique. </w:t>
      </w:r>
    </w:p>
    <w:p w14:paraId="489EF2F8" w14:textId="010A3C26" w:rsidR="000F38A3" w:rsidRDefault="000F38A3" w:rsidP="000F38A3">
      <w:r w:rsidRPr="00F71673">
        <w:t>Karlen et</w:t>
      </w:r>
      <w:r>
        <w:t xml:space="preserve"> al. </w:t>
      </w:r>
      <w:r>
        <w:fldChar w:fldCharType="begin"/>
      </w:r>
      <w:r w:rsidRPr="00F71673">
        <w:instrText xml:space="preserve"> ADDIN ZOTERO_ITEM CSL_CITATION {"citationID":"QD5etQfT","properties":{"formattedCitation":"(1997)","plainCitation":"(1997)","noteIndex":0},"citationItems":[{"id":550,"uris":["http://zotero.org/groups/5684833/items/FVEVKAU3"],"itemData":{"id":550,"type":"article-journal","abstract":"This essay summarizes deliberation by the Soil Science Society of America (SSSA) Ad Hoc Committee on Soil Quality (S-581) and was written to spur discussion among SSSA members. Varying perceptions of soil quality have emerged since the concept was suggested in the early 1990s, and dialogue among members is important because, unlike air and water quality, legislative standards for soil quality have not been and perhaps should not be defined. In simplest terms, soil quality is “the capacity (of soil) to function”. This definition, based on function, reflects the living and dynamic nature of soil. Soil quality can be conceptualized as a three-legged stool, the function and balance of which requires an integration of three major components — sustained biological productivity, environmental quality, and plant and animal health. The concept attempts to balance multiple soil uses (e.g., for agricultural production, remediation of wastes, urban development, forest, range, or recreation) with goals for environmental quality. Assessing soil quality will require collaboration among all disciplines of science to examine and interpret their results in the context of land management strategies, interactions, and trade-offs. Society is demanding solutions from science. Simply measuring and reporting the response of an individual soil parameter to a given perturbation or management practice is no longer sufficient. The soil resource must be recognized as a dynamic living system that emerges through a unique balance and interaction of its biological, chemical, and physical components. We encourage SSSA members to consider the concept of soil quality (perhaps as a marketing tool) and to debate how it might enable us to more effectively meet the diverse natural resource needs and concerns of our rural, urban, and suburban clientele of today and tomorrow.","container-title":"Soil Science Society of America Journal","DOI":"10.2136/sssaj1997.03615995006100010001x","ISSN":"1435-0661","issue":"1","language":"en","note":"_eprint: https://acsess.onlinelibrary.wiley.com/doi/pdf/10.2136/sssaj1997.03615995006100010001x","page":"4-10","source":"Wiley Online Library","title":"Soil Quality: A Concept, Definition, and Framework for Evaluation (A Guest Editorial)","title-short":"Soil Quality","volume":"61","author":[{"family":"Karlen","given":"D. L."},{"family":"Mausbach","given":"M. J."},{"family":"Doran","given":"J. W."},{"family":"Cline","given":"R. G."},{"family":"Harris","given":"R. F."},{"family":"Schuman","given":"G. E."}],"issued":{"date-parts":[["1997"]]}},"suppress-author":true}],"schema":"https://github.com/citation-style-language/schema/raw/master/csl-citation.json"} </w:instrText>
      </w:r>
      <w:r>
        <w:fldChar w:fldCharType="separate"/>
      </w:r>
      <w:r w:rsidRPr="00792814">
        <w:rPr>
          <w:rFonts w:cs="Calibri"/>
        </w:rPr>
        <w:t>(1997)</w:t>
      </w:r>
      <w:r>
        <w:fldChar w:fldCharType="end"/>
      </w:r>
      <w:r w:rsidRPr="00F71673">
        <w:t xml:space="preserve"> </w:t>
      </w:r>
      <w:r w:rsidR="0011112F">
        <w:t>a</w:t>
      </w:r>
      <w:r w:rsidRPr="00F71673">
        <w:t xml:space="preserve"> formulé l’une des premières définitions de la qualité des sols, </w:t>
      </w:r>
      <w:r w:rsidR="0011112F">
        <w:t>comptant</w:t>
      </w:r>
      <w:r w:rsidRPr="00F71673">
        <w:t xml:space="preserve"> parmi les plus fréquemment employées dans la littérature scientifique : « La qualité d’un sol est sa capacité à fonctionner, au sein des frontières de l’écosystème et de l’usage, pour soutenir la productivité, maintenir la qualité environnementale et promouvoir la santé des plantes et des animaux ».</w:t>
      </w:r>
      <w:r>
        <w:t xml:space="preserve"> Presque au même moment, le concept de santé du sol a émergé. Depuis les premières publications sur le sujet définissant la santé d’un sol (en tant que système dynamique) comme sa capacité continue à fonctionner comme un système vivant </w:t>
      </w:r>
      <w:r>
        <w:fldChar w:fldCharType="begin"/>
      </w:r>
      <w:r>
        <w:instrText xml:space="preserve"> ADDIN ZOTERO_ITEM CSL_CITATION {"citationID":"cUQn0iW6","properties":{"formattedCitation":"(Doran &amp; Zeiss, 2000)","plainCitation":"(Doran &amp; Zeiss, 2000)","noteIndex":0},"citationItems":[{"id":407,"uris":["http://zotero.org/groups/5684833/items/VXMVJZVB"],"itemData":{"id":407,"type":"article-journal","abstract":"Soil health is the capacity of soil to function as a vital living system, within ecosystem and land-use boundaries, to sustain plant and animal productivity, maintain or enhance water and air quality, and promote plant and animal health. Anthropogenic reductions in soil health, and of individual components of soil quality, are a pressing ecological concern. A conference entitled ‘Soil Health: Managing the Biological Component of Soil Quality’ was held was held in the USA in November 1998 to help increase awareness of the importance and utility of soil organisms as indicators of soil quality and determinants of soil health. To evaluate sustainability of agricultural practices, assessment of soil health using various indicators of soil quality is needed. Soil organism and biotic parameters (e.g. abundance, diversity, food web structure, or community stability) meet most of the five criteria for useful indicators of soil quality. Soil organisms respond sensitively to land management practices and climate. They are well correlated with beneficial soil and ecosystem functions including water storage, decomposition and nutrient cycling, detoxification of toxicants, and suppression of noxious and pathogenic organisms. Soil organisms also illustrate the chain of cause and effect that links land management decisions to ultimate productivity and health of plants and animals. Indicators must be comprehensible and useful to land managers, who are the ultimate stewards of soil quality and soil health. Visible organisms such as earthworms, insects, and molds have historically met this criterion. Finally, indicators must be easy and inexpensive to measure, but the need for knowledge of taxonomy complicates the measurement of soil organisms. Several farmer-participatory programs for managing soil quality and health have incorporated abiotic and simple biotic indicators. The challenge for the future is to develop sustainable management systems which are the vanguard of soil health; soil quality indicators are merely a means towards this end.","collection-title":"Special issue: Managing the Biotic component of Soil Quality","container-title":"Applied Soil Ecology","DOI":"10.1016/S0929-1393(00)00067-6","ISSN":"0929-1393","issue":"1","journalAbbreviation":"Applied Soil Ecology","page":"3-11","source":"ScienceDirect","title":"Soil health and sustainability: managing the biotic component of soil quality","title-short":"Soil health and sustainability","volume":"15","author":[{"family":"Doran","given":"John W."},{"family":"Zeiss","given":"Michael R."}],"issued":{"date-parts":[["2000",8,1]]}}}],"schema":"https://github.com/citation-style-language/schema/raw/master/csl-citation.json"} </w:instrText>
      </w:r>
      <w:r>
        <w:fldChar w:fldCharType="separate"/>
      </w:r>
      <w:r w:rsidRPr="00792814">
        <w:rPr>
          <w:rFonts w:cs="Calibri"/>
        </w:rPr>
        <w:t>(Doran &amp; Zeiss, 2000)</w:t>
      </w:r>
      <w:r>
        <w:fldChar w:fldCharType="end"/>
      </w:r>
      <w:r>
        <w:t xml:space="preserve">, le concept a évolué en intégrant plus </w:t>
      </w:r>
      <w:r>
        <w:lastRenderedPageBreak/>
        <w:t xml:space="preserve">spécifiquement la biologie du sol, jusqu’alors peu prise en compte dans les évaluations de sol, et en mettant en lien la capacité du sol à fournir des services écosystémiques avec les objectifs de durabilité </w:t>
      </w:r>
      <w:r>
        <w:fldChar w:fldCharType="begin"/>
      </w:r>
      <w:r>
        <w:instrText xml:space="preserve"> ADDIN ZOTERO_ITEM CSL_CITATION {"citationID":"AJnCY9n1","properties":{"unsorted":true,"formattedCitation":"(Doran and Zeiss, 2000; Kibblewhite et al., 2008; Faber et al., 2022)","plainCitation":"(Doran and Zeiss, 2000; Kibblewhite et al., 2008; Faber et al., 2022)","dontUpdate":true,"noteIndex":0},"citationItems":[{"id":407,"uris":["http://zotero.org/groups/5684833/items/VXMVJZVB"],"itemData":{"id":407,"type":"article-journal","abstract":"Soil health is the capacity of soil to function as a vital living system, within ecosystem and land-use boundaries, to sustain plant and animal productivity, maintain or enhance water and air quality, and promote plant and animal health. Anthropogenic reductions in soil health, and of individual components of soil quality, are a pressing ecological concern. A conference entitled ‘Soil Health: Managing the Biological Component of Soil Quality’ was held was held in the USA in November 1998 to help increase awareness of the importance and utility of soil organisms as indicators of soil quality and determinants of soil health. To evaluate sustainability of agricultural practices, assessment of soil health using various indicators of soil quality is needed. Soil organism and biotic parameters (e.g. abundance, diversity, food web structure, or community stability) meet most of the five criteria for useful indicators of soil quality. Soil organisms respond sensitively to land management practices and climate. They are well correlated with beneficial soil and ecosystem functions including water storage, decomposition and nutrient cycling, detoxification of toxicants, and suppression of noxious and pathogenic organisms. Soil organisms also illustrate the chain of cause and effect that links land management decisions to ultimate productivity and health of plants and animals. Indicators must be comprehensible and useful to land managers, who are the ultimate stewards of soil quality and soil health. Visible organisms such as earthworms, insects, and molds have historically met this criterion. Finally, indicators must be easy and inexpensive to measure, but the need for knowledge of taxonomy complicates the measurement of soil organisms. Several farmer-participatory programs for managing soil quality and health have incorporated abiotic and simple biotic indicators. The challenge for the future is to develop sustainable management systems which are the vanguard of soil health; soil quality indicators are merely a means towards this end.","collection-title":"Special issue: Managing the Biotic component of Soil Quality","container-title":"Applied Soil Ecology","DOI":"10.1016/S0929-1393(00)00067-6","ISSN":"0929-1393","issue":"1","journalAbbreviation":"Applied Soil Ecology","page":"3-11","source":"ScienceDirect","title":"Soil health and sustainability: managing the biotic component of soil quality","title-short":"Soil health and sustainability","volume":"15","author":[{"family":"Doran","given":"John W."},{"family":"Zeiss","given":"Michael R."}],"issued":{"date-parts":[["2000",8,1]]}}},{"id":452,"uris":["http://zotero.org/groups/5684833/items/6LYHR76I"],"itemData":{"id":452,"type":"article-journal","abstract":"Soil health is presented as an integrative property that reflects the capacity of soil to respond to agricultural intervention, so that it continues to support both the agricultural production and the provision of other ecosystem services. The major challenge within sustainable soil management is to conserve ecosystem service delivery while optimizing agricultural yields. It is proposed that soil health is dependent on the maintenance of four major functions: carbon transformations; nutrient cycles; soil structure maintenance; and the regulation of pests and diseases. Each of these functions is manifested as an aggregate of a variety of biological processes provided by a diversity of interacting soil organisms under the influence of the abiotic soil environment. Analysis of current models of the soil community under the impact of agricultural interventions (particularly those entailing substitution of biological processes with fossil fuel-derived energy or inputs) confirms the highly integrative pattern of interactions within each of these functions and leads to the conclusion that measurement of individual groups of organisms, processes or soil properties does not suffice to indicate the state of the soil health. A further conclusion is that quantifying the flow of energy and carbon between functions is an essential but non-trivial task for the assessment and management of soil health.","container-title":"Philosophical Transactions of the Royal Society of London. Series B, Biological Sciences","DOI":"10.1098/rstb.2007.2178","ISSN":"0962-8436","issue":"1492","journalAbbreviation":"Philos Trans R Soc Lond B Biol Sci","language":"eng","page":"685-701","PMID":"17785275","PMCID":"PMC2610104","source":"PubMed","title":"Soil health in agricultural systems","volume":"363","author":[{"family":"Kibblewhite","given":"M. G."},{"family":"Ritz","given":"K."},{"family":"Swift","given":"M. J."}],"issued":{"date-parts":[["2008",2,27]]}}},{"id":171,"uris":["http://zotero.org/groups/5684833/items/6DBJFX6R"],"itemData":{"id":171,"type":"article-journal","DOI":"10.5281/zenodo.15187757","language":"en","source":"zenodo.org","title":"EJP SOIL Internal Project SIREN Deliverable 2: Stocktaking for Agricultural Soil Quality and Ecosystem Services Indicators and their Reference Values (SIREN)","title-short":"EJP SOIL Internal Project SIREN Deliverable 2","URL":"https://zenodo.org/records/15187757","author":[{"family":"Faber","given":"Jack H."},{"family":"Hanegraaf","given":"Marjoleine"},{"family":"Gillikin","given":"Ava"},{"family":"Hendriks","given":"Chantal"},{"family":"Kuikman","given":"Peter"},{"family":"Cousin","given":"Isabelle"},{"family":"Bispo","given":"Antonio"},{"family":"Obiang-Ndong","given":"Gregory"},{"family":"Montagne","given":"David"},{"family":"Taylor","given":"Astrid"},{"family":"Bengtsson","given":"Jan"},{"family":"Damme","given":"Loraine","non-dropping-particle":"ten"},{"family":"Meurer","given":"Katharina H. E."},{"family":"Viketoft","given":"Maria"}],"accessed":{"date-parts":[["2025",6,16]]},"issued":{"date-parts":[["2022"]]}}}],"schema":"https://github.com/citation-style-language/schema/raw/master/csl-citation.json"} </w:instrText>
      </w:r>
      <w:r>
        <w:fldChar w:fldCharType="separate"/>
      </w:r>
      <w:r>
        <w:t>(Kibblewhite et al., 2008; Faber et al., 2022)</w:t>
      </w:r>
      <w:r>
        <w:fldChar w:fldCharType="end"/>
      </w:r>
      <w:r>
        <w:t xml:space="preserve">. </w:t>
      </w:r>
    </w:p>
    <w:p w14:paraId="1002AC07" w14:textId="4F076B7E" w:rsidR="00543CEC" w:rsidRDefault="00543CEC">
      <w:pPr>
        <w:pStyle w:val="Titre3"/>
        <w:numPr>
          <w:ilvl w:val="2"/>
          <w:numId w:val="12"/>
        </w:numPr>
      </w:pPr>
      <w:bookmarkStart w:id="48" w:name="_Toc241478081"/>
      <w:r>
        <w:t>Définitions opérationnelles</w:t>
      </w:r>
      <w:bookmarkEnd w:id="48"/>
    </w:p>
    <w:p w14:paraId="4336DB18" w14:textId="41A2B54B" w:rsidR="00543CEC" w:rsidRDefault="000F38A3" w:rsidP="000F38A3">
      <w:r>
        <w:t xml:space="preserve">Parmi les diverses définitions fréquemment formulées dans la littérature scientifique, aucune ne fait réellement consensus. En effet, celles-ci sont finalement peu opérationnelles </w:t>
      </w:r>
      <w:r>
        <w:fldChar w:fldCharType="begin"/>
      </w:r>
      <w:r>
        <w:instrText xml:space="preserve"> ADDIN ZOTERO_ITEM CSL_CITATION {"citationID":"YMI9sGMS","properties":{"unsorted":true,"formattedCitation":"(Lehmann et al., 2020; Weninger et al., 2024)","plainCitation":"(Lehmann et al., 2020; Weninger et al., 2024)","noteIndex":0},"citationItems":[{"id":416,"uris":["http://zotero.org/groups/5684833/items/S5FAIYHE"],"itemData":{"id":416,"type":"article-journal","abstract":"Soil health is the continued capacity of soil to function as a vital living ecosystem that sustains plants, animals and humans, and connects agricultural and soil science to policy, stakeholder needs and sustainable supply-chain management. Historically, soil assessments focused on crop production, but, today, soil health also includes the role of soil in water quality, climate change and human health. However, quantifying soil health is still dominated by chemical indicators, despite growing appreciation of the importance of soil biodiversity, owing to limited functional knowledge and lack of effective methods. In this Perspective, the definition and history of soil health are described and compared with other soil concepts. We outline ecosystem services provided by soils, the indicators used to measure soil functionality and their integration into informative soil-health indices. Scientists should embrace soil health as an overarching principle that contributes to sustainability goals, rather than only a property to measure.","container-title":"Nature Reviews Earth &amp; Environment","DOI":"10.1038/s43017-020-0080-8","ISSN":"2662-138X","issue":"10","journalAbbreviation":"Nat Rev Earth Environ","language":"en","license":"2020 Springer Nature Limited","page":"544-553","publisher":"Nature Publishing Group","source":"www.nature.com","title":"The concept and future prospects of soil health","volume":"1","author":[{"family":"Lehmann","given":"Johannes"},{"family":"Bossio","given":"Deborah A."},{"family":"Kögel-Knabner","given":"Ingrid"},{"family":"Rillig","given":"Matthias C."}],"issued":{"date-parts":[["2020",10]]}}},{"id":430,"uris":["http://zotero.org/groups/5684833/items/ZVIP3Y7R"],"itemData":{"id":430,"type":"article-journal","abstract":"European soils are under increasing pressure, making it difficult to maintain the provision of soil ecosystem services (SESs). A better understanding of soil processes is needed to counteract soil threats (STs) and to promote sustainable soil management. The EJP SOIL programme of the EU provides a framework for the necessary research. However, different definitions of soil-related terms potentially lead to varied understandings of concepts. Furthermore, there are numerous indicators available to quantify STs or SESs. As unclear communication is a key barrier that hinders the implementation of research results into practice, this study aimed to answer the question about whether the terminology of large-scale initiatives is adequately understood within the soil-science community and non-research stakeholders. An online questionnaire was used to provide definitions for 33 soil-related terms in both scientific and plain language, as well as indicators for seven SESs and 11 STs. Participants were asked to rate their agreement with the definitions and indicators on a seven-grade Likert scale. The level of agreement was calculated as the percentage of ratings above 4, the neutral position. The survey was available from June to September 2023 and was distributed by a snowball approach. More than 260 stakeholders assessed the survey; 70% of respondents were researchers, and 15% were practitioners. Mean agreement levels for the definitions and indicators were generally high, at 85% and 78% respectively. However, it was apparent that the lowest agreement was found for terms that are relatively new, such as Ecosystem Services and Bundle, or unfamiliar for certain subgroups, such as ecological terms for stakeholders working at the farm scale. Due to their distinct majority, the results of this study primarily reflect the opinions of scientists. Thus, broad conclusions can only be drawn by comparing scientists with non-scientists. In this regard, the agreement was surprisingly high across all types of questions. The combined outcomes indicate that there is still a need to facilitate communication between stakeholders and to improve knowledge distribution strategies. Nevertheless, this study can support and be used by future projects and programmes, especially regarding the harmonization of terminology and methods.","container-title":"European Journal of Soil Science","DOI":"10.1111/ejss.13476","ISSN":"1365-2389","issue":"2","language":"en","license":"© 2024 The Authors. European Journal of Soil Science published by John Wiley &amp; Sons Ltd on behalf of British Society of Soil Science.","note":"_eprint: https://bsssjournals.onlinelibrary.wiley.com/doi/pdf/10.1111/ejss.13476","page":"e13476","source":"Wiley Online Library","title":"Do we speak one language on the way to sustainable soil management in Europe? A terminology check via an EU-wide survey","title-short":"Do we speak one language on the way to sustainable soil management in Europe?","volume":"75","author":[{"family":"Weninger","given":"Thomas"},{"family":"Ramler","given":"David"},{"family":"Bondi","given":"Giulia"},{"family":"Asins","given":"Sabina"},{"family":"O'Sullivan","given":"Lilian"},{"family":"Assennato","given":"Francesca"},{"family":"Astover","given":"Alar"},{"family":"Bispo","given":"Antonio"},{"family":"Borůvka","given":"Luboš"},{"family":"Buttafuoco","given":"Gabriele"},{"family":"Calzolari","given":"Costanza"},{"family":"Castanheira","given":"Nádia"},{"family":"Cousin","given":"Isabelle"},{"family":"Elsen","given":"Erik","non-dropping-particle":"van den"},{"family":"Foldal","given":"Cecilie"},{"family":"Hessel","given":"Rudi"},{"family":"Kadžiulienė","given":"Žydrė"},{"family":"Kukk","given":"Liia"},{"family":"Molina","given":"Maria J."},{"family":"Montagne","given":"David"},{"family":"Oorts","given":"Katrien"},{"family":"Pindral","given":"Sylwia"},{"family":"Ungaro","given":"Fabrizio"},{"family":"Klimkowicz-Pawlas","given":"Agnieszka"}],"issued":{"date-parts":[["2024"]]}}}],"schema":"https://github.com/citation-style-language/schema/raw/master/csl-citation.json"} </w:instrText>
      </w:r>
      <w:r>
        <w:fldChar w:fldCharType="separate"/>
      </w:r>
      <w:r w:rsidRPr="00792814">
        <w:rPr>
          <w:rFonts w:cs="Calibri"/>
        </w:rPr>
        <w:t>(Lehmann et al., 2020; Weninger et al., 2024)</w:t>
      </w:r>
      <w:r>
        <w:fldChar w:fldCharType="end"/>
      </w:r>
      <w:r>
        <w:t xml:space="preserve">, ce qui résulte en un découragement des parties prenantes à intégrer la santé des sols dans les projets d’aménagement. Or, l’objectif d’une définition est finalement qu’une multiplicité d’acteurs puisse y voir un sens commun pour rassembler leurs efforts vers </w:t>
      </w:r>
      <w:r w:rsidR="0011112F">
        <w:t>la mise en place d’actions concrètes</w:t>
      </w:r>
      <w:r>
        <w:t xml:space="preserve">. </w:t>
      </w:r>
    </w:p>
    <w:p w14:paraId="5D50EEEA" w14:textId="597E0F40" w:rsidR="00637823" w:rsidRDefault="000F38A3" w:rsidP="00E90D23">
      <w:r>
        <w:t xml:space="preserve">Ce constat a guidé les travaux de </w:t>
      </w:r>
      <w:r w:rsidRPr="002C23BB">
        <w:t xml:space="preserve">Cousin et </w:t>
      </w:r>
      <w:r>
        <w:t xml:space="preserve">al. </w:t>
      </w:r>
      <w:r>
        <w:fldChar w:fldCharType="begin"/>
      </w:r>
      <w:r>
        <w:instrText xml:space="preserve"> ADDIN ZOTERO_ITEM CSL_CITATION {"citationID":"Yt9w2guk","properties":{"unsorted":false,"formattedCitation":"(2025)","plainCitation":"(2025)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uppress-author":true}],"schema":"https://github.com/citation-style-language/schema/raw/master/csl-citation.json"} </w:instrText>
      </w:r>
      <w:r>
        <w:fldChar w:fldCharType="separate"/>
      </w:r>
      <w:r w:rsidRPr="0037195A">
        <w:rPr>
          <w:rFonts w:cs="Calibri"/>
        </w:rPr>
        <w:t>(2025)</w:t>
      </w:r>
      <w:r>
        <w:fldChar w:fldCharType="end"/>
      </w:r>
      <w:r>
        <w:t xml:space="preserve"> qui, dans le cadre d’un projet bibliographique de grande ampleur (INDIQUASOLS), a défini la qualité du sol pour un indicateur donné comme le potentiel atteignable du sol, et la santé comme étant le rapport entre la valeur mesurée et le potentiel. </w:t>
      </w:r>
      <w:r w:rsidR="0058104B">
        <w:t>L</w:t>
      </w:r>
      <w:r w:rsidR="00497945">
        <w:t>e concept de santé du sol ne</w:t>
      </w:r>
      <w:r w:rsidR="009A35B0">
        <w:t xml:space="preserve"> </w:t>
      </w:r>
      <w:r w:rsidR="006E6C62">
        <w:t xml:space="preserve">permet </w:t>
      </w:r>
      <w:r w:rsidR="313D5677">
        <w:t xml:space="preserve">néanmoins </w:t>
      </w:r>
      <w:r w:rsidR="006E6C62">
        <w:t xml:space="preserve">pas de couvrir </w:t>
      </w:r>
      <w:r w:rsidR="00FE2515">
        <w:t xml:space="preserve">l’ensemble des besoins des </w:t>
      </w:r>
      <w:r w:rsidR="00852F6E">
        <w:t>acteurs</w:t>
      </w:r>
      <w:r w:rsidR="0061BDF3">
        <w:t>.</w:t>
      </w:r>
      <w:r w:rsidR="006E6C62">
        <w:t xml:space="preserve"> </w:t>
      </w:r>
      <w:r w:rsidR="0058104B">
        <w:t xml:space="preserve">Si la notion de santé du sol est particulièrement utile dans un contexte de réhabilitation ou d’amélioration de la gestion d’un sol (le sol est-il loin de son potentiel, et comment faire pour améliorer la situation pour l’usage du sol en l’état ?), </w:t>
      </w:r>
      <w:r w:rsidR="002E4DEE">
        <w:t xml:space="preserve">l’appréciation de la qualité en </w:t>
      </w:r>
      <w:r w:rsidR="009F348F">
        <w:t xml:space="preserve">termes </w:t>
      </w:r>
      <w:r w:rsidR="0058104B">
        <w:t>absolu</w:t>
      </w:r>
      <w:r w:rsidR="009F348F">
        <w:t>s</w:t>
      </w:r>
      <w:r w:rsidR="0058104B">
        <w:t xml:space="preserve"> est particulièrement utile en aménagement du territoire, car un sol sain peut être moins adapté pour remplir une fonction donnée qu’un autre partiellement dégradé. Par exemple, un sol sableux aura généralement une faible réserve en eau utile, même s’il est parfaitement sain. </w:t>
      </w:r>
      <w:r w:rsidR="00905B4D">
        <w:t>À</w:t>
      </w:r>
      <w:r w:rsidR="0058104B">
        <w:t xml:space="preserve"> l’inverse, un sol limoneux</w:t>
      </w:r>
      <w:r w:rsidR="0084572F">
        <w:t>, même s’il est légèrement</w:t>
      </w:r>
      <w:r w:rsidR="0058104B">
        <w:t xml:space="preserve"> dégradé</w:t>
      </w:r>
      <w:r w:rsidR="0084572F">
        <w:t>,</w:t>
      </w:r>
      <w:r w:rsidR="0058104B">
        <w:t xml:space="preserve"> gardera une réserve en eau utile importante pour l’alimentation hydrique des plantes.</w:t>
      </w:r>
      <w:r w:rsidR="0045423E">
        <w:t xml:space="preserve"> Le concept de « qualité absolue » est </w:t>
      </w:r>
      <w:r w:rsidR="005C1F20">
        <w:t>utilisé</w:t>
      </w:r>
      <w:r w:rsidR="0045423E">
        <w:t xml:space="preserve"> par </w:t>
      </w:r>
      <w:r w:rsidR="005C1F20">
        <w:t>la FAO</w:t>
      </w:r>
      <w:r w:rsidR="001620D3">
        <w:t xml:space="preserve"> </w:t>
      </w:r>
      <w:r w:rsidR="00963B6C">
        <w:fldChar w:fldCharType="begin"/>
      </w:r>
      <w:r w:rsidR="00963B6C">
        <w:instrText xml:space="preserve"> ADDIN ZOTERO_ITEM CSL_CITATION {"citationID":"MUASt6Aw","properties":{"unsorted":false,"formattedCitation":"(2026)","plainCitation":"(2026)","noteIndex":0},"citationItems":[{"id":636,"uris":["http://zotero.org/groups/5684833/items/N2YZCR46"],"itemData":{"id":636,"type":"webpage","container-title":"FAO SOILS PORTAL","title":"Global Soil Health","URL":"https://www.fao.org/soils-portal/soil-degradation-restoration/global-soil-health-indicators-and-assessment/global-soil-health/en/","author":[{"family":"FAO (Food and Agriculture Organization of the United Nations)","given":""}],"accessed":{"date-parts":[["2026",9,23]]},"issued":{"date-parts":[["2026"]]}},"suppress-author":true}],"schema":"https://github.com/citation-style-language/schema/raw/master/csl-citation.json"} </w:instrText>
      </w:r>
      <w:r w:rsidR="00963B6C">
        <w:fldChar w:fldCharType="separate"/>
      </w:r>
      <w:r w:rsidR="00963B6C" w:rsidRPr="00963B6C">
        <w:rPr>
          <w:rFonts w:cs="Calibri"/>
        </w:rPr>
        <w:t>(2026)</w:t>
      </w:r>
      <w:r w:rsidR="00963B6C">
        <w:fldChar w:fldCharType="end"/>
      </w:r>
      <w:r w:rsidR="005C1F20">
        <w:t xml:space="preserve"> pour l’appréciation du potentiel agronomique d’un sol</w:t>
      </w:r>
      <w:r w:rsidR="001D0E34">
        <w:t>. Dans l’IQSW</w:t>
      </w:r>
      <w:r w:rsidR="4C048DBA">
        <w:t>-pro</w:t>
      </w:r>
      <w:r w:rsidR="001D0E34">
        <w:t xml:space="preserve">, nous étendons cette notion à l’ensemble des services écosystémiques rendus par le sol. </w:t>
      </w:r>
      <w:r w:rsidR="00E90D23">
        <w:t xml:space="preserve">Sur cette base, </w:t>
      </w:r>
      <w:r w:rsidR="00D958FE">
        <w:t>l’outil</w:t>
      </w:r>
      <w:r w:rsidR="006D6F7F">
        <w:t xml:space="preserve"> IQSW</w:t>
      </w:r>
      <w:r w:rsidR="3F6F4B7D">
        <w:t>-pro</w:t>
      </w:r>
      <w:r w:rsidR="006D6F7F">
        <w:t xml:space="preserve"> inclu</w:t>
      </w:r>
      <w:r w:rsidR="00B0688A">
        <w:t>t</w:t>
      </w:r>
      <w:r w:rsidR="006D6F7F">
        <w:t xml:space="preserve"> un système de </w:t>
      </w:r>
      <w:r w:rsidR="008B1CF4">
        <w:t>notation</w:t>
      </w:r>
      <w:r w:rsidR="006D6F7F">
        <w:t xml:space="preserve"> pour la santé du sol</w:t>
      </w:r>
      <w:r w:rsidR="005C7E23">
        <w:t xml:space="preserve"> (ISSW)</w:t>
      </w:r>
      <w:r w:rsidR="006D6F7F">
        <w:t xml:space="preserve"> mais aussi pour la qualité absolue</w:t>
      </w:r>
      <w:r w:rsidR="005C7E23">
        <w:t xml:space="preserve"> (IQSW</w:t>
      </w:r>
      <w:r w:rsidR="00484E0A">
        <w:t>)</w:t>
      </w:r>
      <w:r w:rsidR="006D6F7F">
        <w:t>, selon</w:t>
      </w:r>
      <w:r>
        <w:t xml:space="preserve"> les définitions suivantes :</w:t>
      </w:r>
    </w:p>
    <w:p w14:paraId="08B4FDBE" w14:textId="21AA24CE" w:rsidR="00EB3C25" w:rsidRDefault="001E18F0" w:rsidP="001E18F0">
      <w:pPr>
        <w:pStyle w:val="Paragraphedeliste"/>
        <w:numPr>
          <w:ilvl w:val="0"/>
          <w:numId w:val="37"/>
        </w:numPr>
      </w:pPr>
      <w:r w:rsidRPr="001E18F0">
        <w:t xml:space="preserve">La </w:t>
      </w:r>
      <w:r w:rsidRPr="001E18F0">
        <w:rPr>
          <w:b/>
          <w:bCs/>
        </w:rPr>
        <w:t>qualité d’un sol</w:t>
      </w:r>
      <w:r w:rsidRPr="001E18F0">
        <w:t xml:space="preserve"> est sa capacité actuelle à remplir un service ou une fonction donnée. Elle correspond à l’état absolu d’un indicateur. L’attribution d’un score de qualité, en lien avec une fonction donnée, consiste à interpréter la valeur mesurée d’un indicateur par rapport au niveau optimal absolu de remplissage de la fonction, établi indépendamment du type de sol évalué.</w:t>
      </w:r>
    </w:p>
    <w:p w14:paraId="267E26DA" w14:textId="77777777" w:rsidR="001E18F0" w:rsidRPr="00E347EF" w:rsidRDefault="001E18F0" w:rsidP="00EB3C25">
      <w:pPr>
        <w:pStyle w:val="Paragraphedeliste"/>
      </w:pPr>
    </w:p>
    <w:p w14:paraId="212C8E2A" w14:textId="77777777" w:rsidR="00E3002B" w:rsidRDefault="00E3002B" w:rsidP="00E3002B">
      <w:pPr>
        <w:pStyle w:val="Paragraphedeliste"/>
        <w:numPr>
          <w:ilvl w:val="0"/>
          <w:numId w:val="37"/>
        </w:numPr>
      </w:pPr>
      <w:r w:rsidRPr="00E3002B">
        <w:t xml:space="preserve">La </w:t>
      </w:r>
      <w:r w:rsidRPr="00E3002B">
        <w:rPr>
          <w:b/>
          <w:bCs/>
        </w:rPr>
        <w:t>santé d’un sol</w:t>
      </w:r>
      <w:r w:rsidRPr="00E3002B">
        <w:t xml:space="preserve"> est un niveau relatif de remplissage d’une fonction par rapport au potentiel intrinsèque du sol, dépendant du type de sol. Elle correspond au rapport entre la qualité absolue et la qualité potentielle du sol (soit le potentiel maximum atteignable par un sol donné, moyennant une gestion optimale). L’attribution d’un score de santé, en lien avec une fonction donnée, consiste à interpréter la valeur mesurée d’un indicateur par rapport au niveau potentiel de remplissage de la fonction, établi selon le type de sol évalué car contraint par les propriétés intrinsèques du sol telles que la texture.</w:t>
      </w:r>
    </w:p>
    <w:p w14:paraId="6B84F1A3" w14:textId="09190DA1" w:rsidR="000F38A3" w:rsidRDefault="00C41496" w:rsidP="000F38A3">
      <w:r>
        <w:t xml:space="preserve">La </w:t>
      </w:r>
      <w:r w:rsidR="00155855" w:rsidRPr="00155855">
        <w:fldChar w:fldCharType="begin"/>
      </w:r>
      <w:r w:rsidR="00155855" w:rsidRPr="00155855">
        <w:instrText xml:space="preserve"> REF _Ref233111666 \h  \* MERGEFORMAT </w:instrText>
      </w:r>
      <w:r w:rsidR="00155855" w:rsidRPr="00155855">
        <w:fldChar w:fldCharType="separate"/>
      </w:r>
      <w:r w:rsidR="00155855" w:rsidRPr="00155855">
        <w:t xml:space="preserve">Figure </w:t>
      </w:r>
      <w:r w:rsidR="00155855" w:rsidRPr="00155855">
        <w:rPr>
          <w:noProof/>
        </w:rPr>
        <w:t>3</w:t>
      </w:r>
      <w:r w:rsidR="00155855" w:rsidRPr="00155855">
        <w:fldChar w:fldCharType="end"/>
      </w:r>
      <w:r w:rsidR="00155855">
        <w:t xml:space="preserve"> </w:t>
      </w:r>
      <w:r w:rsidR="000F38A3">
        <w:t xml:space="preserve">illustre </w:t>
      </w:r>
      <w:r>
        <w:t xml:space="preserve">schématiquement </w:t>
      </w:r>
      <w:r w:rsidR="000F38A3">
        <w:t>la différence</w:t>
      </w:r>
      <w:r w:rsidR="00064981">
        <w:t xml:space="preserve"> (et la complémentarité)</w:t>
      </w:r>
      <w:r w:rsidR="000F38A3">
        <w:t xml:space="preserve"> entre les deux concepts.</w:t>
      </w:r>
      <w:r w:rsidR="00874910">
        <w:t xml:space="preserve"> </w:t>
      </w:r>
    </w:p>
    <w:p w14:paraId="410C9934" w14:textId="71CA0AA7" w:rsidR="006579AE" w:rsidRDefault="00925421" w:rsidP="006579AE">
      <w:pPr>
        <w:keepNext/>
        <w:jc w:val="center"/>
      </w:pPr>
      <w:r>
        <w:rPr>
          <w:noProof/>
        </w:rPr>
        <w:lastRenderedPageBreak/>
        <w:drawing>
          <wp:inline distT="0" distB="0" distL="0" distR="0" wp14:anchorId="6F07A9D7" wp14:editId="12583F72">
            <wp:extent cx="5759450" cy="2698750"/>
            <wp:effectExtent l="0" t="0" r="0" b="6350"/>
            <wp:docPr id="1784129967"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129967" name="Image 178412996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9450" cy="2698750"/>
                    </a:xfrm>
                    <a:prstGeom prst="rect">
                      <a:avLst/>
                    </a:prstGeom>
                  </pic:spPr>
                </pic:pic>
              </a:graphicData>
            </a:graphic>
          </wp:inline>
        </w:drawing>
      </w:r>
    </w:p>
    <w:p w14:paraId="3F3CA221" w14:textId="6EFDADFD" w:rsidR="00015861" w:rsidRDefault="006579AE" w:rsidP="002F13A2">
      <w:pPr>
        <w:pStyle w:val="Lgende"/>
        <w:jc w:val="center"/>
        <w:rPr>
          <w:i w:val="0"/>
          <w:iCs w:val="0"/>
        </w:rPr>
      </w:pPr>
      <w:bookmarkStart w:id="49" w:name="_Ref233111666"/>
      <w:bookmarkStart w:id="50" w:name="_Toc241229818"/>
      <w:r w:rsidRPr="006579AE">
        <w:rPr>
          <w:i w:val="0"/>
          <w:iCs w:val="0"/>
        </w:rPr>
        <w:t xml:space="preserve">Figure </w:t>
      </w:r>
      <w:r w:rsidRPr="006579AE">
        <w:rPr>
          <w:i w:val="0"/>
          <w:iCs w:val="0"/>
        </w:rPr>
        <w:fldChar w:fldCharType="begin"/>
      </w:r>
      <w:r w:rsidRPr="006579AE">
        <w:rPr>
          <w:i w:val="0"/>
          <w:iCs w:val="0"/>
        </w:rPr>
        <w:instrText xml:space="preserve"> SEQ Figure \* ARABIC </w:instrText>
      </w:r>
      <w:r w:rsidRPr="006579AE">
        <w:rPr>
          <w:i w:val="0"/>
          <w:iCs w:val="0"/>
        </w:rPr>
        <w:fldChar w:fldCharType="separate"/>
      </w:r>
      <w:r w:rsidR="000E1D98">
        <w:rPr>
          <w:i w:val="0"/>
          <w:iCs w:val="0"/>
          <w:noProof/>
        </w:rPr>
        <w:t>3</w:t>
      </w:r>
      <w:r w:rsidRPr="006579AE">
        <w:rPr>
          <w:i w:val="0"/>
          <w:iCs w:val="0"/>
        </w:rPr>
        <w:fldChar w:fldCharType="end"/>
      </w:r>
      <w:bookmarkEnd w:id="49"/>
      <w:r w:rsidRPr="006579AE">
        <w:rPr>
          <w:i w:val="0"/>
          <w:iCs w:val="0"/>
        </w:rPr>
        <w:t xml:space="preserve"> : Illustration schématique des concepts de qualité et santé du sol</w:t>
      </w:r>
      <w:bookmarkEnd w:id="50"/>
    </w:p>
    <w:p w14:paraId="4A96E169" w14:textId="77777777" w:rsidR="002F13A2" w:rsidRPr="002F13A2" w:rsidRDefault="002F13A2" w:rsidP="002F13A2"/>
    <w:p w14:paraId="49BDBDA8" w14:textId="5ACE4B12" w:rsidR="00314761" w:rsidRPr="00015861" w:rsidRDefault="00314761" w:rsidP="00015861">
      <w:r>
        <w:t>L’</w:t>
      </w:r>
      <w:r w:rsidR="0031145C">
        <w:t xml:space="preserve">outil de diagnostic consiste donc en </w:t>
      </w:r>
      <w:r w:rsidRPr="00E47641">
        <w:rPr>
          <w:b/>
          <w:bCs/>
        </w:rPr>
        <w:t>deux indices complémentaires : l’indice de qualité des sols (IQSW) et l’indice de santé des sols (ISSW)</w:t>
      </w:r>
      <w:r>
        <w:t xml:space="preserve">. Ces deux indices sont calculés de la même manière (indices « miroir ») en suivant les étapes définies dans la partie </w:t>
      </w:r>
      <w:r>
        <w:fldChar w:fldCharType="begin"/>
      </w:r>
      <w:r>
        <w:instrText xml:space="preserve"> REF _Ref232208232 \r \h </w:instrText>
      </w:r>
      <w:r>
        <w:fldChar w:fldCharType="separate"/>
      </w:r>
      <w:r w:rsidR="00673925">
        <w:t>3.4</w:t>
      </w:r>
      <w:r>
        <w:fldChar w:fldCharType="end"/>
      </w:r>
      <w:r>
        <w:t xml:space="preserve">, la seule différence résidant dans les référentiels d’interprétation utilisés pour l’interprétation des </w:t>
      </w:r>
      <w:r w:rsidRPr="003412C1">
        <w:t xml:space="preserve">paramètres </w:t>
      </w:r>
      <w:r w:rsidR="003412C1" w:rsidRPr="003412C1">
        <w:t>(voir partie</w:t>
      </w:r>
      <w:r w:rsidR="002B03B9">
        <w:t xml:space="preserve"> </w:t>
      </w:r>
      <w:r w:rsidR="00394518">
        <w:fldChar w:fldCharType="begin"/>
      </w:r>
      <w:r w:rsidR="00394518">
        <w:instrText xml:space="preserve"> REF _Ref241225773 \r \h </w:instrText>
      </w:r>
      <w:r w:rsidR="00394518">
        <w:fldChar w:fldCharType="separate"/>
      </w:r>
      <w:r w:rsidR="00673925">
        <w:t>3.6.2</w:t>
      </w:r>
      <w:r w:rsidR="00394518">
        <w:fldChar w:fldCharType="end"/>
      </w:r>
      <w:r w:rsidRPr="003412C1">
        <w:t>).</w:t>
      </w:r>
      <w:r w:rsidR="0031145C">
        <w:t xml:space="preserve"> Ils ont des portées complémentaires</w:t>
      </w:r>
      <w:r w:rsidR="00F77D0C">
        <w:t> : la notion de santé</w:t>
      </w:r>
      <w:r w:rsidR="00A62F6F">
        <w:t xml:space="preserve"> pour restaurer, réhabiliter ou améliorer </w:t>
      </w:r>
      <w:r w:rsidR="009D4A1B">
        <w:t>un sol pour un usage donné (mon sol performe-t-il proche de son potentiel ou est-il dégradé</w:t>
      </w:r>
      <w:r w:rsidR="000F6258">
        <w:t xml:space="preserve"> ?) et la notion de qualité absolue pour </w:t>
      </w:r>
      <w:r w:rsidR="009D1BFD">
        <w:t xml:space="preserve">attribuer le bon usage </w:t>
      </w:r>
      <w:r w:rsidR="009C084A">
        <w:t>au bon sol en aménagement du territoire</w:t>
      </w:r>
      <w:r w:rsidR="00406577">
        <w:t>, en cas de changement d’usage (adéquation entre les aptitudes du sol et son usage futur).</w:t>
      </w:r>
    </w:p>
    <w:p w14:paraId="27C66AC2" w14:textId="77777777" w:rsidR="00892410" w:rsidRDefault="34A46B76" w:rsidP="009D7E9E">
      <w:r>
        <w:t xml:space="preserve">En identifiant l’écart entre la capacité potentielle et réelle du sol à remplir un </w:t>
      </w:r>
      <w:r w:rsidR="7FA4FC3E">
        <w:t>service écosystémique</w:t>
      </w:r>
      <w:r>
        <w:t xml:space="preserve"> donné, l’indice de santé du sol (ISSW) permet finalement d’évaluer son niveau de dégradation. </w:t>
      </w:r>
      <w:r w:rsidR="1791F94B">
        <w:t xml:space="preserve">Plusieurs </w:t>
      </w:r>
      <w:r w:rsidR="08D81C3A">
        <w:t xml:space="preserve">menaces de </w:t>
      </w:r>
      <w:r w:rsidR="3A1AD462">
        <w:t>dégradation</w:t>
      </w:r>
      <w:r w:rsidR="1791F94B">
        <w:t xml:space="preserve"> </w:t>
      </w:r>
      <w:r w:rsidR="08D81C3A">
        <w:t>des sols</w:t>
      </w:r>
      <w:r w:rsidR="1791F94B">
        <w:t xml:space="preserve"> sont listées dans la directive sur la surveillance des sols</w:t>
      </w:r>
      <w:r>
        <w:t xml:space="preserve"> </w:t>
      </w:r>
      <w:r w:rsidR="00DA2F5C">
        <w:fldChar w:fldCharType="begin"/>
      </w:r>
      <w:r w:rsidR="00DA2F5C">
        <w:instrText xml:space="preserve"> ADDIN ZOTERO_ITEM CSL_CITATION {"citationID":"11x6fQUh","properties":{"unsorted":false,"formattedCitation":"(UE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DA2F5C">
        <w:fldChar w:fldCharType="separate"/>
      </w:r>
      <w:r w:rsidRPr="1C83774F">
        <w:rPr>
          <w:rFonts w:cs="Calibri"/>
        </w:rPr>
        <w:t>(UE 2025/2360, 2025)</w:t>
      </w:r>
      <w:r w:rsidR="00DA2F5C">
        <w:fldChar w:fldCharType="end"/>
      </w:r>
      <w:r w:rsidR="1791F94B">
        <w:t xml:space="preserve">, qui a pour ambition de </w:t>
      </w:r>
      <w:r w:rsidR="6D34BC7D">
        <w:t>surveiller</w:t>
      </w:r>
      <w:r w:rsidR="1791F94B">
        <w:t xml:space="preserve"> leur ampleur et de contribuer à la réduire : « </w:t>
      </w:r>
      <w:r w:rsidR="1791F94B" w:rsidRPr="007574CF">
        <w:t>La dégradation des sols peut englober des aspects liés à la dégradation physique, tels que l’imperméabilisation des sols et l’artificialisation des sols en général, l’érosion des sols, la compaction des sols et la réduction de la capacité des sols à retenir l’eau et à favoriser son infiltration, ainsi que des aspects liés à la dégradation chimique ou biologique, tels que l’excès et l’épuisement de nutriments, l’acidification, la salinisation et la contamination des sols, ainsi que la perte de carbone organique du sol, de biodiversité et d’activité biologique des sols</w:t>
      </w:r>
      <w:r w:rsidR="1791F94B">
        <w:t xml:space="preserve"> » </w:t>
      </w:r>
      <w:r w:rsidR="00DA2F5C">
        <w:fldChar w:fldCharType="begin"/>
      </w:r>
      <w:r w:rsidR="00DA2F5C">
        <w:instrText xml:space="preserve"> ADDIN ZOTERO_ITEM CSL_CITATION {"citationID":"DRx0ZsUt","properties":{"unsorted":false,"formattedCitation":"(UE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DA2F5C">
        <w:fldChar w:fldCharType="separate"/>
      </w:r>
      <w:r w:rsidR="7504740D" w:rsidRPr="1C83774F">
        <w:rPr>
          <w:rFonts w:cs="Calibri"/>
        </w:rPr>
        <w:t>(UE 2025/2360, 2025)</w:t>
      </w:r>
      <w:r w:rsidR="00DA2F5C">
        <w:fldChar w:fldCharType="end"/>
      </w:r>
      <w:r w:rsidR="47F1FF71">
        <w:t>.</w:t>
      </w:r>
      <w:r w:rsidR="303BBA3D">
        <w:t xml:space="preserve"> Concrètement</w:t>
      </w:r>
      <w:r w:rsidR="3B84ECC7">
        <w:t>, si l’état d’un paramètre se situe en-deçà de son niveau potentiel</w:t>
      </w:r>
      <w:r w:rsidR="303BBA3D">
        <w:t xml:space="preserve"> (ISSW faible)</w:t>
      </w:r>
      <w:r w:rsidR="4970C3A0">
        <w:t xml:space="preserve">, </w:t>
      </w:r>
      <w:r w:rsidR="25121680">
        <w:t>cela signifie qu’il est dégradé, ou tout le moins géré de manière non optimale en regard du service donné</w:t>
      </w:r>
      <w:r w:rsidR="2B7B3C7C">
        <w:t>.</w:t>
      </w:r>
    </w:p>
    <w:p w14:paraId="7A0EA8A7" w14:textId="77777777" w:rsidR="00892410" w:rsidRDefault="00892410" w:rsidP="009D7E9E"/>
    <w:p w14:paraId="1F691385" w14:textId="77777777" w:rsidR="00892410" w:rsidRDefault="00892410">
      <w:pPr>
        <w:pStyle w:val="Titre2"/>
        <w:numPr>
          <w:ilvl w:val="1"/>
          <w:numId w:val="12"/>
        </w:numPr>
      </w:pPr>
      <w:bookmarkStart w:id="51" w:name="_Toc241478082"/>
      <w:r>
        <w:lastRenderedPageBreak/>
        <w:t>Interprétation des indicateurs</w:t>
      </w:r>
      <w:bookmarkEnd w:id="51"/>
    </w:p>
    <w:p w14:paraId="1D1EA1AC" w14:textId="77777777" w:rsidR="00892410" w:rsidRDefault="00892410">
      <w:pPr>
        <w:pStyle w:val="Titre3"/>
        <w:numPr>
          <w:ilvl w:val="2"/>
          <w:numId w:val="12"/>
        </w:numPr>
      </w:pPr>
      <w:bookmarkStart w:id="52" w:name="_Ref241228404"/>
      <w:bookmarkStart w:id="53" w:name="_Ref241228421"/>
      <w:bookmarkStart w:id="54" w:name="_Toc241478083"/>
      <w:r>
        <w:t>Définitions</w:t>
      </w:r>
      <w:bookmarkEnd w:id="52"/>
      <w:bookmarkEnd w:id="53"/>
      <w:bookmarkEnd w:id="54"/>
    </w:p>
    <w:p w14:paraId="3B2CFA7B" w14:textId="77777777" w:rsidR="00892410" w:rsidRDefault="00892410" w:rsidP="00892410">
      <w:r>
        <w:t>Le terme</w:t>
      </w:r>
      <w:r>
        <w:rPr>
          <w:i/>
          <w:iCs/>
        </w:rPr>
        <w:t xml:space="preserve"> indicateur </w:t>
      </w:r>
      <w:r>
        <w:t>se voit attribuer des définitions différentes en fonction des contextes dans lesquels il est employé. Dans le cadre de l’IQSW-pro, les définitions suivantes sont employées.</w:t>
      </w:r>
    </w:p>
    <w:p w14:paraId="479226F6" w14:textId="77777777" w:rsidR="00892410" w:rsidRDefault="00892410" w:rsidP="00892410">
      <w:r>
        <w:t xml:space="preserve">Un </w:t>
      </w:r>
      <w:r w:rsidRPr="0032582E">
        <w:rPr>
          <w:b/>
          <w:bCs/>
        </w:rPr>
        <w:t>indicateur</w:t>
      </w:r>
      <w:r>
        <w:t xml:space="preserve"> est défini par l’OCDE comme « tout élément ou attribut d’un phénomène environnemental d’intérêt utilisé pour décrire ou évaluer l’état de l’environnement, l’évolution de cet état ou pour fixer des objectifs environnementaux » </w:t>
      </w:r>
      <w:r>
        <w:fldChar w:fldCharType="begin"/>
      </w:r>
      <w:r>
        <w:instrText xml:space="preserve"> ADDIN ZOTERO_ITEM CSL_CITATION {"citationID":"QabSfWuu","properties":{"unsorted":false,"formattedCitation":"(Cousin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fldChar w:fldCharType="separate"/>
      </w:r>
      <w:r w:rsidRPr="005F5609">
        <w:rPr>
          <w:rFonts w:cs="Calibri"/>
        </w:rPr>
        <w:t>(Cousin et al., 2025)</w:t>
      </w:r>
      <w:r>
        <w:fldChar w:fldCharType="end"/>
      </w:r>
      <w:r>
        <w:t xml:space="preserve">. En d’autres termes, il s’agit d’un </w:t>
      </w:r>
      <w:r w:rsidRPr="0032582E">
        <w:rPr>
          <w:b/>
          <w:bCs/>
        </w:rPr>
        <w:t>paramètre (ou d’une combinaison de paramètres) auquel une interprétation est attribuée en lien avec une fonction donnée</w:t>
      </w:r>
      <w:r>
        <w:t xml:space="preserve"> (par exemple, le phosphore est un indicateur du statut nutritif du sol). Deux types d’indicateurs se distinguent dans l’IQSW-pro : les indicateurs mesurés et les indicateurs calculés :</w:t>
      </w:r>
    </w:p>
    <w:p w14:paraId="4CED82E2" w14:textId="77777777" w:rsidR="00892410" w:rsidRDefault="00892410">
      <w:pPr>
        <w:pStyle w:val="Paragraphedeliste"/>
        <w:numPr>
          <w:ilvl w:val="0"/>
          <w:numId w:val="13"/>
        </w:numPr>
      </w:pPr>
      <w:r>
        <w:t xml:space="preserve">Un </w:t>
      </w:r>
      <w:r w:rsidRPr="0032582E">
        <w:rPr>
          <w:b/>
          <w:bCs/>
          <w:i/>
          <w:iCs/>
        </w:rPr>
        <w:t>indicateur mesuré</w:t>
      </w:r>
      <w:r>
        <w:t xml:space="preserve"> correspond à un paramètre qui est directement interprété </w:t>
      </w:r>
      <w:r w:rsidRPr="0032582E">
        <w:rPr>
          <w:b/>
          <w:bCs/>
        </w:rPr>
        <w:t>individuellement</w:t>
      </w:r>
      <w:r>
        <w:t xml:space="preserve"> (par exemple, un score est associé directement à la valeur de pH mesurée). </w:t>
      </w:r>
    </w:p>
    <w:p w14:paraId="4EC2F7EF" w14:textId="77777777" w:rsidR="00892410" w:rsidRDefault="00892410">
      <w:pPr>
        <w:pStyle w:val="Paragraphedeliste"/>
        <w:numPr>
          <w:ilvl w:val="0"/>
          <w:numId w:val="13"/>
        </w:numPr>
      </w:pPr>
      <w:r>
        <w:t xml:space="preserve">Un </w:t>
      </w:r>
      <w:r w:rsidRPr="48222D96">
        <w:rPr>
          <w:b/>
          <w:bCs/>
          <w:i/>
          <w:iCs/>
        </w:rPr>
        <w:t>indicateur calculé</w:t>
      </w:r>
      <w:r>
        <w:t>, quant à lui, implique une étape intermédiaire de combinaison de plusieurs paramètres, à travers un calcul (une équation) avant d’être interprété. Par exemple, la réserve en eau utile est un indicateur calculé en intégrant différents paramètres dont la texture ou la teneur en carbone organique. Dans la fonction considérée, la texture n’est pas scorée individuellement, mais c’est le résultat du calcul de la REU qui est scoré.</w:t>
      </w:r>
    </w:p>
    <w:p w14:paraId="28AE71E1" w14:textId="77777777" w:rsidR="00892410" w:rsidRPr="00F47154" w:rsidRDefault="00892410" w:rsidP="00892410">
      <w:r>
        <w:t>Un paramètre est une propriété qui est directement mesurée (par exemple, le pH). Si la valeur du paramètre est interprétée en lien avec une fonction donnée, le paramètre devient un indicateur pour la fonction.</w:t>
      </w:r>
    </w:p>
    <w:p w14:paraId="47538759" w14:textId="77777777" w:rsidR="00892410" w:rsidRDefault="00892410">
      <w:pPr>
        <w:pStyle w:val="Titre3"/>
        <w:numPr>
          <w:ilvl w:val="2"/>
          <w:numId w:val="12"/>
        </w:numPr>
      </w:pPr>
      <w:bookmarkStart w:id="55" w:name="_Ref241225768"/>
      <w:bookmarkStart w:id="56" w:name="_Ref241225773"/>
      <w:bookmarkStart w:id="57" w:name="_Ref241227230"/>
      <w:bookmarkStart w:id="58" w:name="_Toc241478084"/>
      <w:r>
        <w:t>Méthodologie d’évaluation</w:t>
      </w:r>
      <w:bookmarkEnd w:id="55"/>
      <w:bookmarkEnd w:id="56"/>
      <w:bookmarkEnd w:id="57"/>
      <w:bookmarkEnd w:id="58"/>
    </w:p>
    <w:p w14:paraId="6A7C4D87" w14:textId="77777777" w:rsidR="00892410" w:rsidRDefault="00892410">
      <w:pPr>
        <w:pStyle w:val="Titre4"/>
        <w:numPr>
          <w:ilvl w:val="3"/>
          <w:numId w:val="12"/>
        </w:numPr>
      </w:pPr>
      <w:r>
        <w:t>Construction de fonctions d’interprétation continues</w:t>
      </w:r>
    </w:p>
    <w:p w14:paraId="3DB718F9" w14:textId="77777777" w:rsidR="00892410" w:rsidRDefault="00892410" w:rsidP="00892410">
      <w:r>
        <w:t xml:space="preserve">Des valeurs seuils ou cibles sont souvent utilisées pour évaluer un sol, comme dans les exemples suivants : </w:t>
      </w:r>
    </w:p>
    <w:p w14:paraId="3445D5A2" w14:textId="77777777" w:rsidR="00892410" w:rsidRDefault="00892410">
      <w:pPr>
        <w:pStyle w:val="Paragraphedeliste"/>
        <w:numPr>
          <w:ilvl w:val="0"/>
          <w:numId w:val="7"/>
        </w:numPr>
      </w:pPr>
      <w:r>
        <w:t>Définition d’un taux de matière organique minimal pour assurer une stabilité structurale du sol (conditionnant l’accès à des aides financières dans le cadre de la mesure MR14 de la MAEC Sol</w:t>
      </w:r>
      <w:r>
        <w:rPr>
          <w:rStyle w:val="Appelnotedebasdep"/>
        </w:rPr>
        <w:footnoteReference w:id="4"/>
      </w:r>
      <w:r>
        <w:t>),</w:t>
      </w:r>
    </w:p>
    <w:p w14:paraId="76218522" w14:textId="77777777" w:rsidR="00892410" w:rsidRPr="00151A98" w:rsidRDefault="00892410">
      <w:pPr>
        <w:pStyle w:val="Paragraphedeliste"/>
        <w:numPr>
          <w:ilvl w:val="0"/>
          <w:numId w:val="7"/>
        </w:numPr>
      </w:pPr>
      <w:r>
        <w:t>Établissement de concentrations maximales en polluants au-delà desquelles un sol est considéré comme pollué (donnant lieu à des obligations légales).</w:t>
      </w:r>
    </w:p>
    <w:p w14:paraId="7EFD6F05" w14:textId="00453A01" w:rsidR="00892410" w:rsidRDefault="00892410" w:rsidP="00892410">
      <w:r w:rsidRPr="00B05762">
        <w:t xml:space="preserve">La directive </w:t>
      </w:r>
      <w:r>
        <w:t>sur</w:t>
      </w:r>
      <w:r w:rsidRPr="00B05762">
        <w:t xml:space="preserve"> la surveillance des sols </w:t>
      </w:r>
      <w:r w:rsidRPr="00B05762">
        <w:fldChar w:fldCharType="begin"/>
      </w:r>
      <w:r>
        <w:instrText xml:space="preserve"> ADDIN ZOTERO_ITEM CSL_CITATION {"citationID":"9JgBNZL1","properties":{"formattedCitation":"(UE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Pr="00B05762">
        <w:fldChar w:fldCharType="separate"/>
      </w:r>
      <w:r w:rsidRPr="00377A1A">
        <w:rPr>
          <w:rFonts w:cs="Calibri"/>
        </w:rPr>
        <w:t>(UE 2025/2360, 2025)</w:t>
      </w:r>
      <w:r w:rsidRPr="00B05762">
        <w:fldChar w:fldCharType="end"/>
      </w:r>
      <w:r w:rsidRPr="00B05762">
        <w:t xml:space="preserve"> attribue à plusieurs paramètres des critères d’interprétation, soit des seuils sous lesquels le sol est considéré comme dégradé. </w:t>
      </w:r>
      <w:r>
        <w:t>Bien que ces valeurs seuils présentent l’avantage d’être facilement intégrées dans des politiques publiques</w:t>
      </w:r>
      <w:r w:rsidRPr="00B05762">
        <w:t xml:space="preserve">, cette rupture « on-off » est peu conforme à la réalité des processus </w:t>
      </w:r>
      <w:r>
        <w:t>qu’elle</w:t>
      </w:r>
      <w:r w:rsidRPr="00B05762">
        <w:t>s</w:t>
      </w:r>
      <w:r>
        <w:t xml:space="preserve"> cherchent à caractériser, qui </w:t>
      </w:r>
      <w:r>
        <w:lastRenderedPageBreak/>
        <w:t xml:space="preserve">sont, en pratique, graduels </w:t>
      </w:r>
      <w:r>
        <w:fldChar w:fldCharType="begin"/>
      </w:r>
      <w:r>
        <w:instrText xml:space="preserve"> ADDIN ZOTERO_ITEM CSL_CITATION {"citationID":"XTLLQGTI","properties":{"formattedCitation":"(Cousin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fldChar w:fldCharType="separate"/>
      </w:r>
      <w:r w:rsidRPr="0037195A">
        <w:rPr>
          <w:rFonts w:cs="Calibri"/>
        </w:rPr>
        <w:t>(Cousin et al., 2025)</w:t>
      </w:r>
      <w:r>
        <w:fldChar w:fldCharType="end"/>
      </w:r>
      <w:r>
        <w:t>. De nombreux auteurs recourent donc à une interprétation continue des paramètres sol</w:t>
      </w:r>
      <w:r w:rsidR="004F0509">
        <w:t xml:space="preserve">, </w:t>
      </w:r>
      <w:r>
        <w:t>sous forme de fonctions d’interprétation</w:t>
      </w:r>
      <w:r w:rsidR="004F0509">
        <w:rPr>
          <w:rStyle w:val="Appelnotedebasdep"/>
        </w:rPr>
        <w:footnoteReference w:id="5"/>
      </w:r>
      <w:r>
        <w:t xml:space="preserve">. </w:t>
      </w:r>
    </w:p>
    <w:p w14:paraId="5B9914D1" w14:textId="34CCF953" w:rsidR="00892410" w:rsidRDefault="00892410" w:rsidP="00892410">
      <w:r>
        <w:t>Cette méthode d’interprétation consiste à attribuer un score (compris, en l’occurrence, entre 0 et 5 dans le cadre de l’IQSW-pro) à un indicateur, sur base d’une relation continue (linéaire ou non) construite à partir de référentiels d’interprétation (</w:t>
      </w:r>
      <w:r w:rsidR="0047609A">
        <w:fldChar w:fldCharType="begin"/>
      </w:r>
      <w:r w:rsidR="0047609A">
        <w:instrText xml:space="preserve"> REF _Ref241226958 \h  \* MERGEFORMAT </w:instrText>
      </w:r>
      <w:r w:rsidR="0047609A">
        <w:fldChar w:fldCharType="separate"/>
      </w:r>
      <w:r w:rsidR="0047609A" w:rsidRPr="00A44ECE">
        <w:t>Fi</w:t>
      </w:r>
      <w:r w:rsidR="0047609A" w:rsidRPr="0047609A">
        <w:t xml:space="preserve">gure </w:t>
      </w:r>
      <w:r w:rsidR="0047609A" w:rsidRPr="0047609A">
        <w:rPr>
          <w:noProof/>
        </w:rPr>
        <w:t>4</w:t>
      </w:r>
      <w:r w:rsidR="0047609A">
        <w:fldChar w:fldCharType="end"/>
      </w:r>
      <w:r>
        <w:t xml:space="preserve">). Les points clés de la droite (ou de la courbe) sont fixés par des valeurs de référence (par exemple, des valeurs seuils, cibles ou moyennes du paramètre, voir </w:t>
      </w:r>
      <w:r w:rsidRPr="00BA394B">
        <w:t>partie</w:t>
      </w:r>
      <w:r w:rsidR="00673925">
        <w:t xml:space="preserve"> </w:t>
      </w:r>
      <w:r w:rsidR="004F5AA6">
        <w:fldChar w:fldCharType="begin"/>
      </w:r>
      <w:r w:rsidR="004F5AA6">
        <w:instrText xml:space="preserve"> REF _Ref241227913 \r \h </w:instrText>
      </w:r>
      <w:r w:rsidR="004F5AA6">
        <w:fldChar w:fldCharType="separate"/>
      </w:r>
      <w:r w:rsidR="000E3CBD">
        <w:t>3.6.2.2</w:t>
      </w:r>
      <w:r w:rsidR="004F5AA6">
        <w:fldChar w:fldCharType="end"/>
      </w:r>
      <w:r>
        <w:t>), auxquelles sont attribués des scores. Une interpolation linéaire segmentée permet de relier les points par une droite dont l’équation sert à déduire un score (y) pour toute valeur mesurée de l’indicateur (x), suivant une échelle continue de 0 à 5. Ce système de notation continue évite « l’effet seuil » que certaines méthodes de cotation provoquent, soit un contraste dans la valeur du score en fonction de si l’on est juste au-dessus ou en-dessous de la valeur seuil.</w:t>
      </w:r>
    </w:p>
    <w:p w14:paraId="1AC07576" w14:textId="77777777" w:rsidR="00892410" w:rsidRDefault="00892410" w:rsidP="00892410">
      <w:pPr>
        <w:keepNext/>
      </w:pPr>
      <w:r>
        <w:rPr>
          <w:noProof/>
        </w:rPr>
        <w:drawing>
          <wp:inline distT="0" distB="0" distL="0" distR="0" wp14:anchorId="2B48DE0A" wp14:editId="257AF32F">
            <wp:extent cx="5731510" cy="2461895"/>
            <wp:effectExtent l="0" t="0" r="2540" b="0"/>
            <wp:docPr id="299006548" name="Image 1" descr="Une image contenant texte, capture d’écran, diagramm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703248" name="Image 1" descr="Une image contenant texte, capture d’écran, diagramme, Tracé&#10;&#10;Le contenu généré par l’IA peut être incorrect."/>
                    <pic:cNvPicPr/>
                  </pic:nvPicPr>
                  <pic:blipFill>
                    <a:blip r:embed="rId21"/>
                    <a:stretch>
                      <a:fillRect/>
                    </a:stretch>
                  </pic:blipFill>
                  <pic:spPr>
                    <a:xfrm>
                      <a:off x="0" y="0"/>
                      <a:ext cx="5731510" cy="2461895"/>
                    </a:xfrm>
                    <a:prstGeom prst="rect">
                      <a:avLst/>
                    </a:prstGeom>
                  </pic:spPr>
                </pic:pic>
              </a:graphicData>
            </a:graphic>
          </wp:inline>
        </w:drawing>
      </w:r>
    </w:p>
    <w:p w14:paraId="6466FA0B" w14:textId="0549B721" w:rsidR="00892410" w:rsidRPr="00A44ECE" w:rsidRDefault="00892410" w:rsidP="00892410">
      <w:pPr>
        <w:pStyle w:val="Lgende"/>
        <w:jc w:val="center"/>
        <w:rPr>
          <w:i w:val="0"/>
          <w:iCs w:val="0"/>
        </w:rPr>
      </w:pPr>
      <w:bookmarkStart w:id="59" w:name="_Ref241226958"/>
      <w:bookmarkStart w:id="60" w:name="_Toc241229819"/>
      <w:r w:rsidRPr="00A44ECE">
        <w:rPr>
          <w:i w:val="0"/>
          <w:iCs w:val="0"/>
        </w:rPr>
        <w:t xml:space="preserve">Figure </w:t>
      </w:r>
      <w:r w:rsidRPr="00A44ECE">
        <w:rPr>
          <w:i w:val="0"/>
          <w:iCs w:val="0"/>
        </w:rPr>
        <w:fldChar w:fldCharType="begin"/>
      </w:r>
      <w:r w:rsidRPr="00A44ECE">
        <w:rPr>
          <w:i w:val="0"/>
          <w:iCs w:val="0"/>
        </w:rPr>
        <w:instrText xml:space="preserve"> SEQ Figure \* ARABIC </w:instrText>
      </w:r>
      <w:r w:rsidRPr="00A44ECE">
        <w:rPr>
          <w:i w:val="0"/>
          <w:iCs w:val="0"/>
        </w:rPr>
        <w:fldChar w:fldCharType="separate"/>
      </w:r>
      <w:r w:rsidR="0047609A">
        <w:rPr>
          <w:i w:val="0"/>
          <w:iCs w:val="0"/>
          <w:noProof/>
        </w:rPr>
        <w:t>4</w:t>
      </w:r>
      <w:r w:rsidRPr="00A44ECE">
        <w:rPr>
          <w:i w:val="0"/>
          <w:iCs w:val="0"/>
          <w:noProof/>
        </w:rPr>
        <w:fldChar w:fldCharType="end"/>
      </w:r>
      <w:bookmarkEnd w:id="59"/>
      <w:r w:rsidRPr="00A44ECE">
        <w:rPr>
          <w:i w:val="0"/>
          <w:iCs w:val="0"/>
        </w:rPr>
        <w:t xml:space="preserve"> : Exemple du schéma de construction d'une </w:t>
      </w:r>
      <w:r>
        <w:rPr>
          <w:i w:val="0"/>
          <w:iCs w:val="0"/>
        </w:rPr>
        <w:t xml:space="preserve">fonction d’interprétation </w:t>
      </w:r>
      <w:r w:rsidRPr="00A44ECE">
        <w:rPr>
          <w:i w:val="0"/>
          <w:iCs w:val="0"/>
        </w:rPr>
        <w:t>(cas de l'infiltration). Des classes de valeurs sont interpolées pour calculer un score pour chaque valeur de Ksat.</w:t>
      </w:r>
      <w:bookmarkEnd w:id="60"/>
      <w:r w:rsidRPr="00A44ECE">
        <w:rPr>
          <w:i w:val="0"/>
          <w:iCs w:val="0"/>
        </w:rPr>
        <w:t xml:space="preserve"> </w:t>
      </w:r>
    </w:p>
    <w:p w14:paraId="5D937174" w14:textId="77777777" w:rsidR="00892410" w:rsidRDefault="00892410" w:rsidP="00892410"/>
    <w:p w14:paraId="7C7459D6" w14:textId="2D5F14DD" w:rsidR="00892410" w:rsidRDefault="00892410" w:rsidP="00892410">
      <w:r>
        <w:t>Chaque paramètre est scoré individuellement par rapport à la fonction considérée via une fonction d’interprétation propre à la relation indicateur-fonction. Ces fonctions d’interprétation peuvent être construites suivant trois formes différentes, en fonction du type de relation entre la valeur mesurée ou calculée de l’indicateur et le bon accomplissement de la fonction (</w:t>
      </w:r>
      <w:r w:rsidRPr="000E1711">
        <w:t>voir</w:t>
      </w:r>
      <w:r w:rsidR="001C792E">
        <w:t xml:space="preserve"> </w:t>
      </w:r>
      <w:r w:rsidR="001C792E" w:rsidRPr="001C792E">
        <w:fldChar w:fldCharType="begin"/>
      </w:r>
      <w:r w:rsidR="001C792E" w:rsidRPr="001C792E">
        <w:instrText xml:space="preserve"> REF _Ref241226980 \h  \* MERGEFORMAT </w:instrText>
      </w:r>
      <w:r w:rsidR="001C792E" w:rsidRPr="001C792E">
        <w:fldChar w:fldCharType="separate"/>
      </w:r>
      <w:r w:rsidR="001C792E" w:rsidRPr="001C792E">
        <w:t xml:space="preserve">Figure </w:t>
      </w:r>
      <w:r w:rsidR="001C792E" w:rsidRPr="001C792E">
        <w:rPr>
          <w:noProof/>
        </w:rPr>
        <w:t>5</w:t>
      </w:r>
      <w:r w:rsidR="001C792E" w:rsidRPr="001C792E">
        <w:fldChar w:fldCharType="end"/>
      </w:r>
      <w:r w:rsidRPr="000E1711">
        <w:t>)</w:t>
      </w:r>
      <w:r>
        <w:t> :</w:t>
      </w:r>
    </w:p>
    <w:p w14:paraId="16A759C3" w14:textId="75770258" w:rsidR="00892410" w:rsidRDefault="00892410">
      <w:pPr>
        <w:pStyle w:val="Paragraphedeliste"/>
        <w:numPr>
          <w:ilvl w:val="0"/>
          <w:numId w:val="7"/>
        </w:numPr>
      </w:pPr>
      <w:r w:rsidRPr="00440024">
        <w:rPr>
          <w:i/>
          <w:iCs/>
        </w:rPr>
        <w:t>More is better</w:t>
      </w:r>
      <w:r w:rsidR="00703FCB">
        <w:rPr>
          <w:i/>
          <w:iCs/>
        </w:rPr>
        <w:t xml:space="preserve"> </w:t>
      </w:r>
      <w:r>
        <w:t>(</w:t>
      </w:r>
      <w:r>
        <w:rPr>
          <w:noProof/>
        </w:rPr>
        <w:drawing>
          <wp:inline distT="0" distB="0" distL="0" distR="0" wp14:anchorId="78D02BD6" wp14:editId="652EA1CF">
            <wp:extent cx="64770" cy="118745"/>
            <wp:effectExtent l="0" t="0" r="0" b="0"/>
            <wp:docPr id="83066179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 r="29167" b="-1"/>
                    <a:stretch>
                      <a:fillRect/>
                    </a:stretch>
                  </pic:blipFill>
                  <pic:spPr bwMode="auto">
                    <a:xfrm>
                      <a:off x="0" y="0"/>
                      <a:ext cx="64770" cy="118745"/>
                    </a:xfrm>
                    <a:prstGeom prst="rect">
                      <a:avLst/>
                    </a:prstGeom>
                    <a:noFill/>
                    <a:ln>
                      <a:noFill/>
                    </a:ln>
                    <a:extLst>
                      <a:ext uri="{53640926-AAD7-44D8-BBD7-CCE9431645EC}">
                        <a14:shadowObscured xmlns:a14="http://schemas.microsoft.com/office/drawing/2010/main"/>
                      </a:ext>
                    </a:extLst>
                  </pic:spPr>
                </pic:pic>
              </a:graphicData>
            </a:graphic>
          </wp:inline>
        </w:drawing>
      </w:r>
      <w:r>
        <w:t>) : une valeur élevée de l’indicateur est favorable à la fonction considérée</w:t>
      </w:r>
      <w:r w:rsidR="00703FCB">
        <w:t xml:space="preserve"> (« </w:t>
      </w:r>
      <w:r w:rsidR="00933CD6">
        <w:t>plus</w:t>
      </w:r>
      <w:r w:rsidR="00703FCB">
        <w:t xml:space="preserve"> </w:t>
      </w:r>
      <w:r w:rsidR="00933CD6">
        <w:t>=</w:t>
      </w:r>
      <w:r w:rsidR="00703FCB">
        <w:t xml:space="preserve"> </w:t>
      </w:r>
      <w:r w:rsidR="00933CD6">
        <w:t>mieux »)</w:t>
      </w:r>
      <w:r>
        <w:t xml:space="preserve"> ;</w:t>
      </w:r>
    </w:p>
    <w:p w14:paraId="2D2B3A6C" w14:textId="3EF93296" w:rsidR="00892410" w:rsidRDefault="00892410">
      <w:pPr>
        <w:pStyle w:val="Paragraphedeliste"/>
        <w:numPr>
          <w:ilvl w:val="0"/>
          <w:numId w:val="7"/>
        </w:numPr>
      </w:pPr>
      <w:r w:rsidRPr="00BB5FC6">
        <w:rPr>
          <w:i/>
          <w:iCs/>
        </w:rPr>
        <w:t>Less is better</w:t>
      </w:r>
      <w:r w:rsidRPr="00E26F46">
        <w:t xml:space="preserve"> (</w:t>
      </w:r>
      <w:r w:rsidRPr="00E26F46">
        <w:rPr>
          <w:noProof/>
        </w:rPr>
        <w:drawing>
          <wp:inline distT="0" distB="0" distL="0" distR="0" wp14:anchorId="49025FC9" wp14:editId="7B2176D6">
            <wp:extent cx="64770" cy="91440"/>
            <wp:effectExtent l="0" t="0" r="0" b="3810"/>
            <wp:docPr id="197380029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 t="-1" r="29008" b="22821"/>
                    <a:stretch>
                      <a:fillRect/>
                    </a:stretch>
                  </pic:blipFill>
                  <pic:spPr bwMode="auto">
                    <a:xfrm>
                      <a:off x="0" y="0"/>
                      <a:ext cx="64945" cy="91687"/>
                    </a:xfrm>
                    <a:prstGeom prst="rect">
                      <a:avLst/>
                    </a:prstGeom>
                    <a:noFill/>
                    <a:ln>
                      <a:noFill/>
                    </a:ln>
                    <a:extLst>
                      <a:ext uri="{53640926-AAD7-44D8-BBD7-CCE9431645EC}">
                        <a14:shadowObscured xmlns:a14="http://schemas.microsoft.com/office/drawing/2010/main"/>
                      </a:ext>
                    </a:extLst>
                  </pic:spPr>
                </pic:pic>
              </a:graphicData>
            </a:graphic>
          </wp:inline>
        </w:drawing>
      </w:r>
      <w:r w:rsidRPr="00E26F46">
        <w:t>) : une valeur élevée de l’indicateur est défavorable à la fonction considérée</w:t>
      </w:r>
      <w:r w:rsidR="00933CD6">
        <w:t xml:space="preserve"> (« moins = mieux »)</w:t>
      </w:r>
      <w:r w:rsidRPr="00E26F46">
        <w:t xml:space="preserve"> ;</w:t>
      </w:r>
    </w:p>
    <w:p w14:paraId="6E6D1DFE" w14:textId="047404F5" w:rsidR="00892410" w:rsidRPr="00E26F46" w:rsidRDefault="00892410">
      <w:pPr>
        <w:pStyle w:val="Paragraphedeliste"/>
        <w:numPr>
          <w:ilvl w:val="0"/>
          <w:numId w:val="7"/>
        </w:numPr>
      </w:pPr>
      <w:r w:rsidRPr="00BB5FC6">
        <w:rPr>
          <w:i/>
          <w:iCs/>
        </w:rPr>
        <w:t>Optimum</w:t>
      </w:r>
      <w:r w:rsidRPr="00E26F46">
        <w:t xml:space="preserve"> (</w:t>
      </w:r>
      <w:r w:rsidRPr="00E26F46">
        <w:rPr>
          <w:noProof/>
        </w:rPr>
        <w:drawing>
          <wp:inline distT="0" distB="0" distL="0" distR="0" wp14:anchorId="4DD8E142" wp14:editId="14468203">
            <wp:extent cx="164432" cy="65784"/>
            <wp:effectExtent l="0" t="0" r="7620" b="0"/>
            <wp:docPr id="54455424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sidRPr="00E26F46">
        <w:t>) : une gamme spécifique de valeurs est favorable à la fonction. Une valeur de l’indicateur éloignée de cette gamme est défavorable à la fonction considérée</w:t>
      </w:r>
      <w:r w:rsidR="00933CD6">
        <w:t xml:space="preserve"> (« </w:t>
      </w:r>
      <w:r w:rsidR="006B45C0">
        <w:t xml:space="preserve">dans la </w:t>
      </w:r>
      <w:r w:rsidR="00933CD6">
        <w:t>gamme</w:t>
      </w:r>
      <w:r w:rsidR="006B45C0">
        <w:t xml:space="preserve"> = mieux »)</w:t>
      </w:r>
      <w:r w:rsidRPr="00E26F46">
        <w:t xml:space="preserve">. </w:t>
      </w:r>
    </w:p>
    <w:p w14:paraId="6B249487" w14:textId="77777777" w:rsidR="00892410" w:rsidRDefault="00892410" w:rsidP="00892410">
      <w:pPr>
        <w:keepNext/>
        <w:spacing w:line="240" w:lineRule="auto"/>
      </w:pPr>
      <w:r>
        <w:rPr>
          <w:noProof/>
        </w:rPr>
        <w:lastRenderedPageBreak/>
        <w:drawing>
          <wp:inline distT="0" distB="0" distL="0" distR="0" wp14:anchorId="6FF6692E" wp14:editId="5B2DFD79">
            <wp:extent cx="5759450" cy="1488440"/>
            <wp:effectExtent l="0" t="0" r="0" b="0"/>
            <wp:docPr id="80675994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31647" name="Image 173113164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9450" cy="1488440"/>
                    </a:xfrm>
                    <a:prstGeom prst="rect">
                      <a:avLst/>
                    </a:prstGeom>
                  </pic:spPr>
                </pic:pic>
              </a:graphicData>
            </a:graphic>
          </wp:inline>
        </w:drawing>
      </w:r>
    </w:p>
    <w:p w14:paraId="7562F79A" w14:textId="46E51B0C" w:rsidR="00892410" w:rsidRPr="00A44ECE" w:rsidRDefault="00892410" w:rsidP="00892410">
      <w:pPr>
        <w:pStyle w:val="Lgende"/>
        <w:jc w:val="center"/>
        <w:rPr>
          <w:i w:val="0"/>
          <w:iCs w:val="0"/>
        </w:rPr>
      </w:pPr>
      <w:bookmarkStart w:id="61" w:name="_Ref241226980"/>
      <w:bookmarkStart w:id="62" w:name="_Toc241229820"/>
      <w:r w:rsidRPr="00A44ECE">
        <w:rPr>
          <w:i w:val="0"/>
          <w:iCs w:val="0"/>
        </w:rPr>
        <w:t xml:space="preserve">Figure </w:t>
      </w:r>
      <w:r w:rsidRPr="00A44ECE">
        <w:rPr>
          <w:i w:val="0"/>
          <w:iCs w:val="0"/>
        </w:rPr>
        <w:fldChar w:fldCharType="begin"/>
      </w:r>
      <w:r w:rsidRPr="00A44ECE">
        <w:rPr>
          <w:i w:val="0"/>
          <w:iCs w:val="0"/>
        </w:rPr>
        <w:instrText xml:space="preserve"> SEQ Figure \* ARABIC </w:instrText>
      </w:r>
      <w:r w:rsidRPr="00A44ECE">
        <w:rPr>
          <w:i w:val="0"/>
          <w:iCs w:val="0"/>
        </w:rPr>
        <w:fldChar w:fldCharType="separate"/>
      </w:r>
      <w:r w:rsidR="0047609A">
        <w:rPr>
          <w:i w:val="0"/>
          <w:iCs w:val="0"/>
          <w:noProof/>
        </w:rPr>
        <w:t>5</w:t>
      </w:r>
      <w:r w:rsidRPr="00A44ECE">
        <w:rPr>
          <w:i w:val="0"/>
          <w:iCs w:val="0"/>
        </w:rPr>
        <w:fldChar w:fldCharType="end"/>
      </w:r>
      <w:bookmarkEnd w:id="61"/>
      <w:r w:rsidRPr="00A44ECE">
        <w:rPr>
          <w:i w:val="0"/>
          <w:iCs w:val="0"/>
        </w:rPr>
        <w:t xml:space="preserve"> : Illustration graphique des trois formes que peut prendre la fonction d'interprétation (more is better, less is better ou optimum), selon l'influence du paramètre sur la combinaison service-fonction évaluée</w:t>
      </w:r>
      <w:bookmarkEnd w:id="62"/>
    </w:p>
    <w:p w14:paraId="70C1B2D2" w14:textId="77777777" w:rsidR="00892410" w:rsidRDefault="00892410" w:rsidP="00892410">
      <w:pPr>
        <w:spacing w:line="240" w:lineRule="auto"/>
      </w:pPr>
    </w:p>
    <w:p w14:paraId="51F62770" w14:textId="77777777" w:rsidR="00892410" w:rsidRDefault="00892410">
      <w:pPr>
        <w:pStyle w:val="Titre4"/>
        <w:numPr>
          <w:ilvl w:val="3"/>
          <w:numId w:val="12"/>
        </w:numPr>
      </w:pPr>
      <w:bookmarkStart w:id="63" w:name="_Ref241227913"/>
      <w:r w:rsidRPr="00BA20CA">
        <w:t>Choix des référentiels d’interprétation</w:t>
      </w:r>
      <w:bookmarkEnd w:id="63"/>
    </w:p>
    <w:p w14:paraId="6B53C4FB" w14:textId="77777777" w:rsidR="00892410" w:rsidRDefault="00892410" w:rsidP="00892410">
      <w:r>
        <w:t>Deux types de valeurs d’interprétation des paramètres existent dans la littérature :</w:t>
      </w:r>
    </w:p>
    <w:p w14:paraId="07B8D476" w14:textId="77777777" w:rsidR="00892410" w:rsidRDefault="00892410">
      <w:pPr>
        <w:pStyle w:val="Paragraphedeliste"/>
        <w:numPr>
          <w:ilvl w:val="0"/>
          <w:numId w:val="17"/>
        </w:numPr>
      </w:pPr>
      <w:r>
        <w:t xml:space="preserve">Des valeurs </w:t>
      </w:r>
      <w:r w:rsidRPr="0015319F">
        <w:rPr>
          <w:i/>
          <w:iCs/>
        </w:rPr>
        <w:t>optimales</w:t>
      </w:r>
      <w:r>
        <w:t>, c’est-à-dire des valeurs seuils, cibles ou des gammes optimales, identifiées comme devant être atteintes par un indicateur pour assurer le bon accomplissement d’une fonction donnée ;</w:t>
      </w:r>
    </w:p>
    <w:p w14:paraId="58BB6F55" w14:textId="77777777" w:rsidR="00892410" w:rsidRDefault="00892410">
      <w:pPr>
        <w:pStyle w:val="Paragraphedeliste"/>
        <w:numPr>
          <w:ilvl w:val="0"/>
          <w:numId w:val="17"/>
        </w:numPr>
      </w:pPr>
      <w:r>
        <w:t xml:space="preserve">Des valeurs </w:t>
      </w:r>
      <w:r w:rsidRPr="48222D96">
        <w:rPr>
          <w:i/>
          <w:iCs/>
        </w:rPr>
        <w:t>descriptives</w:t>
      </w:r>
      <w:r>
        <w:t>, ou gammes d’existence, basées sur les paramètres statistiques (moyenne, minimum, maximum, etc.) d’une distribution de valeurs mesurées dans un contexte pédoclimatique donné.</w:t>
      </w:r>
    </w:p>
    <w:p w14:paraId="29AB0020" w14:textId="3D5C029E" w:rsidR="00892410" w:rsidRDefault="00892410" w:rsidP="00892410">
      <w:r>
        <w:t xml:space="preserve">Ces deux types de valeurs sont complémentaires et peuvent être utilisés en vue de diagnostiquer un sol selon les concepts de qualité et de santé du sol tels que définis dans la partie </w:t>
      </w:r>
      <w:r>
        <w:fldChar w:fldCharType="begin"/>
      </w:r>
      <w:r>
        <w:instrText xml:space="preserve"> REF _Ref232206971 \r \h </w:instrText>
      </w:r>
      <w:r>
        <w:fldChar w:fldCharType="separate"/>
      </w:r>
      <w:r w:rsidR="009F7AB1">
        <w:t>3.5</w:t>
      </w:r>
      <w:r>
        <w:fldChar w:fldCharType="end"/>
      </w:r>
      <w:r>
        <w:t xml:space="preserve"> :</w:t>
      </w:r>
    </w:p>
    <w:p w14:paraId="203082D9" w14:textId="77777777" w:rsidR="00892410" w:rsidRDefault="00892410">
      <w:pPr>
        <w:pStyle w:val="Paragraphedeliste"/>
        <w:numPr>
          <w:ilvl w:val="0"/>
          <w:numId w:val="17"/>
        </w:numPr>
      </w:pPr>
      <w:r>
        <w:t xml:space="preserve">Les valeurs optimales permettent une interprétation « absolue » du paramètre dans la fonction, soit le diagnostic de la </w:t>
      </w:r>
      <w:r w:rsidRPr="00266715">
        <w:rPr>
          <w:i/>
          <w:iCs/>
        </w:rPr>
        <w:t>qualité</w:t>
      </w:r>
      <w:r>
        <w:t xml:space="preserve"> du sol</w:t>
      </w:r>
    </w:p>
    <w:p w14:paraId="001893A8" w14:textId="77777777" w:rsidR="00892410" w:rsidRDefault="00892410">
      <w:pPr>
        <w:pStyle w:val="Paragraphedeliste"/>
        <w:numPr>
          <w:ilvl w:val="0"/>
          <w:numId w:val="17"/>
        </w:numPr>
      </w:pPr>
      <w:r>
        <w:t xml:space="preserve">Les valeurs descriptives donnent une interprétation « relative » du paramètre en le situant par rapport à son potentiel, soit le diagnostic de la </w:t>
      </w:r>
      <w:r w:rsidRPr="00266715">
        <w:rPr>
          <w:i/>
          <w:iCs/>
        </w:rPr>
        <w:t>santé</w:t>
      </w:r>
      <w:r>
        <w:t xml:space="preserve"> du sol.</w:t>
      </w:r>
    </w:p>
    <w:p w14:paraId="49E538D2" w14:textId="77777777" w:rsidR="00892410" w:rsidRDefault="00892410">
      <w:pPr>
        <w:pStyle w:val="Titre4"/>
        <w:numPr>
          <w:ilvl w:val="3"/>
          <w:numId w:val="12"/>
        </w:numPr>
      </w:pPr>
      <w:r>
        <w:t>Critères de choix des référentiels</w:t>
      </w:r>
    </w:p>
    <w:p w14:paraId="79C1B13F" w14:textId="77777777" w:rsidR="00892410" w:rsidRDefault="00892410" w:rsidP="00892410">
      <w:r>
        <w:t>De nombreux référentiels ont été analysés et mis en parallèle avec les résultats d’une campagne test menée simultanément aux phases de développement de l’indice. Dans ce cadre, 42 « sites pilotes », hétérogènes en termes de type de sol et d’usage, ont été sélectionnés en tant qu’échantillon représentatif de la majorité des contextes pédologiques et d’usages de sol contrastés qui peuvent être rencontrés en Région wallonne</w:t>
      </w:r>
      <w:r w:rsidRPr="003513E1">
        <w:rPr>
          <w:rStyle w:val="Appelnotedebasdep"/>
        </w:rPr>
        <w:footnoteReference w:id="6"/>
      </w:r>
      <w:r>
        <w:t>. Les référentiels ont également été confrontés aux bases de données « sol » disponibles en Région wallonne (</w:t>
      </w:r>
      <w:r w:rsidRPr="008D3FA8">
        <w:t>REQUASUD</w:t>
      </w:r>
      <w:r>
        <w:t xml:space="preserve">, </w:t>
      </w:r>
      <w:r w:rsidRPr="008D3FA8">
        <w:t>IPRFW, Aardewerk, CARBIOSOL, ICP-forest, POLLUSOL</w:t>
      </w:r>
      <w:r>
        <w:t>), moyennant la disponibilité du paramètre considéré.</w:t>
      </w:r>
    </w:p>
    <w:p w14:paraId="16B9A704" w14:textId="77777777" w:rsidR="00892410" w:rsidRPr="00F606AE" w:rsidRDefault="00892410" w:rsidP="00892410">
      <w:r>
        <w:t>Le critère principal ayant guidé le choix des référentiels de valeurs optimales (qualité du sol) a été la mise en parallèle explicite,</w:t>
      </w:r>
      <w:r w:rsidRPr="009A7252">
        <w:t xml:space="preserve"> </w:t>
      </w:r>
      <w:r>
        <w:t xml:space="preserve">le cas échéant, avec le bon accomplissement de la fonction considérée dans la source. Par exemple, la mise en relation des valeurs de conductivité hydraulique avec une interprétation réelle de la capacité des sols à infiltrer les eaux (de très rapide à très lent). Concernant le choix des référentiels de santé du sol, des gammes représentatives des contrastes pouvant exister </w:t>
      </w:r>
      <w:r>
        <w:lastRenderedPageBreak/>
        <w:t>entre classes texturales ont été sélectionnées. Dans les deux cas, les gammes permettant de couvrir la distribution des valeurs wallonnes (campagne test et bases de données) ont été privilégiées.</w:t>
      </w:r>
    </w:p>
    <w:p w14:paraId="6B48F1EF" w14:textId="77777777" w:rsidR="00892410" w:rsidRDefault="00892410">
      <w:pPr>
        <w:pStyle w:val="Titre3"/>
        <w:numPr>
          <w:ilvl w:val="2"/>
          <w:numId w:val="12"/>
        </w:numPr>
      </w:pPr>
      <w:bookmarkStart w:id="64" w:name="_Toc241478085"/>
      <w:r>
        <w:t>Liste des indicateurs évalués</w:t>
      </w:r>
      <w:bookmarkEnd w:id="64"/>
    </w:p>
    <w:p w14:paraId="6876417A" w14:textId="50CBF8E9" w:rsidR="00892410" w:rsidRDefault="00892410" w:rsidP="00892410">
      <w:r>
        <w:t xml:space="preserve">Le </w:t>
      </w:r>
      <w:r w:rsidR="000C0179">
        <w:fldChar w:fldCharType="begin"/>
      </w:r>
      <w:r w:rsidR="000C0179">
        <w:instrText xml:space="preserve"> REF _Ref241228645 \h </w:instrText>
      </w:r>
      <w:r w:rsidR="000C0179">
        <w:fldChar w:fldCharType="separate"/>
      </w:r>
      <w:r w:rsidR="000C0179" w:rsidRPr="007F0D21">
        <w:t xml:space="preserve">Tableau </w:t>
      </w:r>
      <w:r w:rsidR="000C0179">
        <w:rPr>
          <w:noProof/>
        </w:rPr>
        <w:t>1</w:t>
      </w:r>
      <w:r w:rsidR="000C0179">
        <w:fldChar w:fldCharType="end"/>
      </w:r>
      <w:r w:rsidR="000C0179">
        <w:t xml:space="preserve"> </w:t>
      </w:r>
      <w:r w:rsidRPr="0065698E">
        <w:t>reprend</w:t>
      </w:r>
      <w:r>
        <w:t xml:space="preserve"> la liste de l’ensemble des indicateurs évalués dans l’IQSW-pro.</w:t>
      </w:r>
      <w:r w:rsidR="00313B05">
        <w:t xml:space="preserve"> L’Annexe 2 – Indicateurs reprend, pour </w:t>
      </w:r>
      <w:r w:rsidR="005D0FAF">
        <w:t>chaque indicateur, la méthodologie d’interprétation</w:t>
      </w:r>
      <w:r w:rsidR="007404D6">
        <w:t xml:space="preserve"> en lien avec les services écosystémiques détaillés dans la partie </w:t>
      </w:r>
      <w:r w:rsidR="007404D6">
        <w:fldChar w:fldCharType="begin"/>
      </w:r>
      <w:r w:rsidR="007404D6">
        <w:instrText xml:space="preserve"> REF _Ref241228765 \r \h </w:instrText>
      </w:r>
      <w:r w:rsidR="007404D6">
        <w:fldChar w:fldCharType="separate"/>
      </w:r>
      <w:r w:rsidR="007404D6">
        <w:t>4</w:t>
      </w:r>
      <w:r w:rsidR="007404D6">
        <w:fldChar w:fldCharType="end"/>
      </w:r>
      <w:r w:rsidR="007404D6">
        <w:t>.</w:t>
      </w:r>
    </w:p>
    <w:p w14:paraId="1B88D350" w14:textId="3C18D644" w:rsidR="005D0FAF" w:rsidRPr="007404D6" w:rsidRDefault="005D0FAF" w:rsidP="00892410">
      <w:pPr>
        <w:rPr>
          <w:b/>
          <w:bCs/>
        </w:rPr>
      </w:pPr>
      <w:r w:rsidRPr="007404D6">
        <w:rPr>
          <w:b/>
          <w:bCs/>
        </w:rPr>
        <w:t xml:space="preserve">La méthodologie d’interprétation des indicateurs, basée sur l’approche détaillée dans la partie </w:t>
      </w:r>
      <w:r w:rsidRPr="007404D6">
        <w:rPr>
          <w:b/>
          <w:bCs/>
        </w:rPr>
        <w:fldChar w:fldCharType="begin"/>
      </w:r>
      <w:r w:rsidRPr="007404D6">
        <w:rPr>
          <w:b/>
          <w:bCs/>
        </w:rPr>
        <w:instrText xml:space="preserve"> REF _Ref241227230 \r \h </w:instrText>
      </w:r>
      <w:r w:rsidR="007404D6">
        <w:rPr>
          <w:b/>
          <w:bCs/>
        </w:rPr>
        <w:instrText xml:space="preserve"> \* MERGEFORMAT </w:instrText>
      </w:r>
      <w:r w:rsidRPr="007404D6">
        <w:rPr>
          <w:b/>
          <w:bCs/>
        </w:rPr>
      </w:r>
      <w:r w:rsidRPr="007404D6">
        <w:rPr>
          <w:b/>
          <w:bCs/>
        </w:rPr>
        <w:fldChar w:fldCharType="separate"/>
      </w:r>
      <w:r w:rsidRPr="007404D6">
        <w:rPr>
          <w:b/>
          <w:bCs/>
        </w:rPr>
        <w:t>3.6.2</w:t>
      </w:r>
      <w:r w:rsidRPr="007404D6">
        <w:rPr>
          <w:b/>
          <w:bCs/>
        </w:rPr>
        <w:fldChar w:fldCharType="end"/>
      </w:r>
      <w:r w:rsidRPr="007404D6">
        <w:rPr>
          <w:b/>
          <w:bCs/>
        </w:rPr>
        <w:t>, est détaillée, pour chaque indicateur, dans l’Annexe 2 – Indicateurs.</w:t>
      </w:r>
    </w:p>
    <w:p w14:paraId="1BBAD5A4" w14:textId="77777777" w:rsidR="00892410" w:rsidRPr="007F674C" w:rsidRDefault="00892410" w:rsidP="00892410">
      <w:pPr>
        <w:jc w:val="left"/>
      </w:pPr>
      <w:r>
        <w:br w:type="page"/>
      </w:r>
    </w:p>
    <w:p w14:paraId="40385846" w14:textId="578947F4" w:rsidR="009746A2" w:rsidRDefault="00BA4457">
      <w:pPr>
        <w:pStyle w:val="Titre1"/>
        <w:numPr>
          <w:ilvl w:val="0"/>
          <w:numId w:val="12"/>
        </w:numPr>
      </w:pPr>
      <w:bookmarkStart w:id="65" w:name="_Ref241228765"/>
      <w:bookmarkStart w:id="66" w:name="_Toc241478086"/>
      <w:r>
        <w:lastRenderedPageBreak/>
        <w:t>Diagnostic des services écosystémiques</w:t>
      </w:r>
      <w:r w:rsidR="00B07418">
        <w:t xml:space="preserve"> du sol</w:t>
      </w:r>
      <w:bookmarkEnd w:id="65"/>
      <w:bookmarkEnd w:id="66"/>
    </w:p>
    <w:p w14:paraId="3A1D15A0" w14:textId="213F9E00" w:rsidR="00E13163" w:rsidRDefault="00BB5282">
      <w:pPr>
        <w:pStyle w:val="Titre2"/>
        <w:numPr>
          <w:ilvl w:val="1"/>
          <w:numId w:val="12"/>
        </w:numPr>
      </w:pPr>
      <w:bookmarkStart w:id="67" w:name="_Toc241478087"/>
      <w:r>
        <w:t>Méthodologie générale</w:t>
      </w:r>
      <w:bookmarkEnd w:id="67"/>
    </w:p>
    <w:p w14:paraId="2FC01FB9" w14:textId="3C5CD0F2" w:rsidR="00BB5282" w:rsidRPr="00BB5282" w:rsidRDefault="00BB5D52">
      <w:pPr>
        <w:pStyle w:val="Titre3"/>
        <w:numPr>
          <w:ilvl w:val="2"/>
          <w:numId w:val="12"/>
        </w:numPr>
      </w:pPr>
      <w:bookmarkStart w:id="68" w:name="_Ref233110970"/>
      <w:bookmarkStart w:id="69" w:name="_Toc241478088"/>
      <w:r>
        <w:t xml:space="preserve">Un diagnostic à différentes échelles : </w:t>
      </w:r>
      <w:r w:rsidR="00415FFF">
        <w:t>s</w:t>
      </w:r>
      <w:r w:rsidR="007C0184">
        <w:t>ervices, fonctions et indicateurs</w:t>
      </w:r>
      <w:bookmarkEnd w:id="68"/>
      <w:bookmarkEnd w:id="69"/>
    </w:p>
    <w:p w14:paraId="3F9190C1" w14:textId="16A92A6F" w:rsidR="0065543A" w:rsidRPr="00F67891" w:rsidRDefault="0065543A" w:rsidP="0065543A">
      <w:r>
        <w:t xml:space="preserve">La </w:t>
      </w:r>
      <w:r w:rsidRPr="00A91B43">
        <w:rPr>
          <w:rFonts w:cs="Calibri"/>
          <w:kern w:val="0"/>
        </w:rPr>
        <w:t>directive sur la surveillance des sols</w:t>
      </w:r>
      <w:r>
        <w:t xml:space="preserve"> </w:t>
      </w:r>
      <w:r>
        <w:fldChar w:fldCharType="begin"/>
      </w:r>
      <w:r w:rsidR="00377A1A">
        <w:instrText xml:space="preserve"> ADDIN ZOTERO_ITEM CSL_CITATION {"citationID":"xOoqYg2y","properties":{"formattedCitation":"(UE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fldChar w:fldCharType="separate"/>
      </w:r>
      <w:r w:rsidR="00377A1A" w:rsidRPr="00377A1A">
        <w:rPr>
          <w:rFonts w:cs="Calibri"/>
        </w:rPr>
        <w:t>(UE 2025/2360, 2025)</w:t>
      </w:r>
      <w:r>
        <w:fldChar w:fldCharType="end"/>
      </w:r>
      <w:r>
        <w:t xml:space="preserve"> définit l</w:t>
      </w:r>
      <w:r w:rsidRPr="00AC5F68">
        <w:t xml:space="preserve">es sols en bonne santé </w:t>
      </w:r>
      <w:r>
        <w:t>comme étant</w:t>
      </w:r>
      <w:r w:rsidRPr="00AC5F68">
        <w:t xml:space="preserve"> </w:t>
      </w:r>
      <w:r>
        <w:t>« </w:t>
      </w:r>
      <w:r w:rsidRPr="00AC5F68">
        <w:t xml:space="preserve">des sols présentant un bon état chimique, biologique et physique et qui peuvent dès lors fournir des </w:t>
      </w:r>
      <w:r w:rsidRPr="00EF6057">
        <w:rPr>
          <w:i/>
          <w:iCs/>
        </w:rPr>
        <w:t>services écosystémiques</w:t>
      </w:r>
      <w:r w:rsidRPr="00AC5F68">
        <w:t xml:space="preserve"> vitaux pour les humains et l’environnement, qu’il s’agisse de fournir une alimentation sûre, nutritive et en quantité suffisante, de la biomasse et de l’eau propre, de permettre le cycle des nutriments et le stockage du carbone ou d’accueillir la biodiversité.</w:t>
      </w:r>
      <w:r>
        <w:t xml:space="preserve"> […] </w:t>
      </w:r>
      <w:r w:rsidRPr="0024208E">
        <w:t>Les sols fournissent également d’autres services, notamment en servant de supports physiques pour les infrastructures et les activités humaines, puisqu’ils sont une source de matières premières, ou en tant qu’archives du patrimoine géologique, géomorphologique et archéologique.</w:t>
      </w:r>
      <w:r>
        <w:t> »</w:t>
      </w:r>
    </w:p>
    <w:p w14:paraId="4E6B1F9E" w14:textId="6B5F8258" w:rsidR="0065543A" w:rsidRDefault="0065543A" w:rsidP="0065543A">
      <w:r>
        <w:t>La directive définit donc la santé du sol comme un bon accomplissement de services écosystémiques, qui sont définis comme « </w:t>
      </w:r>
      <w:r w:rsidRPr="00F0432F">
        <w:t>les contributions directes ou indirectes des écosystèmes aux bénéfices environnementaux, économiques, sociaux, culturels et autres que les personnes tirent des écosystèmes</w:t>
      </w:r>
      <w:r>
        <w:t xml:space="preserve"> » </w:t>
      </w:r>
      <w:r>
        <w:fldChar w:fldCharType="begin"/>
      </w:r>
      <w:r w:rsidR="00377A1A">
        <w:instrText xml:space="preserve"> ADDIN ZOTERO_ITEM CSL_CITATION {"citationID":"07xaMrIU","properties":{"formattedCitation":"(UE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fldChar w:fldCharType="separate"/>
      </w:r>
      <w:r w:rsidR="00377A1A" w:rsidRPr="00377A1A">
        <w:rPr>
          <w:rFonts w:cs="Calibri"/>
        </w:rPr>
        <w:t>(UE 2025/2360, 2025)</w:t>
      </w:r>
      <w:r>
        <w:fldChar w:fldCharType="end"/>
      </w:r>
      <w:r>
        <w:t xml:space="preserve">. </w:t>
      </w:r>
    </w:p>
    <w:p w14:paraId="7EA8D2A0" w14:textId="099B692A" w:rsidR="0065543A" w:rsidRDefault="40FB9F44" w:rsidP="1C83774F">
      <w:r>
        <w:t xml:space="preserve">En pratique, la qualité d’un sol est un concept qui dépend étroitement de son usage (jardin, culture, prairie, forêt, parc, réserve naturelle) et, de fait, du service écosystémique recherché (production potagère, agricole ou forestière, recharge et protection des nappes </w:t>
      </w:r>
      <w:r w:rsidR="6E2790EF">
        <w:t xml:space="preserve">d’eau </w:t>
      </w:r>
      <w:r>
        <w:t xml:space="preserve">souterraine, stockage du carbone, protection de la biodiversité…). De nombreux auteurs </w:t>
      </w:r>
      <w:r w:rsidR="48718A82" w:rsidRPr="1C83774F">
        <w:rPr>
          <w:rFonts w:eastAsia="Calibri" w:cs="Calibri"/>
          <w:szCs w:val="22"/>
        </w:rPr>
        <w:t>soulignent qu’une propriété du sol ne peut être jugée adéquate ou non qu’au regard d’une fonction ou d’un service spécifique</w:t>
      </w:r>
      <w:r>
        <w:t xml:space="preserve"> </w:t>
      </w:r>
      <w:r w:rsidR="0065543A">
        <w:fldChar w:fldCharType="begin"/>
      </w:r>
      <w:r w:rsidR="0065543A">
        <w:instrText xml:space="preserve"> ADDIN ZOTERO_ITEM CSL_CITATION {"citationID":"Szm91sCh","properties":{"formattedCitation":"(Baveye, 2021)","plainCitation":"(Baveye, 2021)","noteIndex":0},"citationItems":[{"id":415,"uris":["http://zotero.org/groups/5684833/items/MFYFQWCF"],"itemData":{"id":415,"type":"article-journal","container-title":"Soil Use and Management","DOI":"10.1111/sum.12703","ISSN":"1475-2743","issue":"2","language":"en","license":"© 2021 British Society of Soil Science","note":"_eprint: https://bsssjournals.onlinelibrary.wiley.com/doi/pdf/10.1111/sum.12703","page":"215-219","source":"Wiley Online Library","title":"Soil health at a crossroad","volume":"37","author":[{"family":"Baveye","given":"Philippe C."}],"issued":{"date-parts":[["2021"]]}}}],"schema":"https://github.com/citation-style-language/schema/raw/master/csl-citation.json"} </w:instrText>
      </w:r>
      <w:r w:rsidR="0065543A">
        <w:fldChar w:fldCharType="separate"/>
      </w:r>
      <w:r w:rsidRPr="1C83774F">
        <w:rPr>
          <w:rFonts w:cs="Calibri"/>
        </w:rPr>
        <w:t>(Baveye, 2021)</w:t>
      </w:r>
      <w:r w:rsidR="0065543A">
        <w:fldChar w:fldCharType="end"/>
      </w:r>
      <w:r>
        <w:t>.</w:t>
      </w:r>
    </w:p>
    <w:p w14:paraId="2DA54959" w14:textId="1943E75A" w:rsidR="0065543A" w:rsidRDefault="0065543A" w:rsidP="0065543A">
      <w:r>
        <w:t>De fait, l</w:t>
      </w:r>
      <w:r w:rsidRPr="00E1681D">
        <w:t xml:space="preserve">es propriétés </w:t>
      </w:r>
      <w:r>
        <w:t>favorables</w:t>
      </w:r>
      <w:r w:rsidRPr="00E1681D">
        <w:t xml:space="preserve"> pour les différentes combinaisons usages/services </w:t>
      </w:r>
      <w:r w:rsidR="005A055D">
        <w:t>peuvent être</w:t>
      </w:r>
      <w:r w:rsidRPr="00E1681D">
        <w:t xml:space="preserve"> divergentes, voire antagonistes</w:t>
      </w:r>
      <w:r>
        <w:t>, comme l’illustrent les exemples suivants :</w:t>
      </w:r>
    </w:p>
    <w:p w14:paraId="38FBB3AC" w14:textId="77777777" w:rsidR="0065543A" w:rsidRDefault="0065543A">
      <w:pPr>
        <w:pStyle w:val="Paragraphedeliste"/>
        <w:numPr>
          <w:ilvl w:val="0"/>
          <w:numId w:val="16"/>
        </w:numPr>
      </w:pPr>
      <w:r>
        <w:t>Un sol sableux sera parfaitement adapté à l’infiltration de l’eau, mais sera nettement moins efficace pour maintenir une réserve utile en cas de sécheresse ou pour filtrer les polluants.</w:t>
      </w:r>
    </w:p>
    <w:p w14:paraId="2B28AD3F" w14:textId="7058D630" w:rsidR="0065543A" w:rsidRDefault="0065543A">
      <w:pPr>
        <w:pStyle w:val="Paragraphedeliste"/>
        <w:numPr>
          <w:ilvl w:val="0"/>
          <w:numId w:val="16"/>
        </w:numPr>
      </w:pPr>
      <w:r w:rsidRPr="00BA6FB6">
        <w:t xml:space="preserve">Un sol tourbeux </w:t>
      </w:r>
      <w:r w:rsidR="00707B10">
        <w:t>non drainé</w:t>
      </w:r>
      <w:r w:rsidRPr="00BA6FB6">
        <w:t xml:space="preserve"> est </w:t>
      </w:r>
      <w:r w:rsidR="00707B10">
        <w:t>i</w:t>
      </w:r>
      <w:r w:rsidR="006D77C4">
        <w:t>nadapté pour l</w:t>
      </w:r>
      <w:r w:rsidR="00EF3067">
        <w:t>a</w:t>
      </w:r>
      <w:r w:rsidR="006D77C4">
        <w:t xml:space="preserve"> </w:t>
      </w:r>
      <w:r w:rsidR="00EF3067">
        <w:t>production agricole</w:t>
      </w:r>
      <w:r w:rsidRPr="00BA6FB6">
        <w:t xml:space="preserve">, mais excellent pour le stockage du carbone et </w:t>
      </w:r>
      <w:r w:rsidR="003A1A36">
        <w:t xml:space="preserve">peut </w:t>
      </w:r>
      <w:r w:rsidRPr="00BA6FB6">
        <w:t>abrite</w:t>
      </w:r>
      <w:r w:rsidR="003A1A36">
        <w:t>r</w:t>
      </w:r>
      <w:r w:rsidRPr="00BA6FB6">
        <w:t xml:space="preserve"> des écosystèmes rares et diversifiés.</w:t>
      </w:r>
    </w:p>
    <w:p w14:paraId="528B029B" w14:textId="350D86A4" w:rsidR="0065543A" w:rsidRDefault="0065543A">
      <w:pPr>
        <w:pStyle w:val="Paragraphedeliste"/>
        <w:numPr>
          <w:ilvl w:val="0"/>
          <w:numId w:val="16"/>
        </w:numPr>
      </w:pPr>
      <w:r w:rsidRPr="00BA6FB6">
        <w:t xml:space="preserve">Un sol calcaire </w:t>
      </w:r>
      <w:r w:rsidR="00A37F8B">
        <w:t>peut accueillir certaines</w:t>
      </w:r>
      <w:r w:rsidRPr="00BA6FB6">
        <w:t xml:space="preserve"> production</w:t>
      </w:r>
      <w:r w:rsidR="00A37F8B">
        <w:t>s</w:t>
      </w:r>
      <w:r w:rsidRPr="00BA6FB6">
        <w:t xml:space="preserve"> forestière</w:t>
      </w:r>
      <w:r w:rsidR="00A37F8B">
        <w:t>s</w:t>
      </w:r>
      <w:r w:rsidR="007659A2">
        <w:t xml:space="preserve"> ainsi qu’une </w:t>
      </w:r>
      <w:r w:rsidR="00320610">
        <w:t>faune et une flore diversifiée</w:t>
      </w:r>
      <w:r w:rsidRPr="00BA6FB6">
        <w:t xml:space="preserve"> et </w:t>
      </w:r>
      <w:r w:rsidR="00320610">
        <w:t>contribuer activement à</w:t>
      </w:r>
      <w:r w:rsidRPr="00BA6FB6">
        <w:t xml:space="preserve"> la recharge des nappes</w:t>
      </w:r>
      <w:r w:rsidR="00320610">
        <w:t xml:space="preserve"> d’eau souterraine</w:t>
      </w:r>
      <w:r w:rsidR="00AD3E45">
        <w:t>s</w:t>
      </w:r>
      <w:r w:rsidRPr="00BA6FB6">
        <w:t xml:space="preserve">, mais </w:t>
      </w:r>
      <w:r w:rsidR="00AD3E45">
        <w:t>il sera inadapté pour la plupart des productions agricoles</w:t>
      </w:r>
      <w:r w:rsidRPr="00BA6FB6">
        <w:t xml:space="preserve"> et la filtration de l’eau.</w:t>
      </w:r>
    </w:p>
    <w:p w14:paraId="39EFE168" w14:textId="241941EA" w:rsidR="0065543A" w:rsidRDefault="0065543A">
      <w:pPr>
        <w:pStyle w:val="Paragraphedeliste"/>
        <w:numPr>
          <w:ilvl w:val="0"/>
          <w:numId w:val="16"/>
        </w:numPr>
      </w:pPr>
      <w:r w:rsidRPr="00BA6FB6">
        <w:t xml:space="preserve">Un sol pollué au plomb </w:t>
      </w:r>
      <w:r w:rsidR="00B1428E">
        <w:t xml:space="preserve">ou au </w:t>
      </w:r>
      <w:r w:rsidR="006A7DD6">
        <w:t xml:space="preserve">cadmium </w:t>
      </w:r>
      <w:r w:rsidR="00B1428E">
        <w:t xml:space="preserve">peut compromettre la production </w:t>
      </w:r>
      <w:r w:rsidR="006A7DD6">
        <w:t>de denrées alimentaires garantissant l’innocuité pour les consommateurs</w:t>
      </w:r>
      <w:r w:rsidR="005F2237">
        <w:t xml:space="preserve"> mais peut </w:t>
      </w:r>
      <w:r w:rsidRPr="00BA6FB6">
        <w:t>être intéressant pour la conservation de la biodiversité (</w:t>
      </w:r>
      <w:r>
        <w:t>exemple de la</w:t>
      </w:r>
      <w:r w:rsidRPr="00BA6FB6">
        <w:t xml:space="preserve"> végétation calaminaire)</w:t>
      </w:r>
      <w:r w:rsidR="007978D0">
        <w:t xml:space="preserve"> et soutenir la production de biomasses non alimentaires</w:t>
      </w:r>
      <w:r w:rsidRPr="00BA6FB6">
        <w:t xml:space="preserve">. </w:t>
      </w:r>
    </w:p>
    <w:p w14:paraId="42A7183D" w14:textId="7284F8D9" w:rsidR="0065543A" w:rsidRDefault="0065543A" w:rsidP="0065543A">
      <w:r>
        <w:t>Ces compromis entre les fonctions (ou services</w:t>
      </w:r>
      <w:r w:rsidR="00D57C65">
        <w:t xml:space="preserve"> écosystémiques</w:t>
      </w:r>
      <w:r>
        <w:t xml:space="preserve">) du sol démontrent l’intérêt d’évaluer ces services différents séparément, plutôt qu’à travers un indice de qualité unique, qui entraîne indéniablement une perte d’information </w:t>
      </w:r>
      <w:r w:rsidRPr="007F7E1E">
        <w:rPr>
          <w:lang w:val="en-GB"/>
        </w:rPr>
        <w:fldChar w:fldCharType="begin"/>
      </w:r>
      <w:r>
        <w:instrText xml:space="preserve"> ADDIN ZOTERO_ITEM CSL_CITATION {"citationID":"h24DgSjM","properties":{"formattedCitation":"(Vogel et al., 2019)","plainCitation":"(Vogel et al., 2019)","noteIndex":0},"citationItems":[{"id":104,"uris":["http://zotero.org/groups/5684833/items/IIQB5NJT"],"itemData":{"id":104,"type":"article-journal","abstract":"Soils play a key role for the functioning of terrestrial ecosystems. Thus, soils are essential for human society not only because they form the basis for the production of food. This has been recognized since long and during the last three decades the need to establish methods to evaluate the ability of soils to provide soil functions has moved towards the top of the agenda in soil science. Quantitative evaluation schemes are indispensable to adequately include soils into strategies to reach sustainable development targets. In this paper we build upon existing approaches and propose a concept to evaluate individual soil functions with respect to the soil’s natural potential in contrast to its actual state. This leads to a separation of indicator variables and allows for conclusions on the structure of appropriate models that are required to predict the dynamics of soil functions in response to external perturbation. This concept is demonstrated for the production function, carbon storage and water storage which are evaluated exemplarily for different plots of a long-term field experiment. It is discussed for nutrient cycling and the habitat function where evaluation schemes are still less obvious.","container-title":"Frontiers in Environmental Science","DOI":"10.3389/fenvs.2019.00164","ISSN":"2296-665X","journalAbbreviation":"Front. Environ. Sci.","language":"English","publisher":"Frontiers","source":"Frontiers","title":"Quantitative Evaluation of Soil Functions: Potential and State","title-short":"Quantitative Evaluation of Soil Functions","URL":"https://www.frontiersin.org/journals/environmental-science/articles/10.3389/fenvs.2019.00164/full","volume":"7","author":[{"family":"Vogel","given":"Hans-Jörg"},{"family":"Eberhardt","given":"Einar"},{"family":"Franko","given":"Uwe"},{"family":"Lang","given":"Birgit"},{"family":"Ließ","given":"Mareike"},{"family":"Weller","given":"Ulrich"},{"family":"Wiesmeier","given":"Martin"},{"family":"Wollschläger","given":"Ute"}],"accessed":{"date-parts":[["2025",10,20]]},"issued":{"date-parts":[["2019",10,22]]}}}],"schema":"https://github.com/citation-style-language/schema/raw/master/csl-citation.json"} </w:instrText>
      </w:r>
      <w:r w:rsidRPr="007F7E1E">
        <w:rPr>
          <w:lang w:val="en-GB"/>
        </w:rPr>
        <w:fldChar w:fldCharType="separate"/>
      </w:r>
      <w:r w:rsidRPr="00792814">
        <w:rPr>
          <w:rFonts w:cs="Calibri"/>
        </w:rPr>
        <w:t>(Vogel et al., 2019)</w:t>
      </w:r>
      <w:r w:rsidRPr="007F7E1E">
        <w:rPr>
          <w:lang w:val="en-GB"/>
        </w:rPr>
        <w:fldChar w:fldCharType="end"/>
      </w:r>
      <w:r w:rsidRPr="007F7E1E">
        <w:t>.</w:t>
      </w:r>
      <w:r>
        <w:t xml:space="preserve"> Ainsi, dans la mise en œuvre de pratiques de gestion, il est important de conscientiser le fait que les actions en faveur d’un service écosystémique pourraient avoir des conséquences défavorables pour un autre service </w:t>
      </w:r>
      <w:r w:rsidRPr="00A60E2B">
        <w:rPr>
          <w:lang w:val="en-GB"/>
        </w:rPr>
        <w:fldChar w:fldCharType="begin"/>
      </w:r>
      <w:r>
        <w:instrText xml:space="preserve"> ADDIN ZOTERO_ITEM CSL_CITATION {"citationID":"W4lBvOCy","properties":{"formattedCitation":"(Lehmann et al., 2020)","plainCitation":"(Lehmann et al., 2020)","noteIndex":0},"citationItems":[{"id":416,"uris":["http://zotero.org/groups/5684833/items/S5FAIYHE"],"itemData":{"id":416,"type":"article-journal","abstract":"Soil health is the continued capacity of soil to function as a vital living ecosystem that sustains plants, animals and humans, and connects agricultural and soil science to policy, stakeholder needs and sustainable supply-chain management. Historically, soil assessments focused on crop production, but, today, soil health also includes the role of soil in water quality, climate change and human health. However, quantifying soil health is still dominated by chemical indicators, despite growing appreciation of the importance of soil biodiversity, owing to limited functional knowledge and lack of effective methods. In this Perspective, the definition and history of soil health are described and compared with other soil concepts. We outline ecosystem services provided by soils, the indicators used to measure soil functionality and their integration into informative soil-health indices. Scientists should embrace soil health as an overarching principle that contributes to sustainability goals, rather than only a property to measure.","container-title":"Nature Reviews Earth &amp; Environment","DOI":"10.1038/s43017-020-0080-8","ISSN":"2662-138X","issue":"10","journalAbbreviation":"Nat Rev Earth Environ","language":"en","license":"2020 Springer Nature Limited","page":"544-553","publisher":"Nature Publishing Group","source":"www.nature.com","title":"The concept and future prospects of soil health","volume":"1","author":[{"family":"Lehmann","given":"Johannes"},{"family":"Bossio","given":"Deborah A."},{"family":"Kögel-Knabner","given":"Ingrid"},{"family":"Rillig","given":"Matthias C."}],"issued":{"date-parts":[["2020",10]]}}}],"schema":"https://github.com/citation-style-language/schema/raw/master/csl-citation.json"} </w:instrText>
      </w:r>
      <w:r w:rsidRPr="00A60E2B">
        <w:rPr>
          <w:lang w:val="en-GB"/>
        </w:rPr>
        <w:fldChar w:fldCharType="separate"/>
      </w:r>
      <w:r w:rsidRPr="00792814">
        <w:rPr>
          <w:rFonts w:cs="Calibri"/>
        </w:rPr>
        <w:t>(Lehmann et al., 2020)</w:t>
      </w:r>
      <w:r w:rsidRPr="00A60E2B">
        <w:rPr>
          <w:lang w:val="en-GB"/>
        </w:rPr>
        <w:fldChar w:fldCharType="end"/>
      </w:r>
      <w:r w:rsidRPr="00A60E2B">
        <w:t>.</w:t>
      </w:r>
    </w:p>
    <w:p w14:paraId="5CEF43F3" w14:textId="286C4FF9" w:rsidR="004E1DEF" w:rsidRPr="005E31B8" w:rsidRDefault="0065543A" w:rsidP="004E1DEF">
      <w:pPr>
        <w:rPr>
          <w:b/>
          <w:bCs/>
        </w:rPr>
      </w:pPr>
      <w:r w:rsidRPr="00373896">
        <w:rPr>
          <w:b/>
          <w:bCs/>
        </w:rPr>
        <w:lastRenderedPageBreak/>
        <w:t>Pour toutes ces raisons, l’IQSW-pro est construit à l’échelle du service écosystémique, et évalue donc la qualité et la santé d’un sol à travers des scores de services écosystémiques.</w:t>
      </w:r>
      <w:r w:rsidRPr="00373896">
        <w:t xml:space="preserve"> Bien</w:t>
      </w:r>
      <w:r>
        <w:t xml:space="preserve"> qu’un score IQSW global est calculé en pondérant l’importance relative des services pour un usage donné (partie</w:t>
      </w:r>
      <w:r w:rsidR="00614CA4">
        <w:t xml:space="preserve"> </w:t>
      </w:r>
      <w:r w:rsidR="00614CA4">
        <w:fldChar w:fldCharType="begin"/>
      </w:r>
      <w:r w:rsidR="00614CA4">
        <w:instrText xml:space="preserve"> REF _Ref232206789 \r \h </w:instrText>
      </w:r>
      <w:r w:rsidR="00614CA4">
        <w:fldChar w:fldCharType="separate"/>
      </w:r>
      <w:r w:rsidR="00724784">
        <w:t>5.2</w:t>
      </w:r>
      <w:r w:rsidR="00614CA4">
        <w:fldChar w:fldCharType="end"/>
      </w:r>
      <w:r>
        <w:t xml:space="preserve">), c’est principalement à l’échelle du service écosystémique </w:t>
      </w:r>
      <w:r w:rsidR="2413DCB5">
        <w:t>et des niveaux inférieurs</w:t>
      </w:r>
      <w:r w:rsidR="54320B0E">
        <w:t xml:space="preserve"> (diagnostic des fonctions et des indicateurs au sein des fonctions) </w:t>
      </w:r>
      <w:r w:rsidR="004F5D3F">
        <w:t xml:space="preserve">qu’il sera le plus pertinent de </w:t>
      </w:r>
      <w:r w:rsidR="005E31B8">
        <w:t xml:space="preserve">tirer des conclusions sur la capacité effective et potentielle </w:t>
      </w:r>
      <w:r w:rsidR="005A055D">
        <w:t xml:space="preserve">du sol </w:t>
      </w:r>
      <w:r w:rsidR="005E31B8">
        <w:t xml:space="preserve">à </w:t>
      </w:r>
      <w:r w:rsidR="4EC82DFE">
        <w:t>remplir ses fonctions et services</w:t>
      </w:r>
      <w:r w:rsidR="005E31B8">
        <w:t>.</w:t>
      </w:r>
    </w:p>
    <w:p w14:paraId="62519B99" w14:textId="050F4ADE" w:rsidR="0065543A" w:rsidRDefault="00673AEA">
      <w:pPr>
        <w:pStyle w:val="Titre3"/>
        <w:numPr>
          <w:ilvl w:val="2"/>
          <w:numId w:val="12"/>
        </w:numPr>
      </w:pPr>
      <w:bookmarkStart w:id="70" w:name="_Ref232250903"/>
      <w:bookmarkStart w:id="71" w:name="_Toc241478089"/>
      <w:r>
        <w:t>Diagnostic des fonctions</w:t>
      </w:r>
      <w:bookmarkEnd w:id="70"/>
      <w:bookmarkEnd w:id="71"/>
    </w:p>
    <w:p w14:paraId="6260A2C5" w14:textId="53715D42" w:rsidR="0065543A" w:rsidRDefault="40FB9F44" w:rsidP="0065543A">
      <w:r>
        <w:t xml:space="preserve">Dans le cadre de </w:t>
      </w:r>
      <w:r w:rsidR="04DFABEA">
        <w:t xml:space="preserve">nombreux </w:t>
      </w:r>
      <w:r>
        <w:t>projets d’évaluation de la qualité des sols, les services écosystémiques</w:t>
      </w:r>
      <w:r w:rsidRPr="000D2AE3">
        <w:t xml:space="preserve"> </w:t>
      </w:r>
      <w:r w:rsidR="489D7025">
        <w:t>s</w:t>
      </w:r>
      <w:r>
        <w:t xml:space="preserve">ont généralement découpés en diverses fonctions écologiques ou pédologiques </w:t>
      </w:r>
      <w:r w:rsidR="0065543A">
        <w:fldChar w:fldCharType="begin"/>
      </w:r>
      <w:r w:rsidR="0065543A">
        <w:instrText xml:space="preserve"> ADDIN ZOTERO_ITEM CSL_CITATION {"citationID":"kmJ7B7DT","properties":{"unsorted":true,"formattedCitation":"(Wienhold et al., 2009; Rabot et al., 2022; Cousin et al., 2025)","plainCitation":"(Wienhold et al., 2009; Rabot et al., 2022; Cousin et al., 2025)","noteIndex":0},"citationItems":[{"id":163,"uris":["http://zotero.org/groups/5684833/items/Y5N3XJ6U"],"itemData":{"id":163,"type":"article-journal","abstract":"PDF | Assessment tools are needed to evaluate agronomic management effects on critical soil functions such as carbon sequestration, nutrient cycling and... | Find, read and cite all the research you need on ResearchGate","container-title":"ResearchGate","DOI":"10.1017/S1742170509990093","language":"en","source":"www.researchgate.net","title":"Protocol for indicator scoring in the soil management assessment framework (SMAF)","URL":"https://www.researchgate.net/publication/47527229_Protocol_for_indicator_scoring_in_the_soil_management_assessment_framework_SMAF","author":[{"family":"Wienhold","given":""},{"family":"Karlen","given":""},{"family":"Andrews","given":""},{"family":"Stott","given":""}],"accessed":{"date-parts":[["2025",6,17]]},"issued":{"date-parts":[["2009"]]}}},{"id":84,"uris":["http://zotero.org/groups/5684833/items/35NH9M97"],"itemData":{"id":84,"type":"article-journal","abstract":"Europe is faced to a competing demand for areas suitable for agriculture and areas suitable for urban development. To help building the general guidelines necessary for a sustainable development at the regional scale, we developed a soil potential multifunctionality index for agriculture (Agri-SPMI), which used the concepts of soil-based ecosystem services and soil functions. It considered the provision of a physical and chemical habitat for plant growth functions, the retention and transfer of water and pollutants function, and the carbon storage function. Three agricultural land uses were considered in this index: arable lands, perennial crops, and pastures. The assessment of the Agri-SPMI was done over a large territory, using a small set of inherent soil properties available in the French soil survey database at 1:250,000 scale. The output was in the form of two maps, which can be viewed in a GIS software: a map of areas with high Agri-SPMI and a map of the service of food, biomass, and fiber production. The concept of soil multifunctionality allowed highlighting environmental issues related to agriculture and to encourage land planners to take them into account in addition to the agronomic potential of soils. The framework used is fully transferable to other scales, other soil contexts, or other ecosystem services, with adaptation of the soil properties considered.","container-title":"Soil Security","DOI":"10.1016/j.soisec.2022.100034","ISSN":"2667-0062","journalAbbreviation":"Soil Security","page":"100034","source":"ScienceDirect","title":"Development and spatialization of a soil potential multifunctionality index for agriculture (Agri-SPMI) at the regional scale. Case study in the Occitanie region (France)","volume":"6","author":[{"family":"Rabot","given":"Eva"},{"family":"Guiresse","given":"Maritxu"},{"family":"Pittatore","given":"Yannis"},{"family":"Angelini","given":"Marcos"},{"family":"Keller","given":"Catherine"},{"family":"Lagacherie","given":"Philippe"}],"issued":{"date-parts":[["2022",3,1]]}}},{"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0065543A">
        <w:fldChar w:fldCharType="separate"/>
      </w:r>
      <w:r w:rsidRPr="001A1813">
        <w:rPr>
          <w:rFonts w:cs="Calibri"/>
        </w:rPr>
        <w:t xml:space="preserve">(Wienhold et al., </w:t>
      </w:r>
      <w:r w:rsidRPr="1C83774F">
        <w:rPr>
          <w:rFonts w:cs="Calibri"/>
        </w:rPr>
        <w:t>2009; Rabot et al., 2022; Cousin et al., 2025)</w:t>
      </w:r>
      <w:r w:rsidR="0065543A">
        <w:fldChar w:fldCharType="end"/>
      </w:r>
      <w:r>
        <w:t xml:space="preserve">. </w:t>
      </w:r>
      <w:r w:rsidR="5BB0C802">
        <w:t xml:space="preserve">Les fonctions </w:t>
      </w:r>
      <w:r w:rsidR="19445301">
        <w:t xml:space="preserve">remplies par un sol correspondent à </w:t>
      </w:r>
      <w:r w:rsidR="68C7EF34">
        <w:t>l</w:t>
      </w:r>
      <w:r w:rsidR="5A28C065">
        <w:t>a</w:t>
      </w:r>
      <w:r w:rsidR="082847ED">
        <w:t xml:space="preserve"> capacité du sol </w:t>
      </w:r>
      <w:r w:rsidR="38156973">
        <w:t>à jouer différents rôle</w:t>
      </w:r>
      <w:r w:rsidR="434DBEB2">
        <w:t>s</w:t>
      </w:r>
      <w:r w:rsidR="38156973">
        <w:t xml:space="preserve"> clés dans le fonctionnement d’un écosystème</w:t>
      </w:r>
      <w:r w:rsidR="3804C011">
        <w:t xml:space="preserve">, et sont </w:t>
      </w:r>
      <w:r w:rsidR="104C5CF3">
        <w:t>le résultat de processus naturels internes au sol </w:t>
      </w:r>
      <w:r w:rsidR="00C0080B">
        <w:fldChar w:fldCharType="begin"/>
      </w:r>
      <w:r w:rsidR="00C0080B">
        <w:instrText xml:space="preserve"> ADDIN ZOTERO_ITEM CSL_CITATION {"citationID":"YGPjwh0c","properties":{"unsorted":false,"formattedCitation":"(de\\uc0\\u160{}Groot et al., 2002)","plainCitation":"(de Groot et al., 2002)","noteIndex":0},"citationItems":[{"id":604,"uris":["http://zotero.org/groups/5684833/items/QJRRCWD8"],"itemData":{"id":604,"type":"article-journal","abstract":"An increasing amount of information is being collected on the ecological and socio-economic value of goods and services provided by natural and semi-natural ecosystems. However, much of this information appears scattered throughout a disciplinary academic literature, unpublished government agency reports, and across the World Wide Web. In addition, data on ecosystem goods and services often appears at incompatible scales of analysis and is classified differently by different authors. In order to make comparative ecological economic analysis possible, a standardized framework for the comprehensive assessment of ecosystem functions, goods and services is needed. In response to this challenge, this paper presents a conceptual framework and typology for describing, classifying and valuing ecosystem functions, goods and services in a clear and consistent manner. In the following analysis, a classification is given for the fullest possible range of 23 ecosystem functions that provide a much larger number of goods and services. In the second part of the paper, a checklist and matrix is provided, linking these ecosystem functions to the main ecological, socio–cultural and economic valuation methods.","container-title":"Ecological Economics","DOI":"10.1016/S0921-8009(02)00089-7","ISSN":"0921-8009","issue":"3","journalAbbreviation":"Ecological Economics","page":"393-408","source":"ScienceDirect","title":"A typology for the classification, description and valuation of ecosystem functions, goods and services","volume":"41","author":[{"family":"Groot","given":"Rudolf S","non-dropping-particle":"de"},{"family":"Wilson","given":"Matthew A"},{"family":"Boumans","given":"Roelof M. J"}],"issued":{"date-parts":[["2002",6,1]]}}}],"schema":"https://github.com/citation-style-language/schema/raw/master/csl-citation.json"} </w:instrText>
      </w:r>
      <w:r w:rsidR="00C0080B">
        <w:fldChar w:fldCharType="separate"/>
      </w:r>
      <w:r w:rsidR="104C5CF3" w:rsidRPr="00C0080B">
        <w:rPr>
          <w:rFonts w:cs="Calibri"/>
          <w:kern w:val="0"/>
        </w:rPr>
        <w:t>(</w:t>
      </w:r>
      <w:r w:rsidR="104C5CF3" w:rsidRPr="1C83774F">
        <w:rPr>
          <w:rFonts w:cs="Calibri"/>
        </w:rPr>
        <w:t>de Groot et al., 2002)</w:t>
      </w:r>
      <w:r w:rsidR="00C0080B">
        <w:fldChar w:fldCharType="end"/>
      </w:r>
      <w:r w:rsidR="104C5CF3">
        <w:t>.</w:t>
      </w:r>
      <w:r w:rsidR="4D4EBEAB">
        <w:t xml:space="preserve"> </w:t>
      </w:r>
      <w:r w:rsidR="3554FAA7">
        <w:t>A contrario</w:t>
      </w:r>
      <w:r w:rsidR="377E5F1D">
        <w:t>, le concept de</w:t>
      </w:r>
      <w:r>
        <w:t xml:space="preserve"> service écosystémique </w:t>
      </w:r>
      <w:r w:rsidR="377E5F1D">
        <w:t>est anthropocentré</w:t>
      </w:r>
      <w:r w:rsidR="4E0CD014">
        <w:t xml:space="preserve"> et </w:t>
      </w:r>
      <w:r w:rsidR="5EC4DEF2">
        <w:t>s’intéresse</w:t>
      </w:r>
      <w:r w:rsidR="4E0CD014">
        <w:t xml:space="preserve"> </w:t>
      </w:r>
      <w:r w:rsidR="420689F9">
        <w:t>aux</w:t>
      </w:r>
      <w:r w:rsidR="4E0CD014">
        <w:t xml:space="preserve"> services rendus aux sociétés humaines par le sol.</w:t>
      </w:r>
      <w:r w:rsidR="5CF81C93">
        <w:t xml:space="preserve"> Les services sont donc intimement liés à</w:t>
      </w:r>
      <w:r>
        <w:t xml:space="preserve"> l’usage </w:t>
      </w:r>
      <w:r w:rsidR="4C8B261C">
        <w:t>actuel ou futur</w:t>
      </w:r>
      <w:r>
        <w:t xml:space="preserve"> du sol (ex : la production végétale</w:t>
      </w:r>
      <w:r w:rsidR="672694A0">
        <w:t xml:space="preserve">). L’accomplissement d’un service écosystémique par le sol peut dépendre d’une ou de plusieurs fonctions </w:t>
      </w:r>
      <w:r>
        <w:t>(ex</w:t>
      </w:r>
      <w:r w:rsidR="220FEF1C">
        <w:t>.</w:t>
      </w:r>
      <w:r>
        <w:t xml:space="preserve"> </w:t>
      </w:r>
      <w:r w:rsidR="6E703185">
        <w:t xml:space="preserve">le service de production végétale dépend </w:t>
      </w:r>
      <w:r w:rsidR="5B360DFD">
        <w:t xml:space="preserve">à la fois </w:t>
      </w:r>
      <w:r w:rsidR="0B249F6D">
        <w:t xml:space="preserve">des fonctions de </w:t>
      </w:r>
      <w:r>
        <w:t xml:space="preserve">fourniture d’eau, </w:t>
      </w:r>
      <w:r w:rsidR="0B249F6D">
        <w:t xml:space="preserve">de </w:t>
      </w:r>
      <w:r>
        <w:t xml:space="preserve">fourniture de nutriments </w:t>
      </w:r>
      <w:r w:rsidR="5B360DFD">
        <w:t xml:space="preserve">et </w:t>
      </w:r>
      <w:r w:rsidR="0B249F6D">
        <w:t xml:space="preserve">de </w:t>
      </w:r>
      <w:r>
        <w:t xml:space="preserve">maintien d’une structure permettant la pénétration </w:t>
      </w:r>
      <w:r w:rsidR="3CCD5698">
        <w:t>racinaire</w:t>
      </w:r>
      <w:r w:rsidR="70ABE21E">
        <w:t xml:space="preserve"> </w:t>
      </w:r>
      <w:r>
        <w:t xml:space="preserve">et </w:t>
      </w:r>
      <w:r w:rsidR="3CCD5698">
        <w:t>la circulation de l’air et de l’eau</w:t>
      </w:r>
      <w:r w:rsidR="70ABE21E">
        <w:t xml:space="preserve">). </w:t>
      </w:r>
      <w:r w:rsidR="08E3CAC2">
        <w:t>Contrairement aux services, l</w:t>
      </w:r>
      <w:r w:rsidR="70ABE21E">
        <w:t>es fonctions</w:t>
      </w:r>
      <w:r w:rsidR="08E3CAC2">
        <w:t xml:space="preserve"> telles que définies ici </w:t>
      </w:r>
      <w:r w:rsidR="6CF8D54C">
        <w:t>sont indépendantes les unes des autres et de surcroit</w:t>
      </w:r>
      <w:r w:rsidR="70ABE21E">
        <w:t xml:space="preserve"> peuvent être directement </w:t>
      </w:r>
      <w:r w:rsidR="3F82EECD">
        <w:t xml:space="preserve">évaluées </w:t>
      </w:r>
      <w:r w:rsidR="70ABE21E">
        <w:t xml:space="preserve">à </w:t>
      </w:r>
      <w:r w:rsidR="3F82EECD">
        <w:t>partir d’indicateurs</w:t>
      </w:r>
      <w:r w:rsidR="009E217B">
        <w:t>.</w:t>
      </w:r>
      <w:r w:rsidR="008A7616">
        <w:t xml:space="preserve"> </w:t>
      </w:r>
      <w:r w:rsidR="04DFABEA">
        <w:t xml:space="preserve">Cette subdivision permet notamment d’éviter des problèmes de </w:t>
      </w:r>
      <w:r w:rsidR="0A0571E8">
        <w:t>colinéarité</w:t>
      </w:r>
      <w:r w:rsidR="04DFABEA">
        <w:t xml:space="preserve"> que pourrait engendrer une </w:t>
      </w:r>
      <w:r w:rsidR="0A0571E8">
        <w:t>agrégation</w:t>
      </w:r>
      <w:r w:rsidR="04DFABEA">
        <w:t xml:space="preserve"> </w:t>
      </w:r>
      <w:r w:rsidR="7E7A86E2">
        <w:t>d’indicateurs fortement</w:t>
      </w:r>
      <w:r w:rsidR="0A0571E8">
        <w:t xml:space="preserve"> corrélés.</w:t>
      </w:r>
    </w:p>
    <w:p w14:paraId="2F629185" w14:textId="13EF03CC" w:rsidR="005C3F9B" w:rsidRDefault="00DE0995" w:rsidP="0065543A">
      <w:r>
        <w:t xml:space="preserve">Chaque indicateur se voit ainsi individuellement attribuer un score </w:t>
      </w:r>
      <w:r w:rsidR="00023DA9">
        <w:t xml:space="preserve">sur une échelle </w:t>
      </w:r>
      <w:r w:rsidR="00CF63AA">
        <w:t>entre 0 et 5</w:t>
      </w:r>
      <w:r>
        <w:t xml:space="preserve"> pour la fonction pour laquelle il est considéré.</w:t>
      </w:r>
      <w:r w:rsidR="0091293D">
        <w:t xml:space="preserve"> La méthodologie d’interprétation des paramètres est détaillée </w:t>
      </w:r>
      <w:r w:rsidR="004858D7">
        <w:t xml:space="preserve">au point </w:t>
      </w:r>
      <w:r w:rsidR="009233B3">
        <w:fldChar w:fldCharType="begin"/>
      </w:r>
      <w:r w:rsidR="009233B3">
        <w:instrText xml:space="preserve"> REF _Ref232206834 \r \h </w:instrText>
      </w:r>
      <w:r w:rsidR="003740F9">
        <w:instrText xml:space="preserve"> \* MERGEFORMAT </w:instrText>
      </w:r>
      <w:r w:rsidR="009233B3">
        <w:fldChar w:fldCharType="separate"/>
      </w:r>
      <w:r w:rsidR="00E86BBF">
        <w:t>5.2</w:t>
      </w:r>
      <w:r w:rsidR="009233B3">
        <w:fldChar w:fldCharType="end"/>
      </w:r>
      <w:r w:rsidR="004858D7">
        <w:t>.</w:t>
      </w:r>
      <w:r>
        <w:t xml:space="preserve"> Ensuite, une première étape d’agrégation intervient : il s’agit d’agréger ces scores individuels en scores de fonctions. Les scores des indicateurs sont donc pondérés dans le score de fonction selon leur importance relative dans l’accomplissement du processus. </w:t>
      </w:r>
      <w:r w:rsidR="00DA15A6">
        <w:t>Les fonctions</w:t>
      </w:r>
      <w:r>
        <w:t xml:space="preserve"> constituent le niveau intermédiaire d’agrégation, avant l’agrégation par </w:t>
      </w:r>
      <w:r w:rsidR="00613713">
        <w:t>service écosystémique</w:t>
      </w:r>
      <w:r>
        <w:t>.</w:t>
      </w:r>
      <w:r w:rsidR="008A7616">
        <w:t xml:space="preserve"> </w:t>
      </w:r>
      <w:r w:rsidR="005C3F9B">
        <w:t>Les scores de fonction sont ensuite agrégés dans un score de service écosystémique, selon l’importance de la fonction dans le service.</w:t>
      </w:r>
    </w:p>
    <w:p w14:paraId="000780D4" w14:textId="13E6DF0A" w:rsidR="00F44BD4" w:rsidRDefault="00F44BD4" w:rsidP="00F44BD4">
      <w:r>
        <w:t>La</w:t>
      </w:r>
      <w:r w:rsidR="00E86BBF">
        <w:t xml:space="preserve"> </w:t>
      </w:r>
      <w:r w:rsidR="00E86BBF">
        <w:fldChar w:fldCharType="begin"/>
      </w:r>
      <w:r w:rsidR="00E86BBF">
        <w:instrText xml:space="preserve"> REF _Ref233111779 \h  \* MERGEFORMAT </w:instrText>
      </w:r>
      <w:r w:rsidR="00E86BBF">
        <w:fldChar w:fldCharType="separate"/>
      </w:r>
      <w:r w:rsidR="001C792E" w:rsidRPr="00A279E5">
        <w:t xml:space="preserve">Figure </w:t>
      </w:r>
      <w:r w:rsidR="001C792E">
        <w:rPr>
          <w:noProof/>
        </w:rPr>
        <w:t>6</w:t>
      </w:r>
      <w:r w:rsidR="00E86BBF">
        <w:fldChar w:fldCharType="end"/>
      </w:r>
      <w:r>
        <w:t xml:space="preserve"> illustre les étapes d’agrégation depuis le niveau « indicateur » jusqu’au niveau « service écosystémique », en passant par les fonctions.</w:t>
      </w:r>
    </w:p>
    <w:p w14:paraId="50B64C75" w14:textId="77777777" w:rsidR="00F44BD4" w:rsidRDefault="75DDC355" w:rsidP="00F44BD4">
      <w:pPr>
        <w:keepNext/>
      </w:pPr>
      <w:r>
        <w:rPr>
          <w:noProof/>
        </w:rPr>
        <w:drawing>
          <wp:inline distT="0" distB="0" distL="0" distR="0" wp14:anchorId="1F8E976C" wp14:editId="67DC4FAB">
            <wp:extent cx="5759450" cy="1356360"/>
            <wp:effectExtent l="0" t="0" r="0" b="0"/>
            <wp:docPr id="429521256"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521256" name="Image 42952125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9450" cy="1356360"/>
                    </a:xfrm>
                    <a:prstGeom prst="rect">
                      <a:avLst/>
                    </a:prstGeom>
                  </pic:spPr>
                </pic:pic>
              </a:graphicData>
            </a:graphic>
          </wp:inline>
        </w:drawing>
      </w:r>
    </w:p>
    <w:p w14:paraId="530849E4" w14:textId="4A05AF17" w:rsidR="00F44BD4" w:rsidRPr="00F44BD4" w:rsidRDefault="00F44BD4" w:rsidP="00F44BD4">
      <w:pPr>
        <w:pStyle w:val="Lgende"/>
        <w:jc w:val="center"/>
        <w:rPr>
          <w:i w:val="0"/>
          <w:iCs w:val="0"/>
        </w:rPr>
      </w:pPr>
      <w:bookmarkStart w:id="72" w:name="_Ref233111779"/>
      <w:bookmarkStart w:id="73" w:name="_Toc241229821"/>
      <w:r w:rsidRPr="00A279E5">
        <w:rPr>
          <w:i w:val="0"/>
          <w:iCs w:val="0"/>
        </w:rPr>
        <w:t xml:space="preserve">Figure </w:t>
      </w:r>
      <w:r w:rsidRPr="00A279E5">
        <w:rPr>
          <w:i w:val="0"/>
          <w:iCs w:val="0"/>
        </w:rPr>
        <w:fldChar w:fldCharType="begin"/>
      </w:r>
      <w:r w:rsidRPr="00A279E5">
        <w:rPr>
          <w:i w:val="0"/>
          <w:iCs w:val="0"/>
        </w:rPr>
        <w:instrText xml:space="preserve"> SEQ Figure \* ARABIC </w:instrText>
      </w:r>
      <w:r w:rsidRPr="00A279E5">
        <w:rPr>
          <w:i w:val="0"/>
          <w:iCs w:val="0"/>
        </w:rPr>
        <w:fldChar w:fldCharType="separate"/>
      </w:r>
      <w:r w:rsidR="001C792E">
        <w:rPr>
          <w:i w:val="0"/>
          <w:iCs w:val="0"/>
          <w:noProof/>
        </w:rPr>
        <w:t>6</w:t>
      </w:r>
      <w:r w:rsidRPr="00A279E5">
        <w:rPr>
          <w:i w:val="0"/>
          <w:iCs w:val="0"/>
        </w:rPr>
        <w:fldChar w:fldCharType="end"/>
      </w:r>
      <w:bookmarkEnd w:id="72"/>
      <w:r w:rsidRPr="00A279E5">
        <w:rPr>
          <w:i w:val="0"/>
          <w:iCs w:val="0"/>
        </w:rPr>
        <w:t xml:space="preserve"> : Étapes d'agrégation, des paramètres aux services écosystémiques décomposés en fonctions</w:t>
      </w:r>
      <w:r w:rsidR="00BC2E16">
        <w:rPr>
          <w:i w:val="0"/>
          <w:iCs w:val="0"/>
        </w:rPr>
        <w:t>. Les paramètres, indicateurs, fonctions et services repris ici sont uniquement à titre d’exemple, et ne sont pas exhaustifs.</w:t>
      </w:r>
      <w:bookmarkEnd w:id="73"/>
    </w:p>
    <w:p w14:paraId="374D99DE" w14:textId="513CD580" w:rsidR="0065543A" w:rsidRDefault="00415FFF">
      <w:pPr>
        <w:pStyle w:val="Titre3"/>
        <w:numPr>
          <w:ilvl w:val="2"/>
          <w:numId w:val="12"/>
        </w:numPr>
      </w:pPr>
      <w:bookmarkStart w:id="74" w:name="_Ref232207791"/>
      <w:bookmarkStart w:id="75" w:name="_Toc241478090"/>
      <w:r>
        <w:lastRenderedPageBreak/>
        <w:t xml:space="preserve">Prise en compte </w:t>
      </w:r>
      <w:r w:rsidR="0065543A">
        <w:t>de contraintes</w:t>
      </w:r>
      <w:bookmarkEnd w:id="74"/>
      <w:r>
        <w:t xml:space="preserve"> à la fourniture d’un service</w:t>
      </w:r>
      <w:bookmarkEnd w:id="75"/>
    </w:p>
    <w:p w14:paraId="3714AD58" w14:textId="7F51EFA4" w:rsidR="0065543A" w:rsidRDefault="0065543A" w:rsidP="0065543A">
      <w:r>
        <w:t xml:space="preserve">Les contraintes désignent des critères déclassants pour un </w:t>
      </w:r>
      <w:r w:rsidR="00613713">
        <w:t>service écosystémique</w:t>
      </w:r>
      <w:r>
        <w:t xml:space="preserve"> donné, par exemple la présence d’une pollution qui peut être un facteur d’exclusion pour la production à destination alimentaire, ou la présence d’un massif d’espèces exotiques envahissantes qui entrave tout type de production</w:t>
      </w:r>
      <w:r w:rsidR="00524378">
        <w:t xml:space="preserve"> dans la zone concernée</w:t>
      </w:r>
      <w:r>
        <w:t>. Cependant, ces contraintes à la production n’ont</w:t>
      </w:r>
      <w:r w:rsidR="0029BD5B">
        <w:t>,</w:t>
      </w:r>
      <w:r>
        <w:t xml:space="preserve"> par exemple</w:t>
      </w:r>
      <w:r w:rsidR="5938B22A">
        <w:t>,</w:t>
      </w:r>
      <w:r>
        <w:t xml:space="preserve"> aucun impact présumé sur le </w:t>
      </w:r>
      <w:r w:rsidR="00613713">
        <w:t>service écosystémique</w:t>
      </w:r>
      <w:r>
        <w:t xml:space="preserve"> d’infiltration</w:t>
      </w:r>
      <w:r w:rsidR="000A7E27">
        <w:t xml:space="preserve"> ou de stockage de carbone</w:t>
      </w:r>
      <w:r>
        <w:t xml:space="preserve">, d’où l’intérêt d’appliquer les contraintes à l’échelle du </w:t>
      </w:r>
      <w:r w:rsidR="00613713">
        <w:t>service écosystémique</w:t>
      </w:r>
      <w:r>
        <w:t xml:space="preserve">. </w:t>
      </w:r>
    </w:p>
    <w:p w14:paraId="38FE2EF8" w14:textId="088C97D2" w:rsidR="009D7E9E" w:rsidRDefault="40FB9F44" w:rsidP="006F4355">
      <w:r>
        <w:t>Ces critères déclassants sont finalement le reflet d’une ou plusieurs dégradations du sol, qui peuvent affecter négativement</w:t>
      </w:r>
      <w:r w:rsidR="4208989B">
        <w:t>,</w:t>
      </w:r>
      <w:r>
        <w:t xml:space="preserve"> voire empêcher</w:t>
      </w:r>
      <w:r w:rsidR="72F6B6C3">
        <w:t>,</w:t>
      </w:r>
      <w:r>
        <w:t xml:space="preserve"> la réalisation d’un service écosystémique.</w:t>
      </w:r>
      <w:r w:rsidR="77C60C1A">
        <w:t xml:space="preserve"> </w:t>
      </w:r>
      <w:r w:rsidR="05932605">
        <w:t xml:space="preserve">Il s’agit alors d’attribuer un </w:t>
      </w:r>
      <w:r w:rsidR="21C143A0">
        <w:t>coefficient</w:t>
      </w:r>
      <w:r w:rsidR="05932605">
        <w:t xml:space="preserve"> [0 ;</w:t>
      </w:r>
      <w:r w:rsidR="3CE46FE5">
        <w:t xml:space="preserve"> </w:t>
      </w:r>
      <w:r w:rsidR="05932605">
        <w:t>1]</w:t>
      </w:r>
      <w:r w:rsidR="00A257EA">
        <w:t xml:space="preserve">. Une contrainte </w:t>
      </w:r>
      <w:r w:rsidR="00386559">
        <w:t>forte</w:t>
      </w:r>
      <w:r w:rsidR="00A257EA">
        <w:t xml:space="preserve"> engendre un</w:t>
      </w:r>
      <w:r w:rsidR="00386559">
        <w:t xml:space="preserve"> coefficient maximal, soit égal à 1.</w:t>
      </w:r>
      <w:r w:rsidR="00A257EA">
        <w:t xml:space="preserve"> En l’absence de contrainte, le coefficient vaut 0.</w:t>
      </w:r>
      <w:r w:rsidR="05932605">
        <w:t xml:space="preserve"> </w:t>
      </w:r>
    </w:p>
    <w:p w14:paraId="3EEA785C" w14:textId="7DE0A07D" w:rsidR="009D7E9E" w:rsidRDefault="009D7E9E" w:rsidP="0065543A">
      <w:r>
        <w:t xml:space="preserve">Pour les </w:t>
      </w:r>
      <w:r w:rsidR="00613713">
        <w:t>services écosystémiques</w:t>
      </w:r>
      <w:r>
        <w:t xml:space="preserve"> concernés, </w:t>
      </w:r>
      <w:r w:rsidR="005C05BF">
        <w:t xml:space="preserve">le </w:t>
      </w:r>
      <w:r>
        <w:t xml:space="preserve">score de </w:t>
      </w:r>
      <w:r w:rsidR="00613713">
        <w:t>service</w:t>
      </w:r>
      <w:r w:rsidR="005C05BF">
        <w:t xml:space="preserve"> est multiplié par ce coefficient </w:t>
      </w:r>
      <w:r w:rsidR="0095566C">
        <w:t>selon l’équation suivante</w:t>
      </w:r>
      <w:r>
        <w:t xml:space="preserve">. Ainsi, en cas de contrainte forte, le score du </w:t>
      </w:r>
      <w:r w:rsidR="00613713">
        <w:t xml:space="preserve">service </w:t>
      </w:r>
      <w:r>
        <w:t>sera donc nul.</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325116" w14:paraId="03AAAA41" w14:textId="77777777" w:rsidTr="00325116">
        <w:trPr>
          <w:trHeight w:val="647"/>
        </w:trPr>
        <w:tc>
          <w:tcPr>
            <w:tcW w:w="8609" w:type="dxa"/>
            <w:vAlign w:val="center"/>
          </w:tcPr>
          <w:p w14:paraId="12DA5D39" w14:textId="6F4D0847" w:rsidR="00325116" w:rsidRPr="007F08DD" w:rsidRDefault="00AA1F57" w:rsidP="00F90FA1">
            <w:pPr>
              <w:jc w:val="center"/>
            </w:pPr>
            <m:oMathPara>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SE</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SE</m:t>
                    </m:r>
                  </m:sub>
                </m:sSub>
                <m:r>
                  <m:rPr>
                    <m:sty m:val="p"/>
                  </m:rPr>
                  <w:rPr>
                    <w:rFonts w:ascii="Cambria Math" w:hAnsi="Cambria Math"/>
                  </w:rPr>
                  <m:t>⋅</m:t>
                </m:r>
                <m:r>
                  <m:rPr>
                    <m:sty m:val="p"/>
                  </m:rPr>
                  <w:rPr>
                    <w:rFonts w:ascii="Cambria Math" w:hAnsi="Cambria Math"/>
                  </w:rPr>
                  <m:t xml:space="preserve">(1-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contrainte</m:t>
                    </m:r>
                  </m:sub>
                </m:sSub>
                <m:r>
                  <m:rPr>
                    <m:sty m:val="p"/>
                  </m:rPr>
                  <w:rPr>
                    <w:rFonts w:ascii="Cambria Math" w:hAnsi="Cambria Math"/>
                  </w:rPr>
                  <m:t>)</m:t>
                </m:r>
              </m:oMath>
            </m:oMathPara>
          </w:p>
        </w:tc>
        <w:tc>
          <w:tcPr>
            <w:tcW w:w="461" w:type="dxa"/>
            <w:vAlign w:val="center"/>
          </w:tcPr>
          <w:p w14:paraId="5E371EEF" w14:textId="77777777" w:rsidR="00325116" w:rsidRDefault="00325116" w:rsidP="00F90FA1">
            <w:pPr>
              <w:jc w:val="center"/>
            </w:pPr>
            <w:r>
              <w:t>(1)</w:t>
            </w:r>
          </w:p>
        </w:tc>
      </w:tr>
    </w:tbl>
    <w:p w14:paraId="57CE736C" w14:textId="77777777" w:rsidR="0095566C" w:rsidRPr="006E7167" w:rsidRDefault="0095566C" w:rsidP="0095566C">
      <w:pPr>
        <w:rPr>
          <w:rFonts w:cs="Calibri"/>
          <w:sz w:val="20"/>
          <w:szCs w:val="20"/>
        </w:rPr>
      </w:pPr>
      <w:r w:rsidRPr="006E7167">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156"/>
        <w:gridCol w:w="7914"/>
      </w:tblGrid>
      <w:tr w:rsidR="0095566C" w:rsidRPr="006E7167" w14:paraId="618956D4" w14:textId="77777777" w:rsidTr="1C83774F">
        <w:trPr>
          <w:trHeight w:val="227"/>
        </w:trPr>
        <w:tc>
          <w:tcPr>
            <w:tcW w:w="1156" w:type="dxa"/>
            <w:vAlign w:val="center"/>
          </w:tcPr>
          <w:p w14:paraId="262EDB04" w14:textId="0941FE77" w:rsidR="0095566C" w:rsidRPr="006E7167" w:rsidRDefault="00AA1F57" w:rsidP="004306AE">
            <w:pPr>
              <w:jc w:val="left"/>
              <w:rPr>
                <w:rFonts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SE</m:t>
                    </m:r>
                  </m:sub>
                </m:sSub>
              </m:oMath>
            </m:oMathPara>
          </w:p>
        </w:tc>
        <w:tc>
          <w:tcPr>
            <w:tcW w:w="7914" w:type="dxa"/>
            <w:vAlign w:val="center"/>
          </w:tcPr>
          <w:p w14:paraId="6E94E7B1" w14:textId="09DC04FB" w:rsidR="0095566C" w:rsidRPr="006E7167" w:rsidRDefault="62EBA868" w:rsidP="004306AE">
            <w:pPr>
              <w:jc w:val="left"/>
              <w:rPr>
                <w:rFonts w:cs="Calibri"/>
                <w:sz w:val="20"/>
                <w:szCs w:val="20"/>
              </w:rPr>
            </w:pPr>
            <w:r w:rsidRPr="006E7167">
              <w:rPr>
                <w:rFonts w:eastAsiaTheme="minorEastAsia" w:cs="Calibri"/>
                <w:sz w:val="20"/>
                <w:szCs w:val="20"/>
              </w:rPr>
              <w:t xml:space="preserve">Score de </w:t>
            </w:r>
            <w:r w:rsidR="1A8347BA" w:rsidRPr="006E7167">
              <w:rPr>
                <w:rFonts w:eastAsiaTheme="minorEastAsia" w:cs="Calibri"/>
                <w:sz w:val="20"/>
                <w:szCs w:val="20"/>
              </w:rPr>
              <w:t>service écosystémique</w:t>
            </w:r>
            <w:r w:rsidR="5F1B95D9" w:rsidRPr="006E7167">
              <w:rPr>
                <w:rFonts w:eastAsiaTheme="minorEastAsia" w:cs="Calibri"/>
                <w:sz w:val="20"/>
                <w:szCs w:val="20"/>
              </w:rPr>
              <w:t xml:space="preserve"> [0 ;</w:t>
            </w:r>
            <w:r w:rsidR="4AD0E62B" w:rsidRPr="006E7167">
              <w:rPr>
                <w:rFonts w:eastAsiaTheme="minorEastAsia" w:cs="Calibri"/>
                <w:sz w:val="20"/>
                <w:szCs w:val="20"/>
              </w:rPr>
              <w:t xml:space="preserve"> </w:t>
            </w:r>
            <w:r w:rsidR="5F1B95D9" w:rsidRPr="006E7167">
              <w:rPr>
                <w:rFonts w:eastAsiaTheme="minorEastAsia" w:cs="Calibri"/>
                <w:sz w:val="20"/>
                <w:szCs w:val="20"/>
              </w:rPr>
              <w:t>5]</w:t>
            </w:r>
            <w:r w:rsidRPr="006E7167">
              <w:rPr>
                <w:rFonts w:eastAsiaTheme="minorEastAsia" w:cs="Calibri"/>
                <w:sz w:val="20"/>
                <w:szCs w:val="20"/>
              </w:rPr>
              <w:t> ;</w:t>
            </w:r>
          </w:p>
        </w:tc>
      </w:tr>
      <w:tr w:rsidR="0095566C" w:rsidRPr="006E7167" w14:paraId="10031CFB" w14:textId="77777777" w:rsidTr="1C83774F">
        <w:trPr>
          <w:trHeight w:val="227"/>
        </w:trPr>
        <w:tc>
          <w:tcPr>
            <w:tcW w:w="1156" w:type="dxa"/>
            <w:vAlign w:val="center"/>
          </w:tcPr>
          <w:p w14:paraId="6CD4E1A6" w14:textId="3DA9748C" w:rsidR="0095566C" w:rsidRPr="006E7167" w:rsidRDefault="00AA1F57" w:rsidP="004306AE">
            <w:pPr>
              <w:jc w:val="left"/>
              <w:rPr>
                <w:rFonts w:eastAsiaTheme="minorEastAsia"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contrainte</m:t>
                    </m:r>
                  </m:sub>
                </m:sSub>
              </m:oMath>
            </m:oMathPara>
          </w:p>
        </w:tc>
        <w:tc>
          <w:tcPr>
            <w:tcW w:w="7914" w:type="dxa"/>
            <w:vAlign w:val="center"/>
          </w:tcPr>
          <w:p w14:paraId="3DE186F4" w14:textId="4617FBB5" w:rsidR="0095566C" w:rsidRPr="006E7167" w:rsidRDefault="62EBA868" w:rsidP="1C83774F">
            <w:pPr>
              <w:jc w:val="left"/>
              <w:rPr>
                <w:rFonts w:eastAsiaTheme="minorEastAsia" w:cs="Calibri"/>
                <w:sz w:val="20"/>
                <w:szCs w:val="20"/>
              </w:rPr>
            </w:pPr>
            <w:r w:rsidRPr="006E7167">
              <w:rPr>
                <w:rFonts w:eastAsiaTheme="minorEastAsia" w:cs="Calibri"/>
                <w:sz w:val="20"/>
                <w:szCs w:val="20"/>
              </w:rPr>
              <w:t>Coefficient de contrainte [0 ;</w:t>
            </w:r>
            <w:r w:rsidR="7E632617" w:rsidRPr="006E7167">
              <w:rPr>
                <w:rFonts w:eastAsiaTheme="minorEastAsia" w:cs="Calibri"/>
                <w:sz w:val="20"/>
                <w:szCs w:val="20"/>
              </w:rPr>
              <w:t xml:space="preserve"> </w:t>
            </w:r>
            <w:r w:rsidRPr="006E7167">
              <w:rPr>
                <w:rFonts w:eastAsiaTheme="minorEastAsia" w:cs="Calibri"/>
                <w:sz w:val="20"/>
                <w:szCs w:val="20"/>
              </w:rPr>
              <w:t>1].</w:t>
            </w:r>
          </w:p>
        </w:tc>
      </w:tr>
    </w:tbl>
    <w:p w14:paraId="02931D17" w14:textId="77777777" w:rsidR="0095566C" w:rsidRDefault="0095566C" w:rsidP="0065543A"/>
    <w:p w14:paraId="664DD7FB" w14:textId="5F9DC2C4" w:rsidR="0065543A" w:rsidRDefault="00CF3B99">
      <w:pPr>
        <w:pStyle w:val="Titre3"/>
        <w:numPr>
          <w:ilvl w:val="2"/>
          <w:numId w:val="12"/>
        </w:numPr>
      </w:pPr>
      <w:bookmarkStart w:id="76" w:name="_Toc241478091"/>
      <w:r>
        <w:t>C</w:t>
      </w:r>
      <w:r w:rsidR="005325CF">
        <w:t xml:space="preserve">ompléments </w:t>
      </w:r>
      <w:r>
        <w:t>indicatifs</w:t>
      </w:r>
      <w:bookmarkEnd w:id="76"/>
    </w:p>
    <w:p w14:paraId="680C99EF" w14:textId="3505BBC3" w:rsidR="00861DAE" w:rsidRDefault="005C0874" w:rsidP="00394C59">
      <w:r>
        <w:t xml:space="preserve">Les </w:t>
      </w:r>
      <w:r w:rsidR="089C5960">
        <w:t>compléments indicatifs</w:t>
      </w:r>
      <w:r>
        <w:rPr>
          <w:b/>
          <w:bCs/>
        </w:rPr>
        <w:t xml:space="preserve"> </w:t>
      </w:r>
      <w:r>
        <w:t>désignent</w:t>
      </w:r>
      <w:r w:rsidR="00783372">
        <w:t xml:space="preserve"> des </w:t>
      </w:r>
      <w:r w:rsidR="0085344D">
        <w:t>éléments</w:t>
      </w:r>
      <w:r w:rsidR="00783372">
        <w:t xml:space="preserve"> qui, bien </w:t>
      </w:r>
      <w:r w:rsidR="0085344D">
        <w:t>qu’exerçant</w:t>
      </w:r>
      <w:r w:rsidR="00783372">
        <w:t xml:space="preserve"> une influence sur </w:t>
      </w:r>
      <w:r w:rsidR="00C54F08">
        <w:t xml:space="preserve">le </w:t>
      </w:r>
      <w:r w:rsidR="00613713">
        <w:t>service écosystémique</w:t>
      </w:r>
      <w:r w:rsidR="00C54F08">
        <w:t xml:space="preserve">, ne se voient pas attribuer un score. </w:t>
      </w:r>
      <w:r w:rsidR="0085344D">
        <w:t>Il s’agi</w:t>
      </w:r>
      <w:r w:rsidR="00471009">
        <w:t>t principalement d</w:t>
      </w:r>
      <w:r w:rsidR="0085344D">
        <w:t>e paramètre</w:t>
      </w:r>
      <w:r w:rsidR="00086651">
        <w:t xml:space="preserve">s supplémentaires qui peuvent </w:t>
      </w:r>
      <w:r w:rsidR="00C84AEB">
        <w:t xml:space="preserve">indéniablement </w:t>
      </w:r>
      <w:r w:rsidR="00086651">
        <w:t xml:space="preserve">impacter le </w:t>
      </w:r>
      <w:r w:rsidR="00613713">
        <w:t>service</w:t>
      </w:r>
      <w:r w:rsidR="00086651">
        <w:t xml:space="preserve">, mais dont l’effet </w:t>
      </w:r>
      <w:r w:rsidR="00861DAE">
        <w:t xml:space="preserve">sur le </w:t>
      </w:r>
      <w:r w:rsidR="00613713">
        <w:t xml:space="preserve">service </w:t>
      </w:r>
      <w:r w:rsidR="00086651">
        <w:t>n’est pas précisément identifiable</w:t>
      </w:r>
      <w:r w:rsidR="00861DAE">
        <w:t xml:space="preserve"> </w:t>
      </w:r>
      <w:r w:rsidR="009960D6">
        <w:t>ou qua</w:t>
      </w:r>
      <w:r w:rsidR="00B6443E">
        <w:t>n</w:t>
      </w:r>
      <w:r w:rsidR="009960D6">
        <w:t>tifiable</w:t>
      </w:r>
      <w:r w:rsidR="00861DAE">
        <w:t xml:space="preserve"> (par ex., la prise en compte des valeurs de risque VS</w:t>
      </w:r>
      <w:r w:rsidR="00861DAE" w:rsidRPr="00471009">
        <w:rPr>
          <w:vertAlign w:val="subscript"/>
        </w:rPr>
        <w:t>E</w:t>
      </w:r>
      <w:r w:rsidR="00861DAE">
        <w:t xml:space="preserve"> dans le </w:t>
      </w:r>
      <w:r w:rsidR="00613713">
        <w:t>service</w:t>
      </w:r>
      <w:r w:rsidR="00861DAE">
        <w:t xml:space="preserve"> </w:t>
      </w:r>
      <w:r w:rsidR="00861DAE" w:rsidRPr="00471009">
        <w:rPr>
          <w:i/>
          <w:iCs/>
        </w:rPr>
        <w:t>Habitat pour la biodiversité du sol</w:t>
      </w:r>
      <w:r w:rsidR="00F60634">
        <w:t xml:space="preserve">, voir </w:t>
      </w:r>
      <w:r w:rsidR="00F60634" w:rsidRPr="00A6693A">
        <w:t xml:space="preserve">partie </w:t>
      </w:r>
      <w:r w:rsidR="00F60634" w:rsidRPr="00A6693A">
        <w:fldChar w:fldCharType="begin"/>
      </w:r>
      <w:r w:rsidR="00F60634" w:rsidRPr="00A6693A">
        <w:instrText xml:space="preserve"> REF _Ref232253681 \r \h </w:instrText>
      </w:r>
      <w:r w:rsidR="005019E0" w:rsidRPr="00A6693A">
        <w:instrText xml:space="preserve"> \* MERGEFORMAT </w:instrText>
      </w:r>
      <w:r w:rsidR="00F60634" w:rsidRPr="00A6693A">
        <w:fldChar w:fldCharType="separate"/>
      </w:r>
      <w:r w:rsidR="00724784">
        <w:t>4.8</w:t>
      </w:r>
      <w:r w:rsidR="00F60634" w:rsidRPr="00A6693A">
        <w:fldChar w:fldCharType="end"/>
      </w:r>
      <w:r w:rsidR="00471009">
        <w:t xml:space="preserve">, ou </w:t>
      </w:r>
      <w:r w:rsidR="005779C8">
        <w:t>une estimation de l’érodibilité du sol</w:t>
      </w:r>
      <w:r w:rsidR="00394C59">
        <w:t xml:space="preserve">, </w:t>
      </w:r>
      <w:r w:rsidR="00904E09">
        <w:t xml:space="preserve">voir </w:t>
      </w:r>
      <w:r w:rsidR="00904E09" w:rsidRPr="001B6CE3">
        <w:t>partie</w:t>
      </w:r>
      <w:r w:rsidR="001B6CE3">
        <w:t xml:space="preserve"> </w:t>
      </w:r>
      <w:r w:rsidR="001B6CE3">
        <w:fldChar w:fldCharType="begin"/>
      </w:r>
      <w:r w:rsidR="001B6CE3">
        <w:instrText xml:space="preserve"> REF _Ref233112327 \r \h </w:instrText>
      </w:r>
      <w:r w:rsidR="001B6CE3">
        <w:fldChar w:fldCharType="separate"/>
      </w:r>
      <w:r w:rsidR="00724784">
        <w:t>4.3</w:t>
      </w:r>
      <w:r w:rsidR="001B6CE3">
        <w:fldChar w:fldCharType="end"/>
      </w:r>
      <w:r w:rsidR="00904E09" w:rsidRPr="001B6CE3">
        <w:t>)</w:t>
      </w:r>
      <w:r w:rsidR="005232AF" w:rsidRPr="001B6CE3">
        <w:t>.</w:t>
      </w:r>
    </w:p>
    <w:p w14:paraId="1BF1904D" w14:textId="4F0C11B0" w:rsidR="004E1DEF" w:rsidRPr="004E1DEF" w:rsidRDefault="00C54F08" w:rsidP="004E1DEF">
      <w:r>
        <w:t xml:space="preserve">Ces </w:t>
      </w:r>
      <w:r w:rsidR="049F2B14">
        <w:t xml:space="preserve">compléments d’information </w:t>
      </w:r>
      <w:r>
        <w:t>sont donc mentionnés dans le diagnostic à titre indicatif</w:t>
      </w:r>
      <w:r w:rsidR="00345C53">
        <w:t>, en parallèle du score de SE</w:t>
      </w:r>
      <w:r>
        <w:t>.</w:t>
      </w:r>
      <w:r w:rsidR="00CB3A9A">
        <w:t xml:space="preserve"> </w:t>
      </w:r>
      <w:r w:rsidR="72ADFEB9">
        <w:t>C</w:t>
      </w:r>
      <w:r w:rsidR="46B3D22C">
        <w:t>es</w:t>
      </w:r>
      <w:r w:rsidR="00CB3A9A">
        <w:t xml:space="preserve"> </w:t>
      </w:r>
      <w:r w:rsidR="53683CF7">
        <w:t xml:space="preserve">indications </w:t>
      </w:r>
      <w:r w:rsidR="00693E9D">
        <w:t xml:space="preserve">sont </w:t>
      </w:r>
      <w:r w:rsidR="4C3A03F2">
        <w:t>déduit</w:t>
      </w:r>
      <w:r w:rsidR="416E431E">
        <w:t>e</w:t>
      </w:r>
      <w:r w:rsidR="4C3A03F2">
        <w:t>s de</w:t>
      </w:r>
      <w:r w:rsidR="72ADFEB9">
        <w:t>s</w:t>
      </w:r>
      <w:r w:rsidR="00693E9D">
        <w:t xml:space="preserve"> paramètres mesurés par défaut (package IQSW-pro).</w:t>
      </w:r>
    </w:p>
    <w:p w14:paraId="02140F71" w14:textId="540364FA" w:rsidR="00E13163" w:rsidRDefault="0026760A">
      <w:pPr>
        <w:pStyle w:val="Titre2"/>
        <w:numPr>
          <w:ilvl w:val="1"/>
          <w:numId w:val="12"/>
        </w:numPr>
      </w:pPr>
      <w:bookmarkStart w:id="77" w:name="_Ref241229554"/>
      <w:bookmarkStart w:id="78" w:name="_Toc241478092"/>
      <w:r>
        <w:t>Liste</w:t>
      </w:r>
      <w:r w:rsidR="00147AC4">
        <w:t xml:space="preserve"> des s</w:t>
      </w:r>
      <w:r w:rsidR="00E13163">
        <w:t>ervices écosystémiques évalués</w:t>
      </w:r>
      <w:bookmarkEnd w:id="77"/>
      <w:bookmarkEnd w:id="78"/>
    </w:p>
    <w:p w14:paraId="3423DF4C" w14:textId="71AFEF52" w:rsidR="005232AF" w:rsidRDefault="000159A6" w:rsidP="00E4673F">
      <w:r>
        <w:t xml:space="preserve">Le </w:t>
      </w:r>
      <w:r>
        <w:fldChar w:fldCharType="begin"/>
      </w:r>
      <w:r>
        <w:instrText xml:space="preserve"> REF _Ref233122827 \h </w:instrText>
      </w:r>
      <w:r>
        <w:fldChar w:fldCharType="separate"/>
      </w:r>
      <w:r w:rsidR="009A6CD4" w:rsidRPr="00A51885">
        <w:t xml:space="preserve">Tableau </w:t>
      </w:r>
      <w:r w:rsidR="009A6CD4">
        <w:rPr>
          <w:noProof/>
        </w:rPr>
        <w:t>2</w:t>
      </w:r>
      <w:r>
        <w:fldChar w:fldCharType="end"/>
      </w:r>
      <w:r w:rsidR="00E4673F">
        <w:t xml:space="preserve"> </w:t>
      </w:r>
      <w:r w:rsidR="00602ECE">
        <w:t>détaille les divers services écosystémiques évalués par l’IQSW-pro</w:t>
      </w:r>
      <w:r w:rsidR="00160505">
        <w:t>. Cette liste reprend les services développés dans la</w:t>
      </w:r>
      <w:r w:rsidR="009D5C22">
        <w:t xml:space="preserve"> stratégie européenne pour la </w:t>
      </w:r>
      <w:r w:rsidR="00BC2902">
        <w:t>protection</w:t>
      </w:r>
      <w:r w:rsidR="009D5C22">
        <w:t xml:space="preserve"> des sols</w:t>
      </w:r>
      <w:r w:rsidR="00160505">
        <w:t xml:space="preserve"> </w:t>
      </w:r>
      <w:r w:rsidR="00251821">
        <w:fldChar w:fldCharType="begin"/>
      </w:r>
      <w:r w:rsidR="007F616D">
        <w:instrText xml:space="preserve"> ADDIN ZOTERO_ITEM CSL_CITATION {"citationID":"QUi8BHsZ","properties":{"formattedCitation":"(UE COM/2021/699, 2021)","plainCitation":"(UE COM/2021/699, 2021)","noteIndex":0},"citationItems":[{"id":548,"uris":["http://zotero.org/groups/5684833/items/TYNIXDBV"],"itemData":{"id":548,"type":"document","citation-key":"COMMUNICATION DE LA COMMISSION AU PARLEMENT EUROPÉEN, AU CONSEIL, AU COMITÉ ÉCONOMIQUE ET SOCIAL EUROPÉEN ET AU COMITÉ DES RÉGIONS","language":"fr","note":"Récolter les fruits de sols en bonne santé pour les êtres humains, l’alimentation, la nature et le climat","title":"Stratégie de l’UE pour la protection des sols à l’horizon 2030","URL":"https://eur-lex.europa.eu/legal-content/FR/TXT/?uri=CELEX%3A52021DC0699&amp;lang1=FR&amp;from=EN&amp;lang3=choose&amp;lang2=choose&amp;_csrf=a78b6a5f-f9e9-44c3-85cc-836ba47b3c12","author":[{"family":"UE COM/2021/699","given":""}],"accessed":{"date-parts":[["2026",5,21]]},"issued":{"date-parts":[["2021"]]}}}],"schema":"https://github.com/citation-style-language/schema/raw/master/csl-citation.json"} </w:instrText>
      </w:r>
      <w:r w:rsidR="00251821">
        <w:fldChar w:fldCharType="separate"/>
      </w:r>
      <w:r w:rsidR="007F616D" w:rsidRPr="007F616D">
        <w:rPr>
          <w:rFonts w:cs="Calibri"/>
        </w:rPr>
        <w:t>(UE COM/2021/699, 2021)</w:t>
      </w:r>
      <w:r w:rsidR="00251821">
        <w:fldChar w:fldCharType="end"/>
      </w:r>
      <w:r w:rsidR="00BE76DA">
        <w:t xml:space="preserve"> et repris dans la</w:t>
      </w:r>
      <w:r w:rsidR="00647087">
        <w:t xml:space="preserve"> directive </w:t>
      </w:r>
      <w:r w:rsidR="00647087" w:rsidRPr="00647087">
        <w:t>sur la surveillance des sols</w:t>
      </w:r>
      <w:r w:rsidR="00BE76DA">
        <w:t xml:space="preserve"> </w:t>
      </w:r>
      <w:r w:rsidR="00BE76DA">
        <w:fldChar w:fldCharType="begin"/>
      </w:r>
      <w:r w:rsidR="00377A1A">
        <w:instrText xml:space="preserve"> ADDIN ZOTERO_ITEM CSL_CITATION {"citationID":"jgUg7eDA","properties":{"formattedCitation":"(UE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BE76DA">
        <w:fldChar w:fldCharType="separate"/>
      </w:r>
      <w:r w:rsidR="00377A1A" w:rsidRPr="00377A1A">
        <w:rPr>
          <w:rFonts w:cs="Calibri"/>
        </w:rPr>
        <w:t>(UE 2025/2360, 2025)</w:t>
      </w:r>
      <w:r w:rsidR="00BE76DA">
        <w:fldChar w:fldCharType="end"/>
      </w:r>
      <w:r>
        <w:t>.</w:t>
      </w:r>
    </w:p>
    <w:p w14:paraId="6136645B" w14:textId="77777777" w:rsidR="000159A6" w:rsidRDefault="000159A6" w:rsidP="00E4673F"/>
    <w:p w14:paraId="03875313" w14:textId="77777777" w:rsidR="006E7167" w:rsidRDefault="006E7167" w:rsidP="00E4673F"/>
    <w:p w14:paraId="4201D0D9" w14:textId="73D787FF" w:rsidR="00147E39" w:rsidRPr="00A51885" w:rsidRDefault="00147E39" w:rsidP="00147E39">
      <w:pPr>
        <w:pStyle w:val="Lgende"/>
        <w:keepNext/>
        <w:jc w:val="center"/>
        <w:rPr>
          <w:i w:val="0"/>
          <w:iCs w:val="0"/>
        </w:rPr>
      </w:pPr>
      <w:bookmarkStart w:id="79" w:name="_Ref233122827"/>
      <w:bookmarkStart w:id="80" w:name="_Toc233122653"/>
      <w:r w:rsidRPr="00A51885">
        <w:rPr>
          <w:i w:val="0"/>
          <w:iCs w:val="0"/>
        </w:rPr>
        <w:lastRenderedPageBreak/>
        <w:t xml:space="preserve">Tableau </w:t>
      </w:r>
      <w:r w:rsidRPr="00A51885">
        <w:rPr>
          <w:i w:val="0"/>
          <w:iCs w:val="0"/>
        </w:rPr>
        <w:fldChar w:fldCharType="begin"/>
      </w:r>
      <w:r w:rsidRPr="00A51885">
        <w:rPr>
          <w:i w:val="0"/>
          <w:iCs w:val="0"/>
        </w:rPr>
        <w:instrText xml:space="preserve"> SEQ Tableau \* ARABIC </w:instrText>
      </w:r>
      <w:r w:rsidRPr="00A51885">
        <w:rPr>
          <w:i w:val="0"/>
          <w:iCs w:val="0"/>
        </w:rPr>
        <w:fldChar w:fldCharType="separate"/>
      </w:r>
      <w:r w:rsidR="00AB2F27">
        <w:rPr>
          <w:i w:val="0"/>
          <w:iCs w:val="0"/>
          <w:noProof/>
        </w:rPr>
        <w:t>2</w:t>
      </w:r>
      <w:r w:rsidRPr="00A51885">
        <w:rPr>
          <w:i w:val="0"/>
          <w:iCs w:val="0"/>
        </w:rPr>
        <w:fldChar w:fldCharType="end"/>
      </w:r>
      <w:bookmarkEnd w:id="79"/>
      <w:r w:rsidRPr="00A51885">
        <w:rPr>
          <w:i w:val="0"/>
          <w:iCs w:val="0"/>
        </w:rPr>
        <w:t xml:space="preserve"> : Liste des services écosystémiques évalués dans l'IQSW-pro et correspondance avec les </w:t>
      </w:r>
      <w:r w:rsidR="00F02C7A">
        <w:rPr>
          <w:i w:val="0"/>
          <w:iCs w:val="0"/>
        </w:rPr>
        <w:t>services écosystémiques</w:t>
      </w:r>
      <w:r w:rsidRPr="00A51885">
        <w:rPr>
          <w:i w:val="0"/>
          <w:iCs w:val="0"/>
        </w:rPr>
        <w:t xml:space="preserve"> listés dans la directive UE </w:t>
      </w:r>
      <w:r w:rsidR="00A51885" w:rsidRPr="00A51885">
        <w:rPr>
          <w:i w:val="0"/>
          <w:iCs w:val="0"/>
        </w:rPr>
        <w:fldChar w:fldCharType="begin"/>
      </w:r>
      <w:r w:rsidR="00377A1A">
        <w:rPr>
          <w:i w:val="0"/>
          <w:iCs w:val="0"/>
        </w:rPr>
        <w:instrText xml:space="preserve"> ADDIN ZOTERO_ITEM CSL_CITATION {"citationID":"siUWrd6r","properties":{"unsorted":false,"formattedCitation":"(2025)","plainCitation":"(2025)","noteIndex":0},"citationItems":[{"id":540,"uris":["http://zotero.org/groups/5684833/items/YXXNAEQQ"],"itemData":{"id":540,"type":"document","note":"OJ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2025/2360","given":""}],"accessed":{"date-parts":[["2026",5,14]]},"issued":{"date-parts":[["2025"]]}},"suppress-author":true}],"schema":"https://github.com/citation-style-language/schema/raw/master/csl-citation.json"} </w:instrText>
      </w:r>
      <w:r w:rsidR="00A51885" w:rsidRPr="00A51885">
        <w:rPr>
          <w:i w:val="0"/>
          <w:iCs w:val="0"/>
        </w:rPr>
        <w:fldChar w:fldCharType="separate"/>
      </w:r>
      <w:r w:rsidR="00A51885" w:rsidRPr="00A51885">
        <w:rPr>
          <w:rFonts w:cs="Calibri"/>
          <w:i w:val="0"/>
          <w:iCs w:val="0"/>
        </w:rPr>
        <w:t>(2025)</w:t>
      </w:r>
      <w:bookmarkEnd w:id="80"/>
      <w:r w:rsidR="00A51885" w:rsidRPr="00A51885">
        <w:rPr>
          <w:i w:val="0"/>
          <w:iCs w:val="0"/>
        </w:rPr>
        <w:fldChar w:fldCharType="end"/>
      </w:r>
    </w:p>
    <w:tbl>
      <w:tblPr>
        <w:tblStyle w:val="Grilledutableau"/>
        <w:tblW w:w="9493" w:type="dxa"/>
        <w:tblLook w:val="04A0" w:firstRow="1" w:lastRow="0" w:firstColumn="1" w:lastColumn="0" w:noHBand="0" w:noVBand="1"/>
      </w:tblPr>
      <w:tblGrid>
        <w:gridCol w:w="4248"/>
        <w:gridCol w:w="5245"/>
      </w:tblGrid>
      <w:tr w:rsidR="009227B9" w:rsidRPr="0018089A" w14:paraId="5845B783" w14:textId="77777777" w:rsidTr="008770D5">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68EB9CAD" w14:textId="454E40AA" w:rsidR="009227B9" w:rsidRPr="0018089A" w:rsidRDefault="00F02C7A" w:rsidP="009408E7">
            <w:pPr>
              <w:jc w:val="center"/>
              <w:rPr>
                <w:b/>
                <w:bCs/>
                <w:sz w:val="20"/>
                <w:szCs w:val="20"/>
              </w:rPr>
            </w:pPr>
            <w:r>
              <w:rPr>
                <w:b/>
                <w:bCs/>
                <w:sz w:val="20"/>
                <w:szCs w:val="20"/>
              </w:rPr>
              <w:t>Services écosystémiques</w:t>
            </w:r>
            <w:r w:rsidR="00586C10" w:rsidRPr="0018089A">
              <w:rPr>
                <w:b/>
                <w:bCs/>
                <w:sz w:val="20"/>
                <w:szCs w:val="20"/>
              </w:rPr>
              <w:t xml:space="preserve"> listés dans la stratégie </w:t>
            </w:r>
            <w:r w:rsidR="009227B9" w:rsidRPr="0018089A">
              <w:rPr>
                <w:b/>
                <w:bCs/>
                <w:sz w:val="20"/>
                <w:szCs w:val="20"/>
              </w:rPr>
              <w:t>UE</w:t>
            </w:r>
            <w:r w:rsidR="00586C10" w:rsidRPr="0018089A">
              <w:rPr>
                <w:b/>
                <w:bCs/>
                <w:sz w:val="20"/>
                <w:szCs w:val="20"/>
              </w:rPr>
              <w:t xml:space="preserve"> (2021)</w:t>
            </w:r>
          </w:p>
        </w:tc>
        <w:tc>
          <w:tcPr>
            <w:tcW w:w="52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7CB9B6EA" w14:textId="2E2C1094" w:rsidR="009227B9" w:rsidRPr="0018089A" w:rsidRDefault="00F02C7A" w:rsidP="009408E7">
            <w:pPr>
              <w:jc w:val="center"/>
              <w:rPr>
                <w:b/>
                <w:bCs/>
                <w:sz w:val="20"/>
                <w:szCs w:val="20"/>
              </w:rPr>
            </w:pPr>
            <w:r>
              <w:rPr>
                <w:b/>
                <w:bCs/>
                <w:sz w:val="20"/>
                <w:szCs w:val="20"/>
              </w:rPr>
              <w:t>Services écosystémiques</w:t>
            </w:r>
            <w:r w:rsidRPr="0018089A">
              <w:rPr>
                <w:b/>
                <w:bCs/>
                <w:sz w:val="20"/>
                <w:szCs w:val="20"/>
              </w:rPr>
              <w:t xml:space="preserve"> </w:t>
            </w:r>
            <w:r w:rsidR="008770D5">
              <w:rPr>
                <w:b/>
                <w:bCs/>
                <w:sz w:val="20"/>
                <w:szCs w:val="20"/>
              </w:rPr>
              <w:t xml:space="preserve">ou fonctions </w:t>
            </w:r>
            <w:r w:rsidR="00586C10" w:rsidRPr="0018089A">
              <w:rPr>
                <w:b/>
                <w:bCs/>
                <w:sz w:val="20"/>
                <w:szCs w:val="20"/>
              </w:rPr>
              <w:t>correspondants évalués dans l’</w:t>
            </w:r>
            <w:r w:rsidR="009227B9" w:rsidRPr="0018089A">
              <w:rPr>
                <w:b/>
                <w:bCs/>
                <w:sz w:val="20"/>
                <w:szCs w:val="20"/>
              </w:rPr>
              <w:t>IQSW-pro</w:t>
            </w:r>
          </w:p>
        </w:tc>
      </w:tr>
      <w:tr w:rsidR="009227B9" w:rsidRPr="0018089A" w14:paraId="6E317CB0" w14:textId="77777777" w:rsidTr="008770D5">
        <w:tc>
          <w:tcPr>
            <w:tcW w:w="4248" w:type="dxa"/>
            <w:tcBorders>
              <w:top w:val="single" w:sz="4" w:space="0" w:color="FFFFFF" w:themeColor="background1"/>
            </w:tcBorders>
          </w:tcPr>
          <w:p w14:paraId="60431E77" w14:textId="7553456F" w:rsidR="009227B9" w:rsidRPr="0018089A" w:rsidRDefault="009227B9" w:rsidP="00F60528">
            <w:pPr>
              <w:rPr>
                <w:sz w:val="20"/>
                <w:szCs w:val="20"/>
              </w:rPr>
            </w:pPr>
            <w:r w:rsidRPr="0018089A">
              <w:rPr>
                <w:sz w:val="20"/>
                <w:szCs w:val="20"/>
              </w:rPr>
              <w:t>Assurer la production d’aliments et de biomasse, y compris dans les secteurs de l’agriculture et de la foresterie</w:t>
            </w:r>
          </w:p>
        </w:tc>
        <w:tc>
          <w:tcPr>
            <w:tcW w:w="5245" w:type="dxa"/>
            <w:tcBorders>
              <w:top w:val="single" w:sz="4" w:space="0" w:color="FFFFFF" w:themeColor="background1"/>
            </w:tcBorders>
          </w:tcPr>
          <w:p w14:paraId="50E73287" w14:textId="55ABB496" w:rsidR="009227B9" w:rsidRPr="0018089A" w:rsidRDefault="00886F6E" w:rsidP="00E4673F">
            <w:pPr>
              <w:rPr>
                <w:sz w:val="20"/>
                <w:szCs w:val="20"/>
              </w:rPr>
            </w:pPr>
            <w:r w:rsidRPr="0018089A">
              <w:rPr>
                <w:sz w:val="20"/>
                <w:szCs w:val="20"/>
              </w:rPr>
              <w:t xml:space="preserve">Production </w:t>
            </w:r>
            <w:r w:rsidR="00DF42B9" w:rsidRPr="0018089A">
              <w:rPr>
                <w:sz w:val="20"/>
                <w:szCs w:val="20"/>
              </w:rPr>
              <w:t>de biomasse</w:t>
            </w:r>
            <w:r w:rsidR="00586C10" w:rsidRPr="0018089A">
              <w:rPr>
                <w:sz w:val="20"/>
                <w:szCs w:val="20"/>
              </w:rPr>
              <w:t xml:space="preserve"> </w:t>
            </w:r>
            <w:r w:rsidR="1F74615F" w:rsidRPr="587F05B0">
              <w:rPr>
                <w:sz w:val="20"/>
                <w:szCs w:val="20"/>
              </w:rPr>
              <w:t>(alimentaire ou non)</w:t>
            </w:r>
            <w:r w:rsidR="2A6D7B07" w:rsidRPr="587F05B0">
              <w:rPr>
                <w:sz w:val="20"/>
                <w:szCs w:val="20"/>
              </w:rPr>
              <w:t xml:space="preserve"> </w:t>
            </w:r>
            <w:r w:rsidR="092936B7" w:rsidRPr="587F05B0">
              <w:rPr>
                <w:sz w:val="20"/>
                <w:szCs w:val="20"/>
              </w:rPr>
              <w:t>:</w:t>
            </w:r>
          </w:p>
          <w:p w14:paraId="4BAFF262" w14:textId="57BE2BB7" w:rsidR="00886F6E" w:rsidRPr="0018089A" w:rsidRDefault="00886F6E">
            <w:pPr>
              <w:pStyle w:val="Paragraphedeliste"/>
              <w:numPr>
                <w:ilvl w:val="0"/>
                <w:numId w:val="14"/>
              </w:numPr>
              <w:rPr>
                <w:sz w:val="20"/>
                <w:szCs w:val="20"/>
              </w:rPr>
            </w:pPr>
            <w:r w:rsidRPr="0018089A">
              <w:rPr>
                <w:sz w:val="20"/>
                <w:szCs w:val="20"/>
              </w:rPr>
              <w:t>Culture</w:t>
            </w:r>
            <w:r w:rsidR="004F2815">
              <w:rPr>
                <w:sz w:val="20"/>
                <w:szCs w:val="20"/>
              </w:rPr>
              <w:t>s</w:t>
            </w:r>
            <w:r w:rsidR="00671608">
              <w:rPr>
                <w:rStyle w:val="Appelnotedebasdep"/>
                <w:sz w:val="20"/>
                <w:szCs w:val="20"/>
              </w:rPr>
              <w:footnoteReference w:id="7"/>
            </w:r>
          </w:p>
          <w:p w14:paraId="02FC4CAD" w14:textId="4BE27D42" w:rsidR="00886F6E" w:rsidRPr="0018089A" w:rsidRDefault="00886F6E">
            <w:pPr>
              <w:pStyle w:val="Paragraphedeliste"/>
              <w:numPr>
                <w:ilvl w:val="0"/>
                <w:numId w:val="14"/>
              </w:numPr>
              <w:rPr>
                <w:sz w:val="20"/>
                <w:szCs w:val="20"/>
              </w:rPr>
            </w:pPr>
            <w:r w:rsidRPr="0018089A">
              <w:rPr>
                <w:sz w:val="20"/>
                <w:szCs w:val="20"/>
              </w:rPr>
              <w:t>Prairie</w:t>
            </w:r>
            <w:r w:rsidR="004F2815">
              <w:rPr>
                <w:sz w:val="20"/>
                <w:szCs w:val="20"/>
              </w:rPr>
              <w:t>s</w:t>
            </w:r>
          </w:p>
          <w:p w14:paraId="09F4AD46" w14:textId="4AEC3128" w:rsidR="00886F6E" w:rsidRPr="0018089A" w:rsidRDefault="00B25943">
            <w:pPr>
              <w:pStyle w:val="Paragraphedeliste"/>
              <w:numPr>
                <w:ilvl w:val="0"/>
                <w:numId w:val="14"/>
              </w:numPr>
              <w:rPr>
                <w:sz w:val="20"/>
                <w:szCs w:val="20"/>
              </w:rPr>
            </w:pPr>
            <w:r w:rsidRPr="0018089A">
              <w:rPr>
                <w:sz w:val="20"/>
                <w:szCs w:val="20"/>
              </w:rPr>
              <w:t>Forêt</w:t>
            </w:r>
            <w:r w:rsidR="004F2815">
              <w:rPr>
                <w:sz w:val="20"/>
                <w:szCs w:val="20"/>
              </w:rPr>
              <w:t>s</w:t>
            </w:r>
          </w:p>
        </w:tc>
      </w:tr>
      <w:tr w:rsidR="009227B9" w:rsidRPr="0018089A" w14:paraId="61A5F2A7" w14:textId="77777777" w:rsidTr="008770D5">
        <w:tc>
          <w:tcPr>
            <w:tcW w:w="4248" w:type="dxa"/>
          </w:tcPr>
          <w:p w14:paraId="7B896671" w14:textId="1C6239C5" w:rsidR="009227B9" w:rsidRPr="0018089A" w:rsidRDefault="009227B9" w:rsidP="00E4673F">
            <w:pPr>
              <w:rPr>
                <w:sz w:val="20"/>
                <w:szCs w:val="20"/>
              </w:rPr>
            </w:pPr>
            <w:r w:rsidRPr="0018089A">
              <w:rPr>
                <w:sz w:val="20"/>
                <w:szCs w:val="20"/>
              </w:rPr>
              <w:t>Protéger les nappes aquifères en absorbant, en stockant et en filtrant l’eau, et en transformant les éléments nutritifs et autres substances</w:t>
            </w:r>
          </w:p>
        </w:tc>
        <w:tc>
          <w:tcPr>
            <w:tcW w:w="5245" w:type="dxa"/>
          </w:tcPr>
          <w:p w14:paraId="0B857B68" w14:textId="77777777" w:rsidR="009227B9" w:rsidRPr="0018089A" w:rsidRDefault="00634261">
            <w:pPr>
              <w:pStyle w:val="Paragraphedeliste"/>
              <w:numPr>
                <w:ilvl w:val="0"/>
                <w:numId w:val="10"/>
              </w:numPr>
              <w:rPr>
                <w:sz w:val="20"/>
                <w:szCs w:val="20"/>
              </w:rPr>
            </w:pPr>
            <w:r w:rsidRPr="0018089A">
              <w:rPr>
                <w:sz w:val="20"/>
                <w:szCs w:val="20"/>
              </w:rPr>
              <w:t>Infiltration</w:t>
            </w:r>
          </w:p>
          <w:p w14:paraId="61D491F7" w14:textId="2BB6CDFE" w:rsidR="00634261" w:rsidRPr="0018089A" w:rsidRDefault="7CABB625">
            <w:pPr>
              <w:pStyle w:val="Paragraphedeliste"/>
              <w:numPr>
                <w:ilvl w:val="0"/>
                <w:numId w:val="10"/>
              </w:numPr>
              <w:rPr>
                <w:sz w:val="20"/>
                <w:szCs w:val="20"/>
              </w:rPr>
            </w:pPr>
            <w:r w:rsidRPr="587F05B0">
              <w:rPr>
                <w:sz w:val="20"/>
                <w:szCs w:val="20"/>
              </w:rPr>
              <w:t>F</w:t>
            </w:r>
            <w:r w:rsidR="0F8495DB" w:rsidRPr="587F05B0">
              <w:rPr>
                <w:sz w:val="20"/>
                <w:szCs w:val="20"/>
              </w:rPr>
              <w:t>ourniture</w:t>
            </w:r>
            <w:r w:rsidR="00634261" w:rsidRPr="0018089A">
              <w:rPr>
                <w:sz w:val="20"/>
                <w:szCs w:val="20"/>
              </w:rPr>
              <w:t xml:space="preserve"> d’eau</w:t>
            </w:r>
            <w:r w:rsidRPr="587F05B0">
              <w:rPr>
                <w:sz w:val="20"/>
                <w:szCs w:val="20"/>
              </w:rPr>
              <w:t xml:space="preserve"> (fonction</w:t>
            </w:r>
            <w:r w:rsidR="00634261" w:rsidRPr="0018089A">
              <w:rPr>
                <w:sz w:val="20"/>
                <w:szCs w:val="20"/>
              </w:rPr>
              <w:t>)</w:t>
            </w:r>
          </w:p>
          <w:p w14:paraId="612BFCA7" w14:textId="00664306" w:rsidR="00634261" w:rsidRPr="0018089A" w:rsidRDefault="00886F6E">
            <w:pPr>
              <w:pStyle w:val="Paragraphedeliste"/>
              <w:numPr>
                <w:ilvl w:val="0"/>
                <w:numId w:val="10"/>
              </w:numPr>
              <w:rPr>
                <w:sz w:val="20"/>
                <w:szCs w:val="20"/>
              </w:rPr>
            </w:pPr>
            <w:r w:rsidRPr="0018089A">
              <w:rPr>
                <w:sz w:val="20"/>
                <w:szCs w:val="20"/>
              </w:rPr>
              <w:t>Protection des nappes</w:t>
            </w:r>
          </w:p>
        </w:tc>
      </w:tr>
      <w:tr w:rsidR="009227B9" w:rsidRPr="0018089A" w14:paraId="3C0175AC" w14:textId="77777777" w:rsidTr="008770D5">
        <w:tc>
          <w:tcPr>
            <w:tcW w:w="4248" w:type="dxa"/>
          </w:tcPr>
          <w:p w14:paraId="365ADE4A" w14:textId="01E19660" w:rsidR="009227B9" w:rsidRPr="0018089A" w:rsidRDefault="009227B9" w:rsidP="00E4673F">
            <w:pPr>
              <w:rPr>
                <w:sz w:val="20"/>
                <w:szCs w:val="20"/>
              </w:rPr>
            </w:pPr>
            <w:r w:rsidRPr="0018089A">
              <w:rPr>
                <w:sz w:val="20"/>
                <w:szCs w:val="20"/>
              </w:rPr>
              <w:t>Fournir les éléments essentiels à la vie et à la biodiversité, y compris les habitats, les espèces et les gènes</w:t>
            </w:r>
          </w:p>
        </w:tc>
        <w:tc>
          <w:tcPr>
            <w:tcW w:w="5245" w:type="dxa"/>
          </w:tcPr>
          <w:p w14:paraId="333C9210" w14:textId="1F09564D" w:rsidR="008F3B86" w:rsidRPr="0018089A" w:rsidRDefault="008F3B86">
            <w:pPr>
              <w:pStyle w:val="Paragraphedeliste"/>
              <w:numPr>
                <w:ilvl w:val="0"/>
                <w:numId w:val="9"/>
              </w:numPr>
              <w:rPr>
                <w:sz w:val="20"/>
                <w:szCs w:val="20"/>
              </w:rPr>
            </w:pPr>
            <w:r w:rsidRPr="0018089A">
              <w:rPr>
                <w:sz w:val="20"/>
                <w:szCs w:val="20"/>
              </w:rPr>
              <w:t xml:space="preserve">Potentiel d'accueil </w:t>
            </w:r>
            <w:r w:rsidR="00B101F2">
              <w:rPr>
                <w:sz w:val="20"/>
                <w:szCs w:val="20"/>
              </w:rPr>
              <w:t xml:space="preserve">d’une </w:t>
            </w:r>
            <w:r w:rsidRPr="0018089A">
              <w:rPr>
                <w:sz w:val="20"/>
                <w:szCs w:val="20"/>
              </w:rPr>
              <w:t>végétation diversifiée</w:t>
            </w:r>
          </w:p>
          <w:p w14:paraId="673C9DF1" w14:textId="1FDCCC0E" w:rsidR="00606579" w:rsidRPr="0018089A" w:rsidRDefault="00606579">
            <w:pPr>
              <w:pStyle w:val="Paragraphedeliste"/>
              <w:numPr>
                <w:ilvl w:val="0"/>
                <w:numId w:val="9"/>
              </w:numPr>
              <w:rPr>
                <w:sz w:val="20"/>
                <w:szCs w:val="20"/>
              </w:rPr>
            </w:pPr>
            <w:r w:rsidRPr="0018089A">
              <w:rPr>
                <w:sz w:val="20"/>
                <w:szCs w:val="20"/>
              </w:rPr>
              <w:t xml:space="preserve">Potentiel d'accueil </w:t>
            </w:r>
            <w:r w:rsidR="34FF10BE" w:rsidRPr="587F05B0">
              <w:rPr>
                <w:sz w:val="20"/>
                <w:szCs w:val="20"/>
              </w:rPr>
              <w:t>d’</w:t>
            </w:r>
            <w:r w:rsidR="0A598131" w:rsidRPr="587F05B0">
              <w:rPr>
                <w:sz w:val="20"/>
                <w:szCs w:val="20"/>
              </w:rPr>
              <w:t>écosystème</w:t>
            </w:r>
            <w:r w:rsidR="34FF10BE" w:rsidRPr="587F05B0">
              <w:rPr>
                <w:sz w:val="20"/>
                <w:szCs w:val="20"/>
              </w:rPr>
              <w:t>s</w:t>
            </w:r>
            <w:r w:rsidR="0A598131" w:rsidRPr="587F05B0">
              <w:rPr>
                <w:sz w:val="20"/>
                <w:szCs w:val="20"/>
              </w:rPr>
              <w:t xml:space="preserve"> rare</w:t>
            </w:r>
            <w:r w:rsidR="34FF10BE" w:rsidRPr="587F05B0">
              <w:rPr>
                <w:sz w:val="20"/>
                <w:szCs w:val="20"/>
              </w:rPr>
              <w:t>s</w:t>
            </w:r>
            <w:r w:rsidR="00083D93">
              <w:rPr>
                <w:rStyle w:val="Appelnotedebasdep"/>
                <w:sz w:val="20"/>
                <w:szCs w:val="20"/>
              </w:rPr>
              <w:footnoteReference w:id="8"/>
            </w:r>
          </w:p>
          <w:p w14:paraId="570E8CC1" w14:textId="10F30098" w:rsidR="009227B9" w:rsidRPr="0018089A" w:rsidRDefault="00E6232A">
            <w:pPr>
              <w:pStyle w:val="Paragraphedeliste"/>
              <w:numPr>
                <w:ilvl w:val="0"/>
                <w:numId w:val="9"/>
              </w:numPr>
              <w:rPr>
                <w:sz w:val="20"/>
                <w:szCs w:val="20"/>
              </w:rPr>
            </w:pPr>
            <w:r>
              <w:rPr>
                <w:sz w:val="20"/>
                <w:szCs w:val="20"/>
              </w:rPr>
              <w:t>Habitat pour la b</w:t>
            </w:r>
            <w:r w:rsidR="00606579" w:rsidRPr="0018089A">
              <w:rPr>
                <w:sz w:val="20"/>
                <w:szCs w:val="20"/>
              </w:rPr>
              <w:t>iodiversité du sol</w:t>
            </w:r>
          </w:p>
        </w:tc>
      </w:tr>
      <w:tr w:rsidR="009227B9" w:rsidRPr="0018089A" w14:paraId="4F0B3BC5" w14:textId="77777777" w:rsidTr="008770D5">
        <w:tc>
          <w:tcPr>
            <w:tcW w:w="4248" w:type="dxa"/>
          </w:tcPr>
          <w:p w14:paraId="1F0C0A3F" w14:textId="5F37B77C" w:rsidR="009227B9" w:rsidRPr="0018089A" w:rsidRDefault="009227B9" w:rsidP="00E4673F">
            <w:pPr>
              <w:rPr>
                <w:sz w:val="20"/>
                <w:szCs w:val="20"/>
              </w:rPr>
            </w:pPr>
            <w:r w:rsidRPr="0018089A">
              <w:rPr>
                <w:sz w:val="20"/>
                <w:szCs w:val="20"/>
              </w:rPr>
              <w:t>Jouer le rôle de réservoir de carbone</w:t>
            </w:r>
          </w:p>
        </w:tc>
        <w:tc>
          <w:tcPr>
            <w:tcW w:w="5245" w:type="dxa"/>
          </w:tcPr>
          <w:p w14:paraId="2BF1E6A8" w14:textId="0E6F2DDE" w:rsidR="009227B9" w:rsidRPr="0018089A" w:rsidRDefault="00E44B96" w:rsidP="00E4673F">
            <w:pPr>
              <w:rPr>
                <w:sz w:val="20"/>
                <w:szCs w:val="20"/>
              </w:rPr>
            </w:pPr>
            <w:r w:rsidRPr="0018089A">
              <w:rPr>
                <w:sz w:val="20"/>
                <w:szCs w:val="20"/>
              </w:rPr>
              <w:t>Stockage de carbone</w:t>
            </w:r>
          </w:p>
        </w:tc>
      </w:tr>
      <w:tr w:rsidR="009227B9" w:rsidRPr="0018089A" w14:paraId="49E139A4" w14:textId="77777777" w:rsidTr="008770D5">
        <w:tc>
          <w:tcPr>
            <w:tcW w:w="4248" w:type="dxa"/>
          </w:tcPr>
          <w:p w14:paraId="7D00CACE" w14:textId="13AA4EF7" w:rsidR="009227B9" w:rsidRPr="0018089A" w:rsidRDefault="009227B9" w:rsidP="00455702">
            <w:pPr>
              <w:rPr>
                <w:sz w:val="20"/>
                <w:szCs w:val="20"/>
              </w:rPr>
            </w:pPr>
            <w:r w:rsidRPr="0018089A">
              <w:rPr>
                <w:sz w:val="20"/>
                <w:szCs w:val="20"/>
              </w:rPr>
              <w:t>Servir de plateforme pour les activités humaines et constituer un élément du patrimoine culturel</w:t>
            </w:r>
          </w:p>
        </w:tc>
        <w:tc>
          <w:tcPr>
            <w:tcW w:w="5245" w:type="dxa"/>
          </w:tcPr>
          <w:p w14:paraId="1ABC9D4A" w14:textId="44409752" w:rsidR="00B25943" w:rsidRPr="0018089A" w:rsidRDefault="00E44B96" w:rsidP="00E4673F">
            <w:pPr>
              <w:rPr>
                <w:sz w:val="20"/>
                <w:szCs w:val="20"/>
              </w:rPr>
            </w:pPr>
            <w:r w:rsidRPr="0018089A">
              <w:rPr>
                <w:sz w:val="20"/>
                <w:szCs w:val="20"/>
              </w:rPr>
              <w:t xml:space="preserve">Production </w:t>
            </w:r>
            <w:r w:rsidR="005111E0">
              <w:rPr>
                <w:sz w:val="20"/>
                <w:szCs w:val="20"/>
              </w:rPr>
              <w:t>de biomasse</w:t>
            </w:r>
            <w:r w:rsidR="00B25943" w:rsidRPr="0018089A">
              <w:rPr>
                <w:sz w:val="20"/>
                <w:szCs w:val="20"/>
              </w:rPr>
              <w:t> :</w:t>
            </w:r>
          </w:p>
          <w:p w14:paraId="227143AA" w14:textId="6393146E" w:rsidR="009227B9" w:rsidRPr="0018089A" w:rsidRDefault="00B25943">
            <w:pPr>
              <w:pStyle w:val="Paragraphedeliste"/>
              <w:numPr>
                <w:ilvl w:val="0"/>
                <w:numId w:val="15"/>
              </w:numPr>
              <w:rPr>
                <w:sz w:val="20"/>
                <w:szCs w:val="20"/>
              </w:rPr>
            </w:pPr>
            <w:r w:rsidRPr="0018089A">
              <w:rPr>
                <w:sz w:val="20"/>
                <w:szCs w:val="20"/>
              </w:rPr>
              <w:t>E</w:t>
            </w:r>
            <w:r w:rsidR="00E44B96" w:rsidRPr="0018089A">
              <w:rPr>
                <w:sz w:val="20"/>
                <w:szCs w:val="20"/>
              </w:rPr>
              <w:t>spaces verts</w:t>
            </w:r>
          </w:p>
        </w:tc>
      </w:tr>
      <w:tr w:rsidR="009227B9" w:rsidRPr="0018089A" w14:paraId="43D7D2AB" w14:textId="77777777" w:rsidTr="008770D5">
        <w:tc>
          <w:tcPr>
            <w:tcW w:w="4248" w:type="dxa"/>
          </w:tcPr>
          <w:p w14:paraId="34F9F0F4" w14:textId="3A39EE73" w:rsidR="009227B9" w:rsidRPr="0018089A" w:rsidRDefault="001E3C85" w:rsidP="00455702">
            <w:pPr>
              <w:rPr>
                <w:sz w:val="20"/>
                <w:szCs w:val="20"/>
              </w:rPr>
            </w:pPr>
            <w:r w:rsidRPr="0018089A">
              <w:rPr>
                <w:sz w:val="20"/>
                <w:szCs w:val="20"/>
              </w:rPr>
              <w:t>Être</w:t>
            </w:r>
            <w:r w:rsidR="009227B9" w:rsidRPr="0018089A">
              <w:rPr>
                <w:sz w:val="20"/>
                <w:szCs w:val="20"/>
              </w:rPr>
              <w:t xml:space="preserve"> une source de matières premières</w:t>
            </w:r>
          </w:p>
        </w:tc>
        <w:tc>
          <w:tcPr>
            <w:tcW w:w="5245" w:type="dxa"/>
          </w:tcPr>
          <w:p w14:paraId="739D9A54" w14:textId="6280348A" w:rsidR="009227B9" w:rsidRPr="0018089A" w:rsidRDefault="00E44B96" w:rsidP="00E4673F">
            <w:pPr>
              <w:rPr>
                <w:sz w:val="20"/>
                <w:szCs w:val="20"/>
              </w:rPr>
            </w:pPr>
            <w:r w:rsidRPr="0018089A">
              <w:rPr>
                <w:sz w:val="20"/>
                <w:szCs w:val="20"/>
              </w:rPr>
              <w:t>/</w:t>
            </w:r>
          </w:p>
        </w:tc>
      </w:tr>
      <w:tr w:rsidR="009227B9" w:rsidRPr="0018089A" w14:paraId="0847F8F6" w14:textId="77777777" w:rsidTr="008770D5">
        <w:tc>
          <w:tcPr>
            <w:tcW w:w="4248" w:type="dxa"/>
          </w:tcPr>
          <w:p w14:paraId="49B9B799" w14:textId="353E0792" w:rsidR="009227B9" w:rsidRPr="0018089A" w:rsidRDefault="009227B9" w:rsidP="00455702">
            <w:pPr>
              <w:rPr>
                <w:sz w:val="20"/>
                <w:szCs w:val="20"/>
              </w:rPr>
            </w:pPr>
            <w:r w:rsidRPr="0018089A">
              <w:rPr>
                <w:sz w:val="20"/>
                <w:szCs w:val="20"/>
              </w:rPr>
              <w:t>Constituer une archive du patrimoine géologique, géomorphologique et archéologique</w:t>
            </w:r>
          </w:p>
        </w:tc>
        <w:tc>
          <w:tcPr>
            <w:tcW w:w="5245" w:type="dxa"/>
          </w:tcPr>
          <w:p w14:paraId="74C549C3" w14:textId="44C8274F" w:rsidR="009227B9" w:rsidRPr="0018089A" w:rsidRDefault="009227B9" w:rsidP="00E4673F">
            <w:pPr>
              <w:rPr>
                <w:sz w:val="20"/>
                <w:szCs w:val="20"/>
              </w:rPr>
            </w:pPr>
            <w:r w:rsidRPr="0018089A">
              <w:rPr>
                <w:sz w:val="20"/>
                <w:szCs w:val="20"/>
              </w:rPr>
              <w:t>Archivage du patrimoine</w:t>
            </w:r>
          </w:p>
        </w:tc>
      </w:tr>
    </w:tbl>
    <w:p w14:paraId="173EF27A" w14:textId="77777777" w:rsidR="003D0F40" w:rsidRDefault="003D0F40" w:rsidP="00E4673F"/>
    <w:p w14:paraId="7DCC89FF" w14:textId="3D3587A8" w:rsidR="0073314E" w:rsidRDefault="00AB1380" w:rsidP="00E4673F">
      <w:r>
        <w:t xml:space="preserve">La liste des </w:t>
      </w:r>
      <w:r w:rsidR="002B7C20">
        <w:t>services écosystémiques</w:t>
      </w:r>
      <w:r>
        <w:t xml:space="preserve"> évalués dans l’IQSW-pro a été croisée </w:t>
      </w:r>
      <w:r w:rsidR="00C95BB1">
        <w:t xml:space="preserve">pour validation </w:t>
      </w:r>
      <w:r>
        <w:t xml:space="preserve">avec les </w:t>
      </w:r>
      <w:r w:rsidR="002B7C20">
        <w:t>services</w:t>
      </w:r>
      <w:r>
        <w:t xml:space="preserve"> définis dans le cadre de projets de recherche</w:t>
      </w:r>
      <w:r w:rsidR="00C95BB1">
        <w:t xml:space="preserve"> et opérationnels</w:t>
      </w:r>
      <w:r w:rsidR="008C643D">
        <w:t xml:space="preserve">, </w:t>
      </w:r>
      <w:r w:rsidR="00220840">
        <w:t>notamment</w:t>
      </w:r>
      <w:r w:rsidR="008C643D">
        <w:t xml:space="preserve"> l’étude INDIQUASOLS </w:t>
      </w:r>
      <w:r w:rsidR="00220840">
        <w:fldChar w:fldCharType="begin"/>
      </w:r>
      <w:r w:rsidR="0037195A">
        <w:instrText xml:space="preserve"> ADDIN ZOTERO_ITEM CSL_CITATION {"citationID":"Wx2YUMNu","properties":{"unsorted":false,"formattedCitation":"(Cousin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00220840">
        <w:fldChar w:fldCharType="separate"/>
      </w:r>
      <w:r w:rsidR="0037195A" w:rsidRPr="0037195A">
        <w:rPr>
          <w:rFonts w:cs="Calibri"/>
        </w:rPr>
        <w:t>(Cousin et al., 2025)</w:t>
      </w:r>
      <w:r w:rsidR="00220840">
        <w:fldChar w:fldCharType="end"/>
      </w:r>
      <w:r w:rsidR="00C95BB1">
        <w:t>.</w:t>
      </w:r>
    </w:p>
    <w:p w14:paraId="11C23D70" w14:textId="5E23729F" w:rsidR="00B4235A" w:rsidRPr="00307BC9" w:rsidRDefault="004B7436" w:rsidP="00E4673F">
      <w:pPr>
        <w:rPr>
          <w:b/>
        </w:rPr>
      </w:pPr>
      <w:r>
        <w:rPr>
          <w:highlight w:val="yellow"/>
        </w:rPr>
        <w:fldChar w:fldCharType="begin"/>
      </w:r>
      <w:r>
        <w:rPr>
          <w:highlight w:val="yellow"/>
        </w:rPr>
        <w:instrText xml:space="preserve"> REF _Ref232206867 \r \h </w:instrText>
      </w:r>
      <w:r>
        <w:rPr>
          <w:highlight w:val="yellow"/>
        </w:rPr>
      </w:r>
      <w:r>
        <w:rPr>
          <w:highlight w:val="yellow"/>
        </w:rPr>
        <w:fldChar w:fldCharType="separate"/>
      </w:r>
      <w:r>
        <w:rPr>
          <w:highlight w:val="yellow"/>
        </w:rPr>
        <w:fldChar w:fldCharType="end"/>
      </w:r>
      <w:r w:rsidR="00B4235A" w:rsidRPr="00E9448C">
        <w:rPr>
          <w:b/>
          <w:bCs/>
        </w:rPr>
        <w:t>Chaque SE est décomposé en</w:t>
      </w:r>
      <w:r w:rsidR="00E9448C" w:rsidRPr="00E9448C">
        <w:rPr>
          <w:b/>
          <w:bCs/>
        </w:rPr>
        <w:t xml:space="preserve"> une ou plusieurs</w:t>
      </w:r>
      <w:r w:rsidR="00B4235A" w:rsidRPr="00E9448C">
        <w:rPr>
          <w:b/>
          <w:bCs/>
        </w:rPr>
        <w:t xml:space="preserve"> fonction</w:t>
      </w:r>
      <w:r w:rsidR="00E9448C" w:rsidRPr="00E9448C">
        <w:rPr>
          <w:b/>
          <w:bCs/>
        </w:rPr>
        <w:t>(</w:t>
      </w:r>
      <w:r w:rsidR="00B4235A" w:rsidRPr="00E9448C">
        <w:rPr>
          <w:b/>
          <w:bCs/>
        </w:rPr>
        <w:t>s</w:t>
      </w:r>
      <w:r w:rsidR="00E9448C" w:rsidRPr="00E9448C">
        <w:rPr>
          <w:b/>
          <w:bCs/>
        </w:rPr>
        <w:t>) et</w:t>
      </w:r>
      <w:r w:rsidR="00B4235A" w:rsidRPr="00E9448C">
        <w:rPr>
          <w:b/>
          <w:bCs/>
        </w:rPr>
        <w:t xml:space="preserve"> </w:t>
      </w:r>
      <w:r w:rsidR="00E9448C" w:rsidRPr="00E9448C">
        <w:rPr>
          <w:b/>
          <w:bCs/>
        </w:rPr>
        <w:t xml:space="preserve">affecté le cas échéant, de </w:t>
      </w:r>
      <w:r w:rsidR="00B4235A" w:rsidRPr="00E9448C">
        <w:rPr>
          <w:b/>
          <w:bCs/>
        </w:rPr>
        <w:t>contraintes et</w:t>
      </w:r>
      <w:r w:rsidR="38FC3C72" w:rsidRPr="00E9448C">
        <w:rPr>
          <w:b/>
          <w:bCs/>
        </w:rPr>
        <w:t>/ou</w:t>
      </w:r>
      <w:r w:rsidR="00B4235A" w:rsidRPr="00E9448C">
        <w:rPr>
          <w:b/>
          <w:bCs/>
        </w:rPr>
        <w:t xml:space="preserve"> </w:t>
      </w:r>
      <w:r w:rsidR="00E9448C" w:rsidRPr="00E9448C">
        <w:rPr>
          <w:b/>
          <w:bCs/>
        </w:rPr>
        <w:t>de</w:t>
      </w:r>
      <w:r w:rsidR="00307BC9">
        <w:rPr>
          <w:b/>
          <w:bCs/>
        </w:rPr>
        <w:t xml:space="preserve"> </w:t>
      </w:r>
      <w:r w:rsidR="64FFA9E4" w:rsidRPr="00E9448C">
        <w:rPr>
          <w:b/>
          <w:bCs/>
        </w:rPr>
        <w:t>compléments indicatifs</w:t>
      </w:r>
      <w:r w:rsidR="1561F368" w:rsidRPr="00E9448C">
        <w:rPr>
          <w:b/>
          <w:bCs/>
        </w:rPr>
        <w:t xml:space="preserve"> non scorés</w:t>
      </w:r>
      <w:r w:rsidR="583AD6D6" w:rsidRPr="00E9448C">
        <w:rPr>
          <w:b/>
          <w:bCs/>
        </w:rPr>
        <w:t>.</w:t>
      </w:r>
      <w:r w:rsidR="00F035E6">
        <w:rPr>
          <w:b/>
          <w:bCs/>
        </w:rPr>
        <w:t xml:space="preserve"> </w:t>
      </w:r>
      <w:r w:rsidR="00F035E6" w:rsidRPr="00F035E6">
        <w:rPr>
          <w:b/>
          <w:bCs/>
        </w:rPr>
        <w:t>Les équations de pondération (1) des indicateurs dans les fonctions et (2) des fonctions dans les services écosystémiques sont détaillées au point</w:t>
      </w:r>
      <w:r w:rsidR="00A62DA9">
        <w:rPr>
          <w:b/>
          <w:bCs/>
        </w:rPr>
        <w:t xml:space="preserve"> </w:t>
      </w:r>
      <w:r w:rsidR="00A62DA9">
        <w:rPr>
          <w:b/>
          <w:bCs/>
        </w:rPr>
        <w:fldChar w:fldCharType="begin"/>
      </w:r>
      <w:r w:rsidR="00A62DA9">
        <w:rPr>
          <w:b/>
          <w:bCs/>
        </w:rPr>
        <w:instrText xml:space="preserve"> REF _Ref241228068 \r \h </w:instrText>
      </w:r>
      <w:r w:rsidR="00A62DA9">
        <w:rPr>
          <w:b/>
          <w:bCs/>
        </w:rPr>
      </w:r>
      <w:r w:rsidR="00A62DA9">
        <w:rPr>
          <w:b/>
          <w:bCs/>
        </w:rPr>
        <w:fldChar w:fldCharType="separate"/>
      </w:r>
      <w:r w:rsidR="00A62DA9">
        <w:rPr>
          <w:b/>
          <w:bCs/>
        </w:rPr>
        <w:t>5.1.2</w:t>
      </w:r>
      <w:r w:rsidR="00A62DA9">
        <w:rPr>
          <w:b/>
          <w:bCs/>
        </w:rPr>
        <w:fldChar w:fldCharType="end"/>
      </w:r>
      <w:r w:rsidR="00F035E6">
        <w:t>.</w:t>
      </w:r>
      <w:r w:rsidR="0E505DC5">
        <w:t xml:space="preserve"> </w:t>
      </w:r>
      <w:r w:rsidR="0E505DC5" w:rsidRPr="00307BC9">
        <w:rPr>
          <w:b/>
          <w:bCs/>
        </w:rPr>
        <w:t xml:space="preserve">La méthodologie d’attribution des scores de paramètres, sont détaillés dans </w:t>
      </w:r>
      <w:r w:rsidR="00A62DA9">
        <w:rPr>
          <w:b/>
          <w:bCs/>
        </w:rPr>
        <w:t>l’Annexe 2 – Indicateurs</w:t>
      </w:r>
      <w:r w:rsidR="0E505DC5" w:rsidRPr="00307BC9">
        <w:rPr>
          <w:b/>
          <w:bCs/>
        </w:rPr>
        <w:t>.</w:t>
      </w:r>
    </w:p>
    <w:p w14:paraId="18A7E51C" w14:textId="57DF4B91" w:rsidR="009746A2" w:rsidRDefault="003A48A6">
      <w:pPr>
        <w:pStyle w:val="Titre2"/>
        <w:numPr>
          <w:ilvl w:val="1"/>
          <w:numId w:val="12"/>
        </w:numPr>
      </w:pPr>
      <w:bookmarkStart w:id="81" w:name="_Toc230267095"/>
      <w:bookmarkStart w:id="82" w:name="_Ref233112306"/>
      <w:bookmarkStart w:id="83" w:name="_Ref233112327"/>
      <w:bookmarkStart w:id="84" w:name="_Toc241478093"/>
      <w:r>
        <w:t>P</w:t>
      </w:r>
      <w:r w:rsidR="00455866">
        <w:t xml:space="preserve">roduction </w:t>
      </w:r>
      <w:r w:rsidR="00C51DBB">
        <w:t>de biomasse</w:t>
      </w:r>
      <w:bookmarkEnd w:id="81"/>
      <w:bookmarkEnd w:id="82"/>
      <w:bookmarkEnd w:id="83"/>
      <w:bookmarkEnd w:id="84"/>
    </w:p>
    <w:p w14:paraId="685FA4DE" w14:textId="20885841" w:rsidR="005D2967" w:rsidRDefault="009A6570" w:rsidP="00553C5D">
      <w:r>
        <w:t xml:space="preserve">Ce </w:t>
      </w:r>
      <w:r w:rsidR="002B7C20">
        <w:t>service écosystémique</w:t>
      </w:r>
      <w:r>
        <w:t xml:space="preserve"> correspond à la capacité du sol à </w:t>
      </w:r>
      <w:r w:rsidR="00BD26C2">
        <w:t>assurer</w:t>
      </w:r>
      <w:r>
        <w:t xml:space="preserve"> une production de </w:t>
      </w:r>
      <w:r w:rsidR="004B3DC8">
        <w:t xml:space="preserve">divers types de </w:t>
      </w:r>
      <w:r>
        <w:t>végétation</w:t>
      </w:r>
      <w:r w:rsidR="004B3DC8">
        <w:t>, correspondant à divers</w:t>
      </w:r>
      <w:r w:rsidR="009F1CAB">
        <w:t>es</w:t>
      </w:r>
      <w:r w:rsidR="004B3DC8">
        <w:t xml:space="preserve"> </w:t>
      </w:r>
      <w:r w:rsidR="00C74250">
        <w:t>catégories</w:t>
      </w:r>
      <w:r w:rsidR="004B3DC8">
        <w:t xml:space="preserve"> d’usage</w:t>
      </w:r>
      <w:r w:rsidR="000F3625">
        <w:t xml:space="preserve"> : </w:t>
      </w:r>
      <w:r>
        <w:t>cultures, prairies, espaces verts</w:t>
      </w:r>
      <w:r w:rsidR="00137898">
        <w:t xml:space="preserve"> et</w:t>
      </w:r>
      <w:r>
        <w:t xml:space="preserve"> forêts</w:t>
      </w:r>
      <w:r w:rsidR="004B3DC8">
        <w:t xml:space="preserve">. </w:t>
      </w:r>
      <w:r w:rsidR="210A85CE">
        <w:t>La végétation produite</w:t>
      </w:r>
      <w:r w:rsidR="54867243">
        <w:t xml:space="preserve"> peut avoir un rôle récréatif</w:t>
      </w:r>
      <w:r w:rsidR="20761FB1">
        <w:t xml:space="preserve">, </w:t>
      </w:r>
      <w:r w:rsidR="54867243">
        <w:t>paysager</w:t>
      </w:r>
      <w:r w:rsidR="20761FB1">
        <w:t xml:space="preserve"> ou aider à la régulation thermique et des flux d’eau en contexte urbain</w:t>
      </w:r>
      <w:r w:rsidR="54867243">
        <w:t xml:space="preserve"> (</w:t>
      </w:r>
      <w:r w:rsidR="20761FB1">
        <w:t>es</w:t>
      </w:r>
      <w:r w:rsidR="272ACF39">
        <w:t>paces vert) ou être</w:t>
      </w:r>
      <w:r w:rsidR="210A85CE">
        <w:t xml:space="preserve"> </w:t>
      </w:r>
      <w:r w:rsidR="5287780C">
        <w:t xml:space="preserve">utilisée, en fonction du contexte d’usage, </w:t>
      </w:r>
      <w:r w:rsidR="6043BE71">
        <w:t xml:space="preserve">à des fins alimentaires </w:t>
      </w:r>
      <w:r w:rsidR="33119447">
        <w:t xml:space="preserve">(de manière directe ou indirecte via l’alimentation animale) </w:t>
      </w:r>
      <w:r w:rsidR="6043BE71">
        <w:t>ou</w:t>
      </w:r>
      <w:r w:rsidR="3B6D679E">
        <w:t xml:space="preserve"> non alimentaires (bois d’œuvre, matériaux, filière énergie…)</w:t>
      </w:r>
      <w:r w:rsidR="6043BE71">
        <w:t>.</w:t>
      </w:r>
    </w:p>
    <w:p w14:paraId="1D2D987D" w14:textId="77FF3F40" w:rsidR="005133CA" w:rsidRDefault="0007306A">
      <w:pPr>
        <w:pStyle w:val="Titre3"/>
        <w:numPr>
          <w:ilvl w:val="2"/>
          <w:numId w:val="12"/>
        </w:numPr>
      </w:pPr>
      <w:bookmarkStart w:id="85" w:name="_Toc241478094"/>
      <w:r>
        <w:t>Fonctions</w:t>
      </w:r>
      <w:bookmarkEnd w:id="85"/>
    </w:p>
    <w:p w14:paraId="5450AA7C" w14:textId="63397BF8" w:rsidR="003F6FAE" w:rsidRDefault="00AA4152" w:rsidP="003F6FAE">
      <w:r>
        <w:t xml:space="preserve">Le service de </w:t>
      </w:r>
      <w:r w:rsidR="00CA4F32">
        <w:t>support à</w:t>
      </w:r>
      <w:r w:rsidR="009234C0">
        <w:t xml:space="preserve"> la croissance des plantes nécessite l’accomplissement de plusieurs fonctions</w:t>
      </w:r>
      <w:r w:rsidR="00E34CC0" w:rsidRPr="00E34CC0">
        <w:t xml:space="preserve"> </w:t>
      </w:r>
      <w:r w:rsidR="00E34CC0">
        <w:t>pour être rempli</w:t>
      </w:r>
      <w:r w:rsidR="00253016">
        <w:t>. En effet,</w:t>
      </w:r>
      <w:r w:rsidR="006F2F53">
        <w:t xml:space="preserve"> </w:t>
      </w:r>
      <w:r w:rsidR="00253016">
        <w:t>trois piliers de la fertilité</w:t>
      </w:r>
      <w:r w:rsidR="006F2F53">
        <w:t xml:space="preserve"> sont essentiels et indissociables pour garantir la croissance des plantes</w:t>
      </w:r>
      <w:r w:rsidR="00AC56F7">
        <w:t> : la fourniture de nutriments (souvent définie en tant que fertilité chimiq</w:t>
      </w:r>
      <w:r w:rsidR="004359D7">
        <w:t xml:space="preserve">ue), la fourniture d’eau et </w:t>
      </w:r>
      <w:r w:rsidR="00CA4F32">
        <w:t xml:space="preserve">le maintien </w:t>
      </w:r>
      <w:r w:rsidR="00786451">
        <w:t xml:space="preserve">de </w:t>
      </w:r>
      <w:r w:rsidR="004359D7">
        <w:t>la structure</w:t>
      </w:r>
      <w:r w:rsidR="00786451">
        <w:t xml:space="preserve"> du sol, qui permettra la pénétration racinaire et la </w:t>
      </w:r>
      <w:r w:rsidR="00786451">
        <w:lastRenderedPageBreak/>
        <w:t>circulation d’air et d’eau</w:t>
      </w:r>
      <w:r w:rsidR="00A5274B">
        <w:t xml:space="preserve">. Le </w:t>
      </w:r>
      <w:r w:rsidR="002B7C20">
        <w:t>service écosystémique</w:t>
      </w:r>
      <w:r w:rsidR="00A5274B">
        <w:t xml:space="preserve"> est donc subdivisé en trois fonctions</w:t>
      </w:r>
      <w:r w:rsidR="00A948FE">
        <w:t xml:space="preserve"> </w:t>
      </w:r>
      <w:r w:rsidR="00BE3516">
        <w:t>décrites ci-après.</w:t>
      </w:r>
    </w:p>
    <w:p w14:paraId="03EB3613" w14:textId="378274D5" w:rsidR="00BE3516" w:rsidRDefault="00667E6A">
      <w:pPr>
        <w:pStyle w:val="Titre4"/>
        <w:numPr>
          <w:ilvl w:val="3"/>
          <w:numId w:val="12"/>
        </w:numPr>
        <w:rPr>
          <w:bCs/>
        </w:rPr>
      </w:pPr>
      <w:r>
        <w:rPr>
          <w:bCs/>
        </w:rPr>
        <w:t>Fourniture en nutriments</w:t>
      </w:r>
    </w:p>
    <w:p w14:paraId="2545DCF8" w14:textId="651A6510" w:rsidR="00BE3516" w:rsidRPr="00BE3516" w:rsidRDefault="00C4477D" w:rsidP="00BE3516">
      <w:r>
        <w:t>Cette fonction concerne</w:t>
      </w:r>
      <w:r w:rsidR="00673AE3">
        <w:t xml:space="preserve">, comme </w:t>
      </w:r>
      <w:r>
        <w:t>son</w:t>
      </w:r>
      <w:r w:rsidR="00673AE3">
        <w:t xml:space="preserve"> nom</w:t>
      </w:r>
      <w:r>
        <w:t xml:space="preserve"> </w:t>
      </w:r>
      <w:r w:rsidR="00673AE3">
        <w:t xml:space="preserve">l’indique, la capacité du sol à fournir des nutriments pour subvenir aux besoins </w:t>
      </w:r>
      <w:r w:rsidR="00677179">
        <w:t xml:space="preserve">de la végétation. </w:t>
      </w:r>
      <w:r w:rsidR="3E72DA8F">
        <w:t xml:space="preserve">Tous les </w:t>
      </w:r>
      <w:r w:rsidR="45410A99">
        <w:t>indicateurs</w:t>
      </w:r>
      <w:r w:rsidR="00693339">
        <w:t xml:space="preserve"> relatifs à cette fonction sont mesurés dans la </w:t>
      </w:r>
      <w:r w:rsidR="00C36BC7">
        <w:t>couche</w:t>
      </w:r>
      <w:r w:rsidR="00693339">
        <w:t xml:space="preserve"> de surface (0-30 cm</w:t>
      </w:r>
      <w:r w:rsidR="11222B35">
        <w:t>)</w:t>
      </w:r>
      <w:r w:rsidR="6B625FF0">
        <w:t>.</w:t>
      </w:r>
      <w:r w:rsidR="00693339">
        <w:t xml:space="preserve"> </w:t>
      </w:r>
      <w:r w:rsidR="00EF1E21">
        <w:t xml:space="preserve">Les </w:t>
      </w:r>
      <w:r>
        <w:t>dimensions évaluées sont :</w:t>
      </w:r>
    </w:p>
    <w:p w14:paraId="71E1BA75" w14:textId="399FA917" w:rsidR="00807132" w:rsidRDefault="00807132">
      <w:pPr>
        <w:pStyle w:val="Paragraphedeliste"/>
        <w:numPr>
          <w:ilvl w:val="0"/>
          <w:numId w:val="2"/>
        </w:numPr>
      </w:pPr>
      <w:r>
        <w:t>L</w:t>
      </w:r>
      <w:r w:rsidR="005B2EF8">
        <w:t xml:space="preserve">a présence </w:t>
      </w:r>
      <w:r w:rsidR="00611C37">
        <w:t xml:space="preserve">de nutriments </w:t>
      </w:r>
      <w:r>
        <w:t xml:space="preserve">disponibles </w:t>
      </w:r>
      <w:r w:rsidR="00611C37">
        <w:t>(P, K, Mg, Ca)</w:t>
      </w:r>
      <w:r w:rsidR="003E121F">
        <w:t>*</w:t>
      </w:r>
      <w:r>
        <w:t> ;</w:t>
      </w:r>
    </w:p>
    <w:p w14:paraId="4AFBCAB3" w14:textId="6956A32F" w:rsidR="00701CC2" w:rsidRDefault="69C20584">
      <w:pPr>
        <w:pStyle w:val="Paragraphedeliste"/>
        <w:numPr>
          <w:ilvl w:val="0"/>
          <w:numId w:val="2"/>
        </w:numPr>
      </w:pPr>
      <w:r>
        <w:t>L</w:t>
      </w:r>
      <w:r w:rsidR="1A504705">
        <w:t>a</w:t>
      </w:r>
      <w:r w:rsidR="0F298137">
        <w:t xml:space="preserve"> teneur en matière organique, qui</w:t>
      </w:r>
      <w:r w:rsidR="508E657D">
        <w:t xml:space="preserve"> contribue à recharger le stock par minéralisation et </w:t>
      </w:r>
      <w:r w:rsidR="35DDBD34">
        <w:t>contribue à la capacité d’échange cationique du sol</w:t>
      </w:r>
      <w:r w:rsidR="540E032E">
        <w:t xml:space="preserve">. La teneur en carbone organique </w:t>
      </w:r>
      <w:r w:rsidR="00C6A7E1">
        <w:t>(C</w:t>
      </w:r>
      <w:r w:rsidR="00C6A7E1" w:rsidRPr="1C83774F">
        <w:rPr>
          <w:vertAlign w:val="subscript"/>
        </w:rPr>
        <w:t>org</w:t>
      </w:r>
      <w:r w:rsidR="00C6A7E1">
        <w:t xml:space="preserve">) </w:t>
      </w:r>
      <w:r w:rsidR="540E032E">
        <w:t>est utilisée comme proxy pou</w:t>
      </w:r>
      <w:r w:rsidR="00C6A7E1">
        <w:t>r la matière organique</w:t>
      </w:r>
      <w:r w:rsidR="7839C109">
        <w:t>*</w:t>
      </w:r>
      <w:r w:rsidR="07402309">
        <w:t xml:space="preserve"> ;</w:t>
      </w:r>
    </w:p>
    <w:p w14:paraId="406B7184" w14:textId="32504716" w:rsidR="000624AD" w:rsidRDefault="00C6A7E1">
      <w:pPr>
        <w:pStyle w:val="Paragraphedeliste"/>
        <w:numPr>
          <w:ilvl w:val="0"/>
          <w:numId w:val="2"/>
        </w:numPr>
      </w:pPr>
      <w:r>
        <w:t>La capacité d’échange cationique (</w:t>
      </w:r>
      <w:r w:rsidR="1A504705">
        <w:t>CEC</w:t>
      </w:r>
      <w:r w:rsidR="3DD008CC">
        <w:t>)</w:t>
      </w:r>
      <w:r w:rsidR="7839C109">
        <w:t>*</w:t>
      </w:r>
      <w:r w:rsidR="3DD008CC">
        <w:t>, qui représente la capacité du sol à retenir les nutriments cationiques</w:t>
      </w:r>
      <w:r w:rsidR="5D2367BA">
        <w:t> ;</w:t>
      </w:r>
    </w:p>
    <w:p w14:paraId="7A188E82" w14:textId="77777777" w:rsidR="000624AD" w:rsidRDefault="000624AD">
      <w:pPr>
        <w:pStyle w:val="Paragraphedeliste"/>
        <w:numPr>
          <w:ilvl w:val="0"/>
          <w:numId w:val="2"/>
        </w:numPr>
      </w:pPr>
      <w:r>
        <w:t>L</w:t>
      </w:r>
      <w:r w:rsidR="00D62D05">
        <w:t>’équilibre nutritif (rapport K/Mg)</w:t>
      </w:r>
      <w:r>
        <w:t> ;</w:t>
      </w:r>
    </w:p>
    <w:p w14:paraId="1AC66883" w14:textId="0F3A427F" w:rsidR="00253016" w:rsidRDefault="000624AD">
      <w:pPr>
        <w:pStyle w:val="Paragraphedeliste"/>
        <w:numPr>
          <w:ilvl w:val="0"/>
          <w:numId w:val="2"/>
        </w:numPr>
      </w:pPr>
      <w:r>
        <w:t xml:space="preserve">Le statut acido-basique </w:t>
      </w:r>
      <w:r w:rsidR="00D62D05">
        <w:t>(pH KCl)</w:t>
      </w:r>
      <w:r>
        <w:t>.</w:t>
      </w:r>
    </w:p>
    <w:p w14:paraId="75A5653A" w14:textId="7910D5FF" w:rsidR="003E121F" w:rsidRDefault="7839C109" w:rsidP="007B13C9">
      <w:r>
        <w:t>*</w:t>
      </w:r>
      <w:r w:rsidR="10788ECA" w:rsidRPr="1C83774F">
        <w:rPr>
          <w:i/>
          <w:iCs/>
          <w:u w:val="single"/>
        </w:rPr>
        <w:t>Prise en compte du</w:t>
      </w:r>
      <w:r w:rsidR="5970BF97" w:rsidRPr="1C83774F">
        <w:rPr>
          <w:i/>
          <w:iCs/>
          <w:u w:val="single"/>
        </w:rPr>
        <w:t xml:space="preserve"> sol utile</w:t>
      </w:r>
      <w:r w:rsidR="72FF4E8E" w:rsidRPr="1C83774F">
        <w:rPr>
          <w:i/>
          <w:iCs/>
          <w:u w:val="single"/>
        </w:rPr>
        <w:t>.</w:t>
      </w:r>
      <w:r w:rsidR="5970BF97">
        <w:t xml:space="preserve"> </w:t>
      </w:r>
      <w:r w:rsidR="69984B25">
        <w:t>Préalablement à l’attribution d’un score d</w:t>
      </w:r>
      <w:r w:rsidR="5441E2DA">
        <w:t>'indicateur</w:t>
      </w:r>
      <w:r w:rsidR="69984B25">
        <w:t xml:space="preserve"> via la fonction d’interprétation, l</w:t>
      </w:r>
      <w:r w:rsidR="306FFA1C">
        <w:t xml:space="preserve">a teneur en </w:t>
      </w:r>
      <w:r w:rsidR="5E00F6C1">
        <w:t xml:space="preserve">nutriments disponibles et en </w:t>
      </w:r>
      <w:r w:rsidR="1FBC30BA">
        <w:t>carbone organique ainsi</w:t>
      </w:r>
      <w:r w:rsidR="69984B25">
        <w:t xml:space="preserve"> que la CEC,</w:t>
      </w:r>
      <w:r>
        <w:t xml:space="preserve"> </w:t>
      </w:r>
      <w:r w:rsidR="063308C6">
        <w:t>sont</w:t>
      </w:r>
      <w:r w:rsidR="306FFA1C">
        <w:t xml:space="preserve"> multipliée</w:t>
      </w:r>
      <w:r w:rsidR="063308C6">
        <w:t>s</w:t>
      </w:r>
      <w:r w:rsidR="306FFA1C">
        <w:t xml:space="preserve"> par un coefficient de sol util</w:t>
      </w:r>
      <w:r w:rsidR="69984B25">
        <w:t xml:space="preserve">e. </w:t>
      </w:r>
      <w:r w:rsidR="4FBA83F1">
        <w:t>Ce coefficient a pour fonction de pondérer l</w:t>
      </w:r>
      <w:r w:rsidR="4043BD33">
        <w:t xml:space="preserve">es valeurs obtenues sur la fraction fine du sol (&lt; 2 mm) au prorata </w:t>
      </w:r>
      <w:r w:rsidR="3A8B50B1">
        <w:t>du volume de sol utile</w:t>
      </w:r>
      <w:r w:rsidR="6659671F">
        <w:t xml:space="preserve"> à l’exploration racinaire</w:t>
      </w:r>
      <w:r w:rsidR="3A8B50B1">
        <w:t xml:space="preserve"> dans la couche 0-30 cm, c’est-à</w:t>
      </w:r>
      <w:r w:rsidR="20FA5B0D">
        <w:t xml:space="preserve">-dire </w:t>
      </w:r>
      <w:r w:rsidR="6659671F">
        <w:t>en soustrayant</w:t>
      </w:r>
      <w:r w:rsidR="20FA5B0D">
        <w:t xml:space="preserve"> le volume occupé par des cailloux.</w:t>
      </w:r>
    </w:p>
    <w:p w14:paraId="1E0B3395" w14:textId="6FA270AF" w:rsidR="00C4477D" w:rsidRDefault="00C4477D">
      <w:pPr>
        <w:pStyle w:val="Titre4"/>
        <w:numPr>
          <w:ilvl w:val="3"/>
          <w:numId w:val="12"/>
        </w:numPr>
        <w:rPr>
          <w:bCs/>
        </w:rPr>
      </w:pPr>
      <w:r>
        <w:rPr>
          <w:bCs/>
        </w:rPr>
        <w:t>F</w:t>
      </w:r>
      <w:r w:rsidRPr="00DB64EF">
        <w:rPr>
          <w:bCs/>
        </w:rPr>
        <w:t>ourniture en eau</w:t>
      </w:r>
    </w:p>
    <w:p w14:paraId="05E4772A" w14:textId="297CC8E7" w:rsidR="0027544F" w:rsidRDefault="05DFC168" w:rsidP="008F5E9B">
      <w:r>
        <w:t xml:space="preserve">La capacité du sol à constituer une réserve d’eau </w:t>
      </w:r>
      <w:r w:rsidR="247C0910">
        <w:t>disponible</w:t>
      </w:r>
      <w:r>
        <w:t xml:space="preserve"> pour la croissance des plantes </w:t>
      </w:r>
      <w:r w:rsidR="5E30244F">
        <w:t xml:space="preserve">se calcule via une estimation de </w:t>
      </w:r>
      <w:r w:rsidR="5C67EF12">
        <w:t xml:space="preserve">la réserve en eau utile (REU) calculée sur le </w:t>
      </w:r>
      <w:r w:rsidR="55E2BC10">
        <w:t>profil (0-100 cm)</w:t>
      </w:r>
      <w:r w:rsidR="14AAFDAD">
        <w:t>, en distinguant la couche de surface des couches profondes</w:t>
      </w:r>
      <w:r w:rsidR="0252EAFA">
        <w:t xml:space="preserve"> (voir partie</w:t>
      </w:r>
      <w:r w:rsidR="00724784">
        <w:t xml:space="preserve"> </w:t>
      </w:r>
      <w:r w:rsidR="00724784">
        <w:fldChar w:fldCharType="begin"/>
      </w:r>
      <w:r w:rsidR="00724784">
        <w:instrText xml:space="preserve"> REF _Ref241228839 \r \h </w:instrText>
      </w:r>
      <w:r w:rsidR="00724784">
        <w:fldChar w:fldCharType="separate"/>
      </w:r>
      <w:r w:rsidR="00A27F70">
        <w:t>5.1.2</w:t>
      </w:r>
      <w:r w:rsidR="00724784">
        <w:fldChar w:fldCharType="end"/>
      </w:r>
      <w:r w:rsidR="0252EAFA">
        <w:t>).</w:t>
      </w:r>
      <w:r w:rsidR="03C3E45A">
        <w:t xml:space="preserve"> Cette fonction est donc appréhendée </w:t>
      </w:r>
      <w:r w:rsidR="00B31AFB">
        <w:t xml:space="preserve">en combinant </w:t>
      </w:r>
      <w:r w:rsidR="00465A43">
        <w:t>la REU calculée sur la couche 0-30 cm et celle calculée sur la couche 30-100 cm</w:t>
      </w:r>
      <w:r w:rsidR="00294686">
        <w:t>.</w:t>
      </w:r>
      <w:r w:rsidR="00FC04B1">
        <w:t xml:space="preserve"> </w:t>
      </w:r>
      <w:r w:rsidR="00294686">
        <w:t xml:space="preserve">La notion de sol utile intervient ici également, en étant intégrée directement dans l’équation de détermination de la REU (voir </w:t>
      </w:r>
      <w:r w:rsidR="00724784">
        <w:t>Annexe 2 – Indicateurs</w:t>
      </w:r>
      <w:r w:rsidR="00294686">
        <w:t xml:space="preserve">). </w:t>
      </w:r>
    </w:p>
    <w:p w14:paraId="0EB8083D" w14:textId="666D323E" w:rsidR="008F5E9B" w:rsidRDefault="008F5E9B">
      <w:pPr>
        <w:pStyle w:val="Titre4"/>
        <w:numPr>
          <w:ilvl w:val="3"/>
          <w:numId w:val="12"/>
        </w:numPr>
      </w:pPr>
      <w:r>
        <w:t>Structure</w:t>
      </w:r>
    </w:p>
    <w:p w14:paraId="2F211D34" w14:textId="0F5CF36A" w:rsidR="007F43FE" w:rsidRDefault="000C579D" w:rsidP="008F5E9B">
      <w:r>
        <w:t xml:space="preserve">On appelle </w:t>
      </w:r>
      <w:r w:rsidRPr="007028D2">
        <w:rPr>
          <w:i/>
        </w:rPr>
        <w:t>structures</w:t>
      </w:r>
      <w:r>
        <w:t xml:space="preserve"> du sol « les arrangements, à toutes échelles d’espace et à tous les niveaux d’investigation, des constituants solides des couvertures pédologiques entre lesquels subsistent des vides. » </w:t>
      </w:r>
      <w:r w:rsidR="0001197B">
        <w:fldChar w:fldCharType="begin"/>
      </w:r>
      <w:r w:rsidR="0001197B">
        <w:instrText xml:space="preserve"> ADDIN ZOTERO_ITEM CSL_CITATION {"citationID":"eyEjwo7M","properties":{"unsorted":false,"formattedCitation":"(Baize et al., 2013)","plainCitation":"(Baize et al., 2013)","noteIndex":0},"citationItems":[{"id":602,"uris":["http://zotero.org/groups/5684833/items/6N3TB2CM"],"itemData":{"id":602,"type":"book","abstract":"Synthèse pédagogique sur les structures des sols et leur rôle majeur dans les fonctionnements hydrique, physique et biologique des sols. L’ouvrage revient d’abord sur la définition du concept de structure et sur les difficultés de sa quantification. Il fait ensuite la synthèse entre des méthodes de laboratoire permettant d’accéder aux organisations microscopiques et des méthodes de terrain caractérisant la dynamique d’évolution des structures, notamment en fonction des systèmes agricoles.","collection-title":"Synthèses (Quae)","number-of-pages":"263 p.","publisher":"Editions Quae","source":"HAL","title":"Les sols et leurs structures","URL":"https://hal.inrae.fr/hal-02805939","author":[{"family":"Baize","given":"Denis"},{"family":"Duval","given":"Odile"},{"family":"Richard","given":"Guy"}],"accessed":{"date-parts":[["2026",6,15]]},"issued":{"date-parts":[["2013"]]}}}],"schema":"https://github.com/citation-style-language/schema/raw/master/csl-citation.json"} </w:instrText>
      </w:r>
      <w:r w:rsidR="0001197B">
        <w:fldChar w:fldCharType="separate"/>
      </w:r>
      <w:r w:rsidR="0001197B" w:rsidRPr="0001197B">
        <w:rPr>
          <w:rFonts w:cs="Calibri"/>
        </w:rPr>
        <w:t>(Baize et al., 2013)</w:t>
      </w:r>
      <w:r w:rsidR="0001197B">
        <w:fldChar w:fldCharType="end"/>
      </w:r>
      <w:r w:rsidR="007116FF">
        <w:t xml:space="preserve">. </w:t>
      </w:r>
      <w:r w:rsidR="00707EFE">
        <w:t xml:space="preserve">Un sol bien structuré constitue un substrat idéal pour le développement racinaire. </w:t>
      </w:r>
      <w:r w:rsidR="00707EFE" w:rsidRPr="00707EFE">
        <w:t xml:space="preserve">Selon </w:t>
      </w:r>
      <w:r w:rsidR="00E367B6">
        <w:t xml:space="preserve">Kay </w:t>
      </w:r>
      <w:r w:rsidR="00E367B6">
        <w:fldChar w:fldCharType="begin"/>
      </w:r>
      <w:r w:rsidR="00E367B6">
        <w:instrText xml:space="preserve"> ADDIN ZOTERO_ITEM CSL_CITATION {"citationID":"54cqqn3W","properties":{"unsorted":false,"formattedCitation":"(1990)","plainCitation":"(1990)","noteIndex":0},"citationItems":[{"id":601,"uris":["http://zotero.org/groups/5684833/items/F9M2P2MM"],"itemData":{"id":601,"type":"chapter","abstract":"The structure of soil can determine both the effectiveness and the impact of farming practices. Soil structure influences the extent to which crop breeding and the management of weeds, insects, disease, soil fertility, and water are manifested in increased crop yields. Soil structure also influences the loss of agricultural chemicals through erosion and leaching and can, therefore, have a significant bearing on the environmental impact of some agricultural practices.","container-title":"Advances in Soil Science 12: Volume 12","DOI":"10.1007/978-1-4612-3316-9_1","ISBN":"978-1-4612-3316-9","language":"en","page":"1-52","publisher":"Springer","publisher-place":"New York, NY","source":"Springer Link","title":"Rates of Change of Soil Structure Under Different Cropping Systems","URL":"https://doi.org/10.1007/978-1-4612-3316-9_1","author":[{"family":"Kay","given":"B. D."}],"editor":[{"family":"Stewart","given":"B. A."}],"accessed":{"date-parts":[["2026",6,15]]},"issued":{"date-parts":[["1990"]]}},"suppress-author":true}],"schema":"https://github.com/citation-style-language/schema/raw/master/csl-citation.json"} </w:instrText>
      </w:r>
      <w:r w:rsidR="00E367B6">
        <w:fldChar w:fldCharType="separate"/>
      </w:r>
      <w:r w:rsidR="00E367B6" w:rsidRPr="00E367B6">
        <w:rPr>
          <w:rFonts w:cs="Calibri"/>
        </w:rPr>
        <w:t>(1990)</w:t>
      </w:r>
      <w:r w:rsidR="00E367B6">
        <w:fldChar w:fldCharType="end"/>
      </w:r>
      <w:r w:rsidR="00E367B6">
        <w:t xml:space="preserve">, </w:t>
      </w:r>
      <w:r w:rsidR="00707EFE" w:rsidRPr="00707EFE">
        <w:t>la structure du sol peut être caractérisée par trois composantes : la forme</w:t>
      </w:r>
      <w:r w:rsidR="00E80572">
        <w:t xml:space="preserve"> de la structure</w:t>
      </w:r>
      <w:r w:rsidR="00707EFE" w:rsidRPr="00707EFE">
        <w:t xml:space="preserve">, </w:t>
      </w:r>
      <w:r w:rsidR="00E80572">
        <w:t>s</w:t>
      </w:r>
      <w:r w:rsidR="00707EFE" w:rsidRPr="00707EFE">
        <w:t xml:space="preserve">a stabilité et </w:t>
      </w:r>
      <w:r w:rsidR="00E80572">
        <w:t>sa</w:t>
      </w:r>
      <w:r w:rsidR="00707EFE" w:rsidRPr="00707EFE">
        <w:t xml:space="preserve"> résilience</w:t>
      </w:r>
      <w:r w:rsidR="00707EFE">
        <w:t>.</w:t>
      </w:r>
      <w:r w:rsidR="004B05A3">
        <w:t xml:space="preserve"> </w:t>
      </w:r>
      <w:r w:rsidR="00992574">
        <w:t xml:space="preserve">Les </w:t>
      </w:r>
      <w:r w:rsidR="00D57A5E">
        <w:t>dimensions de la structure suivantes sont évaluées dans cette fonction :</w:t>
      </w:r>
    </w:p>
    <w:p w14:paraId="04242D68" w14:textId="5AF09E6D" w:rsidR="008C2404" w:rsidRDefault="00B621DD" w:rsidP="00E56224">
      <w:pPr>
        <w:pStyle w:val="Paragraphedeliste"/>
        <w:numPr>
          <w:ilvl w:val="0"/>
          <w:numId w:val="2"/>
        </w:numPr>
      </w:pPr>
      <w:r>
        <w:t>Dans la couche de surface (0-30 cm)</w:t>
      </w:r>
      <w:r w:rsidR="00F47E96">
        <w:t xml:space="preserve"> </w:t>
      </w:r>
      <w:r w:rsidR="008C2404">
        <w:t>:</w:t>
      </w:r>
    </w:p>
    <w:p w14:paraId="5A7AF4B6" w14:textId="08F5FD90" w:rsidR="008C2404" w:rsidRDefault="008C2404" w:rsidP="008C2404">
      <w:pPr>
        <w:pStyle w:val="Paragraphedeliste"/>
        <w:numPr>
          <w:ilvl w:val="1"/>
          <w:numId w:val="2"/>
        </w:numPr>
      </w:pPr>
      <w:r>
        <w:t>L</w:t>
      </w:r>
      <w:r w:rsidR="00E62880">
        <w:t>a qualité structurale</w:t>
      </w:r>
      <w:r w:rsidR="007703FA">
        <w:t xml:space="preserve"> (test VESS</w:t>
      </w:r>
      <w:r w:rsidR="00FA72A9">
        <w:t xml:space="preserve"> – Visual Evaluation of Soil Structure</w:t>
      </w:r>
      <w:r w:rsidR="00F17C95">
        <w:t xml:space="preserve">, voir </w:t>
      </w:r>
      <w:r w:rsidR="006A0E40">
        <w:t>Annexe 2 – Indicateurs</w:t>
      </w:r>
      <w:r w:rsidR="007703FA">
        <w:t>)</w:t>
      </w:r>
      <w:r w:rsidR="00E62880">
        <w:t>,</w:t>
      </w:r>
      <w:r w:rsidR="00E56224">
        <w:t xml:space="preserve"> </w:t>
      </w:r>
      <w:r w:rsidR="00A84957">
        <w:t>qui traduit la forme de la structure à un moment donné ;</w:t>
      </w:r>
    </w:p>
    <w:p w14:paraId="5D839A12" w14:textId="177B33E8" w:rsidR="008C2404" w:rsidRDefault="008C2404" w:rsidP="008C2404">
      <w:pPr>
        <w:pStyle w:val="Paragraphedeliste"/>
        <w:numPr>
          <w:ilvl w:val="1"/>
          <w:numId w:val="2"/>
        </w:numPr>
      </w:pPr>
      <w:r>
        <w:t>L</w:t>
      </w:r>
      <w:r w:rsidR="00E62880">
        <w:t>a compacité</w:t>
      </w:r>
      <w:r w:rsidR="007703FA">
        <w:t xml:space="preserve"> (masse volumique apparente</w:t>
      </w:r>
      <w:r w:rsidR="00F17C95">
        <w:t xml:space="preserve">, voir </w:t>
      </w:r>
      <w:r w:rsidR="006A0E40">
        <w:t>Annexe 2 – Indicateurs</w:t>
      </w:r>
      <w:r w:rsidR="007703FA">
        <w:t>)</w:t>
      </w:r>
      <w:r>
        <w:t> ;</w:t>
      </w:r>
    </w:p>
    <w:p w14:paraId="4DADD8A3" w14:textId="5DC752F9" w:rsidR="00841292" w:rsidRDefault="008C2404" w:rsidP="008C2404">
      <w:pPr>
        <w:pStyle w:val="Paragraphedeliste"/>
        <w:numPr>
          <w:ilvl w:val="1"/>
          <w:numId w:val="2"/>
        </w:numPr>
      </w:pPr>
      <w:r>
        <w:t>L</w:t>
      </w:r>
      <w:r w:rsidR="00E62880">
        <w:t>a résilience structurale (rapport carbone organique/argile</w:t>
      </w:r>
      <w:r w:rsidR="00F17C95">
        <w:t xml:space="preserve">, voir </w:t>
      </w:r>
      <w:r w:rsidR="006A0E40">
        <w:t>Annexe 2 – Indicateurs)</w:t>
      </w:r>
      <w:r w:rsidR="00367451">
        <w:t xml:space="preserve">, </w:t>
      </w:r>
      <w:r w:rsidR="00E66B80">
        <w:t xml:space="preserve">soit la capacité du sol à retrouver sa structure initiale </w:t>
      </w:r>
      <w:r w:rsidR="007F75BF">
        <w:t>après une contrainte physique ;</w:t>
      </w:r>
    </w:p>
    <w:p w14:paraId="38857BB2" w14:textId="3077617E" w:rsidR="00840133" w:rsidRDefault="00B621DD" w:rsidP="00840133">
      <w:pPr>
        <w:pStyle w:val="Paragraphedeliste"/>
        <w:numPr>
          <w:ilvl w:val="0"/>
          <w:numId w:val="2"/>
        </w:numPr>
      </w:pPr>
      <w:r>
        <w:lastRenderedPageBreak/>
        <w:t xml:space="preserve">Dans </w:t>
      </w:r>
      <w:r w:rsidR="00FA2AF3">
        <w:t xml:space="preserve">l’entièreté du profil (0-100 cm), </w:t>
      </w:r>
      <w:r w:rsidR="00C00DAA">
        <w:t xml:space="preserve">la classe de </w:t>
      </w:r>
      <w:r w:rsidR="00013ECE">
        <w:t>drainage définie selon la légende de la carte des sols de Belgique est également pris</w:t>
      </w:r>
      <w:r w:rsidR="00F06B28">
        <w:t>e</w:t>
      </w:r>
      <w:r w:rsidR="00013ECE">
        <w:t xml:space="preserve"> en compte</w:t>
      </w:r>
      <w:r w:rsidR="00F06B28">
        <w:t xml:space="preserve">. </w:t>
      </w:r>
      <w:r w:rsidR="00C63657">
        <w:t>Elle est évaluée par</w:t>
      </w:r>
      <w:r w:rsidR="00DB5FB8">
        <w:t xml:space="preserve"> la présence éventuelle et, le cas échéant, la profondeur d’apparition,</w:t>
      </w:r>
      <w:r w:rsidR="00521CFC">
        <w:t xml:space="preserve"> de taches d’hydromorphie</w:t>
      </w:r>
      <w:r w:rsidR="00DB5FB8">
        <w:t xml:space="preserve"> </w:t>
      </w:r>
      <w:r w:rsidR="00C63657">
        <w:t>ou d’un horizon complètement réduit</w:t>
      </w:r>
      <w:r w:rsidR="00F47E96">
        <w:t>,</w:t>
      </w:r>
      <w:r w:rsidR="00C63657">
        <w:t xml:space="preserve"> </w:t>
      </w:r>
      <w:r w:rsidR="00DB5FB8">
        <w:t>qui sont le signe d’un drainage</w:t>
      </w:r>
      <w:r w:rsidR="005E4711">
        <w:t xml:space="preserve"> limité</w:t>
      </w:r>
      <w:r w:rsidR="00DB5FB8">
        <w:t>.</w:t>
      </w:r>
    </w:p>
    <w:p w14:paraId="22005729" w14:textId="19BC8C1A" w:rsidR="00B571C3" w:rsidRPr="00B571C3" w:rsidRDefault="00C56B2C">
      <w:pPr>
        <w:pStyle w:val="Titre3"/>
        <w:numPr>
          <w:ilvl w:val="2"/>
          <w:numId w:val="12"/>
        </w:numPr>
      </w:pPr>
      <w:bookmarkStart w:id="86" w:name="_Toc241478095"/>
      <w:r>
        <w:t>Contraintes</w:t>
      </w:r>
      <w:bookmarkEnd w:id="86"/>
    </w:p>
    <w:p w14:paraId="2A7D0A29" w14:textId="484E7584" w:rsidR="0064048D" w:rsidRDefault="0064048D">
      <w:pPr>
        <w:pStyle w:val="Titre4"/>
        <w:numPr>
          <w:ilvl w:val="3"/>
          <w:numId w:val="12"/>
        </w:numPr>
      </w:pPr>
      <w:bookmarkStart w:id="87" w:name="_Ref232256841"/>
      <w:r>
        <w:t>Pollution</w:t>
      </w:r>
      <w:bookmarkEnd w:id="87"/>
    </w:p>
    <w:p w14:paraId="73F419A7" w14:textId="08C0B7C6" w:rsidR="00353AC1" w:rsidRDefault="44731B40" w:rsidP="0050182F">
      <w:r>
        <w:t xml:space="preserve">La pollution représente une contrainte non </w:t>
      </w:r>
      <w:r w:rsidR="5749BEB6">
        <w:t xml:space="preserve">négligeable sur la capacité d’un sol à accueillir une production végétale. </w:t>
      </w:r>
      <w:r w:rsidR="0BFE0236">
        <w:t>L’usage</w:t>
      </w:r>
      <w:r w:rsidR="04B75F01">
        <w:t xml:space="preserve"> du sol </w:t>
      </w:r>
      <w:r w:rsidR="756CF48A">
        <w:t>aura des implications sur la prise en compte de la contrainte pollution.</w:t>
      </w:r>
      <w:r w:rsidR="4E869820">
        <w:t xml:space="preserve"> </w:t>
      </w:r>
      <w:r w:rsidR="7AC2604A">
        <w:t xml:space="preserve">En effet, lorsque la production a une finalité alimentaire, </w:t>
      </w:r>
      <w:r w:rsidR="4464BB90">
        <w:t>les valeurs de risque fixeront l’adéquation ou non d’un sol avec</w:t>
      </w:r>
      <w:r w:rsidR="69694E69">
        <w:t xml:space="preserve"> </w:t>
      </w:r>
      <w:r w:rsidR="00BC4433">
        <w:t xml:space="preserve">la finalité d’utilisation des produits issus de sa mise en culture : </w:t>
      </w:r>
      <w:r w:rsidR="0D900D50">
        <w:t>commercialisation (cas des usages</w:t>
      </w:r>
      <w:r w:rsidR="00980370">
        <w:t xml:space="preserve"> de</w:t>
      </w:r>
      <w:r w:rsidR="0D900D50">
        <w:t xml:space="preserve"> type II</w:t>
      </w:r>
      <w:r w:rsidR="005C7F85">
        <w:t xml:space="preserve"> </w:t>
      </w:r>
      <w:r w:rsidR="00BC4433">
        <w:t>Agricole au sens du Décret sols</w:t>
      </w:r>
      <w:r w:rsidR="0D900D50">
        <w:t xml:space="preserve">) ou </w:t>
      </w:r>
      <w:r w:rsidR="29C8E148">
        <w:t>consommation</w:t>
      </w:r>
      <w:r w:rsidR="0D900D50">
        <w:t xml:space="preserve"> (</w:t>
      </w:r>
      <w:r w:rsidR="006D76EE">
        <w:t xml:space="preserve">cas des potagers, </w:t>
      </w:r>
      <w:r w:rsidR="0D900D50">
        <w:t xml:space="preserve">usages </w:t>
      </w:r>
      <w:r w:rsidR="00980370">
        <w:t xml:space="preserve">de </w:t>
      </w:r>
      <w:r w:rsidR="0D900D50">
        <w:t>type III</w:t>
      </w:r>
      <w:r w:rsidR="00BC4433">
        <w:t xml:space="preserve"> Résidentiel au sens du Décret sols</w:t>
      </w:r>
      <w:r w:rsidR="0D900D50">
        <w:t>)</w:t>
      </w:r>
      <w:r w:rsidR="4464BB90">
        <w:t>.</w:t>
      </w:r>
      <w:r w:rsidR="69694E69">
        <w:t xml:space="preserve"> Pour les productions non-alimentaires, ce sont les valeurs de risque liées à l’exploita</w:t>
      </w:r>
      <w:r w:rsidR="2FFD9AEA">
        <w:t>tion du sol (sélection des voies d’exposition</w:t>
      </w:r>
      <w:r w:rsidR="1FCFA236">
        <w:t>, comme</w:t>
      </w:r>
      <w:r w:rsidR="2FFD9AEA">
        <w:t xml:space="preserve"> </w:t>
      </w:r>
      <w:r w:rsidR="1C830AE7">
        <w:t>l’</w:t>
      </w:r>
      <w:r w:rsidR="2FFD9AEA">
        <w:t xml:space="preserve">ingestion de poussières) </w:t>
      </w:r>
      <w:r w:rsidR="418ED062">
        <w:t>qui sont prises en compte</w:t>
      </w:r>
      <w:r w:rsidR="5749BEB6">
        <w:t xml:space="preserve"> (voir </w:t>
      </w:r>
      <w:r w:rsidR="00493508">
        <w:t>Annexe 2 – Indicateurs</w:t>
      </w:r>
      <w:r w:rsidR="5749BEB6">
        <w:t>)</w:t>
      </w:r>
      <w:r w:rsidR="418ED062">
        <w:t>.</w:t>
      </w:r>
      <w:bookmarkStart w:id="88" w:name="_Toc230267096"/>
      <w:bookmarkStart w:id="89" w:name="_Toc230268352"/>
      <w:bookmarkStart w:id="90" w:name="_Toc230268432"/>
      <w:bookmarkEnd w:id="88"/>
      <w:bookmarkEnd w:id="89"/>
      <w:bookmarkEnd w:id="90"/>
    </w:p>
    <w:p w14:paraId="138E9211" w14:textId="79BABE58" w:rsidR="004456AF" w:rsidRPr="004456AF" w:rsidRDefault="006F040B">
      <w:pPr>
        <w:pStyle w:val="Titre4"/>
        <w:numPr>
          <w:ilvl w:val="3"/>
          <w:numId w:val="12"/>
        </w:numPr>
      </w:pPr>
      <w:r>
        <w:t>P</w:t>
      </w:r>
      <w:r w:rsidR="00D00534">
        <w:t>résence d’espèces exotiques envahissantes</w:t>
      </w:r>
    </w:p>
    <w:p w14:paraId="31F04B34" w14:textId="3482C04A" w:rsidR="0064048D" w:rsidRDefault="00067261" w:rsidP="0064048D">
      <w:r>
        <w:t xml:space="preserve">La présence d’un massif </w:t>
      </w:r>
      <w:r w:rsidR="37103F2D">
        <w:t xml:space="preserve">de plantes </w:t>
      </w:r>
      <w:r>
        <w:t xml:space="preserve">exotiques envahissantes </w:t>
      </w:r>
      <w:r w:rsidR="004E2488">
        <w:t xml:space="preserve">sera </w:t>
      </w:r>
      <w:r w:rsidR="001D46FB">
        <w:t>déclassant</w:t>
      </w:r>
      <w:r w:rsidR="004E2488">
        <w:t xml:space="preserve"> pour le </w:t>
      </w:r>
      <w:r w:rsidR="002B7C20">
        <w:t>service écosystémique</w:t>
      </w:r>
      <w:r w:rsidR="004E2488">
        <w:t xml:space="preserve"> </w:t>
      </w:r>
      <w:r w:rsidR="000436F2" w:rsidRPr="000436F2">
        <w:rPr>
          <w:i/>
          <w:iCs/>
        </w:rPr>
        <w:t>P</w:t>
      </w:r>
      <w:r w:rsidR="004E2488" w:rsidRPr="000436F2">
        <w:rPr>
          <w:i/>
          <w:iCs/>
        </w:rPr>
        <w:t>roduction</w:t>
      </w:r>
      <w:r w:rsidR="004E2488">
        <w:t xml:space="preserve">. En effet, </w:t>
      </w:r>
      <w:r w:rsidR="00874847">
        <w:t xml:space="preserve">la compétition qu’entraîne ces espèces et </w:t>
      </w:r>
      <w:r w:rsidR="004E2488">
        <w:t>la difficulté liée à l</w:t>
      </w:r>
      <w:r w:rsidR="00874847">
        <w:t xml:space="preserve">eur </w:t>
      </w:r>
      <w:r w:rsidR="004E2488">
        <w:t xml:space="preserve">élimination </w:t>
      </w:r>
      <w:r w:rsidR="00874847">
        <w:t>inhibe la capacité du sol à soutenir une production</w:t>
      </w:r>
      <w:r w:rsidR="009838F5">
        <w:t>.</w:t>
      </w:r>
      <w:r w:rsidR="00470F36">
        <w:t xml:space="preserve"> La méthode de calcul du coefficient de contrainte est présentée dans </w:t>
      </w:r>
      <w:r w:rsidR="00493508">
        <w:t>l’Annexe 2 – Indicateurs</w:t>
      </w:r>
      <w:r w:rsidR="0D429C5E" w:rsidRPr="00233204">
        <w:t>.</w:t>
      </w:r>
    </w:p>
    <w:p w14:paraId="64D70D83" w14:textId="2D5E7C31" w:rsidR="005D6D0A" w:rsidRDefault="00EC376A">
      <w:pPr>
        <w:pStyle w:val="Titre3"/>
        <w:numPr>
          <w:ilvl w:val="2"/>
          <w:numId w:val="12"/>
        </w:numPr>
      </w:pPr>
      <w:bookmarkStart w:id="91" w:name="_Toc241478096"/>
      <w:r>
        <w:t>Compléments indicatifs</w:t>
      </w:r>
      <w:bookmarkEnd w:id="91"/>
    </w:p>
    <w:p w14:paraId="595BF2D5" w14:textId="02CD1191" w:rsidR="00E97F50" w:rsidRDefault="00C53FA1">
      <w:pPr>
        <w:pStyle w:val="Titre4"/>
        <w:numPr>
          <w:ilvl w:val="3"/>
          <w:numId w:val="12"/>
        </w:numPr>
      </w:pPr>
      <w:r>
        <w:t>Érodibilité du sol</w:t>
      </w:r>
      <w:r w:rsidR="000436F2">
        <w:t xml:space="preserve"> (cultures)</w:t>
      </w:r>
    </w:p>
    <w:p w14:paraId="778D37AC" w14:textId="7EFB27E1" w:rsidR="00A91D1E" w:rsidRDefault="03260910" w:rsidP="009C2BC8">
      <w:r>
        <w:t xml:space="preserve">L’utilisation d’un sol à visée de production agricole (cultures) actuelle ou projetée peut entraîner, </w:t>
      </w:r>
      <w:r w:rsidR="771F2FA3">
        <w:t xml:space="preserve">à travers les pratiques de gestion classique d’une parcelle, une sensibilité à l’érosion accrue. En effet, </w:t>
      </w:r>
      <w:r w:rsidR="21280972">
        <w:t>en plus d</w:t>
      </w:r>
      <w:r w:rsidR="4C7739CE">
        <w:t xml:space="preserve">e la pratique potentielle du labour, </w:t>
      </w:r>
      <w:r w:rsidR="2DF33BF2">
        <w:t xml:space="preserve">il est courant que des sols agricoles </w:t>
      </w:r>
      <w:r w:rsidR="6ED00CFD">
        <w:t>soient temporairement nus (phases d’intercultures), ce qui les rend particulièrement vulnérables à l’érosion.</w:t>
      </w:r>
      <w:r w:rsidR="568B2AEC">
        <w:t xml:space="preserve"> L’érodibilité du sol peut s’estimer </w:t>
      </w:r>
      <w:r w:rsidR="49758E14">
        <w:t xml:space="preserve">sur base de la texture, de la </w:t>
      </w:r>
      <w:r w:rsidR="19581901">
        <w:t>teneur en matière organique,</w:t>
      </w:r>
      <w:r w:rsidR="49758E14">
        <w:t xml:space="preserve"> de la qualité</w:t>
      </w:r>
      <w:r w:rsidR="19581901">
        <w:t xml:space="preserve"> structur</w:t>
      </w:r>
      <w:r w:rsidR="49758E14">
        <w:t>ale</w:t>
      </w:r>
      <w:r w:rsidR="04785495">
        <w:t xml:space="preserve"> et de la </w:t>
      </w:r>
      <w:r w:rsidR="19581901">
        <w:t>perméabilité</w:t>
      </w:r>
      <w:r w:rsidR="04785495">
        <w:t xml:space="preserve"> (voir </w:t>
      </w:r>
      <w:r w:rsidR="00493508">
        <w:t>Annexe 2 – Indicateurs</w:t>
      </w:r>
      <w:r w:rsidR="04785495">
        <w:t>).</w:t>
      </w:r>
      <w:r w:rsidR="536FC708">
        <w:t xml:space="preserve"> </w:t>
      </w:r>
      <w:r w:rsidR="25051F02">
        <w:t xml:space="preserve">En cas de sensibilité à l’érosion élevée, </w:t>
      </w:r>
      <w:r w:rsidR="6B2C2674">
        <w:t xml:space="preserve">il est conseillé de mettre en place des mesures de gestion adaptées (couvert </w:t>
      </w:r>
      <w:r w:rsidR="07DBE49C">
        <w:t>d’interculture, réduction de l’intensité ou de la profondeur du travail du sol</w:t>
      </w:r>
      <w:r w:rsidR="16FD4199">
        <w:t>,</w:t>
      </w:r>
      <w:r w:rsidR="07DBE49C">
        <w:t xml:space="preserve"> etc.)</w:t>
      </w:r>
    </w:p>
    <w:p w14:paraId="38963856" w14:textId="508BC727" w:rsidR="009C2BC8" w:rsidRDefault="00F234FE">
      <w:pPr>
        <w:pStyle w:val="Titre4"/>
        <w:numPr>
          <w:ilvl w:val="3"/>
          <w:numId w:val="12"/>
        </w:numPr>
      </w:pPr>
      <w:r>
        <w:t>Sol superficiel</w:t>
      </w:r>
      <w:r w:rsidR="0095330B">
        <w:t xml:space="preserve"> et pente</w:t>
      </w:r>
      <w:r w:rsidR="00EE29C9">
        <w:t xml:space="preserve"> </w:t>
      </w:r>
      <w:r w:rsidR="001F3BCE" w:rsidRPr="00F17E49">
        <w:t>forte</w:t>
      </w:r>
      <w:r w:rsidR="000436F2" w:rsidRPr="00F17E49">
        <w:t xml:space="preserve"> (cultures</w:t>
      </w:r>
      <w:r w:rsidR="000436F2">
        <w:t>)</w:t>
      </w:r>
    </w:p>
    <w:p w14:paraId="5B71CEFC" w14:textId="3CFE48CF" w:rsidR="00D40AF6" w:rsidRDefault="00D40AF6" w:rsidP="00D40AF6">
      <w:r>
        <w:t xml:space="preserve">Dans le cas d’un usage actuel ou projeté en tant que terre de culture, </w:t>
      </w:r>
      <w:r w:rsidR="005A129E">
        <w:t>les facteurs suivants doivent être pris en compte</w:t>
      </w:r>
      <w:r w:rsidR="00F502B7">
        <w:t xml:space="preserve"> </w:t>
      </w:r>
      <w:r w:rsidR="005A129E">
        <w:t xml:space="preserve">: la pente et </w:t>
      </w:r>
      <w:r w:rsidR="0095330B">
        <w:t xml:space="preserve">la charge en </w:t>
      </w:r>
      <w:r w:rsidR="005A129E">
        <w:t xml:space="preserve">éléments grossiers. En effet, </w:t>
      </w:r>
      <w:r w:rsidR="00BA1523">
        <w:t xml:space="preserve">une forte pente ou une charge en éléments grossiers élevée </w:t>
      </w:r>
      <w:r w:rsidR="00EE29C9">
        <w:t xml:space="preserve">dans le sol de surface </w:t>
      </w:r>
      <w:r w:rsidR="00461B54">
        <w:t xml:space="preserve">peuvent représenter des contraintes </w:t>
      </w:r>
      <w:r w:rsidR="00FD391F">
        <w:t xml:space="preserve">aux pratiques de gestion classiquement employées sur des sols agricoles (mécanisation). </w:t>
      </w:r>
      <w:r w:rsidR="00F502B7">
        <w:t>En cas de changement d’usage envisagé, il est important de mettre en évidence la présence éventuelle de telles contraintes à l’exploitabilité.</w:t>
      </w:r>
    </w:p>
    <w:p w14:paraId="7B0855E7" w14:textId="77777777" w:rsidR="00DB48C0" w:rsidRDefault="00DB48C0">
      <w:pPr>
        <w:pStyle w:val="Titre4"/>
        <w:numPr>
          <w:ilvl w:val="3"/>
          <w:numId w:val="12"/>
        </w:numPr>
      </w:pPr>
      <w:r>
        <w:t>Stabilité structurale (cultures)</w:t>
      </w:r>
    </w:p>
    <w:p w14:paraId="09D47981" w14:textId="77777777" w:rsidR="00DB48C0" w:rsidRPr="00CB063A" w:rsidRDefault="00DB48C0" w:rsidP="00DB48C0">
      <w:r>
        <w:t>La mesure de la stabilité structurale (Quanti-Slake test) peut se justifier dans un contexte agricole (terre arable). Le résultat de ce test peut être intégré au diagnostic mais sans se voir attribuer un score.</w:t>
      </w:r>
    </w:p>
    <w:p w14:paraId="3C93DC96" w14:textId="77777777" w:rsidR="00DB48C0" w:rsidRDefault="00DB48C0" w:rsidP="00D40AF6"/>
    <w:p w14:paraId="61D0F9C1" w14:textId="037E221A" w:rsidR="00C82D0E" w:rsidRDefault="00C82D0E">
      <w:pPr>
        <w:pStyle w:val="Titre3"/>
        <w:numPr>
          <w:ilvl w:val="2"/>
          <w:numId w:val="12"/>
        </w:numPr>
      </w:pPr>
      <w:bookmarkStart w:id="92" w:name="_Toc241478097"/>
      <w:r>
        <w:lastRenderedPageBreak/>
        <w:t xml:space="preserve">Schéma général d’évaluation du </w:t>
      </w:r>
      <w:r w:rsidR="002B7C20">
        <w:t>service</w:t>
      </w:r>
      <w:bookmarkEnd w:id="92"/>
    </w:p>
    <w:p w14:paraId="670BC946" w14:textId="306E2BDD" w:rsidR="00C12279" w:rsidRDefault="00C12279" w:rsidP="00C12279">
      <w:r>
        <w:t xml:space="preserve">Le schéma </w:t>
      </w:r>
      <w:r w:rsidR="00FE3E28">
        <w:t xml:space="preserve">présenté en </w:t>
      </w:r>
      <w:r w:rsidR="00FE3E28" w:rsidRPr="00FE3E28">
        <w:fldChar w:fldCharType="begin"/>
      </w:r>
      <w:r w:rsidR="00FE3E28" w:rsidRPr="00FE3E28">
        <w:instrText xml:space="preserve"> REF _Ref233114568 \h  \* MERGEFORMAT </w:instrText>
      </w:r>
      <w:r w:rsidR="00FE3E28" w:rsidRPr="00FE3E28">
        <w:fldChar w:fldCharType="separate"/>
      </w:r>
      <w:r w:rsidR="001C792E" w:rsidRPr="0032669B">
        <w:t xml:space="preserve">Figure </w:t>
      </w:r>
      <w:r w:rsidR="001C792E">
        <w:rPr>
          <w:noProof/>
        </w:rPr>
        <w:t>7</w:t>
      </w:r>
      <w:r w:rsidR="00FE3E28" w:rsidRPr="00FE3E28">
        <w:fldChar w:fldCharType="end"/>
      </w:r>
      <w:r w:rsidR="00FE3E28" w:rsidRPr="00FE3E28">
        <w:t xml:space="preserve"> </w:t>
      </w:r>
      <w:r>
        <w:t xml:space="preserve">détaille les paramètres et indicateurs pris en compte dans </w:t>
      </w:r>
      <w:r w:rsidR="00C73B42">
        <w:t xml:space="preserve">l’évaluation du </w:t>
      </w:r>
      <w:r w:rsidR="002B7C20">
        <w:t>service écosystémique</w:t>
      </w:r>
      <w:r w:rsidR="00C73B42">
        <w:t xml:space="preserve"> </w:t>
      </w:r>
      <w:r w:rsidR="00D41D36" w:rsidRPr="00D41D36">
        <w:rPr>
          <w:i/>
          <w:iCs/>
        </w:rPr>
        <w:t>P</w:t>
      </w:r>
      <w:r w:rsidR="00C73B42" w:rsidRPr="00D41D36">
        <w:rPr>
          <w:i/>
          <w:iCs/>
        </w:rPr>
        <w:t>roduction de biomasse</w:t>
      </w:r>
      <w:r w:rsidR="00C73B42">
        <w:t>.</w:t>
      </w:r>
    </w:p>
    <w:p w14:paraId="33A2F147" w14:textId="25639774" w:rsidR="0032669B" w:rsidRDefault="00F3273C" w:rsidP="00F3273C">
      <w:r w:rsidRPr="00F3273C">
        <w:rPr>
          <w:noProof/>
        </w:rPr>
        <w:drawing>
          <wp:inline distT="0" distB="0" distL="0" distR="0" wp14:anchorId="63E401D3" wp14:editId="7EC9B093">
            <wp:extent cx="5801014" cy="2208479"/>
            <wp:effectExtent l="0" t="0" r="0" b="1905"/>
            <wp:docPr id="14725293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29367" name=""/>
                    <pic:cNvPicPr/>
                  </pic:nvPicPr>
                  <pic:blipFill>
                    <a:blip r:embed="rId27"/>
                    <a:stretch>
                      <a:fillRect/>
                    </a:stretch>
                  </pic:blipFill>
                  <pic:spPr>
                    <a:xfrm>
                      <a:off x="0" y="0"/>
                      <a:ext cx="5811466" cy="2212458"/>
                    </a:xfrm>
                    <a:prstGeom prst="rect">
                      <a:avLst/>
                    </a:prstGeom>
                  </pic:spPr>
                </pic:pic>
              </a:graphicData>
            </a:graphic>
          </wp:inline>
        </w:drawing>
      </w:r>
    </w:p>
    <w:p w14:paraId="1175277B" w14:textId="3E69680D" w:rsidR="00C82D0E" w:rsidRDefault="0032669B" w:rsidP="0032669B">
      <w:pPr>
        <w:pStyle w:val="Lgende"/>
        <w:jc w:val="center"/>
      </w:pPr>
      <w:bookmarkStart w:id="93" w:name="_Ref233114568"/>
      <w:bookmarkStart w:id="94" w:name="_Toc241229822"/>
      <w:r w:rsidRPr="0032669B">
        <w:rPr>
          <w:i w:val="0"/>
          <w:iCs w:val="0"/>
        </w:rPr>
        <w:t xml:space="preserve">Figure </w:t>
      </w:r>
      <w:r w:rsidRPr="0032669B">
        <w:rPr>
          <w:i w:val="0"/>
          <w:iCs w:val="0"/>
        </w:rPr>
        <w:fldChar w:fldCharType="begin"/>
      </w:r>
      <w:r w:rsidRPr="0032669B">
        <w:rPr>
          <w:i w:val="0"/>
          <w:iCs w:val="0"/>
        </w:rPr>
        <w:instrText xml:space="preserve"> SEQ Figure \* ARABIC </w:instrText>
      </w:r>
      <w:r w:rsidRPr="0032669B">
        <w:rPr>
          <w:i w:val="0"/>
          <w:iCs w:val="0"/>
        </w:rPr>
        <w:fldChar w:fldCharType="separate"/>
      </w:r>
      <w:r w:rsidR="00F3273C">
        <w:rPr>
          <w:i w:val="0"/>
          <w:iCs w:val="0"/>
          <w:noProof/>
        </w:rPr>
        <w:t>7</w:t>
      </w:r>
      <w:r w:rsidRPr="0032669B">
        <w:rPr>
          <w:i w:val="0"/>
          <w:iCs w:val="0"/>
        </w:rPr>
        <w:fldChar w:fldCharType="end"/>
      </w:r>
      <w:bookmarkEnd w:id="93"/>
      <w:r w:rsidRPr="0032669B">
        <w:rPr>
          <w:i w:val="0"/>
          <w:iCs w:val="0"/>
        </w:rPr>
        <w:t xml:space="preserve"> : Schéma général d'évaluation du </w:t>
      </w:r>
      <w:r w:rsidR="002B7C20">
        <w:rPr>
          <w:i w:val="0"/>
          <w:iCs w:val="0"/>
        </w:rPr>
        <w:t>service écosystémique</w:t>
      </w:r>
      <w:r>
        <w:t xml:space="preserve"> Production</w:t>
      </w:r>
      <w:r w:rsidR="00DD77DB">
        <w:t xml:space="preserve"> de biomasse</w:t>
      </w:r>
      <w:bookmarkEnd w:id="94"/>
    </w:p>
    <w:p w14:paraId="47FA2101" w14:textId="77777777" w:rsidR="00C82D0E" w:rsidRPr="0064048D" w:rsidRDefault="00C82D0E" w:rsidP="0064048D"/>
    <w:p w14:paraId="6D24E6C3" w14:textId="083B44AB" w:rsidR="00C66A0D" w:rsidRDefault="00C66A0D">
      <w:pPr>
        <w:pStyle w:val="Titre3"/>
        <w:numPr>
          <w:ilvl w:val="2"/>
          <w:numId w:val="12"/>
        </w:numPr>
      </w:pPr>
      <w:bookmarkStart w:id="95" w:name="_Ref232206638"/>
      <w:bookmarkStart w:id="96" w:name="_Toc241478098"/>
      <w:r>
        <w:t>Distinctions en fonction de l’usage</w:t>
      </w:r>
      <w:bookmarkEnd w:id="95"/>
      <w:bookmarkEnd w:id="96"/>
    </w:p>
    <w:p w14:paraId="145FEF81" w14:textId="34580984" w:rsidR="004024B7" w:rsidRDefault="00390055" w:rsidP="004024B7">
      <w:bookmarkStart w:id="97" w:name="_Toc230267097"/>
      <w:r>
        <w:t xml:space="preserve">Comme explicité au </w:t>
      </w:r>
      <w:r w:rsidRPr="007050FD">
        <w:t xml:space="preserve">point </w:t>
      </w:r>
      <w:r w:rsidR="004B7436" w:rsidRPr="007050FD">
        <w:fldChar w:fldCharType="begin"/>
      </w:r>
      <w:r w:rsidR="004B7436" w:rsidRPr="007050FD">
        <w:instrText xml:space="preserve"> REF _Ref232206889 \r \h </w:instrText>
      </w:r>
      <w:r w:rsidR="007050FD">
        <w:instrText xml:space="preserve"> \* MERGEFORMAT </w:instrText>
      </w:r>
      <w:r w:rsidR="004B7436" w:rsidRPr="007050FD">
        <w:fldChar w:fldCharType="separate"/>
      </w:r>
      <w:r w:rsidR="007050FD" w:rsidRPr="007050FD">
        <w:t>3.3</w:t>
      </w:r>
      <w:r w:rsidR="004B7436" w:rsidRPr="007050FD">
        <w:fldChar w:fldCharType="end"/>
      </w:r>
      <w:r>
        <w:t xml:space="preserve">, le même set de paramètres </w:t>
      </w:r>
      <w:r w:rsidR="64D9B97D">
        <w:t>est</w:t>
      </w:r>
      <w:r>
        <w:t xml:space="preserve"> mesuré</w:t>
      </w:r>
      <w:r w:rsidR="64D9B97D">
        <w:t xml:space="preserve"> indépendamment de l’usage du sol et du type de production</w:t>
      </w:r>
      <w:r w:rsidR="182AAB69">
        <w:t>.</w:t>
      </w:r>
      <w:r>
        <w:t xml:space="preserve"> Toutefois, </w:t>
      </w:r>
      <w:r w:rsidR="005B7295">
        <w:t xml:space="preserve">au niveau de l’interprétation des résultats, </w:t>
      </w:r>
      <w:r>
        <w:t xml:space="preserve">une distinction </w:t>
      </w:r>
      <w:r w:rsidR="64D9B97D">
        <w:t>est</w:t>
      </w:r>
      <w:r w:rsidR="182AAB69">
        <w:t xml:space="preserve"> faite en fonction des types de </w:t>
      </w:r>
      <w:r w:rsidR="1F8D3B20">
        <w:t>production (culture, prairie, forêt et espaces verts)</w:t>
      </w:r>
      <w:r w:rsidR="3A1E4F66">
        <w:t xml:space="preserve"> et de la finalité de la production (alimentaire </w:t>
      </w:r>
      <w:r w:rsidR="3A1E4F66" w:rsidRPr="00635881">
        <w:rPr>
          <w:i/>
          <w:iCs/>
        </w:rPr>
        <w:t>vs</w:t>
      </w:r>
      <w:r w:rsidR="3A1E4F66">
        <w:t xml:space="preserve"> non-alimentaire)</w:t>
      </w:r>
      <w:r w:rsidR="76D37DB9">
        <w:t>.</w:t>
      </w:r>
    </w:p>
    <w:p w14:paraId="399C3427" w14:textId="1AA19EB2" w:rsidR="00053AB4" w:rsidRDefault="15367703" w:rsidP="005643F0">
      <w:r>
        <w:t>C</w:t>
      </w:r>
      <w:r w:rsidR="182AAB69">
        <w:t>hacun</w:t>
      </w:r>
      <w:r w:rsidR="00390055">
        <w:t xml:space="preserve"> de ces </w:t>
      </w:r>
      <w:r w:rsidR="2CF4067D">
        <w:t>typ</w:t>
      </w:r>
      <w:r w:rsidR="182AAB69">
        <w:t>es</w:t>
      </w:r>
      <w:r>
        <w:t xml:space="preserve"> de production</w:t>
      </w:r>
      <w:r w:rsidR="182AAB69">
        <w:t xml:space="preserve"> </w:t>
      </w:r>
      <w:r>
        <w:t>s’est vu attribuer</w:t>
      </w:r>
      <w:r w:rsidR="00390055">
        <w:t xml:space="preserve"> des seuils d’interprétation des paramètres </w:t>
      </w:r>
      <w:r w:rsidR="005643F0">
        <w:t xml:space="preserve">et des référentiels </w:t>
      </w:r>
      <w:r w:rsidR="00390055">
        <w:t>qui lui sont propres</w:t>
      </w:r>
      <w:r w:rsidR="005643F0">
        <w:t>. P</w:t>
      </w:r>
      <w:r w:rsidR="00390055">
        <w:t xml:space="preserve">ar exemple, le niveau d’exigence concernant le stock </w:t>
      </w:r>
      <w:r w:rsidR="769FC54C">
        <w:t xml:space="preserve">en éléments </w:t>
      </w:r>
      <w:r w:rsidR="182AAB69">
        <w:t>nutritif</w:t>
      </w:r>
      <w:r w:rsidR="769FC54C">
        <w:t>s</w:t>
      </w:r>
      <w:r w:rsidR="00390055">
        <w:t xml:space="preserve"> sera différent en forêt (seuils permissifs car </w:t>
      </w:r>
      <w:r w:rsidR="00722729">
        <w:t xml:space="preserve">dimension peu contraignante </w:t>
      </w:r>
      <w:r w:rsidR="009E5978">
        <w:t>pour l’établissement d’un peuplement</w:t>
      </w:r>
      <w:r w:rsidR="7D3BD201">
        <w:t>, qu’on choisira en adéquation avec le terroir</w:t>
      </w:r>
      <w:r w:rsidR="009E5978">
        <w:t xml:space="preserve">) </w:t>
      </w:r>
      <w:r w:rsidR="380AFB16">
        <w:t xml:space="preserve">et en </w:t>
      </w:r>
      <w:r w:rsidR="009204FC">
        <w:t>culture</w:t>
      </w:r>
      <w:r w:rsidR="3EE8636A">
        <w:t xml:space="preserve"> </w:t>
      </w:r>
      <w:r w:rsidR="00390055">
        <w:t xml:space="preserve">(seuils basés sur des référentiels spécifiques </w:t>
      </w:r>
      <w:r w:rsidR="794DD5A2">
        <w:t xml:space="preserve">et </w:t>
      </w:r>
      <w:r w:rsidR="00635881">
        <w:t>exigeants</w:t>
      </w:r>
      <w:r w:rsidR="00390055">
        <w:t xml:space="preserve">). </w:t>
      </w:r>
    </w:p>
    <w:p w14:paraId="15DE2B05" w14:textId="77777777" w:rsidR="000B29F6" w:rsidRDefault="2033F67C" w:rsidP="005E5327">
      <w:pPr>
        <w:rPr>
          <w:noProof/>
        </w:rPr>
      </w:pPr>
      <w:r>
        <w:t>Chaque</w:t>
      </w:r>
      <w:r w:rsidR="55994575">
        <w:t xml:space="preserve"> finalité de la production</w:t>
      </w:r>
      <w:r w:rsidR="78355DEF">
        <w:t xml:space="preserve"> </w:t>
      </w:r>
      <w:r w:rsidR="005E2A10">
        <w:t xml:space="preserve">(alimentaire ou </w:t>
      </w:r>
      <w:r w:rsidR="7E0BC475">
        <w:t>non alimentaire</w:t>
      </w:r>
      <w:r w:rsidR="35806984">
        <w:t>)</w:t>
      </w:r>
      <w:r w:rsidR="67B42001">
        <w:t xml:space="preserve"> s’est </w:t>
      </w:r>
      <w:r w:rsidR="00230C55">
        <w:t>vu</w:t>
      </w:r>
      <w:r w:rsidR="67B42001">
        <w:t xml:space="preserve"> attribuer des seuils de contrainte qui lui </w:t>
      </w:r>
      <w:r w:rsidR="00230C55">
        <w:t>sont</w:t>
      </w:r>
      <w:r w:rsidR="67B42001">
        <w:t xml:space="preserve"> propre</w:t>
      </w:r>
      <w:r w:rsidR="00230C55">
        <w:t>s</w:t>
      </w:r>
      <w:r w:rsidR="67B42001">
        <w:t xml:space="preserve"> et qui dépendent </w:t>
      </w:r>
      <w:r w:rsidR="35806984">
        <w:t>de</w:t>
      </w:r>
      <w:r w:rsidR="60A4F641">
        <w:t>s</w:t>
      </w:r>
      <w:r w:rsidR="35806984">
        <w:t xml:space="preserve"> </w:t>
      </w:r>
      <w:r w:rsidR="5B077BC0">
        <w:t xml:space="preserve">voies d‘exposition </w:t>
      </w:r>
      <w:r w:rsidR="00092263">
        <w:t xml:space="preserve">humaine </w:t>
      </w:r>
      <w:r w:rsidR="001D1AD9">
        <w:t>à travers l’exploitation du sol et/ou la consommation des produits</w:t>
      </w:r>
      <w:r w:rsidR="0DA8409F">
        <w:t>.</w:t>
      </w:r>
      <w:r w:rsidR="00570AF7">
        <w:t xml:space="preserve"> Ainsi, o</w:t>
      </w:r>
      <w:r w:rsidR="00053AB4" w:rsidRPr="005E5327">
        <w:t>n considère que</w:t>
      </w:r>
      <w:r w:rsidR="00570AF7">
        <w:t>, par exemple,</w:t>
      </w:r>
      <w:r w:rsidR="00053AB4" w:rsidRPr="005E5327">
        <w:t xml:space="preserve"> le même niveau de nutriments est requis pour supporter une production type « cultures », que celle-ci soit destinée à l’alimentation ou à la production de biomasse</w:t>
      </w:r>
      <w:r w:rsidR="1D38DBFF">
        <w:t xml:space="preserve"> non alimentaire</w:t>
      </w:r>
      <w:r w:rsidR="5E8F59F0">
        <w:t>.</w:t>
      </w:r>
      <w:r w:rsidR="0005416C">
        <w:t xml:space="preserve"> </w:t>
      </w:r>
      <w:r w:rsidR="009E5978">
        <w:t>Cependant</w:t>
      </w:r>
      <w:r w:rsidR="0005416C">
        <w:t xml:space="preserve">, </w:t>
      </w:r>
      <w:r w:rsidR="1FA34E3E">
        <w:t>la notion de risque sanitaire s’appliquera de manière différente à travers</w:t>
      </w:r>
      <w:r w:rsidR="5E8F59F0">
        <w:t xml:space="preserve"> l’application de la contrainte</w:t>
      </w:r>
      <w:r w:rsidR="001D1AD9">
        <w:t xml:space="preserve"> </w:t>
      </w:r>
      <w:r w:rsidR="001D1AD9" w:rsidRPr="001D1AD9">
        <w:rPr>
          <w:i/>
          <w:iCs/>
        </w:rPr>
        <w:t>P</w:t>
      </w:r>
      <w:r w:rsidR="1FA34E3E" w:rsidRPr="001D1AD9">
        <w:rPr>
          <w:i/>
          <w:iCs/>
        </w:rPr>
        <w:t>ollution</w:t>
      </w:r>
      <w:r w:rsidR="5E8F59F0">
        <w:t>.</w:t>
      </w:r>
      <w:r w:rsidR="000B29F6" w:rsidRPr="000B29F6">
        <w:rPr>
          <w:noProof/>
        </w:rPr>
        <w:t xml:space="preserve"> </w:t>
      </w:r>
    </w:p>
    <w:p w14:paraId="5C2CD265" w14:textId="6E92EEC0" w:rsidR="00CD6216" w:rsidRPr="005E5327" w:rsidRDefault="000B29F6" w:rsidP="005E5327">
      <w:r>
        <w:rPr>
          <w:noProof/>
        </w:rPr>
        <w:lastRenderedPageBreak/>
        <mc:AlternateContent>
          <mc:Choice Requires="wps">
            <w:drawing>
              <wp:inline distT="0" distB="0" distL="0" distR="0" wp14:anchorId="6FD48EC1" wp14:editId="49DC9C58">
                <wp:extent cx="5734685" cy="2294627"/>
                <wp:effectExtent l="0" t="0" r="18415" b="10795"/>
                <wp:docPr id="20796769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2294627"/>
                        </a:xfrm>
                        <a:prstGeom prst="rect">
                          <a:avLst/>
                        </a:prstGeom>
                        <a:solidFill>
                          <a:srgbClr val="FFFFFF"/>
                        </a:solidFill>
                        <a:ln w="9525">
                          <a:solidFill>
                            <a:srgbClr val="000000"/>
                          </a:solidFill>
                          <a:miter lim="800000"/>
                          <a:headEnd/>
                          <a:tailEnd/>
                        </a:ln>
                      </wps:spPr>
                      <wps:txbx>
                        <w:txbxContent>
                          <w:p w14:paraId="6AD67F8D" w14:textId="77777777" w:rsidR="000B29F6" w:rsidRPr="0064741C" w:rsidRDefault="000B29F6" w:rsidP="000B29F6">
                            <w:pPr>
                              <w:rPr>
                                <w:b/>
                                <w:bCs/>
                                <w:i/>
                                <w:iCs/>
                                <w:u w:val="single"/>
                              </w:rPr>
                            </w:pPr>
                            <w:r w:rsidRPr="0064741C">
                              <w:rPr>
                                <w:b/>
                                <w:bCs/>
                                <w:i/>
                                <w:iCs/>
                                <w:u w:val="single"/>
                              </w:rPr>
                              <w:t>L’IQSW</w:t>
                            </w:r>
                            <w:r>
                              <w:rPr>
                                <w:b/>
                                <w:bCs/>
                                <w:i/>
                                <w:iCs/>
                                <w:u w:val="single"/>
                              </w:rPr>
                              <w:t>-pro</w:t>
                            </w:r>
                            <w:r w:rsidRPr="0064741C">
                              <w:rPr>
                                <w:b/>
                                <w:bCs/>
                                <w:i/>
                                <w:iCs/>
                                <w:u w:val="single"/>
                              </w:rPr>
                              <w:t>, un outil complémentaire au conseil de fumure, au fichier écologique des essence et au décret sol</w:t>
                            </w:r>
                          </w:p>
                          <w:p w14:paraId="41E839A3" w14:textId="77777777" w:rsidR="000B29F6" w:rsidRPr="00D056AD" w:rsidRDefault="000B29F6" w:rsidP="000B29F6">
                            <w:pPr>
                              <w:rPr>
                                <w:i/>
                                <w:iCs/>
                              </w:rPr>
                            </w:pPr>
                            <w:r>
                              <w:rPr>
                                <w:i/>
                                <w:iCs/>
                              </w:rPr>
                              <w:t>P</w:t>
                            </w:r>
                            <w:r w:rsidRPr="00D056AD">
                              <w:rPr>
                                <w:i/>
                                <w:iCs/>
                              </w:rPr>
                              <w:t>our rappel, l’IQSW ne vise pas à remplacer des outils existants, et son périmètre est de définir si le sol est capable d’accueillir une production végétale</w:t>
                            </w:r>
                            <w:r>
                              <w:rPr>
                                <w:i/>
                                <w:iCs/>
                              </w:rPr>
                              <w:t xml:space="preserve"> donnée</w:t>
                            </w:r>
                            <w:r w:rsidRPr="00D056AD">
                              <w:rPr>
                                <w:i/>
                                <w:iCs/>
                              </w:rPr>
                              <w:t>. Pour les spécificités liées à une culture en particulier, ou à un choix d’essence dans le cas des forêts, voir</w:t>
                            </w:r>
                            <w:r>
                              <w:rPr>
                                <w:i/>
                                <w:iCs/>
                              </w:rPr>
                              <w:t xml:space="preserve"> respectivement</w:t>
                            </w:r>
                            <w:r w:rsidRPr="00D056AD">
                              <w:rPr>
                                <w:i/>
                                <w:iCs/>
                              </w:rPr>
                              <w:t xml:space="preserve"> le conseil de fumure ou le fichier écologique des essences.</w:t>
                            </w:r>
                          </w:p>
                          <w:p w14:paraId="04F7EDF9" w14:textId="64756726" w:rsidR="000B29F6" w:rsidRPr="00D056AD" w:rsidRDefault="000B29F6" w:rsidP="000B29F6">
                            <w:pPr>
                              <w:rPr>
                                <w:i/>
                                <w:iCs/>
                              </w:rPr>
                            </w:pPr>
                            <w:r w:rsidRPr="00D056AD">
                              <w:rPr>
                                <w:i/>
                                <w:iCs/>
                              </w:rPr>
                              <w:t xml:space="preserve">De plus, des systèmes culturaux spécifiques tels que la vigne ne sont pas traités dans la version actuelle de l’indice. En effet, les référentiels sont encore insuffisants à ce stade que pour pouvoir correctement interpréter la qualité ou la santé d’un sol quant à ce </w:t>
                            </w:r>
                            <w:r w:rsidR="002B7C20">
                              <w:rPr>
                                <w:i/>
                                <w:iCs/>
                              </w:rPr>
                              <w:t>service</w:t>
                            </w:r>
                            <w:r w:rsidRPr="00D056AD">
                              <w:rPr>
                                <w:i/>
                                <w:iCs/>
                              </w:rPr>
                              <w:t>. Dans un tel cas de figure, le recours à des outils existants spécifiques est donc conseillé.</w:t>
                            </w:r>
                          </w:p>
                          <w:p w14:paraId="36710F12" w14:textId="77777777" w:rsidR="000B29F6" w:rsidRPr="00D056AD" w:rsidRDefault="000B29F6" w:rsidP="000B29F6">
                            <w:pPr>
                              <w:rPr>
                                <w:i/>
                                <w:iCs/>
                              </w:rPr>
                            </w:pPr>
                          </w:p>
                          <w:p w14:paraId="2A5C066C" w14:textId="77777777" w:rsidR="000B29F6" w:rsidRPr="00D056AD" w:rsidRDefault="000B29F6" w:rsidP="000B29F6">
                            <w:pPr>
                              <w:rPr>
                                <w:i/>
                                <w:iCs/>
                              </w:rPr>
                            </w:pPr>
                          </w:p>
                        </w:txbxContent>
                      </wps:txbx>
                      <wps:bodyPr rot="0" vert="horz" wrap="square" lIns="91440" tIns="45720" rIns="91440" bIns="45720" anchor="t" anchorCtr="0">
                        <a:noAutofit/>
                      </wps:bodyPr>
                    </wps:wsp>
                  </a:graphicData>
                </a:graphic>
              </wp:inline>
            </w:drawing>
          </mc:Choice>
          <mc:Fallback>
            <w:pict>
              <v:shapetype w14:anchorId="6FD48EC1" id="_x0000_t202" coordsize="21600,21600" o:spt="202" path="m,l,21600r21600,l21600,xe">
                <v:stroke joinstyle="miter"/>
                <v:path gradientshapeok="t" o:connecttype="rect"/>
              </v:shapetype>
              <v:shape id="Zone de texte 2" o:spid="_x0000_s1026" type="#_x0000_t202" style="width:451.55pt;height:18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">
                <v:textbox>
                  <w:txbxContent>
                    <w:p w14:paraId="6AD67F8D" w14:textId="77777777" w:rsidR="000B29F6" w:rsidRPr="0064741C" w:rsidRDefault="000B29F6" w:rsidP="000B29F6">
                      <w:pPr>
                        <w:rPr>
                          <w:b/>
                          <w:bCs/>
                          <w:i/>
                          <w:iCs/>
                          <w:u w:val="single"/>
                        </w:rPr>
                      </w:pPr>
                      <w:r w:rsidRPr="0064741C">
                        <w:rPr>
                          <w:b/>
                          <w:bCs/>
                          <w:i/>
                          <w:iCs/>
                          <w:u w:val="single"/>
                        </w:rPr>
                        <w:t>L’IQSW</w:t>
                      </w:r>
                      <w:r>
                        <w:rPr>
                          <w:b/>
                          <w:bCs/>
                          <w:i/>
                          <w:iCs/>
                          <w:u w:val="single"/>
                        </w:rPr>
                        <w:t>-pro</w:t>
                      </w:r>
                      <w:r w:rsidRPr="0064741C">
                        <w:rPr>
                          <w:b/>
                          <w:bCs/>
                          <w:i/>
                          <w:iCs/>
                          <w:u w:val="single"/>
                        </w:rPr>
                        <w:t>, un outil complémentaire au conseil de fumure, au fichier écologique des essence et au décret sol</w:t>
                      </w:r>
                    </w:p>
                    <w:p w14:paraId="41E839A3" w14:textId="77777777" w:rsidR="000B29F6" w:rsidRPr="00D056AD" w:rsidRDefault="000B29F6" w:rsidP="000B29F6">
                      <w:pPr>
                        <w:rPr>
                          <w:i/>
                          <w:iCs/>
                        </w:rPr>
                      </w:pPr>
                      <w:r>
                        <w:rPr>
                          <w:i/>
                          <w:iCs/>
                        </w:rPr>
                        <w:t>P</w:t>
                      </w:r>
                      <w:r w:rsidRPr="00D056AD">
                        <w:rPr>
                          <w:i/>
                          <w:iCs/>
                        </w:rPr>
                        <w:t>our rappel, l’IQSW ne vise pas à remplacer des outils existants, et son périmètre est de définir si le sol est capable d’accueillir une production végétale</w:t>
                      </w:r>
                      <w:r>
                        <w:rPr>
                          <w:i/>
                          <w:iCs/>
                        </w:rPr>
                        <w:t xml:space="preserve"> donnée</w:t>
                      </w:r>
                      <w:r w:rsidRPr="00D056AD">
                        <w:rPr>
                          <w:i/>
                          <w:iCs/>
                        </w:rPr>
                        <w:t>. Pour les spécificités liées à une culture en particulier, ou à un choix d’essence dans le cas des forêts, voir</w:t>
                      </w:r>
                      <w:r>
                        <w:rPr>
                          <w:i/>
                          <w:iCs/>
                        </w:rPr>
                        <w:t xml:space="preserve"> respectivement</w:t>
                      </w:r>
                      <w:r w:rsidRPr="00D056AD">
                        <w:rPr>
                          <w:i/>
                          <w:iCs/>
                        </w:rPr>
                        <w:t xml:space="preserve"> le conseil de fumure ou le fichier écologique des essences.</w:t>
                      </w:r>
                    </w:p>
                    <w:p w14:paraId="04F7EDF9" w14:textId="64756726" w:rsidR="000B29F6" w:rsidRPr="00D056AD" w:rsidRDefault="000B29F6" w:rsidP="000B29F6">
                      <w:pPr>
                        <w:rPr>
                          <w:i/>
                          <w:iCs/>
                        </w:rPr>
                      </w:pPr>
                      <w:r w:rsidRPr="00D056AD">
                        <w:rPr>
                          <w:i/>
                          <w:iCs/>
                        </w:rPr>
                        <w:t xml:space="preserve">De plus, des systèmes culturaux spécifiques tels que la vigne ne sont pas traités dans la version actuelle de l’indice. En effet, les référentiels sont encore insuffisants à ce stade que pour pouvoir correctement interpréter la qualité ou la santé d’un sol quant à ce </w:t>
                      </w:r>
                      <w:r w:rsidR="002B7C20">
                        <w:rPr>
                          <w:i/>
                          <w:iCs/>
                        </w:rPr>
                        <w:t>service</w:t>
                      </w:r>
                      <w:r w:rsidRPr="00D056AD">
                        <w:rPr>
                          <w:i/>
                          <w:iCs/>
                        </w:rPr>
                        <w:t>. Dans un tel cas de figure, le recours à des outils existants spécifiques est donc conseillé.</w:t>
                      </w:r>
                    </w:p>
                    <w:p w14:paraId="36710F12" w14:textId="77777777" w:rsidR="000B29F6" w:rsidRPr="00D056AD" w:rsidRDefault="000B29F6" w:rsidP="000B29F6">
                      <w:pPr>
                        <w:rPr>
                          <w:i/>
                          <w:iCs/>
                        </w:rPr>
                      </w:pPr>
                    </w:p>
                    <w:p w14:paraId="2A5C066C" w14:textId="77777777" w:rsidR="000B29F6" w:rsidRPr="00D056AD" w:rsidRDefault="000B29F6" w:rsidP="000B29F6">
                      <w:pPr>
                        <w:rPr>
                          <w:i/>
                          <w:iCs/>
                        </w:rPr>
                      </w:pPr>
                    </w:p>
                  </w:txbxContent>
                </v:textbox>
                <w10:anchorlock/>
              </v:shape>
            </w:pict>
          </mc:Fallback>
        </mc:AlternateContent>
      </w:r>
    </w:p>
    <w:p w14:paraId="4BC9D06C" w14:textId="2FBDAB63" w:rsidR="00130055" w:rsidRPr="00E067EE" w:rsidRDefault="00130055">
      <w:pPr>
        <w:pStyle w:val="Titre4"/>
        <w:numPr>
          <w:ilvl w:val="3"/>
          <w:numId w:val="12"/>
        </w:numPr>
      </w:pPr>
      <w:bookmarkStart w:id="98" w:name="_Ref241073950"/>
      <w:r w:rsidRPr="0050182F">
        <w:t>Cultures</w:t>
      </w:r>
      <w:bookmarkEnd w:id="97"/>
      <w:bookmarkEnd w:id="98"/>
    </w:p>
    <w:p w14:paraId="0613EE1F" w14:textId="5343D33B" w:rsidR="0064391E" w:rsidRDefault="009436DB" w:rsidP="0064391E">
      <w:r>
        <w:t>Le sous-</w:t>
      </w:r>
      <w:r w:rsidR="002B7C20">
        <w:t>service</w:t>
      </w:r>
      <w:r>
        <w:t xml:space="preserve"> </w:t>
      </w:r>
      <w:r w:rsidR="00DB5FB8" w:rsidRPr="00DB5FB8">
        <w:rPr>
          <w:i/>
          <w:iCs/>
        </w:rPr>
        <w:t>P</w:t>
      </w:r>
      <w:r w:rsidRPr="00DB5FB8">
        <w:rPr>
          <w:i/>
          <w:iCs/>
        </w:rPr>
        <w:t>roduction – cultures</w:t>
      </w:r>
      <w:r>
        <w:t xml:space="preserve"> correspond </w:t>
      </w:r>
      <w:r w:rsidR="0020533E">
        <w:t>aux</w:t>
      </w:r>
      <w:r w:rsidR="0005522D">
        <w:t xml:space="preserve"> critères d’une terre </w:t>
      </w:r>
      <w:r w:rsidR="00F1708B">
        <w:t>dite « </w:t>
      </w:r>
      <w:r w:rsidR="0005522D">
        <w:t>arable</w:t>
      </w:r>
      <w:r w:rsidR="00F1708B">
        <w:t> »</w:t>
      </w:r>
      <w:r w:rsidR="0005522D">
        <w:t xml:space="preserve">. </w:t>
      </w:r>
      <w:r w:rsidR="0064391E">
        <w:t>Cette catégorie regroupe :</w:t>
      </w:r>
    </w:p>
    <w:p w14:paraId="44C231B7" w14:textId="4731A148" w:rsidR="00373590" w:rsidRDefault="000C3AC6">
      <w:pPr>
        <w:pStyle w:val="Paragraphedeliste"/>
        <w:numPr>
          <w:ilvl w:val="0"/>
          <w:numId w:val="4"/>
        </w:numPr>
      </w:pPr>
      <w:r>
        <w:t>Les cultures alimentaires</w:t>
      </w:r>
      <w:r w:rsidR="0032237A">
        <w:t xml:space="preserve"> </w:t>
      </w:r>
      <w:r w:rsidR="004F3486">
        <w:t>:</w:t>
      </w:r>
    </w:p>
    <w:p w14:paraId="56DB946D" w14:textId="144D0E2F" w:rsidR="000C3AC6" w:rsidRDefault="000C3AC6">
      <w:pPr>
        <w:pStyle w:val="Paragraphedeliste"/>
        <w:numPr>
          <w:ilvl w:val="1"/>
          <w:numId w:val="4"/>
        </w:numPr>
      </w:pPr>
      <w:r>
        <w:t>Grandes cultures</w:t>
      </w:r>
      <w:r w:rsidR="0064741C">
        <w:t xml:space="preserve"> (y compris cultures fourragères)</w:t>
      </w:r>
      <w:r>
        <w:t>,</w:t>
      </w:r>
    </w:p>
    <w:p w14:paraId="5E1F9B9C" w14:textId="39074BC4" w:rsidR="000C3AC6" w:rsidRDefault="000C3AC6">
      <w:pPr>
        <w:pStyle w:val="Paragraphedeliste"/>
        <w:numPr>
          <w:ilvl w:val="1"/>
          <w:numId w:val="4"/>
        </w:numPr>
      </w:pPr>
      <w:r>
        <w:t>Maraîchages,</w:t>
      </w:r>
    </w:p>
    <w:p w14:paraId="67AB9AB6" w14:textId="04571A2E" w:rsidR="000C3AC6" w:rsidRDefault="000C3AC6">
      <w:pPr>
        <w:pStyle w:val="Paragraphedeliste"/>
        <w:numPr>
          <w:ilvl w:val="1"/>
          <w:numId w:val="4"/>
        </w:numPr>
      </w:pPr>
      <w:r>
        <w:t>Potagers,</w:t>
      </w:r>
    </w:p>
    <w:p w14:paraId="3AB9826D" w14:textId="7EC58C17" w:rsidR="001969D5" w:rsidRDefault="000C3AC6" w:rsidP="001969D5">
      <w:pPr>
        <w:pStyle w:val="Paragraphedeliste"/>
        <w:numPr>
          <w:ilvl w:val="1"/>
          <w:numId w:val="4"/>
        </w:numPr>
      </w:pPr>
      <w:r>
        <w:t>Vergers</w:t>
      </w:r>
      <w:r w:rsidR="001969D5">
        <w:t>.</w:t>
      </w:r>
    </w:p>
    <w:p w14:paraId="773A2373" w14:textId="71942E0B" w:rsidR="004F3486" w:rsidRDefault="004F3486">
      <w:pPr>
        <w:pStyle w:val="Paragraphedeliste"/>
        <w:numPr>
          <w:ilvl w:val="0"/>
          <w:numId w:val="4"/>
        </w:numPr>
      </w:pPr>
      <w:r>
        <w:t>Les cultures non-alimentaires</w:t>
      </w:r>
      <w:r w:rsidR="00D03C89">
        <w:t xml:space="preserve">, hors prairie permanente et </w:t>
      </w:r>
      <w:r w:rsidR="00D03C89" w:rsidRPr="0032237A">
        <w:t>production de biomasse ligneuse</w:t>
      </w:r>
      <w:r w:rsidR="000A58D6" w:rsidRPr="0032237A">
        <w:t>.</w:t>
      </w:r>
    </w:p>
    <w:p w14:paraId="323E5C3B" w14:textId="66B09BB5" w:rsidR="00AD0768" w:rsidRDefault="00266D4D" w:rsidP="00353AC1">
      <w:r>
        <w:t>La distinction entre les deux types de finalités des cultures (alimentaires</w:t>
      </w:r>
      <w:r w:rsidR="003C0AE6">
        <w:t xml:space="preserve"> ou non-alimentaires) </w:t>
      </w:r>
      <w:r w:rsidR="00EE7047">
        <w:t>est utilisée uniquement en tant que critère</w:t>
      </w:r>
      <w:r w:rsidR="003C0AE6">
        <w:t xml:space="preserve"> </w:t>
      </w:r>
      <w:r w:rsidR="00EE7047">
        <w:t>pour</w:t>
      </w:r>
      <w:r w:rsidR="003C0AE6">
        <w:t xml:space="preserve"> l</w:t>
      </w:r>
      <w:r w:rsidR="00EE7047">
        <w:t>a détermination d</w:t>
      </w:r>
      <w:r w:rsidR="003C0AE6">
        <w:t xml:space="preserve">es </w:t>
      </w:r>
      <w:r w:rsidR="00636515">
        <w:t xml:space="preserve">valeurs de risque utilisées pour l’application de la contrainte </w:t>
      </w:r>
      <w:r w:rsidR="791A2EDD">
        <w:t>« </w:t>
      </w:r>
      <w:r w:rsidR="00636515">
        <w:t>pollution</w:t>
      </w:r>
      <w:r w:rsidR="791A2EDD">
        <w:t> »</w:t>
      </w:r>
      <w:r w:rsidR="23589FE8">
        <w:t>.</w:t>
      </w:r>
      <w:r w:rsidR="005E27EF">
        <w:t xml:space="preserve"> </w:t>
      </w:r>
      <w:r w:rsidR="799436C3">
        <w:t>L</w:t>
      </w:r>
      <w:r w:rsidR="737EF2F1">
        <w:t>es</w:t>
      </w:r>
      <w:r w:rsidR="005E27EF">
        <w:t xml:space="preserve"> potagers se distinguent du maraîchage également en termes de valeurs de risque uniquement, </w:t>
      </w:r>
      <w:r w:rsidR="00D604A6">
        <w:t>le maraîchage étant affecté au type d’usage II (agricole) en raison de la commercialisation potentielle des productions, tandis que le</w:t>
      </w:r>
      <w:r w:rsidR="002F1C3A">
        <w:t>s produits du</w:t>
      </w:r>
      <w:r w:rsidR="00D604A6">
        <w:t xml:space="preserve"> potager </w:t>
      </w:r>
      <w:r w:rsidR="002F1C3A">
        <w:t>sont</w:t>
      </w:r>
      <w:r w:rsidR="00D604A6">
        <w:t xml:space="preserve"> destiné</w:t>
      </w:r>
      <w:r w:rsidR="002F1C3A">
        <w:t>s</w:t>
      </w:r>
      <w:r w:rsidR="00D604A6">
        <w:t xml:space="preserve"> à un</w:t>
      </w:r>
      <w:r w:rsidR="002F1C3A">
        <w:t>e consommation privée (type d’usage III – résidentiel).</w:t>
      </w:r>
      <w:r w:rsidR="6EBA1FD4">
        <w:t xml:space="preserve"> Le découpage usage agricole </w:t>
      </w:r>
      <w:r w:rsidR="6EBA1FD4" w:rsidRPr="0064741C">
        <w:rPr>
          <w:i/>
          <w:iCs/>
        </w:rPr>
        <w:t xml:space="preserve">vs </w:t>
      </w:r>
      <w:r w:rsidR="6EBA1FD4">
        <w:t>usage résidentiel se base s</w:t>
      </w:r>
      <w:r w:rsidR="09019E73">
        <w:t>ur le découpage du Décret sols</w:t>
      </w:r>
      <w:r w:rsidR="0032237A">
        <w:t xml:space="preserve"> </w:t>
      </w:r>
      <w:r w:rsidR="0032237A">
        <w:fldChar w:fldCharType="begin"/>
      </w:r>
      <w:r w:rsidR="0032237A">
        <w:instrText xml:space="preserve"> ADDIN ZOTERO_ITEM CSL_CITATION {"citationID":"tfvHtKYv","properties":{"unsorted":false,"formattedCitation":"(Gouvernement wallon, 2018)","plainCitation":"(Gouvernement wallon, 2018)","noteIndex":0},"citationItems":[{"id":542,"uris":["http://zotero.org/groups/5684833/items/XS5CPQ3E"],"itemData":{"id":542,"type":"document","language":"fr","title":"Décret relatif à la gestion et à l'assainissement des sols du 1er mars 2018","URL":"https://wallex.wallonie.be/eli/loi-decret/2018/03/01/2018070014/2018/04/01","author":[{"family":"Gouvernement wallon","given":""}],"accessed":{"date-parts":[["2026",5,15]]},"issued":{"date-parts":[["2018"]]}}}],"schema":"https://github.com/citation-style-language/schema/raw/master/csl-citation.json"} </w:instrText>
      </w:r>
      <w:r w:rsidR="0032237A">
        <w:fldChar w:fldCharType="separate"/>
      </w:r>
      <w:r w:rsidR="0032237A" w:rsidRPr="0032237A">
        <w:rPr>
          <w:rFonts w:cs="Calibri"/>
        </w:rPr>
        <w:t>(Gouvernement wallon, 2018)</w:t>
      </w:r>
      <w:r w:rsidR="0032237A">
        <w:fldChar w:fldCharType="end"/>
      </w:r>
      <w:r w:rsidR="09019E73">
        <w:t xml:space="preserve">. </w:t>
      </w:r>
    </w:p>
    <w:p w14:paraId="61017A45" w14:textId="7CD4F997" w:rsidR="00130055" w:rsidRDefault="00130055">
      <w:pPr>
        <w:pStyle w:val="Titre4"/>
        <w:numPr>
          <w:ilvl w:val="3"/>
          <w:numId w:val="12"/>
        </w:numPr>
      </w:pPr>
      <w:bookmarkStart w:id="99" w:name="_Toc230267098"/>
      <w:r>
        <w:t>Prairies</w:t>
      </w:r>
      <w:bookmarkEnd w:id="99"/>
    </w:p>
    <w:p w14:paraId="127D51CA" w14:textId="691397C7" w:rsidR="004B2895" w:rsidRDefault="00D0649D" w:rsidP="004B2895">
      <w:r>
        <w:t>Le sous-</w:t>
      </w:r>
      <w:r w:rsidR="002B7C20">
        <w:t>service écosystémique</w:t>
      </w:r>
      <w:r>
        <w:t xml:space="preserve"> </w:t>
      </w:r>
      <w:r w:rsidR="00DB5FB8" w:rsidRPr="00DB5FB8">
        <w:rPr>
          <w:i/>
          <w:iCs/>
        </w:rPr>
        <w:t>P</w:t>
      </w:r>
      <w:r w:rsidR="00211330" w:rsidRPr="00DB5FB8">
        <w:rPr>
          <w:i/>
          <w:iCs/>
        </w:rPr>
        <w:t>roduction – prairies</w:t>
      </w:r>
      <w:r w:rsidR="00211330">
        <w:t xml:space="preserve"> réfère à la capacité du sol à accueillir une prairie</w:t>
      </w:r>
      <w:r w:rsidR="003B5A59">
        <w:t xml:space="preserve"> permanente</w:t>
      </w:r>
      <w:r w:rsidR="00211330">
        <w:t xml:space="preserve">, soit une végétation </w:t>
      </w:r>
      <w:r w:rsidR="003B5A59">
        <w:t xml:space="preserve">herbagère </w:t>
      </w:r>
      <w:r w:rsidR="00C20A4B">
        <w:t>à destination essentiellement fourragère</w:t>
      </w:r>
      <w:r w:rsidR="009436DB">
        <w:t>.</w:t>
      </w:r>
      <w:r w:rsidR="00211330">
        <w:t xml:space="preserve"> </w:t>
      </w:r>
      <w:r w:rsidR="00652E0E">
        <w:t>Cette catégorie concerne les p</w:t>
      </w:r>
      <w:r w:rsidR="000A58D6">
        <w:t>rairies pâturées ou de fauche</w:t>
      </w:r>
      <w:r w:rsidR="00652E0E">
        <w:t xml:space="preserve">. </w:t>
      </w:r>
      <w:r w:rsidR="00E70DEB">
        <w:t>L’usage « prairie naturelle »</w:t>
      </w:r>
      <w:r w:rsidR="00E125D5">
        <w:t xml:space="preserve">, à des fins de biodiversité, est traité au niveau du </w:t>
      </w:r>
      <w:r w:rsidR="002B7C20">
        <w:t>service écosystémique</w:t>
      </w:r>
      <w:r w:rsidR="00E125D5">
        <w:t xml:space="preserve"> </w:t>
      </w:r>
      <w:r w:rsidR="002B7C20" w:rsidRPr="002B7C20">
        <w:rPr>
          <w:i/>
          <w:iCs/>
        </w:rPr>
        <w:t>P</w:t>
      </w:r>
      <w:r w:rsidR="00E125D5" w:rsidRPr="002B7C20">
        <w:rPr>
          <w:i/>
          <w:iCs/>
        </w:rPr>
        <w:t>otentiel d’accueil pour une végétation diversifiée</w:t>
      </w:r>
      <w:r w:rsidR="00E125D5">
        <w:t>.</w:t>
      </w:r>
    </w:p>
    <w:p w14:paraId="1BBA4DD0" w14:textId="3296C69B" w:rsidR="00130055" w:rsidRPr="005E5327" w:rsidRDefault="00130055">
      <w:pPr>
        <w:pStyle w:val="Titre4"/>
        <w:numPr>
          <w:ilvl w:val="3"/>
          <w:numId w:val="12"/>
        </w:numPr>
      </w:pPr>
      <w:bookmarkStart w:id="100" w:name="_Toc230267099"/>
      <w:r w:rsidRPr="005E5327">
        <w:t>Espaces verts</w:t>
      </w:r>
      <w:bookmarkEnd w:id="100"/>
    </w:p>
    <w:p w14:paraId="5D41A5CE" w14:textId="0711F303" w:rsidR="0005522D" w:rsidRDefault="0005522D" w:rsidP="000A58D6">
      <w:r>
        <w:t>Le sous-</w:t>
      </w:r>
      <w:r w:rsidR="002B7C20">
        <w:t>service</w:t>
      </w:r>
      <w:r>
        <w:t xml:space="preserve"> </w:t>
      </w:r>
      <w:r w:rsidR="00DB5FB8" w:rsidRPr="00DB5FB8">
        <w:rPr>
          <w:i/>
          <w:iCs/>
        </w:rPr>
        <w:t>P</w:t>
      </w:r>
      <w:r w:rsidRPr="00DB5FB8">
        <w:rPr>
          <w:i/>
          <w:iCs/>
        </w:rPr>
        <w:t>roduction – espaces verts</w:t>
      </w:r>
      <w:r>
        <w:t xml:space="preserve"> fait référence à la capacité du sol à accueillir une végétation</w:t>
      </w:r>
      <w:r w:rsidR="00BF3F22">
        <w:t xml:space="preserve"> type parc</w:t>
      </w:r>
      <w:r w:rsidR="00811EF6">
        <w:t xml:space="preserve"> </w:t>
      </w:r>
      <w:r w:rsidR="00BF3F22">
        <w:t>/</w:t>
      </w:r>
      <w:r w:rsidR="00811EF6">
        <w:t xml:space="preserve"> </w:t>
      </w:r>
      <w:r w:rsidR="3808A96B">
        <w:t>espaces verts urbains</w:t>
      </w:r>
      <w:r w:rsidR="2344DFB5">
        <w:t xml:space="preserve"> etc.</w:t>
      </w:r>
      <w:r w:rsidR="00526357">
        <w:t xml:space="preserve"> Il s’agit donc de production de biomasse</w:t>
      </w:r>
      <w:r>
        <w:t xml:space="preserve"> </w:t>
      </w:r>
      <w:r w:rsidR="00526357">
        <w:t>« </w:t>
      </w:r>
      <w:r>
        <w:t>ornementale</w:t>
      </w:r>
      <w:r w:rsidR="00526357">
        <w:t> »</w:t>
      </w:r>
      <w:r w:rsidR="007738FA">
        <w:t xml:space="preserve"> ou « récréative »</w:t>
      </w:r>
      <w:r>
        <w:t xml:space="preserve"> (pelouse, arbustes, arbres)</w:t>
      </w:r>
      <w:r w:rsidR="000619EF">
        <w:t xml:space="preserve">. </w:t>
      </w:r>
      <w:r w:rsidR="002D78F7">
        <w:t xml:space="preserve">De ce </w:t>
      </w:r>
      <w:r w:rsidR="002B7C20">
        <w:t>service</w:t>
      </w:r>
      <w:r w:rsidR="002D78F7">
        <w:t xml:space="preserve"> découle un bénéfice social et </w:t>
      </w:r>
      <w:r w:rsidR="004C6D4A">
        <w:t>une contribution aux îlots de fraicheur en ville</w:t>
      </w:r>
      <w:r w:rsidR="00AB300F">
        <w:t xml:space="preserve"> (voir partie </w:t>
      </w:r>
      <w:r w:rsidR="00AB300F">
        <w:fldChar w:fldCharType="begin"/>
      </w:r>
      <w:r w:rsidR="00AB300F">
        <w:instrText xml:space="preserve"> REF _Ref232256479 \r \h </w:instrText>
      </w:r>
      <w:r w:rsidR="00AB300F">
        <w:fldChar w:fldCharType="separate"/>
      </w:r>
      <w:r w:rsidR="00493508">
        <w:t>4.10</w:t>
      </w:r>
      <w:r w:rsidR="00AB300F">
        <w:fldChar w:fldCharType="end"/>
      </w:r>
      <w:r w:rsidR="00AB300F">
        <w:t>)</w:t>
      </w:r>
      <w:r w:rsidR="004C6D4A">
        <w:t>.</w:t>
      </w:r>
    </w:p>
    <w:p w14:paraId="1FFDE603" w14:textId="580E7555" w:rsidR="000A58D6" w:rsidRDefault="006022FD" w:rsidP="000A58D6">
      <w:r>
        <w:t>Cette catégorie regroupe</w:t>
      </w:r>
      <w:r w:rsidR="007E567B">
        <w:t xml:space="preserve"> deux principaux types d’usages, scindés en fonction des enjeux sanitaires qui en découlent pour les utilisateurs</w:t>
      </w:r>
      <w:r>
        <w:t> :</w:t>
      </w:r>
    </w:p>
    <w:p w14:paraId="2EFEC87D" w14:textId="613EEA04" w:rsidR="00D6642A" w:rsidRDefault="006022FD">
      <w:pPr>
        <w:pStyle w:val="Paragraphedeliste"/>
        <w:numPr>
          <w:ilvl w:val="0"/>
          <w:numId w:val="5"/>
        </w:numPr>
      </w:pPr>
      <w:r>
        <w:lastRenderedPageBreak/>
        <w:t xml:space="preserve">Les espaces verts </w:t>
      </w:r>
      <w:r w:rsidR="003A2C6E" w:rsidRPr="48222D96">
        <w:rPr>
          <w:i/>
          <w:iCs/>
        </w:rPr>
        <w:t>ornementaux</w:t>
      </w:r>
      <w:r w:rsidR="00C1231B">
        <w:t xml:space="preserve"> ou paysagers</w:t>
      </w:r>
      <w:r w:rsidR="003A2C6E">
        <w:t>, dont l’utilisation</w:t>
      </w:r>
      <w:r w:rsidR="00C1231B">
        <w:t xml:space="preserve"> </w:t>
      </w:r>
      <w:r w:rsidR="00116DB6">
        <w:t>typique</w:t>
      </w:r>
      <w:r w:rsidR="003A2C6E">
        <w:t xml:space="preserve"> n’implique a priori pas de </w:t>
      </w:r>
      <w:r w:rsidR="00C1231B">
        <w:t xml:space="preserve">mise en </w:t>
      </w:r>
      <w:r w:rsidR="00967A31">
        <w:t xml:space="preserve">contact </w:t>
      </w:r>
      <w:r w:rsidR="007E567B">
        <w:t>direct</w:t>
      </w:r>
      <w:r w:rsidR="002B1423">
        <w:t>e</w:t>
      </w:r>
      <w:r w:rsidR="00C1231B">
        <w:t xml:space="preserve"> des usagers</w:t>
      </w:r>
      <w:r w:rsidR="007E567B">
        <w:t xml:space="preserve"> </w:t>
      </w:r>
      <w:r w:rsidR="00967A31">
        <w:t>avec le sol</w:t>
      </w:r>
      <w:r w:rsidR="00D6642A">
        <w:t>. Cette catégorie regroupe </w:t>
      </w:r>
      <w:r w:rsidR="007E567B">
        <w:t>notamment</w:t>
      </w:r>
      <w:r w:rsidR="000D65EE">
        <w:t xml:space="preserve"> les </w:t>
      </w:r>
      <w:r w:rsidR="00F86F8B">
        <w:t>espaces verts urbains tels que des parcs, parterres</w:t>
      </w:r>
      <w:r w:rsidR="4EAADA41">
        <w:t>,</w:t>
      </w:r>
      <w:r w:rsidR="00F86F8B">
        <w:t xml:space="preserve"> etc.</w:t>
      </w:r>
    </w:p>
    <w:p w14:paraId="1B1DF038" w14:textId="2F456BED" w:rsidR="004B2895" w:rsidRDefault="00F86F8B" w:rsidP="002B1423">
      <w:pPr>
        <w:pStyle w:val="Paragraphedeliste"/>
        <w:numPr>
          <w:ilvl w:val="0"/>
          <w:numId w:val="5"/>
        </w:numPr>
      </w:pPr>
      <w:r>
        <w:t xml:space="preserve">Les espaces verts </w:t>
      </w:r>
      <w:r w:rsidR="00116DB6" w:rsidRPr="48222D96">
        <w:rPr>
          <w:i/>
          <w:iCs/>
        </w:rPr>
        <w:t>récréatifs</w:t>
      </w:r>
      <w:r w:rsidR="00116DB6">
        <w:t xml:space="preserve">, dont l’utilisation </w:t>
      </w:r>
      <w:r w:rsidR="002B1423">
        <w:t>typique est susceptible d’entraîner une mise en contact directe des usagers</w:t>
      </w:r>
      <w:r w:rsidR="00220D02">
        <w:t>, notamment des enfants,</w:t>
      </w:r>
      <w:r w:rsidR="002B1423">
        <w:t xml:space="preserve"> avec le sol (ex. risque d’ingestion de terre</w:t>
      </w:r>
      <w:r w:rsidR="00220D02">
        <w:t>)</w:t>
      </w:r>
      <w:r w:rsidR="001A0E2F">
        <w:t>. C’est le cas de zones telles que </w:t>
      </w:r>
      <w:r w:rsidR="002B1423">
        <w:t>les j</w:t>
      </w:r>
      <w:r w:rsidR="001A0E2F">
        <w:t xml:space="preserve">ardins résidentiels sans potager (les potagers se retrouvent dans </w:t>
      </w:r>
      <w:r w:rsidR="009D0E9F">
        <w:t>la catégorie « cultures »</w:t>
      </w:r>
      <w:r w:rsidRPr="48222D96">
        <w:rPr>
          <w:rStyle w:val="Appelnotedebasdep"/>
        </w:rPr>
        <w:footnoteReference w:id="9"/>
      </w:r>
      <w:r w:rsidR="009D0E9F">
        <w:t>),</w:t>
      </w:r>
      <w:r w:rsidR="002B1423">
        <w:t xml:space="preserve"> les t</w:t>
      </w:r>
      <w:r w:rsidR="009D0E9F">
        <w:t>errains de sport,</w:t>
      </w:r>
      <w:r w:rsidR="002B1423">
        <w:t xml:space="preserve"> les p</w:t>
      </w:r>
      <w:r w:rsidR="009D0E9F">
        <w:t>laines de jeux.</w:t>
      </w:r>
    </w:p>
    <w:p w14:paraId="0980A2FD" w14:textId="5A2D90FA" w:rsidR="004B2895" w:rsidRDefault="002B1423" w:rsidP="00861598">
      <w:r>
        <w:t>Cette</w:t>
      </w:r>
      <w:r w:rsidR="00861598">
        <w:t xml:space="preserve"> distinction </w:t>
      </w:r>
      <w:r w:rsidR="00EE7047">
        <w:t xml:space="preserve">est uniquement </w:t>
      </w:r>
      <w:r>
        <w:t xml:space="preserve">utilisée </w:t>
      </w:r>
      <w:r w:rsidR="00EE7047">
        <w:t>en tant que critère pour la détermination des valeurs de risque utilisées pour l’application de la contrainte pollution.</w:t>
      </w:r>
    </w:p>
    <w:p w14:paraId="40374E47" w14:textId="36E0146A" w:rsidR="00130055" w:rsidRDefault="00130055">
      <w:pPr>
        <w:pStyle w:val="Titre4"/>
        <w:numPr>
          <w:ilvl w:val="3"/>
          <w:numId w:val="12"/>
        </w:numPr>
      </w:pPr>
      <w:bookmarkStart w:id="101" w:name="_Toc230267100"/>
      <w:r>
        <w:t>Forêts</w:t>
      </w:r>
      <w:bookmarkEnd w:id="101"/>
    </w:p>
    <w:p w14:paraId="30DC8841" w14:textId="791F1CD9" w:rsidR="00F41FD0" w:rsidRPr="00C30712" w:rsidRDefault="004C6D4A" w:rsidP="00F41FD0">
      <w:r>
        <w:t>Le sous-</w:t>
      </w:r>
      <w:r w:rsidR="002B7C20">
        <w:t>service</w:t>
      </w:r>
      <w:r>
        <w:t xml:space="preserve"> </w:t>
      </w:r>
      <w:r w:rsidR="00DB5FB8" w:rsidRPr="48222D96">
        <w:rPr>
          <w:i/>
          <w:iCs/>
        </w:rPr>
        <w:t>P</w:t>
      </w:r>
      <w:r w:rsidRPr="48222D96">
        <w:rPr>
          <w:i/>
          <w:iCs/>
        </w:rPr>
        <w:t>roduction – forêts</w:t>
      </w:r>
      <w:r>
        <w:t xml:space="preserve"> </w:t>
      </w:r>
      <w:r w:rsidR="000A4433">
        <w:t xml:space="preserve">concerne les forêts exploitées </w:t>
      </w:r>
      <w:r w:rsidR="008816BA">
        <w:t xml:space="preserve">pour la production </w:t>
      </w:r>
      <w:r w:rsidR="005E0589">
        <w:t>d’</w:t>
      </w:r>
      <w:r w:rsidR="000D0F9C">
        <w:t>espèces ligneuses, avec une diversité de finalité</w:t>
      </w:r>
      <w:r w:rsidR="00BF7FF2">
        <w:t xml:space="preserve">s non alimentaires pour les productions (bois d’œuvre, </w:t>
      </w:r>
      <w:r w:rsidR="00516097">
        <w:t>production énergétique, pâte à papier</w:t>
      </w:r>
      <w:r w:rsidR="31523885">
        <w:t>,</w:t>
      </w:r>
      <w:r w:rsidR="00C30712">
        <w:t xml:space="preserve"> </w:t>
      </w:r>
      <w:r w:rsidR="00516097">
        <w:t>etc</w:t>
      </w:r>
      <w:r w:rsidR="00C30712">
        <w:t>.</w:t>
      </w:r>
      <w:r w:rsidR="00516097">
        <w:t>)</w:t>
      </w:r>
      <w:r w:rsidR="000A4433">
        <w:t xml:space="preserve">. </w:t>
      </w:r>
      <w:r w:rsidR="00F07255">
        <w:t>L</w:t>
      </w:r>
      <w:r w:rsidR="000A4433">
        <w:t>e cas des forêts naturelles</w:t>
      </w:r>
      <w:r w:rsidR="00F07255">
        <w:t xml:space="preserve"> sans finalité de production à des fins commerciales</w:t>
      </w:r>
      <w:r w:rsidR="008278B0">
        <w:t xml:space="preserve"> est traité dans le service</w:t>
      </w:r>
      <w:r w:rsidR="000A4433">
        <w:t xml:space="preserve"> </w:t>
      </w:r>
      <w:r w:rsidR="00030771" w:rsidRPr="48222D96">
        <w:rPr>
          <w:i/>
          <w:iCs/>
        </w:rPr>
        <w:t>P</w:t>
      </w:r>
      <w:r w:rsidR="000A4433" w:rsidRPr="48222D96">
        <w:rPr>
          <w:i/>
          <w:iCs/>
        </w:rPr>
        <w:t>otentiel d’accueil pour une végétation diversifiée</w:t>
      </w:r>
      <w:r w:rsidR="000A4433">
        <w:t>.</w:t>
      </w:r>
    </w:p>
    <w:p w14:paraId="25DD4CC0" w14:textId="77777777" w:rsidR="004B2895" w:rsidRDefault="009E7486">
      <w:pPr>
        <w:pStyle w:val="Titre2"/>
        <w:numPr>
          <w:ilvl w:val="1"/>
          <w:numId w:val="12"/>
        </w:numPr>
      </w:pPr>
      <w:bookmarkStart w:id="102" w:name="_Toc230267101"/>
      <w:bookmarkStart w:id="103" w:name="_Toc241478099"/>
      <w:r w:rsidRPr="0050182F">
        <w:t>Infiltration</w:t>
      </w:r>
      <w:bookmarkEnd w:id="102"/>
      <w:bookmarkEnd w:id="103"/>
    </w:p>
    <w:p w14:paraId="4D86057E" w14:textId="72C41F37" w:rsidR="00955AE5" w:rsidRPr="00955AE5" w:rsidRDefault="00955AE5" w:rsidP="00955AE5">
      <w:r>
        <w:t>L’infiltration des eaux de pluie est un service écosystémique crucial que les sols fournissent, d’autant plus dans un contexte de lutte contre les inondations (notamment sur des sols urbains) et de réduction de l’érosion. L’infiltration des eaux concerne à la fois l’écoulement des eaux dans les couches superficielles du sol et le drainage vers les horizons profonds (et éventuellement les nappes sous-jacentes).</w:t>
      </w:r>
      <w:r w:rsidR="009D2BCC">
        <w:t xml:space="preserve"> </w:t>
      </w:r>
    </w:p>
    <w:p w14:paraId="078A8211" w14:textId="14704D47" w:rsidR="00955AE5" w:rsidRPr="00955AE5" w:rsidRDefault="00955AE5">
      <w:pPr>
        <w:pStyle w:val="Titre3"/>
        <w:numPr>
          <w:ilvl w:val="2"/>
          <w:numId w:val="12"/>
        </w:numPr>
      </w:pPr>
      <w:bookmarkStart w:id="104" w:name="_Toc241478100"/>
      <w:r>
        <w:t>Fonctions</w:t>
      </w:r>
      <w:bookmarkEnd w:id="104"/>
    </w:p>
    <w:p w14:paraId="7BB67992" w14:textId="28D80958" w:rsidR="003C6A9C" w:rsidRDefault="00F5126A">
      <w:pPr>
        <w:pStyle w:val="Titre4"/>
        <w:numPr>
          <w:ilvl w:val="3"/>
          <w:numId w:val="12"/>
        </w:numPr>
      </w:pPr>
      <w:r>
        <w:t>Infiltration</w:t>
      </w:r>
    </w:p>
    <w:p w14:paraId="4ADC4F69" w14:textId="7A576483" w:rsidR="00F5126A" w:rsidRPr="00F5126A" w:rsidRDefault="00F5126A" w:rsidP="00F5126A">
      <w:r>
        <w:t xml:space="preserve">La capacité d’infiltration du sol se mesure directement à travers la conductivité hydraulique à saturation </w:t>
      </w:r>
      <w:r w:rsidR="00DF4FC1">
        <w:t>(</w:t>
      </w:r>
      <w:r>
        <w:t>Ksat</w:t>
      </w:r>
      <w:r w:rsidR="007050FD">
        <w:t xml:space="preserve">, voir </w:t>
      </w:r>
      <w:r w:rsidR="00493508">
        <w:t>Annexe 2 – Indicateurs</w:t>
      </w:r>
      <w:r w:rsidR="00DF4FC1">
        <w:t>)</w:t>
      </w:r>
      <w:r>
        <w:t>. Il s’agit de la mesure de la vitesse avec l’eau s’infiltre dans un sol saturé</w:t>
      </w:r>
      <w:r w:rsidR="007543DD">
        <w:t xml:space="preserve"> en eau</w:t>
      </w:r>
      <w:r>
        <w:t>.</w:t>
      </w:r>
    </w:p>
    <w:p w14:paraId="1801AF76" w14:textId="3A1F92EF" w:rsidR="00F5126A" w:rsidRDefault="00F5126A">
      <w:pPr>
        <w:pStyle w:val="Titre4"/>
        <w:numPr>
          <w:ilvl w:val="3"/>
          <w:numId w:val="12"/>
        </w:numPr>
      </w:pPr>
      <w:r>
        <w:t>Drainage</w:t>
      </w:r>
    </w:p>
    <w:p w14:paraId="0F1E0CF2" w14:textId="00871F72" w:rsidR="00F5126A" w:rsidRDefault="00F5126A" w:rsidP="00F5126A">
      <w:r>
        <w:t>L’état du drainage naturel du sol (régime hydrique) s’évalue à travers la profondeur d’apparition éventuelle de taches d’hydromorphie et selon le caractère temporaire ou permanent de l’engorgement</w:t>
      </w:r>
      <w:r w:rsidR="003B37BF">
        <w:t>.</w:t>
      </w:r>
      <w:r>
        <w:t xml:space="preserve"> </w:t>
      </w:r>
      <w:r w:rsidR="00BF263F">
        <w:t>La profondeur d’apparition de taches d’hydromorphie permet de caractériser un</w:t>
      </w:r>
      <w:r>
        <w:t xml:space="preserve"> engorgement </w:t>
      </w:r>
      <w:r w:rsidR="00BF263F">
        <w:t>d’eau</w:t>
      </w:r>
      <w:r>
        <w:t xml:space="preserve"> temporaire, </w:t>
      </w:r>
      <w:r w:rsidR="00BF263F">
        <w:t>tandis que</w:t>
      </w:r>
      <w:r>
        <w:t xml:space="preserve"> la </w:t>
      </w:r>
      <w:r w:rsidR="00742434">
        <w:t>profondeur d’apparition d’un horizon complètement réduit (</w:t>
      </w:r>
      <w:r>
        <w:t>couleur gris-bleu</w:t>
      </w:r>
      <w:r w:rsidR="00742434">
        <w:t>)</w:t>
      </w:r>
      <w:r>
        <w:t xml:space="preserve"> </w:t>
      </w:r>
      <w:r w:rsidR="00BF263F">
        <w:t xml:space="preserve">permet de caractériser </w:t>
      </w:r>
      <w:r w:rsidR="00651939">
        <w:t>la présence d’une nappe</w:t>
      </w:r>
      <w:r>
        <w:t xml:space="preserve"> permanent</w:t>
      </w:r>
      <w:r w:rsidR="00651939">
        <w:t>e</w:t>
      </w:r>
      <w:r w:rsidR="00825B08">
        <w:t xml:space="preserve"> (voir </w:t>
      </w:r>
      <w:r w:rsidR="00493508">
        <w:t>Annexe 2 – Indicateurs</w:t>
      </w:r>
      <w:r w:rsidR="00825B08">
        <w:t>)</w:t>
      </w:r>
      <w:r>
        <w:t>.</w:t>
      </w:r>
    </w:p>
    <w:p w14:paraId="197DEDF2" w14:textId="5E547A97" w:rsidR="00F5126A" w:rsidRDefault="008E5830">
      <w:pPr>
        <w:pStyle w:val="Titre3"/>
        <w:numPr>
          <w:ilvl w:val="2"/>
          <w:numId w:val="12"/>
        </w:numPr>
      </w:pPr>
      <w:bookmarkStart w:id="105" w:name="_Toc241478101"/>
      <w:r>
        <w:t>Contraintes</w:t>
      </w:r>
      <w:bookmarkEnd w:id="105"/>
    </w:p>
    <w:p w14:paraId="306430A3" w14:textId="4A7E3752" w:rsidR="008E5830" w:rsidRDefault="008E5830" w:rsidP="008E5830">
      <w:r>
        <w:t xml:space="preserve">Aucune contrainte ne s’applique </w:t>
      </w:r>
      <w:r w:rsidR="00150E6A">
        <w:t xml:space="preserve">au </w:t>
      </w:r>
      <w:r w:rsidR="002B7C20">
        <w:t>service écosystémique</w:t>
      </w:r>
      <w:r w:rsidR="00150E6A">
        <w:t xml:space="preserve"> </w:t>
      </w:r>
      <w:r w:rsidR="00150E6A" w:rsidRPr="00150E6A">
        <w:rPr>
          <w:i/>
          <w:iCs/>
        </w:rPr>
        <w:t>Infiltration</w:t>
      </w:r>
      <w:r w:rsidR="00150E6A">
        <w:t>.</w:t>
      </w:r>
    </w:p>
    <w:p w14:paraId="262B0368" w14:textId="05BC44A6" w:rsidR="00150E6A" w:rsidRDefault="00045BE3">
      <w:pPr>
        <w:pStyle w:val="Titre3"/>
        <w:numPr>
          <w:ilvl w:val="2"/>
          <w:numId w:val="12"/>
        </w:numPr>
      </w:pPr>
      <w:bookmarkStart w:id="106" w:name="_Toc241478102"/>
      <w:r>
        <w:lastRenderedPageBreak/>
        <w:t>Compléments indicatifs</w:t>
      </w:r>
      <w:bookmarkEnd w:id="106"/>
    </w:p>
    <w:p w14:paraId="3C2DED1B" w14:textId="0CA51557" w:rsidR="004B2445" w:rsidRPr="000A4433" w:rsidRDefault="004A71ED" w:rsidP="009A4F67">
      <w:r>
        <w:t xml:space="preserve">L’infiltration dépend également de la perméabilité du sol, c’est-à-dire des transferts d’eau depuis la surface. La perméabilité d’un sol dépend de la végétation qui se trouve en surface et de la structure de l’horizon superficiel. Par exemple, la présence d’une croute de battance peut affecter négativement la perméabilité du sol, qui tend à se développer à la surface d’un sol nu. Dans ces conditions, l’indice de battance est </w:t>
      </w:r>
      <w:r w:rsidR="00693F91">
        <w:t xml:space="preserve">calculé </w:t>
      </w:r>
      <w:r>
        <w:t>pour approximer la sensibilité du sol à la battance.</w:t>
      </w:r>
    </w:p>
    <w:p w14:paraId="5B13280A" w14:textId="77777777" w:rsidR="004B2895" w:rsidRDefault="009E7486">
      <w:pPr>
        <w:pStyle w:val="Titre2"/>
        <w:numPr>
          <w:ilvl w:val="1"/>
          <w:numId w:val="12"/>
        </w:numPr>
      </w:pPr>
      <w:bookmarkStart w:id="107" w:name="_Toc230267102"/>
      <w:bookmarkStart w:id="108" w:name="_Toc241478103"/>
      <w:r>
        <w:t>Protection des nappes</w:t>
      </w:r>
      <w:bookmarkEnd w:id="107"/>
      <w:bookmarkEnd w:id="108"/>
    </w:p>
    <w:p w14:paraId="0BB0620E" w14:textId="13D7A669" w:rsidR="001464A1" w:rsidRDefault="001464A1" w:rsidP="001464A1">
      <w:r>
        <w:t xml:space="preserve">Ce service </w:t>
      </w:r>
      <w:r w:rsidR="00E85EE3">
        <w:t xml:space="preserve">concerne la capacité du sol à </w:t>
      </w:r>
      <w:r w:rsidR="00386B16">
        <w:t xml:space="preserve">agir comme un filtre, </w:t>
      </w:r>
      <w:r w:rsidR="004E5F55">
        <w:t xml:space="preserve">une zone tampon pour empêcher </w:t>
      </w:r>
      <w:r w:rsidR="001717A3">
        <w:t xml:space="preserve">des </w:t>
      </w:r>
      <w:r w:rsidR="004E5F55">
        <w:t>polluants</w:t>
      </w:r>
      <w:r w:rsidR="001717A3">
        <w:t xml:space="preserve"> potentiellement ou</w:t>
      </w:r>
      <w:r w:rsidR="004E5F55">
        <w:t xml:space="preserve"> </w:t>
      </w:r>
      <w:r w:rsidR="001717A3">
        <w:t>effectivement</w:t>
      </w:r>
      <w:r w:rsidR="004E5F55">
        <w:t xml:space="preserve"> présents </w:t>
      </w:r>
      <w:r w:rsidR="001717A3">
        <w:t xml:space="preserve">dans le sol d’être </w:t>
      </w:r>
      <w:r w:rsidR="706D2F2D">
        <w:t>lixiviés</w:t>
      </w:r>
      <w:r w:rsidR="001717A3">
        <w:t xml:space="preserve"> vers les nappes.</w:t>
      </w:r>
      <w:r w:rsidR="005F28DD">
        <w:t xml:space="preserve"> </w:t>
      </w:r>
      <w:r w:rsidR="00384E84">
        <w:t xml:space="preserve">En effet, le sol </w:t>
      </w:r>
      <w:r w:rsidR="005F28DD">
        <w:t xml:space="preserve">contribue directement à la purification des eaux à travers </w:t>
      </w:r>
      <w:r w:rsidR="00807A24">
        <w:t>deux</w:t>
      </w:r>
      <w:r w:rsidR="00384E84">
        <w:t xml:space="preserve"> processus</w:t>
      </w:r>
      <w:r w:rsidR="00807A24">
        <w:t xml:space="preserve"> principaux</w:t>
      </w:r>
      <w:r w:rsidR="00384E84">
        <w:t> :</w:t>
      </w:r>
    </w:p>
    <w:p w14:paraId="1B4D8477" w14:textId="56F973AC" w:rsidR="00552C9D" w:rsidRDefault="00384E84">
      <w:pPr>
        <w:pStyle w:val="Paragraphedeliste"/>
        <w:numPr>
          <w:ilvl w:val="0"/>
          <w:numId w:val="13"/>
        </w:numPr>
      </w:pPr>
      <w:r>
        <w:t>La</w:t>
      </w:r>
      <w:r w:rsidR="00992755">
        <w:t xml:space="preserve"> rétention des polluants</w:t>
      </w:r>
      <w:r w:rsidR="001C332E">
        <w:t xml:space="preserve"> sur les constituants du sol (</w:t>
      </w:r>
      <w:r w:rsidR="00BF0D5D">
        <w:t>matière organique</w:t>
      </w:r>
      <w:r w:rsidR="001C332E">
        <w:t>,</w:t>
      </w:r>
      <w:r w:rsidR="00BF0D5D">
        <w:t xml:space="preserve"> minéraux argileux</w:t>
      </w:r>
      <w:r w:rsidR="001C332E">
        <w:t xml:space="preserve">, oxydes de fer </w:t>
      </w:r>
      <w:r w:rsidR="00BF0D5D">
        <w:t xml:space="preserve">et d’aluminium, </w:t>
      </w:r>
      <w:r w:rsidR="001C332E">
        <w:t>etc.)</w:t>
      </w:r>
      <w:r w:rsidR="00992755">
        <w:t xml:space="preserve">, via </w:t>
      </w:r>
      <w:r w:rsidR="005F28DD">
        <w:t xml:space="preserve">des </w:t>
      </w:r>
      <w:r w:rsidR="001D3863">
        <w:t xml:space="preserve">processus </w:t>
      </w:r>
      <w:r w:rsidR="001606BD" w:rsidRPr="00924603">
        <w:t>d’adsorption</w:t>
      </w:r>
      <w:r w:rsidR="001D3863">
        <w:t>-désorption qui vont influencer les transferts de polluants</w:t>
      </w:r>
      <w:r w:rsidR="0041317D">
        <w:t xml:space="preserve"> </w:t>
      </w:r>
      <w:r w:rsidR="00552C9D">
        <w:t>;</w:t>
      </w:r>
    </w:p>
    <w:p w14:paraId="4D3F4205" w14:textId="355B6443" w:rsidR="0028312E" w:rsidRDefault="00384E84">
      <w:pPr>
        <w:pStyle w:val="Paragraphedeliste"/>
        <w:numPr>
          <w:ilvl w:val="0"/>
          <w:numId w:val="13"/>
        </w:numPr>
      </w:pPr>
      <w:r>
        <w:t>La biodégradation</w:t>
      </w:r>
      <w:r w:rsidR="00807A24">
        <w:t xml:space="preserve"> assurée par les microorganismes du sol</w:t>
      </w:r>
      <w:r>
        <w:t>.</w:t>
      </w:r>
    </w:p>
    <w:p w14:paraId="30FE8738" w14:textId="7CF17A9A" w:rsidR="00B75BE6" w:rsidRPr="001464A1" w:rsidRDefault="00E865A6" w:rsidP="00B75BE6">
      <w:r>
        <w:t xml:space="preserve">La capacité de rétention </w:t>
      </w:r>
      <w:r w:rsidR="00134699">
        <w:t>des polluants par le</w:t>
      </w:r>
      <w:r>
        <w:t xml:space="preserve"> </w:t>
      </w:r>
      <w:r w:rsidR="097BAC37">
        <w:t xml:space="preserve">premier mètre </w:t>
      </w:r>
      <w:r>
        <w:t xml:space="preserve">du sol peut être évaluée dans le cadre de l’IQSW-pro. La biodégradation des polluants implique des processus </w:t>
      </w:r>
      <w:r w:rsidR="00433F8E">
        <w:t>biochimiques complexes qui sortent du périmètre de l’indice.</w:t>
      </w:r>
    </w:p>
    <w:p w14:paraId="1F1CC83E" w14:textId="1A2EFD3C" w:rsidR="7CE436BD" w:rsidRDefault="7CE436BD">
      <w:r>
        <w:t xml:space="preserve">Notons </w:t>
      </w:r>
      <w:r w:rsidR="1C4ADD37">
        <w:t>que la capacité de rétention du premier mètre ne présage en rien de ce qui se passe en-dessous</w:t>
      </w:r>
      <w:r w:rsidR="626301F7">
        <w:t>. Il est possible d’avoir un mètre de sol présentant une bonne capacité de rétention couvrant une forte pollution impliquant un risque pour la nappe ou, à l’inverse</w:t>
      </w:r>
      <w:r w:rsidR="327319A3">
        <w:t xml:space="preserve">, un mètre de sol présentant un dépassement de sa capacité de rétention mais avec une épaisse zone tampon en dessous. </w:t>
      </w:r>
      <w:r w:rsidR="53F3A408">
        <w:t xml:space="preserve">Le niveau d’atteinte de ce </w:t>
      </w:r>
      <w:r w:rsidR="002B7C20">
        <w:t>service écosystémique</w:t>
      </w:r>
      <w:r w:rsidR="53F3A408">
        <w:t xml:space="preserve"> ne permet donc pas, en l’état, d’appréhender toute la complexité </w:t>
      </w:r>
      <w:r w:rsidR="0E9F2FEB">
        <w:t>du rôle joué par le sol dans toute sa profondeur sur le risque de contamination des eaux souterraines. L’outil vise exclusivement à définir le rôle joué par l’hor</w:t>
      </w:r>
      <w:r w:rsidR="335F7A23">
        <w:t xml:space="preserve">izon de surface. </w:t>
      </w:r>
    </w:p>
    <w:p w14:paraId="4092C34F" w14:textId="071CDF0D" w:rsidR="009A4A18" w:rsidRDefault="001464A1">
      <w:pPr>
        <w:pStyle w:val="Titre3"/>
        <w:numPr>
          <w:ilvl w:val="2"/>
          <w:numId w:val="12"/>
        </w:numPr>
      </w:pPr>
      <w:bookmarkStart w:id="109" w:name="_Toc241478104"/>
      <w:r>
        <w:t>Fonction</w:t>
      </w:r>
      <w:r w:rsidR="009A4A18">
        <w:t>s</w:t>
      </w:r>
      <w:bookmarkEnd w:id="109"/>
    </w:p>
    <w:p w14:paraId="34B85AF6" w14:textId="61F8CBEC" w:rsidR="00261A1B" w:rsidRPr="00261A1B" w:rsidRDefault="00261A1B">
      <w:pPr>
        <w:pStyle w:val="Titre4"/>
        <w:numPr>
          <w:ilvl w:val="3"/>
          <w:numId w:val="12"/>
        </w:numPr>
      </w:pPr>
      <w:r>
        <w:t>Rétention des polluants</w:t>
      </w:r>
    </w:p>
    <w:p w14:paraId="488D36BA" w14:textId="47D0F4A6" w:rsidR="00EF4689" w:rsidRDefault="00F552F8" w:rsidP="00B75BE6">
      <w:bookmarkStart w:id="110" w:name="_Toc230267103"/>
      <w:r>
        <w:t xml:space="preserve">Il s’agit de la seule fonction évaluée dans le cadre du </w:t>
      </w:r>
      <w:r w:rsidR="002B7C20">
        <w:t>service écosystémique</w:t>
      </w:r>
      <w:r>
        <w:t xml:space="preserve"> </w:t>
      </w:r>
      <w:r w:rsidRPr="00F552F8">
        <w:rPr>
          <w:i/>
          <w:iCs/>
        </w:rPr>
        <w:t>Protection des nappes</w:t>
      </w:r>
      <w:r>
        <w:t xml:space="preserve">. </w:t>
      </w:r>
      <w:r w:rsidR="00B75BE6">
        <w:t xml:space="preserve">Dans le cadre des études de risque type « Décret sols », le risque de </w:t>
      </w:r>
      <w:r w:rsidR="28EE56DC">
        <w:t xml:space="preserve">lixiviation </w:t>
      </w:r>
      <w:r w:rsidR="00B75BE6">
        <w:t>d’un polluant donné vers les nappes souterraines est évalué en comparant la concentration mesurée dans le sol avec la « valeur seuil nappe », VS</w:t>
      </w:r>
      <w:r w:rsidR="00B75BE6" w:rsidRPr="00B75BE6">
        <w:rPr>
          <w:vertAlign w:val="subscript"/>
        </w:rPr>
        <w:t>N</w:t>
      </w:r>
      <w:r w:rsidR="00945F6B">
        <w:t xml:space="preserve">, représentant la </w:t>
      </w:r>
      <w:r w:rsidR="00B75BE6">
        <w:t>capacité du sol à retenir un polluant donné</w:t>
      </w:r>
      <w:r w:rsidR="00EF4689">
        <w:t>. Cette valeur, correspondant à une « concentration maximale de rétention » (Conc</w:t>
      </w:r>
      <w:r w:rsidR="00EF4689" w:rsidRPr="00B75BE6">
        <w:rPr>
          <w:vertAlign w:val="subscript"/>
        </w:rPr>
        <w:t>rétention</w:t>
      </w:r>
      <w:r w:rsidR="00EF4689">
        <w:t xml:space="preserve">), peut être utilisée pour </w:t>
      </w:r>
      <w:r w:rsidR="007B0F06">
        <w:t>évaluer la capacité théorique du sol à retenir les polluants.</w:t>
      </w:r>
      <w:r w:rsidR="29C79263">
        <w:t xml:space="preserve"> </w:t>
      </w:r>
      <w:r w:rsidR="2554E9D6">
        <w:t xml:space="preserve">Elle est calculée à partir des équations </w:t>
      </w:r>
      <w:r w:rsidR="00C93ADB">
        <w:t xml:space="preserve">du GRER (voir </w:t>
      </w:r>
      <w:r w:rsidR="00493508">
        <w:t>Annexe 2 – Indicateurs</w:t>
      </w:r>
      <w:r w:rsidR="00C93ADB">
        <w:t>).</w:t>
      </w:r>
    </w:p>
    <w:p w14:paraId="005C0061" w14:textId="29784A2D" w:rsidR="00BC1737" w:rsidRDefault="00BC1737">
      <w:pPr>
        <w:pStyle w:val="Titre3"/>
        <w:numPr>
          <w:ilvl w:val="2"/>
          <w:numId w:val="12"/>
        </w:numPr>
      </w:pPr>
      <w:bookmarkStart w:id="111" w:name="_Toc241478105"/>
      <w:r>
        <w:t>Contraintes</w:t>
      </w:r>
      <w:bookmarkEnd w:id="111"/>
    </w:p>
    <w:p w14:paraId="6BC28D08" w14:textId="4E941249" w:rsidR="00BC1737" w:rsidRDefault="00E57BE9">
      <w:pPr>
        <w:pStyle w:val="Titre4"/>
        <w:numPr>
          <w:ilvl w:val="3"/>
          <w:numId w:val="12"/>
        </w:numPr>
      </w:pPr>
      <w:r>
        <w:t>Pollution</w:t>
      </w:r>
    </w:p>
    <w:p w14:paraId="6B9AA6DA" w14:textId="2CA40F69" w:rsidR="00E57BE9" w:rsidRDefault="00E57BE9" w:rsidP="00E57BE9">
      <w:r>
        <w:t xml:space="preserve">La présence d’une pollution dans le sol représente une contrainte pour le </w:t>
      </w:r>
      <w:r w:rsidR="002B7C20">
        <w:t>service écosystémique</w:t>
      </w:r>
      <w:r>
        <w:t xml:space="preserve"> </w:t>
      </w:r>
      <w:r w:rsidRPr="00B04BAC">
        <w:rPr>
          <w:i/>
          <w:iCs/>
        </w:rPr>
        <w:t>Protection des nappes</w:t>
      </w:r>
      <w:r>
        <w:t xml:space="preserve">, </w:t>
      </w:r>
      <w:r w:rsidR="00B04BAC">
        <w:t xml:space="preserve">car la </w:t>
      </w:r>
      <w:r w:rsidR="7AE5CFCA">
        <w:t>présence d</w:t>
      </w:r>
      <w:r w:rsidR="1FD8C4AE">
        <w:t>’un ou plusieurs</w:t>
      </w:r>
      <w:r w:rsidR="00B04BAC">
        <w:t xml:space="preserve"> polluant sature la capacité de rétention du sol</w:t>
      </w:r>
      <w:r w:rsidR="1FD8C4AE">
        <w:t>, limitant sa capacité à filtrer de</w:t>
      </w:r>
      <w:r w:rsidR="11CBA466">
        <w:t>s pollutions ultérieures.</w:t>
      </w:r>
      <w:r w:rsidR="5566121C">
        <w:t xml:space="preserve"> Un dépassement de la capacité de rétention du sol indique une contrainte forte</w:t>
      </w:r>
      <w:r w:rsidR="00B04BAC">
        <w:t>.</w:t>
      </w:r>
    </w:p>
    <w:p w14:paraId="26481D26" w14:textId="664E8213" w:rsidR="00B04BAC" w:rsidRDefault="003435BF">
      <w:pPr>
        <w:pStyle w:val="Titre3"/>
        <w:numPr>
          <w:ilvl w:val="2"/>
          <w:numId w:val="12"/>
        </w:numPr>
      </w:pPr>
      <w:bookmarkStart w:id="112" w:name="_Toc241478106"/>
      <w:r>
        <w:lastRenderedPageBreak/>
        <w:t>Compléments indicatifs</w:t>
      </w:r>
      <w:bookmarkEnd w:id="112"/>
    </w:p>
    <w:p w14:paraId="1E7EA58C" w14:textId="103BBF7D" w:rsidR="00B15F00" w:rsidRPr="005F28EA" w:rsidRDefault="00E26DDA" w:rsidP="00B15F00">
      <w:r>
        <w:t xml:space="preserve">Aucun complément indicatif ne s’applique au </w:t>
      </w:r>
      <w:r w:rsidR="002B7C20">
        <w:t>service écosystémique</w:t>
      </w:r>
      <w:r>
        <w:t xml:space="preserve"> </w:t>
      </w:r>
      <w:r>
        <w:rPr>
          <w:i/>
          <w:iCs/>
        </w:rPr>
        <w:t>Protection des Nappes</w:t>
      </w:r>
      <w:r>
        <w:t>.</w:t>
      </w:r>
    </w:p>
    <w:p w14:paraId="5509AD6B" w14:textId="77777777" w:rsidR="004B2895" w:rsidRDefault="006F53BE">
      <w:pPr>
        <w:pStyle w:val="Titre2"/>
        <w:numPr>
          <w:ilvl w:val="1"/>
          <w:numId w:val="12"/>
        </w:numPr>
      </w:pPr>
      <w:bookmarkStart w:id="113" w:name="_Toc241478107"/>
      <w:r>
        <w:t>P</w:t>
      </w:r>
      <w:r w:rsidR="00347859">
        <w:t xml:space="preserve">otentiel d’accueil </w:t>
      </w:r>
      <w:r w:rsidR="00347859" w:rsidRPr="0050182F">
        <w:t>pour</w:t>
      </w:r>
      <w:r w:rsidR="00347859">
        <w:t xml:space="preserve"> un</w:t>
      </w:r>
      <w:r>
        <w:t xml:space="preserve">e végétation </w:t>
      </w:r>
      <w:r w:rsidR="00347859">
        <w:t>diversifié</w:t>
      </w:r>
      <w:r>
        <w:t>e</w:t>
      </w:r>
      <w:bookmarkEnd w:id="110"/>
      <w:bookmarkEnd w:id="113"/>
    </w:p>
    <w:p w14:paraId="54FB846C" w14:textId="40AFC43B" w:rsidR="0077712C" w:rsidRDefault="009A7D10" w:rsidP="009D239D">
      <w:r>
        <w:t xml:space="preserve">Ce </w:t>
      </w:r>
      <w:r w:rsidR="002B7C20">
        <w:t>service écosystémique</w:t>
      </w:r>
      <w:r>
        <w:t xml:space="preserve"> concerne la capacité du sol à accueillir une végétation diversifiée. </w:t>
      </w:r>
      <w:r w:rsidR="00694503">
        <w:t>Il s’agit donc d’évaluer</w:t>
      </w:r>
      <w:r w:rsidR="00946BA7">
        <w:t xml:space="preserve">, sur base de propriétés pédologiques, </w:t>
      </w:r>
      <w:r w:rsidR="00D90A37">
        <w:t>le potentiel que présente un sol à accueillir la biodiversité végétale (que cette biodiversité soit effectivement représentée ou non).</w:t>
      </w:r>
    </w:p>
    <w:p w14:paraId="012EFFD0" w14:textId="63EB73BE" w:rsidR="00D90A37" w:rsidRDefault="002002E2">
      <w:pPr>
        <w:pStyle w:val="Titre3"/>
        <w:numPr>
          <w:ilvl w:val="2"/>
          <w:numId w:val="12"/>
        </w:numPr>
      </w:pPr>
      <w:bookmarkStart w:id="114" w:name="_Toc241478108"/>
      <w:r>
        <w:t>Fonctions</w:t>
      </w:r>
      <w:bookmarkEnd w:id="114"/>
    </w:p>
    <w:p w14:paraId="351D4B8A" w14:textId="1D77BD96" w:rsidR="002002E2" w:rsidRPr="002002E2" w:rsidRDefault="007F5C9F">
      <w:pPr>
        <w:pStyle w:val="Titre4"/>
        <w:numPr>
          <w:ilvl w:val="3"/>
          <w:numId w:val="12"/>
        </w:numPr>
      </w:pPr>
      <w:r>
        <w:t>Diversité des réseaux trophiques</w:t>
      </w:r>
    </w:p>
    <w:p w14:paraId="23022BED" w14:textId="780A301A" w:rsidR="00CB7132" w:rsidRDefault="0077712C" w:rsidP="009D239D">
      <w:r>
        <w:t>La</w:t>
      </w:r>
      <w:r w:rsidR="00E132E5">
        <w:t xml:space="preserve"> teneur </w:t>
      </w:r>
      <w:r w:rsidR="00564BD6">
        <w:t>en nutriments</w:t>
      </w:r>
      <w:r>
        <w:t xml:space="preserve"> est le facteur principal qui</w:t>
      </w:r>
      <w:r w:rsidR="005251EF">
        <w:t xml:space="preserve"> influence </w:t>
      </w:r>
      <w:r w:rsidR="00CC5BE1">
        <w:t>l</w:t>
      </w:r>
      <w:r>
        <w:t xml:space="preserve">e potentiel de </w:t>
      </w:r>
      <w:r w:rsidR="00694503">
        <w:t>diversification des espèces végétales</w:t>
      </w:r>
      <w:r w:rsidR="00AE710C">
        <w:t xml:space="preserve">. </w:t>
      </w:r>
      <w:r w:rsidR="003F31D8">
        <w:t xml:space="preserve">C’est </w:t>
      </w:r>
      <w:r w:rsidR="00BF6F14">
        <w:t>essentiellement</w:t>
      </w:r>
      <w:r w:rsidR="003F31D8">
        <w:t xml:space="preserve"> le cas du phosphore qui, à partir d’un</w:t>
      </w:r>
      <w:r w:rsidR="00671043">
        <w:t>e</w:t>
      </w:r>
      <w:r w:rsidR="003F31D8">
        <w:t xml:space="preserve"> certain</w:t>
      </w:r>
      <w:r w:rsidR="00671043">
        <w:t>e</w:t>
      </w:r>
      <w:r w:rsidR="003F31D8">
        <w:t xml:space="preserve"> </w:t>
      </w:r>
      <w:r w:rsidR="00671043">
        <w:t>concentration</w:t>
      </w:r>
      <w:r w:rsidR="00DC3607">
        <w:t xml:space="preserve">, </w:t>
      </w:r>
      <w:r w:rsidR="00CB7132">
        <w:t xml:space="preserve">cause une diminution drastique du nombre d’espèces présentes dans </w:t>
      </w:r>
      <w:r w:rsidR="00671043">
        <w:t xml:space="preserve">un milieu </w:t>
      </w:r>
      <w:r w:rsidR="0046076C">
        <w:t>naturel ou géré de manière extensive</w:t>
      </w:r>
      <w:r w:rsidR="00CB7132">
        <w:t xml:space="preserve">, au bénéfice </w:t>
      </w:r>
      <w:r w:rsidR="0046076C">
        <w:t>d’un nombre réduit d’</w:t>
      </w:r>
      <w:r w:rsidR="00CB7132">
        <w:t>espèces compétitrices</w:t>
      </w:r>
      <w:r w:rsidR="00480D2C">
        <w:t xml:space="preserve"> </w:t>
      </w:r>
      <w:r w:rsidR="00883850">
        <w:t xml:space="preserve">à croissance rapide </w:t>
      </w:r>
      <w:r w:rsidR="00480D2C">
        <w:fldChar w:fldCharType="begin"/>
      </w:r>
      <w:r w:rsidR="00480D2C">
        <w:instrText xml:space="preserve"> ADDIN ZOTERO_ITEM CSL_CITATION {"citationID":"I3kovtK7","properties":{"unsorted":true,"formattedCitation":"(Janssens &amp; Peeters, 1999; Ceulemans et al., 2014)","plainCitation":"(Janssens &amp; Peeters, 1999; Ceulemans et al., 2014)","noteIndex":0},"citationItems":[{"id":124,"uris":["http://zotero.org/groups/5684833/items/6FFL6DXR"],"itemData":{"id":124,"type":"article-journal","language":"fr","source":"dial.uclouvain.be","title":"Talus et pré fleuris : mode d'emploi. Un guide pour l'aménagement écologique d'espaces verts","title-short":"Talus et pré fleuris","URL":"https://dial.uclouvain.be/pr/boreal/object/boreal:84530","author":[{"family":"Janssens","given":"Frédéric"},{"family":"Peeters","given":"Alain"}],"accessed":{"date-parts":[["2025",7,30]]},"issued":{"date-parts":[["1999"]]}}},{"id":13,"uris":["http://zotero.org/groups/5684833/items/FGT9VPDF"],"itemData":{"id":13,"type":"article-journal","abstract":"Nutrient pollution presents a serious threat to biodiversity conservation. In terrestrial ecosystems, the deleterious effects of nitrogen pollution are increasingly understood and several mitigating environmental policies have been developed. Compared to nitrogen, the effects of increased phosphorus have received far less attention, although some studies have indicated that phosphorus pollution may be detrimental for biodiversity as well. On the basis of a dataset covering 501 grassland plots throughout Europe, we demonstrate that, independent of the level of atmospheric nitrogen deposition and soil acidity, plant species richness was consistently negatively related to soil phosphorus. We also identified thresholds in soil phosphorus above which biodiversity appears to remain at a constant low level. Our results indicate that nutrient management policies biased toward reducing nitrogen pollution will fail to preserve biodiversity. As soil phosphorus is known to be extremely persistent and we found no evidence for a critical threshold below which no environmental harm is expected, we suggest that agro-environmental schemes should include grasslands that are permanently free from phosphorus fertilization.","container-title":"Global Change Biology","DOI":"10.1111/gcb.12650","ISSN":"1365-2486","issue":"12","language":"en","license":"© 2014 John Wiley &amp; Sons Ltd","note":"_eprint: https://onlinelibrary.wiley.com/doi/pdf/10.1111/gcb.12650","page":"3814-3822","source":"Wiley Online Library","title":"Soil phosphorus constrains biodiversity across European grasslands","volume":"20","author":[{"family":"Ceulemans","given":"Tobias"},{"family":"Stevens","given":"Carly J."},{"family":"Duchateau","given":"Luc"},{"family":"Jacquemyn","given":"Hans"},{"family":"Gowing","given":"David J. G."},{"family":"Merckx","given":"Roel"},{"family":"Wallace","given":"Hilary"},{"family":"Rooijen","given":"Nils","non-dropping-particle":"van"},{"family":"Goethem","given":"Thomas"},{"family":"Bobbink","given":"Roland"},{"family":"Dorland","given":"Edu"},{"family":"Gaudnik","given":"Cassandre"},{"family":"Alard","given":"Didier"},{"family":"Corcket","given":"Emmanuel"},{"family":"Muller","given":"Serge"},{"family":"Dise","given":"Nancy B."},{"family":"Dupré","given":"Cecilia"},{"family":"Diekmann","given":"Martin"},{"family":"Honnay","given":"Olivier"}],"issued":{"date-parts":[["2014"]]}}}],"schema":"https://github.com/citation-style-language/schema/raw/master/csl-citation.json"} </w:instrText>
      </w:r>
      <w:r w:rsidR="00480D2C">
        <w:fldChar w:fldCharType="separate"/>
      </w:r>
      <w:r w:rsidR="00480D2C" w:rsidRPr="00480D2C">
        <w:rPr>
          <w:rFonts w:cs="Calibri"/>
        </w:rPr>
        <w:t xml:space="preserve">(Janssens &amp; Peeters, </w:t>
      </w:r>
      <w:r w:rsidR="00480D2C" w:rsidRPr="48222D96">
        <w:rPr>
          <w:rFonts w:cs="Calibri"/>
        </w:rPr>
        <w:t>1999; Ceulemans et al., 2014)</w:t>
      </w:r>
      <w:r w:rsidR="00480D2C">
        <w:fldChar w:fldCharType="end"/>
      </w:r>
      <w:r w:rsidR="00CB7132">
        <w:t>.</w:t>
      </w:r>
      <w:r w:rsidR="009D239D">
        <w:t xml:space="preserve"> </w:t>
      </w:r>
      <w:r w:rsidR="00440CA2">
        <w:t>D</w:t>
      </w:r>
      <w:r w:rsidR="009D239D">
        <w:t xml:space="preserve">es sols pauvres en phosphore contribuent au </w:t>
      </w:r>
      <w:r w:rsidR="0033182B">
        <w:t xml:space="preserve">développement d’une communauté microbienne </w:t>
      </w:r>
      <w:r w:rsidR="00E07A3F">
        <w:t xml:space="preserve">et d’un cortège végétal </w:t>
      </w:r>
      <w:r w:rsidR="0033182B">
        <w:t>diversifié</w:t>
      </w:r>
      <w:r w:rsidR="00E07A3F">
        <w:t xml:space="preserve">s </w:t>
      </w:r>
      <w:r w:rsidR="005F6B32">
        <w:fldChar w:fldCharType="begin"/>
      </w:r>
      <w:r w:rsidR="005F6B32">
        <w:instrText xml:space="preserve"> ADDIN ZOTERO_ITEM CSL_CITATION {"citationID":"x1W8aUGo","properties":{"unsorted":false,"formattedCitation":"(Lalibert\\uc0\\u233{} et al., 2013)","plainCitation":"(Laliberté et al., 2013)","noteIndex":0},"citationItems":[{"id":485,"uris":["http://zotero.org/groups/5684833/items/CUJRAF2I"],"itemData":{"id":485,"type":"article-journal","abstract":"Some of the most species-rich plant communities occur on ancient, strongly weathered soils, whereas those on recently developed soils tend to be less diverse. Mechanisms underlying this well-known pattern, however, remain unresolved. Here, we present a conceptual model describing alternative mechanisms by which pedogenesis (the process of soil formation) might drive plant diversity. We suggest that long-term soil chronosequences offer great, yet largely untapped, potential as ‘natural experiments’ to determine edaphic controls over plant diversity. Finally, we discuss how our conceptual model can be evaluated quantitatively using structural equation modeling to advance multivariate theories about the determinants of local plant diversity. This should help us to understand broader-scale diversity patterns, such as the latitudinal gradient of plant diversity.","container-title":"Trends in Ecology &amp; Evolution","DOI":"10.1016/j.tree.2013.02.008","ISSN":"0169-5347","issue":"6","journalAbbreviation":"Trends in Ecology &amp; Evolution","page":"331-340","source":"ScienceDirect","title":"How does pedogenesis drive plant diversity?","volume":"28","author":[{"family":"Laliberté","given":"Etienne"},{"family":"Grace","given":"James B."},{"family":"Huston","given":"Michael A."},{"family":"Lambers","given":"Hans"},{"family":"Teste","given":"François P."},{"family":"Turner","given":"Benjamin L."},{"family":"Wardle","given":"David A."}],"issued":{"date-parts":[["2013",6,1]]}}}],"schema":"https://github.com/citation-style-language/schema/raw/master/csl-citation.json"} </w:instrText>
      </w:r>
      <w:r w:rsidR="005F6B32">
        <w:fldChar w:fldCharType="separate"/>
      </w:r>
      <w:r w:rsidR="005F6B32" w:rsidRPr="005F6B32">
        <w:rPr>
          <w:rFonts w:cs="Calibri"/>
          <w:kern w:val="0"/>
        </w:rPr>
        <w:t>(Laliberté et al., 2013)</w:t>
      </w:r>
      <w:r w:rsidR="005F6B32">
        <w:fldChar w:fldCharType="end"/>
      </w:r>
      <w:r w:rsidR="0023398E">
        <w:t>.</w:t>
      </w:r>
    </w:p>
    <w:p w14:paraId="17119D16" w14:textId="24C3DBD9" w:rsidR="00023891" w:rsidRDefault="00CD6290" w:rsidP="009A7D10">
      <w:r>
        <w:t xml:space="preserve">Ainsi, la mesure de la teneur en P disponible est </w:t>
      </w:r>
      <w:r w:rsidR="00E07A3F">
        <w:t>l’unique</w:t>
      </w:r>
      <w:r>
        <w:t xml:space="preserve"> paramètre </w:t>
      </w:r>
      <w:r w:rsidR="001C1B19">
        <w:t xml:space="preserve">impliqué dans l’évaluation </w:t>
      </w:r>
      <w:r w:rsidR="000209DE">
        <w:t xml:space="preserve">de la fonction </w:t>
      </w:r>
      <w:r w:rsidR="000209DE" w:rsidRPr="000209DE">
        <w:rPr>
          <w:i/>
          <w:iCs/>
        </w:rPr>
        <w:t>Potentiel d’accueil</w:t>
      </w:r>
      <w:r w:rsidR="00AB5CD3">
        <w:rPr>
          <w:i/>
          <w:iCs/>
        </w:rPr>
        <w:t xml:space="preserve"> pour une végétation diversifiée</w:t>
      </w:r>
      <w:r>
        <w:t>.</w:t>
      </w:r>
    </w:p>
    <w:p w14:paraId="6E698EB3" w14:textId="1A28F0FE" w:rsidR="00CD6290" w:rsidRDefault="00D6268D">
      <w:pPr>
        <w:pStyle w:val="Titre3"/>
        <w:numPr>
          <w:ilvl w:val="2"/>
          <w:numId w:val="12"/>
        </w:numPr>
      </w:pPr>
      <w:bookmarkStart w:id="115" w:name="_Toc241478109"/>
      <w:r>
        <w:t>Contraintes</w:t>
      </w:r>
      <w:bookmarkEnd w:id="115"/>
    </w:p>
    <w:p w14:paraId="5697A190" w14:textId="347D2D71" w:rsidR="000209DE" w:rsidRPr="000209DE" w:rsidRDefault="001C1B19">
      <w:pPr>
        <w:pStyle w:val="Titre4"/>
        <w:numPr>
          <w:ilvl w:val="3"/>
          <w:numId w:val="12"/>
        </w:numPr>
      </w:pPr>
      <w:r>
        <w:t>Présence d’espèces exotiques envahissantes</w:t>
      </w:r>
    </w:p>
    <w:p w14:paraId="5C7B94E8" w14:textId="53A07206" w:rsidR="00D6268D" w:rsidRDefault="00D6268D" w:rsidP="00D6268D">
      <w:r>
        <w:t>La présence d</w:t>
      </w:r>
      <w:r w:rsidR="00C82C5D">
        <w:t>e plantes exotiques envahissantes</w:t>
      </w:r>
      <w:r>
        <w:t xml:space="preserve"> est le reflet d’une perte de biodiversité</w:t>
      </w:r>
      <w:r w:rsidR="1A727E02">
        <w:t xml:space="preserve"> qui impose une contrainte forte à la réinstallation d’un cortège végétal diversifié</w:t>
      </w:r>
      <w:r w:rsidR="370A9D10">
        <w:t>.</w:t>
      </w:r>
      <w:r>
        <w:t xml:space="preserve"> </w:t>
      </w:r>
      <w:r w:rsidR="000B4FB6">
        <w:t xml:space="preserve">Ainsi, la présence d’un massif d’EEE </w:t>
      </w:r>
      <w:r w:rsidR="0045017E">
        <w:t xml:space="preserve">va </w:t>
      </w:r>
      <w:r w:rsidR="00AD659E">
        <w:t>en toute logique</w:t>
      </w:r>
      <w:r w:rsidR="000B4118">
        <w:t xml:space="preserve"> </w:t>
      </w:r>
      <w:r w:rsidR="0045017E">
        <w:t xml:space="preserve">impacter négativement le </w:t>
      </w:r>
      <w:r w:rsidR="002B7C20">
        <w:t>service</w:t>
      </w:r>
      <w:r w:rsidR="0045017E">
        <w:t>.</w:t>
      </w:r>
    </w:p>
    <w:p w14:paraId="0AF7FC4F" w14:textId="76373BC1" w:rsidR="009174EB" w:rsidRDefault="7387B8F2">
      <w:pPr>
        <w:pStyle w:val="Titre3"/>
        <w:numPr>
          <w:ilvl w:val="2"/>
          <w:numId w:val="12"/>
        </w:numPr>
      </w:pPr>
      <w:bookmarkStart w:id="116" w:name="_Toc241478110"/>
      <w:r>
        <w:t>Compléments indicatifs</w:t>
      </w:r>
      <w:bookmarkEnd w:id="116"/>
    </w:p>
    <w:p w14:paraId="659C42E6" w14:textId="77777777" w:rsidR="00E6063D" w:rsidRDefault="00E6063D">
      <w:pPr>
        <w:pStyle w:val="Titre4"/>
        <w:numPr>
          <w:ilvl w:val="3"/>
          <w:numId w:val="12"/>
        </w:numPr>
      </w:pPr>
      <w:r>
        <w:t>Pollution</w:t>
      </w:r>
    </w:p>
    <w:p w14:paraId="1E3DCD1F" w14:textId="2F3160CA" w:rsidR="00502BD3" w:rsidRPr="00E6063D" w:rsidRDefault="00E6063D" w:rsidP="00E6063D">
      <w:r>
        <w:t>La pollution peut affecter négativement les espèces végétales et des valeurs de risque existent pour caractériser la menace que représente une pollution pour les écosystèmes : VS écosystèmes (VS</w:t>
      </w:r>
      <w:r w:rsidRPr="48222D96">
        <w:rPr>
          <w:vertAlign w:val="subscript"/>
        </w:rPr>
        <w:t>E</w:t>
      </w:r>
      <w:r>
        <w:t>). Toutefois, étant donné que cette valeur de risque est modélisée pour de multiples composants de l’écosystème (non seulement les plantes mais également les animaux, les microorganismes du sol</w:t>
      </w:r>
      <w:r w:rsidR="75C5FA3A">
        <w:t>,</w:t>
      </w:r>
      <w:r>
        <w:t xml:space="preserve"> etc.), un dépassement de la VS</w:t>
      </w:r>
      <w:r w:rsidRPr="48222D96">
        <w:rPr>
          <w:vertAlign w:val="subscript"/>
        </w:rPr>
        <w:t>E</w:t>
      </w:r>
      <w:r>
        <w:t xml:space="preserve"> doit seulement être interprété comme un complément indicatif pour le </w:t>
      </w:r>
      <w:r w:rsidR="002B7C20">
        <w:t>service écosystémique</w:t>
      </w:r>
      <w:r>
        <w:t xml:space="preserve"> </w:t>
      </w:r>
      <w:r w:rsidRPr="48222D96">
        <w:rPr>
          <w:i/>
          <w:iCs/>
        </w:rPr>
        <w:t>Accueil pour une végétation diversifiée</w:t>
      </w:r>
      <w:r>
        <w:t>, et non comme une variable à scorer en soi. Notons que certaines pollutions peuvent engendrer la présence d’un écosystème rare (</w:t>
      </w:r>
      <w:r w:rsidR="00E818DB">
        <w:t>voir partie</w:t>
      </w:r>
      <w:r w:rsidR="00013A2B">
        <w:t xml:space="preserve"> </w:t>
      </w:r>
      <w:r w:rsidR="00013A2B">
        <w:fldChar w:fldCharType="begin"/>
      </w:r>
      <w:r w:rsidR="00013A2B">
        <w:instrText xml:space="preserve"> REF _Ref241075439 \r \h </w:instrText>
      </w:r>
      <w:r w:rsidR="00013A2B">
        <w:fldChar w:fldCharType="separate"/>
      </w:r>
      <w:r w:rsidR="00013A2B">
        <w:t>4.7.3.1</w:t>
      </w:r>
      <w:r w:rsidR="00013A2B">
        <w:fldChar w:fldCharType="end"/>
      </w:r>
      <w:r w:rsidR="00E818DB">
        <w:t>)</w:t>
      </w:r>
      <w:r>
        <w:t xml:space="preserve">. </w:t>
      </w:r>
    </w:p>
    <w:p w14:paraId="5058B979" w14:textId="65CAB874" w:rsidR="004B2895" w:rsidRDefault="0045017E">
      <w:pPr>
        <w:pStyle w:val="Titre2"/>
        <w:numPr>
          <w:ilvl w:val="1"/>
          <w:numId w:val="12"/>
        </w:numPr>
      </w:pPr>
      <w:bookmarkStart w:id="117" w:name="_Toc230267104"/>
      <w:bookmarkStart w:id="118" w:name="_Ref233066337"/>
      <w:bookmarkStart w:id="119" w:name="_Ref241069708"/>
      <w:bookmarkStart w:id="120" w:name="_Toc241478111"/>
      <w:r>
        <w:t xml:space="preserve">Potentiel d’accueil </w:t>
      </w:r>
      <w:r w:rsidRPr="0050182F">
        <w:t>pour</w:t>
      </w:r>
      <w:r>
        <w:t xml:space="preserve"> un é</w:t>
      </w:r>
      <w:r w:rsidR="00347859">
        <w:t>cosystème rare</w:t>
      </w:r>
      <w:bookmarkEnd w:id="117"/>
      <w:bookmarkEnd w:id="118"/>
      <w:bookmarkEnd w:id="119"/>
      <w:bookmarkEnd w:id="120"/>
    </w:p>
    <w:p w14:paraId="176DBCDF" w14:textId="6DC0BAAF" w:rsidR="00D83E17" w:rsidRDefault="006A2E2E" w:rsidP="0022535A">
      <w:r>
        <w:t xml:space="preserve">Le potentiel </w:t>
      </w:r>
      <w:r w:rsidRPr="006A2E2E">
        <w:t>d’accueil pour un écosystème rare</w:t>
      </w:r>
      <w:r>
        <w:t xml:space="preserve"> fait référence à la capacité d’un sol à accueillir, </w:t>
      </w:r>
      <w:r w:rsidR="0022535A">
        <w:t xml:space="preserve">en raison de propriétés atypiques, un écosystème rare. </w:t>
      </w:r>
      <w:r w:rsidR="00DE7B39">
        <w:t>L</w:t>
      </w:r>
      <w:r w:rsidR="00D83E17">
        <w:t xml:space="preserve">a spécificité </w:t>
      </w:r>
      <w:r w:rsidR="00FC4C62">
        <w:t>d’un sol</w:t>
      </w:r>
      <w:r w:rsidR="00BC640D">
        <w:t>, et donc l’intérêt de le protéger,</w:t>
      </w:r>
      <w:r w:rsidR="00D83E17">
        <w:t xml:space="preserve"> réside dans la rareté </w:t>
      </w:r>
      <w:r w:rsidR="00BC640D">
        <w:t>des espèces qu’il accueille (ou est en mesure d’accueillir).</w:t>
      </w:r>
      <w:r w:rsidR="00A96D7C">
        <w:t xml:space="preserve"> </w:t>
      </w:r>
      <w:r w:rsidR="0022535A">
        <w:t xml:space="preserve">Il est important de </w:t>
      </w:r>
      <w:r w:rsidR="00B61B30">
        <w:t>mentionner que l</w:t>
      </w:r>
      <w:r w:rsidR="00A96D7C">
        <w:t>e cortège d’espèces</w:t>
      </w:r>
      <w:r w:rsidR="00B61B30">
        <w:t xml:space="preserve"> rares</w:t>
      </w:r>
      <w:r w:rsidR="00A96D7C">
        <w:t xml:space="preserve"> </w:t>
      </w:r>
      <w:r w:rsidR="00B61B30">
        <w:t>peut</w:t>
      </w:r>
      <w:r w:rsidR="00A96D7C">
        <w:t xml:space="preserve"> être diversifié</w:t>
      </w:r>
      <w:r w:rsidR="00763E72">
        <w:t xml:space="preserve"> ou plutôt concerner un nombre réduit </w:t>
      </w:r>
      <w:r w:rsidR="00763E72">
        <w:lastRenderedPageBreak/>
        <w:t>d’espèces endémiques au milieu</w:t>
      </w:r>
      <w:r w:rsidR="00A96D7C">
        <w:t xml:space="preserve">. </w:t>
      </w:r>
      <w:r w:rsidR="00551154">
        <w:t>Dans un cas comme dans l’autre</w:t>
      </w:r>
      <w:r w:rsidR="00A96D7C">
        <w:t>, il contribue à la biodiversité à l’échelle du territoire</w:t>
      </w:r>
      <w:r w:rsidR="00062E63">
        <w:t>, raison pour laquelle il est important de le préserver</w:t>
      </w:r>
      <w:r w:rsidR="00A96D7C">
        <w:t>.</w:t>
      </w:r>
    </w:p>
    <w:p w14:paraId="59B7FACF" w14:textId="3CCB8A1E" w:rsidR="00931BF0" w:rsidRDefault="00931BF0">
      <w:pPr>
        <w:pStyle w:val="Titre3"/>
        <w:numPr>
          <w:ilvl w:val="2"/>
          <w:numId w:val="12"/>
        </w:numPr>
      </w:pPr>
      <w:bookmarkStart w:id="121" w:name="_Toc241478112"/>
      <w:r>
        <w:t>Fonctions</w:t>
      </w:r>
      <w:bookmarkEnd w:id="121"/>
    </w:p>
    <w:p w14:paraId="776316EB" w14:textId="5EA55812" w:rsidR="00931BF0" w:rsidRPr="00931BF0" w:rsidRDefault="00931BF0">
      <w:pPr>
        <w:pStyle w:val="Titre4"/>
        <w:numPr>
          <w:ilvl w:val="3"/>
          <w:numId w:val="12"/>
        </w:numPr>
      </w:pPr>
      <w:r>
        <w:t>Potentiel d’accueil d’un écosystème rare</w:t>
      </w:r>
    </w:p>
    <w:p w14:paraId="716CE751" w14:textId="7D7439C9" w:rsidR="00DE7B39" w:rsidRDefault="001C7526" w:rsidP="0045017E">
      <w:r>
        <w:t>La</w:t>
      </w:r>
      <w:r w:rsidR="00DE7B39">
        <w:t xml:space="preserve"> couche cartographique</w:t>
      </w:r>
      <w:r>
        <w:t xml:space="preserve"> « </w:t>
      </w:r>
      <w:r w:rsidRPr="001E0E2E">
        <w:t>Contextes écologiques marginaux et sensibles</w:t>
      </w:r>
      <w:r>
        <w:t> »</w:t>
      </w:r>
      <w:r w:rsidR="00064448">
        <w:t>, disponible sur le Géoportail de la Wallonie</w:t>
      </w:r>
      <w:r w:rsidR="005130E1">
        <w:rPr>
          <w:rStyle w:val="Appelnotedebasdep"/>
        </w:rPr>
        <w:footnoteReference w:id="10"/>
      </w:r>
      <w:r w:rsidR="00064448">
        <w:t xml:space="preserve">, </w:t>
      </w:r>
      <w:r w:rsidR="00DE7B39">
        <w:t xml:space="preserve">vise à recenser, sur des bases des données </w:t>
      </w:r>
      <w:r w:rsidR="00B61B30">
        <w:t>pédologiques</w:t>
      </w:r>
      <w:r w:rsidR="00DE7B39">
        <w:t xml:space="preserve"> cartographiées, </w:t>
      </w:r>
      <w:r w:rsidR="009B19E2">
        <w:t xml:space="preserve">les sols </w:t>
      </w:r>
      <w:r w:rsidR="00743D7F">
        <w:t>qui présentent au minimum une propriété atypique, ce qui les rend potentiellement propice à accueillir un écosystème rare</w:t>
      </w:r>
      <w:r w:rsidR="40204AC6">
        <w:t>.</w:t>
      </w:r>
      <w:r w:rsidR="00743D7F">
        <w:t xml:space="preserve"> </w:t>
      </w:r>
      <w:r w:rsidR="00743D7F" w:rsidRPr="0051100D">
        <w:t>Si la présence des spécificités cartographiées est confirmée par les</w:t>
      </w:r>
      <w:r w:rsidR="009B19E2" w:rsidRPr="0051100D">
        <w:t xml:space="preserve"> observations de terrain</w:t>
      </w:r>
      <w:r w:rsidR="00743D7F" w:rsidRPr="0051100D">
        <w:t>, alors</w:t>
      </w:r>
      <w:r w:rsidR="00192B0C" w:rsidRPr="0051100D">
        <w:t xml:space="preserve"> </w:t>
      </w:r>
      <w:r w:rsidR="000224AA" w:rsidRPr="0051100D">
        <w:t>l’existence</w:t>
      </w:r>
      <w:r w:rsidR="000224AA">
        <w:t xml:space="preserve"> d’un potentiel d’accueil d’un écosystème rare est mise en évidence par le diagnostic.</w:t>
      </w:r>
      <w:r w:rsidR="00743D7F">
        <w:t xml:space="preserve"> </w:t>
      </w:r>
    </w:p>
    <w:p w14:paraId="796E679D" w14:textId="60E2F672" w:rsidR="00502BD3" w:rsidRDefault="00502BD3" w:rsidP="0045017E">
      <w:r>
        <w:t>Il est toutefois important de noter que ce SE, et cette fonction, ne sont pas scorés dans l’outil, mais font seulement état de SE de « superposition ».</w:t>
      </w:r>
    </w:p>
    <w:p w14:paraId="4B304DEF" w14:textId="616C3604" w:rsidR="00931BF0" w:rsidRDefault="00931BF0">
      <w:pPr>
        <w:pStyle w:val="Titre3"/>
        <w:numPr>
          <w:ilvl w:val="2"/>
          <w:numId w:val="12"/>
        </w:numPr>
      </w:pPr>
      <w:bookmarkStart w:id="122" w:name="_Toc241478113"/>
      <w:r>
        <w:t>Contraintes</w:t>
      </w:r>
      <w:bookmarkEnd w:id="122"/>
    </w:p>
    <w:p w14:paraId="1EE0625F" w14:textId="7D5D3081" w:rsidR="00931BF0" w:rsidRDefault="00226476" w:rsidP="00931BF0">
      <w:r>
        <w:t xml:space="preserve">Aucune contrainte ne s’applique au SE </w:t>
      </w:r>
      <w:r w:rsidRPr="00226476">
        <w:rPr>
          <w:i/>
          <w:iCs/>
        </w:rPr>
        <w:t>Potentiel d’accueil pour un écosystème rare</w:t>
      </w:r>
      <w:r>
        <w:t>.</w:t>
      </w:r>
    </w:p>
    <w:p w14:paraId="790D944B" w14:textId="0B23AB1C" w:rsidR="00931BF0" w:rsidRDefault="00931BF0">
      <w:pPr>
        <w:pStyle w:val="Titre3"/>
        <w:numPr>
          <w:ilvl w:val="2"/>
          <w:numId w:val="12"/>
        </w:numPr>
      </w:pPr>
      <w:bookmarkStart w:id="123" w:name="_Ref241229315"/>
      <w:bookmarkStart w:id="124" w:name="_Toc241478114"/>
      <w:r>
        <w:t>Compléments indicatifs</w:t>
      </w:r>
      <w:bookmarkEnd w:id="123"/>
      <w:bookmarkEnd w:id="124"/>
    </w:p>
    <w:p w14:paraId="1A3C94DA" w14:textId="2207A02B" w:rsidR="00931BF0" w:rsidRDefault="00931BF0">
      <w:pPr>
        <w:pStyle w:val="Titre4"/>
        <w:numPr>
          <w:ilvl w:val="3"/>
          <w:numId w:val="12"/>
        </w:numPr>
      </w:pPr>
      <w:bookmarkStart w:id="125" w:name="_Ref241075439"/>
      <w:r>
        <w:t>Pollution</w:t>
      </w:r>
      <w:bookmarkEnd w:id="125"/>
    </w:p>
    <w:p w14:paraId="4565A911" w14:textId="20E84A0A" w:rsidR="00715A75" w:rsidRPr="001C7526" w:rsidRDefault="00931BF0" w:rsidP="00715A75">
      <w:r>
        <w:t xml:space="preserve">La présence d’une </w:t>
      </w:r>
      <w:r w:rsidR="009405D0">
        <w:t>pollution</w:t>
      </w:r>
      <w:r w:rsidR="00046D39">
        <w:t xml:space="preserve"> en éléments traces métalliques</w:t>
      </w:r>
      <w:r w:rsidR="00E64A74">
        <w:t xml:space="preserve"> (notamment, en zinc) </w:t>
      </w:r>
      <w:r w:rsidR="009405D0">
        <w:t xml:space="preserve">peut engendrer </w:t>
      </w:r>
      <w:r w:rsidR="00226476">
        <w:t xml:space="preserve">la colonisation d’espèces </w:t>
      </w:r>
      <w:r w:rsidR="00046D39">
        <w:t>métallo-</w:t>
      </w:r>
      <w:r w:rsidR="00226476">
        <w:t>résistantes, comme c’est le cas des pelouses calaminaires</w:t>
      </w:r>
      <w:r w:rsidR="00046D39">
        <w:t xml:space="preserve"> </w:t>
      </w:r>
      <w:r w:rsidR="00E5039A">
        <w:fldChar w:fldCharType="begin"/>
      </w:r>
      <w:r w:rsidR="00E5039A">
        <w:instrText xml:space="preserve"> ADDIN ZOTERO_ITEM CSL_CITATION {"citationID":"fozm9qse","properties":{"unsorted":false,"formattedCitation":"(Graitson, 2006)","plainCitation":"(Graitson, 2006)","noteIndex":0},"citationItems":[{"id":639,"uris":["http://zotero.org/groups/5684833/items/C226ALUZ"],"itemData":{"id":639,"type":"article-journal","container-title":"Natura Mosana","ISSN":"0028-0666","issue":"1","language":"French","publisher":"Natura Mosana, Marchienne-au-Pont, Belgium","source":"orbi.uliege.be","title":"Inventaire et caractérisation des sites calaminaires en Région Wallonne","URL":"https://orbi.uliege.be/handle/2268/32149","volume":"vol.58, n° 4","author":[{"family":"Graitson","given":"Eric"}],"accessed":{"date-parts":[["2026",9,23]]},"issued":{"date-parts":[["2006",3]]}}}],"schema":"https://github.com/citation-style-language/schema/raw/master/csl-citation.json"} </w:instrText>
      </w:r>
      <w:r w:rsidR="00E5039A">
        <w:fldChar w:fldCharType="separate"/>
      </w:r>
      <w:r w:rsidR="00E5039A" w:rsidRPr="00E5039A">
        <w:rPr>
          <w:rFonts w:cs="Calibri"/>
        </w:rPr>
        <w:t>(Graitson, 2006)</w:t>
      </w:r>
      <w:r w:rsidR="00E5039A">
        <w:fldChar w:fldCharType="end"/>
      </w:r>
      <w:r w:rsidR="00226476">
        <w:t>.</w:t>
      </w:r>
      <w:r w:rsidR="009405D0">
        <w:t xml:space="preserve"> </w:t>
      </w:r>
    </w:p>
    <w:p w14:paraId="53807A86" w14:textId="79F5AAEE" w:rsidR="004B2895" w:rsidRDefault="00E6232A">
      <w:pPr>
        <w:pStyle w:val="Titre2"/>
        <w:numPr>
          <w:ilvl w:val="1"/>
          <w:numId w:val="12"/>
        </w:numPr>
      </w:pPr>
      <w:bookmarkStart w:id="126" w:name="_Toc230267105"/>
      <w:bookmarkStart w:id="127" w:name="_Ref232253681"/>
      <w:bookmarkStart w:id="128" w:name="_Toc241478115"/>
      <w:r>
        <w:t>Habitat pour la b</w:t>
      </w:r>
      <w:r w:rsidR="00347859" w:rsidRPr="0050182F">
        <w:t>iodiversité</w:t>
      </w:r>
      <w:r w:rsidR="00347859">
        <w:t xml:space="preserve"> du sol</w:t>
      </w:r>
      <w:bookmarkEnd w:id="126"/>
      <w:bookmarkEnd w:id="127"/>
      <w:bookmarkEnd w:id="128"/>
    </w:p>
    <w:p w14:paraId="492D7FAD" w14:textId="0792B3C9" w:rsidR="001672EC" w:rsidRDefault="006E61E2" w:rsidP="009B19E2">
      <w:r>
        <w:t xml:space="preserve">Le sol </w:t>
      </w:r>
      <w:r w:rsidR="00F33647">
        <w:t xml:space="preserve">est un réservoir de biodiversité, majoritairement invisible mais considérable à l’échelle planétaire. En effet, on estime que les sols abritent 25 % de la biodiversité </w:t>
      </w:r>
      <w:r w:rsidR="003410C6">
        <w:t xml:space="preserve">globale </w:t>
      </w:r>
      <w:r w:rsidR="00F33647">
        <w:t xml:space="preserve">(60 % de la biodiversité </w:t>
      </w:r>
      <w:r w:rsidR="003410C6">
        <w:t>continentale</w:t>
      </w:r>
      <w:r w:rsidR="00F33647">
        <w:t>).</w:t>
      </w:r>
      <w:r w:rsidR="00C2336D">
        <w:t xml:space="preserve"> Les organismes du sol sont généralement classés selon leur taille, depuis les plus </w:t>
      </w:r>
      <w:r w:rsidR="00C85A21">
        <w:t>petits microbes</w:t>
      </w:r>
      <w:r w:rsidR="00C2336D">
        <w:t xml:space="preserve"> </w:t>
      </w:r>
      <w:r w:rsidR="003410C6">
        <w:t>(virus, bactéries</w:t>
      </w:r>
      <w:r w:rsidR="00C55BBB">
        <w:t>…)</w:t>
      </w:r>
      <w:r w:rsidR="00C2336D">
        <w:t xml:space="preserve"> jusqu’à la </w:t>
      </w:r>
      <w:r w:rsidR="00C55BBB">
        <w:t>macrofaune (vers de terre, car</w:t>
      </w:r>
      <w:r w:rsidR="00714521">
        <w:t xml:space="preserve">abes, </w:t>
      </w:r>
      <w:r w:rsidR="009A335D">
        <w:t>araignées</w:t>
      </w:r>
      <w:r w:rsidR="00714521">
        <w:t>…)</w:t>
      </w:r>
      <w:r w:rsidR="0B795281">
        <w:t>,</w:t>
      </w:r>
      <w:r w:rsidR="00714521">
        <w:t xml:space="preserve"> voire la </w:t>
      </w:r>
      <w:r w:rsidR="00C2336D">
        <w:t>mégafaune</w:t>
      </w:r>
      <w:r w:rsidR="00714521">
        <w:t xml:space="preserve"> (rongeurs, amphibiens…)</w:t>
      </w:r>
      <w:r w:rsidR="00C85A21">
        <w:t xml:space="preserve">. </w:t>
      </w:r>
    </w:p>
    <w:p w14:paraId="0D2C1DEB" w14:textId="77777777" w:rsidR="00F30018" w:rsidRDefault="00CD1D59" w:rsidP="009B19E2">
      <w:r>
        <w:t>P</w:t>
      </w:r>
      <w:r w:rsidR="001672EC">
        <w:t xml:space="preserve">lusieurs </w:t>
      </w:r>
      <w:r>
        <w:t>dimensions de la biodiversité des sols peuvent être</w:t>
      </w:r>
      <w:r w:rsidR="001672EC">
        <w:t xml:space="preserve"> évalué</w:t>
      </w:r>
      <w:r>
        <w:t>e</w:t>
      </w:r>
      <w:r w:rsidR="001672EC">
        <w:t>s</w:t>
      </w:r>
      <w:r>
        <w:t xml:space="preserve"> </w:t>
      </w:r>
      <w:r w:rsidR="000D4A72">
        <w:t>: la diversité des organismes, leur abondance ou leur activité</w:t>
      </w:r>
      <w:r w:rsidR="00F30018">
        <w:t>.</w:t>
      </w:r>
    </w:p>
    <w:p w14:paraId="3D26A4D6" w14:textId="12D8406C" w:rsidR="009B19E2" w:rsidRDefault="00F35D31" w:rsidP="009B19E2">
      <w:r>
        <w:t>Dans le cadre de l</w:t>
      </w:r>
      <w:r w:rsidR="00C85A21">
        <w:t>’IQSW</w:t>
      </w:r>
      <w:r>
        <w:t xml:space="preserve">-pro, le choix a été fait de </w:t>
      </w:r>
      <w:r w:rsidR="00CA7DAD">
        <w:t xml:space="preserve">se focaliser sur les indicateurs </w:t>
      </w:r>
      <w:r w:rsidR="00390200">
        <w:t xml:space="preserve">biologiques </w:t>
      </w:r>
      <w:r w:rsidR="00CA7DAD">
        <w:t>suivants</w:t>
      </w:r>
      <w:r w:rsidR="000D4A72">
        <w:t xml:space="preserve">, qui intègrent des aspects </w:t>
      </w:r>
      <w:r w:rsidR="00EE70F3">
        <w:t>de diversité et d’abondance</w:t>
      </w:r>
      <w:r w:rsidR="00B266B1">
        <w:t xml:space="preserve"> sur des groupes d’organismes distincts</w:t>
      </w:r>
      <w:r w:rsidR="00CA7DAD">
        <w:t> :</w:t>
      </w:r>
    </w:p>
    <w:p w14:paraId="07A2D93D" w14:textId="64160C40" w:rsidR="00CA7DAD" w:rsidRDefault="00CA7DAD">
      <w:pPr>
        <w:pStyle w:val="Paragraphedeliste"/>
        <w:numPr>
          <w:ilvl w:val="0"/>
          <w:numId w:val="13"/>
        </w:numPr>
      </w:pPr>
      <w:r>
        <w:t>Indicateurs microbiens</w:t>
      </w:r>
      <w:r w:rsidR="001672EC">
        <w:t xml:space="preserve"> : </w:t>
      </w:r>
      <w:r w:rsidR="00390200">
        <w:t xml:space="preserve">biomasse microbienne, </w:t>
      </w:r>
      <w:r w:rsidR="001672EC">
        <w:t xml:space="preserve">diversité </w:t>
      </w:r>
      <w:r w:rsidR="000D4A72">
        <w:t>des bactéries et des champignons</w:t>
      </w:r>
      <w:r w:rsidR="00EE70F3">
        <w:t xml:space="preserve"> et leur abondance relative</w:t>
      </w:r>
      <w:r w:rsidR="001B0A2A">
        <w:t xml:space="preserve"> (rapport bactérie</w:t>
      </w:r>
      <w:r w:rsidR="00F30018">
        <w:t>s</w:t>
      </w:r>
      <w:r w:rsidR="001B0A2A">
        <w:t> : champignon</w:t>
      </w:r>
      <w:r w:rsidR="00F30018">
        <w:t>s</w:t>
      </w:r>
      <w:r w:rsidR="001B0A2A">
        <w:t>)</w:t>
      </w:r>
      <w:r w:rsidR="00EE70F3">
        <w:t>,</w:t>
      </w:r>
    </w:p>
    <w:p w14:paraId="02376A03" w14:textId="70847A10" w:rsidR="00EE70F3" w:rsidRDefault="00EE70F3">
      <w:pPr>
        <w:pStyle w:val="Paragraphedeliste"/>
        <w:numPr>
          <w:ilvl w:val="0"/>
          <w:numId w:val="13"/>
        </w:numPr>
      </w:pPr>
      <w:r>
        <w:t xml:space="preserve">Indicateurs </w:t>
      </w:r>
      <w:r w:rsidR="001B0A2A">
        <w:t>de la faune du sol </w:t>
      </w:r>
      <w:r>
        <w:t>: diversité des nématodes</w:t>
      </w:r>
      <w:r w:rsidR="00390200">
        <w:t>.</w:t>
      </w:r>
    </w:p>
    <w:p w14:paraId="59094492" w14:textId="0A9BB1CA" w:rsidR="001C4420" w:rsidRDefault="001C4420" w:rsidP="00AF4C22">
      <w:r>
        <w:t xml:space="preserve">Toutefois, </w:t>
      </w:r>
      <w:r w:rsidR="009A04C2">
        <w:t>en tenant compte</w:t>
      </w:r>
      <w:r w:rsidR="00A76BC1">
        <w:t xml:space="preserve"> à la fois</w:t>
      </w:r>
      <w:r w:rsidR="009A04C2">
        <w:t xml:space="preserve"> de</w:t>
      </w:r>
      <w:r>
        <w:t xml:space="preserve"> </w:t>
      </w:r>
      <w:r w:rsidR="00A76BC1">
        <w:t>c</w:t>
      </w:r>
      <w:r>
        <w:t xml:space="preserve">ertaines contraintes </w:t>
      </w:r>
      <w:r w:rsidR="00E0218D">
        <w:t>liées à</w:t>
      </w:r>
      <w:r>
        <w:t xml:space="preserve"> la filière analytique (coût élevé </w:t>
      </w:r>
      <w:r w:rsidR="0033086E">
        <w:t>de certaines</w:t>
      </w:r>
      <w:r>
        <w:t xml:space="preserve"> analyses et </w:t>
      </w:r>
      <w:r w:rsidR="00E0218D">
        <w:t xml:space="preserve">long </w:t>
      </w:r>
      <w:r>
        <w:t>délai d’obtention des résultats</w:t>
      </w:r>
      <w:r w:rsidR="00E0218D">
        <w:t>),</w:t>
      </w:r>
      <w:r w:rsidR="00A76BC1">
        <w:t xml:space="preserve"> et de la</w:t>
      </w:r>
      <w:r w:rsidR="00AF4C22">
        <w:t xml:space="preserve"> difficulté d’interprétation des </w:t>
      </w:r>
      <w:r w:rsidR="00AF4C22">
        <w:lastRenderedPageBreak/>
        <w:t>paramètres biologiques du sol,</w:t>
      </w:r>
      <w:r w:rsidR="00A76BC1">
        <w:t xml:space="preserve"> u</w:t>
      </w:r>
      <w:r w:rsidR="00E0218D">
        <w:t>ne approche en deux niveaux est proposée dans le cadre de l’IQSW-pro :</w:t>
      </w:r>
    </w:p>
    <w:p w14:paraId="7DFDAECB" w14:textId="49173C51" w:rsidR="00E0218D" w:rsidRDefault="00F30018">
      <w:pPr>
        <w:pStyle w:val="Paragraphedeliste"/>
        <w:numPr>
          <w:ilvl w:val="0"/>
          <w:numId w:val="13"/>
        </w:numPr>
      </w:pPr>
      <w:r>
        <w:t>Jeu</w:t>
      </w:r>
      <w:r w:rsidR="00F022F8">
        <w:t xml:space="preserve"> de paramètres de base</w:t>
      </w:r>
      <w:r w:rsidR="009A04C2">
        <w:t> : indicateurs nécessaires au calcul du score IQSW-pro</w:t>
      </w:r>
      <w:r w:rsidR="00A27553">
        <w:t>, soit l’</w:t>
      </w:r>
      <w:r w:rsidR="00854D9D">
        <w:t xml:space="preserve">analyse des nématodes et de la </w:t>
      </w:r>
      <w:r w:rsidR="009A04C2">
        <w:t>biomasse microbienne</w:t>
      </w:r>
      <w:r w:rsidR="00B266B1">
        <w:t> ;</w:t>
      </w:r>
    </w:p>
    <w:p w14:paraId="65570AD9" w14:textId="117EBF45" w:rsidR="00854D9D" w:rsidRDefault="00FC2ECE">
      <w:pPr>
        <w:pStyle w:val="Paragraphedeliste"/>
        <w:numPr>
          <w:ilvl w:val="0"/>
          <w:numId w:val="13"/>
        </w:numPr>
      </w:pPr>
      <w:r>
        <w:t>Analyses complémentaires (</w:t>
      </w:r>
      <w:r w:rsidR="00212D05">
        <w:t>« P</w:t>
      </w:r>
      <w:r>
        <w:t>o</w:t>
      </w:r>
      <w:r w:rsidR="00212D05">
        <w:t>ur aller plus loin »</w:t>
      </w:r>
      <w:r>
        <w:t>)</w:t>
      </w:r>
      <w:r w:rsidR="7DFCB408">
        <w:t xml:space="preserve"> </w:t>
      </w:r>
      <w:r w:rsidR="00854D9D">
        <w:t xml:space="preserve">: </w:t>
      </w:r>
      <w:r w:rsidR="00AF4C22">
        <w:t>analyse de la diversité des bactéries et des champignons et leur abondance relative.</w:t>
      </w:r>
    </w:p>
    <w:p w14:paraId="4C6598CE" w14:textId="0C59FF90" w:rsidR="00F14AC2" w:rsidRDefault="00F14AC2">
      <w:pPr>
        <w:pStyle w:val="Titre3"/>
        <w:numPr>
          <w:ilvl w:val="2"/>
          <w:numId w:val="12"/>
        </w:numPr>
      </w:pPr>
      <w:bookmarkStart w:id="129" w:name="_Toc241478116"/>
      <w:r>
        <w:t>Fonctions</w:t>
      </w:r>
      <w:bookmarkEnd w:id="129"/>
    </w:p>
    <w:p w14:paraId="47D49443" w14:textId="633E7424" w:rsidR="00F14AC2" w:rsidRDefault="00F14AC2">
      <w:pPr>
        <w:pStyle w:val="Titre4"/>
        <w:numPr>
          <w:ilvl w:val="3"/>
          <w:numId w:val="12"/>
        </w:numPr>
      </w:pPr>
      <w:r>
        <w:t>Abondance microbienne</w:t>
      </w:r>
    </w:p>
    <w:p w14:paraId="3B2D11F9" w14:textId="7F887BB3" w:rsidR="00F14AC2" w:rsidRDefault="00B266B1" w:rsidP="00F14AC2">
      <w:r>
        <w:t>L’abondance microbienne est évaluée à travers la mesure de la biomasse microbienne</w:t>
      </w:r>
      <w:r w:rsidR="005D6863">
        <w:t xml:space="preserve">. Cette </w:t>
      </w:r>
      <w:r w:rsidR="008E4AD4">
        <w:t>information peut être complétée par l’évaluation</w:t>
      </w:r>
      <w:r>
        <w:t xml:space="preserve"> du quotient microbien</w:t>
      </w:r>
      <w:r w:rsidR="008E4AD4">
        <w:t xml:space="preserve">, un indicateur de fonctionnement </w:t>
      </w:r>
      <w:r w:rsidR="00895E9D" w:rsidRPr="00B92D09">
        <w:rPr>
          <w:highlight w:val="yellow"/>
        </w:rPr>
        <w:t>(</w:t>
      </w:r>
      <w:r w:rsidR="005B4FF3">
        <w:rPr>
          <w:highlight w:val="yellow"/>
        </w:rPr>
        <w:t xml:space="preserve">voir </w:t>
      </w:r>
      <w:r w:rsidR="00013A2B">
        <w:t>Annexe 2 – Indicateurs</w:t>
      </w:r>
      <w:r w:rsidR="00895E9D" w:rsidRPr="00B92D09">
        <w:rPr>
          <w:highlight w:val="yellow"/>
        </w:rPr>
        <w:t>)</w:t>
      </w:r>
      <w:r>
        <w:t>.</w:t>
      </w:r>
    </w:p>
    <w:p w14:paraId="5868DCB2" w14:textId="4BDB801E" w:rsidR="00F14AC2" w:rsidRPr="007155F2" w:rsidRDefault="00F14AC2" w:rsidP="007155F2">
      <w:pPr>
        <w:pStyle w:val="Titre4"/>
        <w:numPr>
          <w:ilvl w:val="3"/>
          <w:numId w:val="12"/>
        </w:numPr>
      </w:pPr>
      <w:r w:rsidRPr="007155F2">
        <w:t xml:space="preserve">Diversité </w:t>
      </w:r>
      <w:r w:rsidR="002C53C2" w:rsidRPr="007155F2">
        <w:t xml:space="preserve">et fonctionnalité </w:t>
      </w:r>
      <w:r w:rsidR="007155F2" w:rsidRPr="007155F2">
        <w:t>de la faune</w:t>
      </w:r>
    </w:p>
    <w:p w14:paraId="0F9DABCE" w14:textId="74914430" w:rsidR="00502F77" w:rsidRPr="00502F77" w:rsidRDefault="00B90F38" w:rsidP="00502F77">
      <w:r>
        <w:t xml:space="preserve">Les nématodes sont des organismes de la mésofaune </w:t>
      </w:r>
      <w:r w:rsidR="00467881">
        <w:t xml:space="preserve">qui ont l’intérêt d’être </w:t>
      </w:r>
      <w:r w:rsidR="00502F77">
        <w:t xml:space="preserve">ubiquistes, </w:t>
      </w:r>
      <w:r w:rsidR="0032401D">
        <w:t xml:space="preserve">intégrateurs et </w:t>
      </w:r>
      <w:r w:rsidR="00467881">
        <w:t xml:space="preserve">relativement </w:t>
      </w:r>
      <w:r w:rsidR="0032401D">
        <w:t>stables</w:t>
      </w:r>
      <w:r w:rsidR="00467881">
        <w:t xml:space="preserve"> en fonction des saisons et des aléas météorologiques.</w:t>
      </w:r>
      <w:r w:rsidR="00B92D09">
        <w:t xml:space="preserve"> </w:t>
      </w:r>
      <w:r w:rsidR="00054304">
        <w:t>L</w:t>
      </w:r>
      <w:r w:rsidR="0032401D">
        <w:t xml:space="preserve">es </w:t>
      </w:r>
      <w:r w:rsidR="00C86D66">
        <w:t>indicateurs dérivés de l’étude de</w:t>
      </w:r>
      <w:r>
        <w:t xml:space="preserve"> la population de </w:t>
      </w:r>
      <w:r w:rsidR="0032401D">
        <w:t>nématodes</w:t>
      </w:r>
      <w:r>
        <w:t xml:space="preserve"> du sol</w:t>
      </w:r>
      <w:r w:rsidR="0032401D">
        <w:t xml:space="preserve"> sont </w:t>
      </w:r>
      <w:r w:rsidR="00054304">
        <w:t>ainsi très utiles</w:t>
      </w:r>
      <w:r w:rsidR="0032401D">
        <w:t xml:space="preserve"> </w:t>
      </w:r>
      <w:r w:rsidR="00CA4BE3">
        <w:t xml:space="preserve">pour informer de </w:t>
      </w:r>
      <w:r w:rsidR="00BE7549">
        <w:t>la capacité qu’a un sol de fournir un habitat pour la biodiversité</w:t>
      </w:r>
      <w:r w:rsidR="00CA4BE3">
        <w:t>.</w:t>
      </w:r>
      <w:r w:rsidR="00253903">
        <w:t xml:space="preserve"> La fonction intègre plusieurs</w:t>
      </w:r>
      <w:r w:rsidR="002D2D34">
        <w:t xml:space="preserve"> indicateurs complémentaires </w:t>
      </w:r>
      <w:r w:rsidR="002D2D34" w:rsidRPr="00387696">
        <w:t>(Indice de Shannon, EI, SI</w:t>
      </w:r>
      <w:r w:rsidR="00215909">
        <w:t xml:space="preserve">, voir </w:t>
      </w:r>
      <w:r w:rsidR="00013A2B">
        <w:t>Annexe 2 – Indicateurs</w:t>
      </w:r>
      <w:r w:rsidR="00215909">
        <w:t>)</w:t>
      </w:r>
      <w:r w:rsidR="00387696">
        <w:t>.</w:t>
      </w:r>
    </w:p>
    <w:p w14:paraId="2DF26CB3" w14:textId="04429F80" w:rsidR="00A76BC1" w:rsidRDefault="00EF2D17">
      <w:pPr>
        <w:pStyle w:val="Titre3"/>
        <w:numPr>
          <w:ilvl w:val="2"/>
          <w:numId w:val="12"/>
        </w:numPr>
      </w:pPr>
      <w:bookmarkStart w:id="130" w:name="_Toc241478117"/>
      <w:r>
        <w:t>Contraintes</w:t>
      </w:r>
      <w:bookmarkEnd w:id="130"/>
    </w:p>
    <w:p w14:paraId="458732A4" w14:textId="0A70DCE3" w:rsidR="00B20955" w:rsidRDefault="00B20955" w:rsidP="00B20955">
      <w:r>
        <w:t xml:space="preserve">Aucune contrainte ne s’applique au </w:t>
      </w:r>
      <w:r w:rsidR="002B7C20">
        <w:t>service écosystémique</w:t>
      </w:r>
      <w:r>
        <w:t xml:space="preserve"> </w:t>
      </w:r>
      <w:r w:rsidR="00BE7549">
        <w:rPr>
          <w:i/>
          <w:iCs/>
        </w:rPr>
        <w:t>Habitat pour la biodiversité du sol</w:t>
      </w:r>
      <w:r>
        <w:t>.</w:t>
      </w:r>
    </w:p>
    <w:p w14:paraId="6D8940C8" w14:textId="03343338" w:rsidR="00B20955" w:rsidRDefault="00442200">
      <w:pPr>
        <w:pStyle w:val="Titre3"/>
        <w:numPr>
          <w:ilvl w:val="2"/>
          <w:numId w:val="12"/>
        </w:numPr>
      </w:pPr>
      <w:bookmarkStart w:id="131" w:name="_Toc241478118"/>
      <w:r>
        <w:t>Complément indicatif</w:t>
      </w:r>
      <w:bookmarkEnd w:id="131"/>
    </w:p>
    <w:p w14:paraId="0B3A8F6D" w14:textId="77777777" w:rsidR="002D5C61" w:rsidRPr="00F14AC2" w:rsidRDefault="002D5C61">
      <w:pPr>
        <w:pStyle w:val="Titre4"/>
        <w:numPr>
          <w:ilvl w:val="3"/>
          <w:numId w:val="12"/>
        </w:numPr>
      </w:pPr>
      <w:r>
        <w:t>Pollution</w:t>
      </w:r>
    </w:p>
    <w:p w14:paraId="7265ACE7" w14:textId="0CDE6A67" w:rsidR="002D5C61" w:rsidRPr="00D33269" w:rsidRDefault="002D5C61" w:rsidP="001C7526">
      <w:r>
        <w:t>La pollution peut affecter la biodiversité du sol, et des valeurs de risque existent pour caractériser la menace que représente une pollution pour les écosystèmes : VS écosystèmes (VS</w:t>
      </w:r>
      <w:r w:rsidRPr="48222D96">
        <w:rPr>
          <w:vertAlign w:val="subscript"/>
        </w:rPr>
        <w:t>E</w:t>
      </w:r>
      <w:r>
        <w:t>). Toutefois, étant donné que cette valeur de risque est modélisée pour de multiples composants de l’écosystème (non seulement les microorganismes du sol mais également les animaux, les plantes</w:t>
      </w:r>
      <w:r w:rsidR="58E03BBA">
        <w:t>,</w:t>
      </w:r>
      <w:r>
        <w:t xml:space="preserve"> etc.), un dépassement de la VS</w:t>
      </w:r>
      <w:r w:rsidRPr="48222D96">
        <w:rPr>
          <w:vertAlign w:val="subscript"/>
        </w:rPr>
        <w:t>E</w:t>
      </w:r>
      <w:r>
        <w:t xml:space="preserve"> doit seulement être interprété comme un </w:t>
      </w:r>
      <w:r w:rsidR="356FBFB6">
        <w:t xml:space="preserve">complément indicatif </w:t>
      </w:r>
      <w:r>
        <w:t xml:space="preserve">pour le </w:t>
      </w:r>
      <w:r w:rsidR="002B7C20">
        <w:t>service écosystémique</w:t>
      </w:r>
      <w:r>
        <w:t xml:space="preserve"> </w:t>
      </w:r>
      <w:r w:rsidRPr="48222D96">
        <w:rPr>
          <w:i/>
          <w:iCs/>
        </w:rPr>
        <w:t>Biodiversité du sol</w:t>
      </w:r>
      <w:r>
        <w:t>, et non comme une variable à scorer en soi.</w:t>
      </w:r>
      <w:bookmarkStart w:id="132" w:name="_Toc230267106"/>
    </w:p>
    <w:p w14:paraId="172AEAE1" w14:textId="77777777" w:rsidR="004B2895" w:rsidRDefault="00347859">
      <w:pPr>
        <w:pStyle w:val="Titre2"/>
        <w:numPr>
          <w:ilvl w:val="1"/>
          <w:numId w:val="12"/>
        </w:numPr>
      </w:pPr>
      <w:bookmarkStart w:id="133" w:name="_Toc241478119"/>
      <w:r>
        <w:t>Stockage de carbone</w:t>
      </w:r>
      <w:bookmarkEnd w:id="132"/>
      <w:bookmarkEnd w:id="133"/>
    </w:p>
    <w:p w14:paraId="31CD543D" w14:textId="77777777" w:rsidR="00ED089B" w:rsidRDefault="00ED089B" w:rsidP="00ED089B">
      <w:r>
        <w:t xml:space="preserve">Le stockage de carbone dans les sols représente un levier climatique majeur pour l’atténuation des effets du changement climatique. En effet, les sols, en stockant quatre fois plus de carbone que la biosphère et jusqu’à trois fois plus de carbone que l’atmosphère, joue un rôle clé dans la balance des gaz à effets de serre </w:t>
      </w:r>
      <w:r>
        <w:fldChar w:fldCharType="begin"/>
      </w:r>
      <w:r>
        <w:instrText xml:space="preserve"> ADDIN ZOTERO_ITEM CSL_CITATION {"citationID":"jqTbc0iH","properties":{"unsorted":false,"formattedCitation":"(Chen et al., 2019)","plainCitation":"(Chen et al., 2019)","noteIndex":0},"citationItems":[{"id":513,"uris":["http://zotero.org/groups/5684833/items/G4XU9BCK"],"itemData":{"id":513,"type":"article-journal","abstract":"Increasing soil organic carbon (SOC) stocks via land management has been proposed as a temporary climate change mitigation measure. An upper limit of soil stable SOC storage, which refers to the concepts of SOC saturation has been proposed. Using systematic grid sampling of topsoil in mainland France and an equation that predicts this SOC saturation, we derived estimates of the SOC sequestration potential density (SOCspd) for various land uses. First, using French database and data from the literature we estimated the proportions of the SOC stored in the fine fraction (SOCfine) in total SOC for grassland (69%), cropland (85%) and forest (66%). Then, SOCspd was calculated as the difference between the theoretical SOC saturation value and SOCfine. The SOCspd stocks for French topsoil were estimated at about 1.1 Pg, in which cropland, forest and grassland accounted for 66%, 17% and 17%, respectively. Varying the proportions of SOCfine in the calculations by assuming a possible range of 0.8-0.9 for cropland and 0.6-0.9 for grassland and forest soils led to variations of total SOCspd stocks of about 0.1 Pg for each land use. Most importantly, we demonstrate that the distribution of SOCspd in forest soils is exactly centred at zero, which suggests that on average, forest topsoils are saturated in SOCfine, and thus Hassink’s equation provides a valid estimate for the SOC sequestration potential for French topsoil.","collection-title":"Soil Carbon and Climate Change: the 4 per Mille Initiative","container-title":"Soil and Tillage Research","DOI":"10.1016/j.still.2018.11.001","ISSN":"0167-1987","journalAbbreviation":"Soil and Tillage Research","page":"53-58","source":"ScienceDirect","title":"Soil carbon stocks under different land uses and the applicability of the soil carbon saturation concept","volume":"188","author":[{"family":"Chen","given":"Songchao"},{"family":"Arrouays","given":"Dominique"},{"family":"Angers","given":"Denis A."},{"family":"Martin","given":"Manuel P."},{"family":"Walter","given":"Christian"}],"issued":{"date-parts":[["2019",5,1]]}}}],"schema":"https://github.com/citation-style-language/schema/raw/master/csl-citation.json"} </w:instrText>
      </w:r>
      <w:r>
        <w:fldChar w:fldCharType="separate"/>
      </w:r>
      <w:r w:rsidRPr="007A2813">
        <w:rPr>
          <w:rFonts w:cs="Calibri"/>
        </w:rPr>
        <w:t>(Chen et al., 2019)</w:t>
      </w:r>
      <w:r>
        <w:fldChar w:fldCharType="end"/>
      </w:r>
      <w:r>
        <w:t>. Or, les pratiques de gestion des dernières décennies ont largement contribué à déstocker du carbone des sols, qu’il est important de réintroduire.</w:t>
      </w:r>
    </w:p>
    <w:p w14:paraId="325F5686" w14:textId="0475648D" w:rsidR="0023163D" w:rsidRDefault="0023163D">
      <w:pPr>
        <w:pStyle w:val="Titre3"/>
        <w:numPr>
          <w:ilvl w:val="2"/>
          <w:numId w:val="12"/>
        </w:numPr>
      </w:pPr>
      <w:bookmarkStart w:id="134" w:name="_Toc241478120"/>
      <w:r>
        <w:t>Fonctions</w:t>
      </w:r>
      <w:bookmarkEnd w:id="134"/>
    </w:p>
    <w:p w14:paraId="4478BAB9" w14:textId="2C492203" w:rsidR="0023163D" w:rsidRDefault="0023163D">
      <w:pPr>
        <w:pStyle w:val="Titre4"/>
        <w:numPr>
          <w:ilvl w:val="3"/>
          <w:numId w:val="12"/>
        </w:numPr>
      </w:pPr>
      <w:r>
        <w:t>Stockage</w:t>
      </w:r>
    </w:p>
    <w:p w14:paraId="0699CF41" w14:textId="094FEDBB" w:rsidR="0023163D" w:rsidRDefault="00B62E8D" w:rsidP="0023163D">
      <w:r>
        <w:t xml:space="preserve">Cette fonction est évaluée en mesurant directement le stock de carbone du sol, qui se calcule à partir des propriétés suivantes : l’épaisseur du sol, sa teneur en carbone organique, sa masse volumique </w:t>
      </w:r>
      <w:r>
        <w:lastRenderedPageBreak/>
        <w:t>apparente et sa charge en éléments grossiers. En présence d’une couche de litière (cas des sols forestiers), le stock de carbone dans cette couche doit s’additionner au bilan. Le rapport C</w:t>
      </w:r>
      <w:r w:rsidRPr="00B62E8D">
        <w:rPr>
          <w:vertAlign w:val="subscript"/>
        </w:rPr>
        <w:t>org</w:t>
      </w:r>
      <w:r>
        <w:t>/argile permet d’évaluer quant à lui le potentiel de stockage additionnel.</w:t>
      </w:r>
    </w:p>
    <w:p w14:paraId="7388840D" w14:textId="5A82C464" w:rsidR="0023163D" w:rsidRDefault="0023163D">
      <w:pPr>
        <w:pStyle w:val="Titre3"/>
        <w:numPr>
          <w:ilvl w:val="2"/>
          <w:numId w:val="12"/>
        </w:numPr>
      </w:pPr>
      <w:bookmarkStart w:id="135" w:name="_Toc241478121"/>
      <w:r>
        <w:t>Contraintes</w:t>
      </w:r>
      <w:bookmarkEnd w:id="135"/>
    </w:p>
    <w:p w14:paraId="6F8FEB8E" w14:textId="795C3823" w:rsidR="0023163D" w:rsidRDefault="00BE7549" w:rsidP="0023163D">
      <w:r>
        <w:t xml:space="preserve">Aucune contrainte ne s’applique au </w:t>
      </w:r>
      <w:r w:rsidR="002B7C20">
        <w:t>service écosystémique</w:t>
      </w:r>
      <w:r>
        <w:t xml:space="preserve"> </w:t>
      </w:r>
      <w:r>
        <w:rPr>
          <w:i/>
          <w:iCs/>
        </w:rPr>
        <w:t>Stockage de carbone</w:t>
      </w:r>
      <w:r>
        <w:t>.</w:t>
      </w:r>
    </w:p>
    <w:p w14:paraId="64E903D5" w14:textId="3D94CFA6" w:rsidR="0023163D" w:rsidRDefault="1BAE75F3">
      <w:pPr>
        <w:pStyle w:val="Titre3"/>
        <w:numPr>
          <w:ilvl w:val="2"/>
          <w:numId w:val="12"/>
        </w:numPr>
      </w:pPr>
      <w:bookmarkStart w:id="136" w:name="_Toc241478122"/>
      <w:r>
        <w:t>Complément indicatif</w:t>
      </w:r>
      <w:bookmarkEnd w:id="136"/>
    </w:p>
    <w:p w14:paraId="35DF4FFE" w14:textId="0448B149" w:rsidR="0023163D" w:rsidRDefault="005B5D27" w:rsidP="005B5D27">
      <w:r>
        <w:t xml:space="preserve">Aucun </w:t>
      </w:r>
      <w:r w:rsidR="16763317">
        <w:t>complément indicatif</w:t>
      </w:r>
      <w:r>
        <w:t xml:space="preserve"> ne s’applique au </w:t>
      </w:r>
      <w:r w:rsidR="002B7C20">
        <w:t>service écosystémique</w:t>
      </w:r>
      <w:r>
        <w:t xml:space="preserve"> </w:t>
      </w:r>
      <w:r w:rsidRPr="005B5D27">
        <w:rPr>
          <w:i/>
          <w:iCs/>
        </w:rPr>
        <w:t>Stockage de carbone</w:t>
      </w:r>
      <w:r>
        <w:t>.</w:t>
      </w:r>
    </w:p>
    <w:p w14:paraId="5FCD59B4" w14:textId="77777777" w:rsidR="005B5D27" w:rsidRDefault="005B5D27" w:rsidP="0023163D"/>
    <w:p w14:paraId="1FC390EC" w14:textId="08FAC381" w:rsidR="00347859" w:rsidRDefault="00347859">
      <w:pPr>
        <w:pStyle w:val="Titre2"/>
        <w:numPr>
          <w:ilvl w:val="1"/>
          <w:numId w:val="12"/>
        </w:numPr>
      </w:pPr>
      <w:bookmarkStart w:id="137" w:name="_Toc230267107"/>
      <w:bookmarkStart w:id="138" w:name="_Ref232256479"/>
      <w:bookmarkStart w:id="139" w:name="_Toc241478123"/>
      <w:r>
        <w:t>Support pour les activités humaines</w:t>
      </w:r>
      <w:bookmarkEnd w:id="137"/>
      <w:bookmarkEnd w:id="138"/>
      <w:bookmarkEnd w:id="139"/>
    </w:p>
    <w:p w14:paraId="5FA4C79A" w14:textId="368E179A" w:rsidR="00AD23A8" w:rsidRPr="00AD23A8" w:rsidRDefault="00AD23A8" w:rsidP="00AD23A8">
      <w:r>
        <w:t xml:space="preserve">Le </w:t>
      </w:r>
      <w:r w:rsidR="002B7C20">
        <w:t>service écosystémique</w:t>
      </w:r>
      <w:r>
        <w:t xml:space="preserve"> </w:t>
      </w:r>
      <w:r w:rsidRPr="00AD23A8">
        <w:rPr>
          <w:i/>
          <w:iCs/>
        </w:rPr>
        <w:t>Support pour les activités humaines</w:t>
      </w:r>
      <w:r>
        <w:t xml:space="preserve"> peut se référer à de nombreuses utilisations du sol. Il s’agit de mettre en évidence des bénéfices notamment sociaux, culturels, climatiques et paysagers, qui peuvent être retirés de l’usage d’un site. Les divers types de sites peuvent être distingués selon le caractère perméable ou imperméable de la couverture de sol.</w:t>
      </w:r>
    </w:p>
    <w:p w14:paraId="44E2787B" w14:textId="5FF23CB6" w:rsidR="00EC10F1" w:rsidRDefault="00AD23A8">
      <w:pPr>
        <w:pStyle w:val="Titre3"/>
        <w:numPr>
          <w:ilvl w:val="2"/>
          <w:numId w:val="12"/>
        </w:numPr>
      </w:pPr>
      <w:bookmarkStart w:id="140" w:name="_Toc241478124"/>
      <w:r>
        <w:t>Zones perméables (non-scellées)</w:t>
      </w:r>
      <w:bookmarkEnd w:id="140"/>
    </w:p>
    <w:p w14:paraId="263CAFDC" w14:textId="72A48B1C" w:rsidR="00AD23A8" w:rsidRDefault="564CC440" w:rsidP="00AD23A8">
      <w:r>
        <w:t>I</w:t>
      </w:r>
      <w:r w:rsidR="00AD23A8">
        <w:t xml:space="preserve">mplanter </w:t>
      </w:r>
      <w:r w:rsidR="3D05ED5E">
        <w:t>un espace vert</w:t>
      </w:r>
      <w:r w:rsidR="00AD23A8">
        <w:t xml:space="preserve"> en ville permet, entre autres, d’établir un lieu de renforcement de lien social, de créer un ilot de fraicheur en ville et de contribuer à l’amélioration du paysage urbain.</w:t>
      </w:r>
    </w:p>
    <w:p w14:paraId="01333F73" w14:textId="057F4F91" w:rsidR="00AD23A8" w:rsidRDefault="00BB0D58" w:rsidP="00AD23A8">
      <w:r>
        <w:t>É</w:t>
      </w:r>
      <w:r w:rsidR="00AD23A8">
        <w:t>valuer la capacité du sol à servir de support pour ce type d’espace revient finalement à identifier la capacité du sol à accueillir un espace vert, dont l’utilisation fera intrinsèquement découler les bénéfices précités. Il s’agit d’un objectif couvert par le</w:t>
      </w:r>
      <w:r w:rsidR="00AD23A8" w:rsidRPr="009E702D">
        <w:t xml:space="preserve"> </w:t>
      </w:r>
      <w:r w:rsidR="00AD23A8">
        <w:t>sous-</w:t>
      </w:r>
      <w:r w:rsidR="002B7C20">
        <w:t xml:space="preserve">service </w:t>
      </w:r>
      <w:r w:rsidR="00AD23A8" w:rsidRPr="00DB5FB8">
        <w:rPr>
          <w:i/>
          <w:iCs/>
        </w:rPr>
        <w:t>Production – espaces verts</w:t>
      </w:r>
      <w:r w:rsidR="00AD23A8">
        <w:t xml:space="preserve">, qui évalue la capacité du sol à accueillir deux types d’espaces (avec des enjeux sanitaires différents) : </w:t>
      </w:r>
    </w:p>
    <w:p w14:paraId="2615DEEB" w14:textId="35E55328" w:rsidR="00AD23A8" w:rsidRDefault="00AD23A8" w:rsidP="00AD23A8">
      <w:pPr>
        <w:pStyle w:val="Paragraphedeliste"/>
        <w:numPr>
          <w:ilvl w:val="0"/>
          <w:numId w:val="5"/>
        </w:numPr>
      </w:pPr>
      <w:r>
        <w:t xml:space="preserve">Les espaces verts </w:t>
      </w:r>
      <w:r w:rsidRPr="48222D96">
        <w:rPr>
          <w:i/>
          <w:iCs/>
        </w:rPr>
        <w:t>ornementaux</w:t>
      </w:r>
      <w:r>
        <w:t xml:space="preserve"> ou paysagers, dont l’utilisation typique n’implique a priori pas de mise en contact directe des usagers avec le sol (espaces verts urbains tels que des parcs, parterres</w:t>
      </w:r>
      <w:r w:rsidR="2D56BCAB">
        <w:t>,</w:t>
      </w:r>
      <w:r>
        <w:t xml:space="preserve"> etc.) ;</w:t>
      </w:r>
    </w:p>
    <w:p w14:paraId="3015A36E" w14:textId="2F75A88D" w:rsidR="00AD23A8" w:rsidRDefault="00AD23A8" w:rsidP="00AD23A8">
      <w:pPr>
        <w:pStyle w:val="Paragraphedeliste"/>
        <w:numPr>
          <w:ilvl w:val="0"/>
          <w:numId w:val="5"/>
        </w:numPr>
      </w:pPr>
      <w:r>
        <w:t xml:space="preserve">Les espaces verts </w:t>
      </w:r>
      <w:r w:rsidRPr="48222D96">
        <w:rPr>
          <w:i/>
          <w:iCs/>
        </w:rPr>
        <w:t>récréatifs</w:t>
      </w:r>
      <w:r>
        <w:t>, dont l’utilisation typique est susceptible d’entraîner une mise en contact directe des usagers, notamment des enfants, avec le sol, par ex. : jardins résidentiels, terrains de sport, plaines de jeux</w:t>
      </w:r>
      <w:r w:rsidR="120B9CF2">
        <w:t>,</w:t>
      </w:r>
      <w:r>
        <w:t xml:space="preserve"> etc.</w:t>
      </w:r>
    </w:p>
    <w:p w14:paraId="4B3408A6" w14:textId="7B049C76" w:rsidR="00AD23A8" w:rsidRPr="00AD23A8" w:rsidRDefault="00AD23A8" w:rsidP="00AD23A8">
      <w:r>
        <w:t>Cette distinction est uniquement utilisée en tant que critère pour la détermination des valeurs de risque utilisées pour l’application de la contrainte pollution.</w:t>
      </w:r>
    </w:p>
    <w:p w14:paraId="70F35684" w14:textId="3585490E" w:rsidR="00AD23A8" w:rsidRPr="00AD23A8" w:rsidRDefault="00AD23A8">
      <w:pPr>
        <w:pStyle w:val="Titre3"/>
        <w:numPr>
          <w:ilvl w:val="2"/>
          <w:numId w:val="12"/>
        </w:numPr>
      </w:pPr>
      <w:bookmarkStart w:id="141" w:name="_Toc241478125"/>
      <w:r>
        <w:t>Zones imperméables (scellées)</w:t>
      </w:r>
      <w:bookmarkEnd w:id="141"/>
    </w:p>
    <w:p w14:paraId="3E9C5616" w14:textId="0A498F1E" w:rsidR="00947CE6" w:rsidRPr="00606BB0" w:rsidRDefault="003469D5" w:rsidP="00EE391C">
      <w:r>
        <w:t xml:space="preserve">Des bénéfices culturels et sociaux peuvent également être tirés de zones imperméabilisées, qui </w:t>
      </w:r>
      <w:r w:rsidR="00A96AB7">
        <w:t xml:space="preserve">constituent bon nombre de nos infrastructures. Toutefois, évaluer la qualité du sol </w:t>
      </w:r>
      <w:r w:rsidR="00F70F4C">
        <w:t>pour correspondre à cet usage sort du périmètre de l’outil. En effet, tout type de sol peut en pratique servir de fondation à l’établissement d’infrastructures moyennant une étude géotechnique</w:t>
      </w:r>
      <w:r w:rsidR="00CA3719">
        <w:t xml:space="preserve"> spécifique </w:t>
      </w:r>
      <w:r w:rsidR="486CCFB8">
        <w:t>qui sort du cadre de l’outil</w:t>
      </w:r>
      <w:r w:rsidR="00AA229C">
        <w:t>.</w:t>
      </w:r>
    </w:p>
    <w:p w14:paraId="763285F6" w14:textId="69E73FA9" w:rsidR="00D07FC6" w:rsidRDefault="00D07FC6">
      <w:pPr>
        <w:pStyle w:val="Titre2"/>
        <w:numPr>
          <w:ilvl w:val="1"/>
          <w:numId w:val="12"/>
        </w:numPr>
      </w:pPr>
      <w:bookmarkStart w:id="142" w:name="_Toc230267112"/>
      <w:bookmarkStart w:id="143" w:name="_Toc241478126"/>
      <w:r>
        <w:lastRenderedPageBreak/>
        <w:t>Archivage du patrimoine</w:t>
      </w:r>
      <w:bookmarkEnd w:id="142"/>
      <w:bookmarkEnd w:id="143"/>
    </w:p>
    <w:p w14:paraId="38BD45A7" w14:textId="57477199" w:rsidR="00D07FC6" w:rsidRDefault="007218B5" w:rsidP="00D07FC6">
      <w:r>
        <w:t xml:space="preserve">Le </w:t>
      </w:r>
      <w:r w:rsidR="002B7C20">
        <w:t>service écosystémique</w:t>
      </w:r>
      <w:r>
        <w:t xml:space="preserve"> </w:t>
      </w:r>
      <w:r w:rsidRPr="007218B5">
        <w:rPr>
          <w:i/>
          <w:iCs/>
        </w:rPr>
        <w:t>Archivage du patrimoine</w:t>
      </w:r>
      <w:r>
        <w:t xml:space="preserve"> </w:t>
      </w:r>
      <w:r w:rsidR="00FE23D7">
        <w:t>considère que le sol</w:t>
      </w:r>
      <w:r w:rsidR="00E54ED6">
        <w:t xml:space="preserve"> </w:t>
      </w:r>
      <w:r w:rsidR="00FE23D7">
        <w:t>constitue un archivage géologique, géomorphologique</w:t>
      </w:r>
      <w:r w:rsidR="000B1DF5">
        <w:t xml:space="preserve"> </w:t>
      </w:r>
      <w:r w:rsidR="00C117A2">
        <w:t xml:space="preserve">et archéologique. </w:t>
      </w:r>
      <w:r w:rsidR="00291360">
        <w:t xml:space="preserve">Selon </w:t>
      </w:r>
      <w:r w:rsidR="0069340D">
        <w:t xml:space="preserve">Costantini </w:t>
      </w:r>
      <w:r w:rsidR="0069340D">
        <w:fldChar w:fldCharType="begin"/>
      </w:r>
      <w:r w:rsidR="007F7F5F">
        <w:instrText xml:space="preserve"> ADDIN ZOTERO_ITEM CSL_CITATION {"citationID":"clEzkmR7","properties":{"unsorted":false,"formattedCitation":"(2023)","plainCitation":"(2023)","noteIndex":0},"citationItems":[{"id":102,"uris":["http://zotero.org/groups/5684833/items/AK2FP6SN"],"itemData":{"id":102,"type":"article-journal","abstract":"Soils are healthy when they can continuously provide several ecosystem services. Among them, there are cultural services for humans and the archive of geological, geomorphological, and archaeological heritage. Yet strategies and policies aimed at preserving and enhancing the cultural and natural heritage of the soil are partial and rare. This paper provides a state of the art and sets a framework to give inspirational ideas for designing policies and actions to promote soil cultural and natural heritage protection, with particular reference to Europe. Through an online and documental analysis, the arguments treated in the published papers dealing with soil as a natural or cultural heritage are summarized, and the current main policies and actions to preserve our natural and cultural heritage at the global and European levels are reported and analysed. A focus on the national level has been also introduced, to exemplify policies and actions aimed at protecting the natural and cultural heritage and including reference to soil features. The analysis indicates that there is a relevant scientific production. It is possible to summarize eight main criteria that can be used to include a soil profile or a soilscape in an inventory of cultural and natural heritage. Nevertheless, most of current soil policies and actions do not provide examples of cultural heritage sites where the main object of preservation is the soil itself, and not just its functional characteristics. The only acknowledgement at the global level is the area of typical Chernozems of Moldovia, which is present among the tentative sites on the World Heritage List of UNESCO. In this context, some of the main values that characterize the cultural and natural heritage are excluded by soil policies, namely, the scientific and didactic interest, recreational, scenic, and aesthetic values, and the inspirational, religious, identity, ethnical and ethical relevance, which are acknowledged instead for other natural bodies, such as geological and geomorphological sites. Among the possible European strategies that could be implemented to valorise the soil natural and cultural values, the two most suitable instruments are the research and innovation programs of Horizon Europe to support the implementation of the Soil Health and Food mission, and the Natura 2000 program. Soil cultural and natural values may be instrumental to increase soil literacy, which is one of the scopes of the Soil mission. In the Natura 2000 program, the inclusion of the descriptions of the presence of pedosites could be an immediate action. This inclusion would not only increase both the cultural and naturalistic values of the areas but also favour soil literacy and the collaboration between soil scientists and professionals from other disciplines, thus enhancing a transdisciplinary approach to soil health, as well as its societal connectivity.","container-title":"Geoderma Regional","DOI":"10.1016/j.geodrs.2022.e00599","ISSN":"2352-0094","journalAbbreviation":"Geoderma Regional","page":"e00599","source":"ScienceDirect","title":"Possible policies and actions to protect the soil cultural and natural heritage of Europe","volume":"32","author":[{"family":"Costantini","given":"Edoardo A. C."}],"issued":{"date-parts":[["2023",3,1]]}},"suppress-author":true}],"schema":"https://github.com/citation-style-language/schema/raw/master/csl-citation.json"} </w:instrText>
      </w:r>
      <w:r w:rsidR="0069340D">
        <w:fldChar w:fldCharType="separate"/>
      </w:r>
      <w:r w:rsidR="007F7F5F" w:rsidRPr="007F7F5F">
        <w:rPr>
          <w:rFonts w:cs="Calibri"/>
        </w:rPr>
        <w:t>(2023)</w:t>
      </w:r>
      <w:r w:rsidR="0069340D">
        <w:fldChar w:fldCharType="end"/>
      </w:r>
      <w:r w:rsidR="0069340D">
        <w:t xml:space="preserve">, ce </w:t>
      </w:r>
      <w:r w:rsidR="002B7C20">
        <w:t xml:space="preserve">service </w:t>
      </w:r>
      <w:r w:rsidR="00C117A2">
        <w:t>regroupe une série de dimensions, compte tenu du fait que le sol est</w:t>
      </w:r>
      <w:r w:rsidR="00C94C75">
        <w:t xml:space="preserve"> notamment</w:t>
      </w:r>
      <w:r w:rsidR="00C117A2">
        <w:t> :</w:t>
      </w:r>
    </w:p>
    <w:p w14:paraId="3961F948" w14:textId="08FB645E" w:rsidR="00C117A2" w:rsidRDefault="000B1DF5">
      <w:pPr>
        <w:pStyle w:val="Paragraphedeliste"/>
        <w:numPr>
          <w:ilvl w:val="0"/>
          <w:numId w:val="13"/>
        </w:numPr>
      </w:pPr>
      <w:r>
        <w:t xml:space="preserve">Un héritage </w:t>
      </w:r>
      <w:r w:rsidR="006B5608">
        <w:t>géologique, géomorphologique et paléontologique, ce qui en fait un aspect</w:t>
      </w:r>
      <w:r w:rsidR="00C117A2">
        <w:t xml:space="preserve"> </w:t>
      </w:r>
      <w:r w:rsidR="006B5608">
        <w:t>du patrimoine</w:t>
      </w:r>
      <w:r w:rsidR="00C117A2">
        <w:t xml:space="preserve"> en tant que tel </w:t>
      </w:r>
      <w:r w:rsidR="002E21BE">
        <w:t>(ex. cas des paléosols</w:t>
      </w:r>
      <w:r w:rsidR="004A4F07">
        <w:t>, concept de terroir</w:t>
      </w:r>
      <w:r w:rsidR="002E21BE">
        <w:t>) ;</w:t>
      </w:r>
    </w:p>
    <w:p w14:paraId="59E6150B" w14:textId="2BF57C51" w:rsidR="002E21BE" w:rsidRDefault="002E21BE">
      <w:pPr>
        <w:pStyle w:val="Paragraphedeliste"/>
        <w:numPr>
          <w:ilvl w:val="0"/>
          <w:numId w:val="13"/>
        </w:numPr>
      </w:pPr>
      <w:r>
        <w:t>Un support pour les traces du passé (ex. le sol contient des vestiges archéologiques) ;</w:t>
      </w:r>
    </w:p>
    <w:p w14:paraId="15ECAA0D" w14:textId="7EDA8449" w:rsidR="00D02637" w:rsidRDefault="009C699B">
      <w:pPr>
        <w:pStyle w:val="Paragraphedeliste"/>
        <w:numPr>
          <w:ilvl w:val="0"/>
          <w:numId w:val="13"/>
        </w:numPr>
      </w:pPr>
      <w:r>
        <w:t>Un outil didactique (ex. classification des sols)</w:t>
      </w:r>
      <w:r w:rsidR="169E832C">
        <w:t>,</w:t>
      </w:r>
      <w:r w:rsidR="00E54ED6">
        <w:t xml:space="preserve"> etc.</w:t>
      </w:r>
    </w:p>
    <w:p w14:paraId="4B3AFCEE" w14:textId="3C0FF80A" w:rsidR="004A23B1" w:rsidRDefault="00323789" w:rsidP="00D02637">
      <w:r>
        <w:t xml:space="preserve">Ce </w:t>
      </w:r>
      <w:r w:rsidR="002B7C20">
        <w:t>service écosystémique</w:t>
      </w:r>
      <w:r>
        <w:t xml:space="preserve"> pourrait être diagnostiqué par une couche cartographique développée par l’</w:t>
      </w:r>
      <w:r w:rsidR="001314A2">
        <w:t>AWaP et non-publiée à ce jour : la carte de zonage.</w:t>
      </w:r>
      <w:r>
        <w:t xml:space="preserve"> Concrètement, la carte de zonage serait consultée</w:t>
      </w:r>
      <w:r w:rsidR="001314A2">
        <w:t xml:space="preserve"> pour extraire</w:t>
      </w:r>
      <w:r>
        <w:t xml:space="preserve"> une gamme de probabilité qualitative (faible, moyenne, élevée) que la zone diagnostiquée présente un intérêt archéologique. Ces informations viendraient compléter les données déjà disponibles via la carte archéologique sur </w:t>
      </w:r>
      <w:r w:rsidR="00064448">
        <w:t>le Géoportail de la Wallonie</w:t>
      </w:r>
      <w:r w:rsidR="00311503">
        <w:rPr>
          <w:rStyle w:val="Appelnotedebasdep"/>
        </w:rPr>
        <w:footnoteReference w:id="11"/>
      </w:r>
      <w:r>
        <w:t>.</w:t>
      </w:r>
      <w:r w:rsidR="001314A2">
        <w:t xml:space="preserve"> Malheureusement, </w:t>
      </w:r>
      <w:r w:rsidR="00BE0B95">
        <w:t>nous n’avons pas reçu de réponse positive quant à l’exploitation potentielle de cette carte.</w:t>
      </w:r>
      <w:r w:rsidR="008732BD">
        <w:t xml:space="preserve"> La seule possibilité à ce stade est donc de valoriser la </w:t>
      </w:r>
      <w:r w:rsidR="00B3662C">
        <w:t>carte archéologique qui recense les zones où des artéfacts archéologiques ont été effectivement recensés.</w:t>
      </w:r>
      <w:r w:rsidR="41E3F9F7">
        <w:t xml:space="preserve"> Cette information n’est pas scorée</w:t>
      </w:r>
      <w:r w:rsidR="0388A3B2">
        <w:t>. Elle est donnée de manière complémentaire aux scores IQSW-pro.</w:t>
      </w:r>
      <w:bookmarkStart w:id="144" w:name="_Toc230267113"/>
    </w:p>
    <w:p w14:paraId="653ECA81" w14:textId="05E20734" w:rsidR="006C3F20" w:rsidRDefault="006C3F20" w:rsidP="004A23B1">
      <w:pPr>
        <w:pStyle w:val="Titre2"/>
        <w:numPr>
          <w:ilvl w:val="1"/>
          <w:numId w:val="12"/>
        </w:numPr>
      </w:pPr>
      <w:bookmarkStart w:id="145" w:name="_Toc241478127"/>
      <w:r>
        <w:t>Source de matières premières</w:t>
      </w:r>
      <w:bookmarkEnd w:id="144"/>
      <w:bookmarkEnd w:id="145"/>
    </w:p>
    <w:p w14:paraId="39D03AD9" w14:textId="01E48AE2" w:rsidR="00DD3E58" w:rsidRDefault="000B4FB6" w:rsidP="00DD3E58">
      <w:r>
        <w:t xml:space="preserve">Dans la présente version de l’outil, </w:t>
      </w:r>
      <w:r w:rsidR="007218B5">
        <w:t>le</w:t>
      </w:r>
      <w:r>
        <w:t xml:space="preserve"> </w:t>
      </w:r>
      <w:r w:rsidR="002B7C20">
        <w:t>service écosystémique</w:t>
      </w:r>
      <w:r w:rsidR="007218B5">
        <w:t xml:space="preserve"> </w:t>
      </w:r>
      <w:r w:rsidR="007218B5" w:rsidRPr="48222D96">
        <w:rPr>
          <w:i/>
          <w:iCs/>
        </w:rPr>
        <w:t>Source de matières premières</w:t>
      </w:r>
      <w:r w:rsidR="007218B5">
        <w:t xml:space="preserve"> </w:t>
      </w:r>
      <w:r>
        <w:t>est considéré comme sortant du périmètre de l’IQSW-pro et par conséquent, exclu de l’évaluation. En effet,</w:t>
      </w:r>
      <w:r w:rsidR="00285057">
        <w:t xml:space="preserve"> l’</w:t>
      </w:r>
      <w:r w:rsidR="00F87625">
        <w:t>I</w:t>
      </w:r>
      <w:r w:rsidR="00285057">
        <w:t>QSW-pro se limite aux premiers horizons du sol</w:t>
      </w:r>
      <w:r w:rsidR="00F87625">
        <w:t xml:space="preserve"> (</w:t>
      </w:r>
      <w:r w:rsidR="00276CA2">
        <w:t xml:space="preserve">profondeur de </w:t>
      </w:r>
      <w:r w:rsidR="00F87625">
        <w:t>1 m maximum)</w:t>
      </w:r>
      <w:r w:rsidR="00285057">
        <w:t xml:space="preserve">, et n’a </w:t>
      </w:r>
      <w:r w:rsidR="00F87625">
        <w:t>pas une portée géologique.</w:t>
      </w:r>
      <w:r w:rsidR="00F82587">
        <w:t xml:space="preserve"> </w:t>
      </w:r>
    </w:p>
    <w:p w14:paraId="17812F00" w14:textId="2A9C01B8" w:rsidR="004847BE" w:rsidRDefault="00C623EE" w:rsidP="004847BE">
      <w:pPr>
        <w:pStyle w:val="Titre1"/>
        <w:numPr>
          <w:ilvl w:val="0"/>
          <w:numId w:val="12"/>
        </w:numPr>
      </w:pPr>
      <w:bookmarkStart w:id="146" w:name="_Toc241478128"/>
      <w:r>
        <w:t>Résultats du diagnostic</w:t>
      </w:r>
      <w:bookmarkEnd w:id="146"/>
    </w:p>
    <w:p w14:paraId="7839CD67" w14:textId="04B6BE65" w:rsidR="000A0208" w:rsidRDefault="000A0208">
      <w:pPr>
        <w:pStyle w:val="Titre2"/>
        <w:numPr>
          <w:ilvl w:val="1"/>
          <w:numId w:val="12"/>
        </w:numPr>
      </w:pPr>
      <w:bookmarkStart w:id="147" w:name="_Ref232411668"/>
      <w:bookmarkStart w:id="148" w:name="_Ref232412236"/>
      <w:bookmarkStart w:id="149" w:name="_Toc241478129"/>
      <w:r>
        <w:t>Calcul des scores de services écosystémiques</w:t>
      </w:r>
      <w:bookmarkEnd w:id="147"/>
      <w:bookmarkEnd w:id="148"/>
      <w:bookmarkEnd w:id="149"/>
    </w:p>
    <w:p w14:paraId="2A2A7820" w14:textId="6003D0D3" w:rsidR="00F75F65" w:rsidRDefault="00287071" w:rsidP="00D136E6">
      <w:pPr>
        <w:pStyle w:val="Titre3"/>
        <w:numPr>
          <w:ilvl w:val="2"/>
          <w:numId w:val="12"/>
        </w:numPr>
      </w:pPr>
      <w:bookmarkStart w:id="150" w:name="_Ref241227803"/>
      <w:bookmarkStart w:id="151" w:name="_Toc241478130"/>
      <w:r>
        <w:t>Synthèse</w:t>
      </w:r>
      <w:r w:rsidR="00CD3F2D">
        <w:t xml:space="preserve"> des indicateurs</w:t>
      </w:r>
      <w:bookmarkEnd w:id="150"/>
      <w:bookmarkEnd w:id="151"/>
    </w:p>
    <w:p w14:paraId="07F406AD" w14:textId="3717DFEA" w:rsidR="009A6CD4" w:rsidRDefault="009A6CD4" w:rsidP="009A6CD4">
      <w:r>
        <w:t xml:space="preserve">Le </w:t>
      </w:r>
      <w:r w:rsidRPr="009A6CD4">
        <w:fldChar w:fldCharType="begin"/>
      </w:r>
      <w:r w:rsidRPr="009A6CD4">
        <w:instrText xml:space="preserve"> REF _Ref241227135 \h  \* MERGEFORMAT </w:instrText>
      </w:r>
      <w:r w:rsidRPr="009A6CD4">
        <w:fldChar w:fldCharType="separate"/>
      </w:r>
      <w:r w:rsidRPr="009A6CD4">
        <w:t xml:space="preserve">Tableau </w:t>
      </w:r>
      <w:r w:rsidRPr="009A6CD4">
        <w:rPr>
          <w:noProof/>
        </w:rPr>
        <w:t>3</w:t>
      </w:r>
      <w:r w:rsidRPr="009A6CD4">
        <w:fldChar w:fldCharType="end"/>
      </w:r>
      <w:r>
        <w:t xml:space="preserve"> rassemble </w:t>
      </w:r>
      <w:r w:rsidR="008D60C9">
        <w:t>tous les indicateurs intervenant dans le calcul du score d’un service écosystémique (pour la fonction considérée). La méthodologie d’interprétation des indicateurs</w:t>
      </w:r>
      <w:r w:rsidR="00E7406E">
        <w:t xml:space="preserve">, basée sur l’approche détaillée dans la partie </w:t>
      </w:r>
      <w:r w:rsidR="00E7406E">
        <w:fldChar w:fldCharType="begin"/>
      </w:r>
      <w:r w:rsidR="00E7406E">
        <w:instrText xml:space="preserve"> REF _Ref241227230 \r \h </w:instrText>
      </w:r>
      <w:r w:rsidR="00E7406E">
        <w:fldChar w:fldCharType="separate"/>
      </w:r>
      <w:r w:rsidR="001A7BE1">
        <w:t>3.6.2</w:t>
      </w:r>
      <w:r w:rsidR="00E7406E">
        <w:fldChar w:fldCharType="end"/>
      </w:r>
      <w:r w:rsidR="00E7406E">
        <w:t xml:space="preserve">, </w:t>
      </w:r>
      <w:r w:rsidR="002820A8">
        <w:t>est détaillée, pour chaque indicateur, dans l’</w:t>
      </w:r>
      <w:r w:rsidR="002820A8" w:rsidRPr="002820A8">
        <w:t>Annexe 2 – Indicateurs.</w:t>
      </w:r>
    </w:p>
    <w:p w14:paraId="550C8C8D" w14:textId="77777777" w:rsidR="009B103C" w:rsidRDefault="009B103C" w:rsidP="009A6CD4"/>
    <w:p w14:paraId="7FA5D511" w14:textId="77777777" w:rsidR="009B103C" w:rsidRDefault="009B103C" w:rsidP="009A6CD4"/>
    <w:p w14:paraId="42A70795" w14:textId="77777777" w:rsidR="009B103C" w:rsidRDefault="009B103C" w:rsidP="009A6CD4"/>
    <w:p w14:paraId="04382921" w14:textId="77777777" w:rsidR="009B103C" w:rsidRPr="009A6CD4" w:rsidRDefault="009B103C" w:rsidP="009A6CD4"/>
    <w:p w14:paraId="6A549313" w14:textId="123024CE" w:rsidR="009E01DA" w:rsidRPr="00261C30" w:rsidRDefault="009E01DA" w:rsidP="009E01DA">
      <w:pPr>
        <w:pStyle w:val="Lgende"/>
        <w:keepNext/>
        <w:jc w:val="center"/>
        <w:rPr>
          <w:i w:val="0"/>
          <w:iCs w:val="0"/>
        </w:rPr>
      </w:pPr>
      <w:bookmarkStart w:id="152" w:name="_Ref241227135"/>
      <w:r w:rsidRPr="00261C30">
        <w:rPr>
          <w:i w:val="0"/>
          <w:iCs w:val="0"/>
        </w:rPr>
        <w:lastRenderedPageBreak/>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9A6CD4">
        <w:rPr>
          <w:i w:val="0"/>
          <w:iCs w:val="0"/>
          <w:noProof/>
        </w:rPr>
        <w:t>3</w:t>
      </w:r>
      <w:r w:rsidRPr="00261C30">
        <w:rPr>
          <w:i w:val="0"/>
          <w:iCs w:val="0"/>
        </w:rPr>
        <w:fldChar w:fldCharType="end"/>
      </w:r>
      <w:bookmarkEnd w:id="152"/>
      <w:r w:rsidRPr="00261C30">
        <w:rPr>
          <w:i w:val="0"/>
          <w:iCs w:val="0"/>
        </w:rPr>
        <w:t xml:space="preserve"> : Référentiels d’interprétation des indicateurs pour chaque combinaison service – fonction</w:t>
      </w:r>
      <w:r>
        <w:rPr>
          <w:i w:val="0"/>
          <w:iCs w:val="0"/>
        </w:rPr>
        <w:t xml:space="preserve">. La </w:t>
      </w:r>
      <w:r w:rsidR="009B103C">
        <w:rPr>
          <w:i w:val="0"/>
          <w:iCs w:val="0"/>
        </w:rPr>
        <w:t>forme de la fonction</w:t>
      </w:r>
      <w:r>
        <w:rPr>
          <w:i w:val="0"/>
          <w:iCs w:val="0"/>
        </w:rPr>
        <w:t xml:space="preserve"> d’interprétation dont la forme est spécifiée (</w:t>
      </w:r>
      <w:r>
        <w:rPr>
          <w:noProof/>
        </w:rPr>
        <w:drawing>
          <wp:inline distT="0" distB="0" distL="0" distR="0" wp14:anchorId="47F51DB3" wp14:editId="218140E2">
            <wp:extent cx="91440" cy="118745"/>
            <wp:effectExtent l="0" t="0" r="3810" b="0"/>
            <wp:docPr id="206937099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more is better</w:t>
      </w:r>
      <w:r>
        <w:rPr>
          <w:i w:val="0"/>
          <w:iCs w:val="0"/>
        </w:rPr>
        <w:t> ; </w:t>
      </w:r>
      <w:r>
        <w:rPr>
          <w:noProof/>
        </w:rPr>
        <w:drawing>
          <wp:inline distT="0" distB="0" distL="0" distR="0" wp14:anchorId="76A2E44E" wp14:editId="621D8C1B">
            <wp:extent cx="85917" cy="88985"/>
            <wp:effectExtent l="0" t="0" r="9525" b="6350"/>
            <wp:docPr id="3853716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less is better</w:t>
      </w:r>
      <w:r>
        <w:rPr>
          <w:i w:val="0"/>
          <w:iCs w:val="0"/>
        </w:rPr>
        <w:t> ; </w:t>
      </w:r>
      <w:r>
        <w:rPr>
          <w:noProof/>
        </w:rPr>
        <w:drawing>
          <wp:inline distT="0" distB="0" distL="0" distR="0" wp14:anchorId="2294C6BF" wp14:editId="4099462F">
            <wp:extent cx="164432" cy="65784"/>
            <wp:effectExtent l="0" t="0" r="7620" b="0"/>
            <wp:docPr id="105141109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 xml:space="preserve">). Dans le service </w:t>
      </w:r>
      <w:r w:rsidRPr="008E326C">
        <w:t>Production</w:t>
      </w:r>
      <w:r>
        <w:rPr>
          <w:i w:val="0"/>
          <w:iCs w:val="0"/>
        </w:rPr>
        <w:t>, pour certains indicateurs, une distinction est faite dans le choix des bornes entre les catégories d’usage (C : cultures ; P : prairies ; EV : espaces verts ; F : forêts).</w:t>
      </w:r>
    </w:p>
    <w:tbl>
      <w:tblPr>
        <w:tblStyle w:val="Grilledutableau"/>
        <w:tblW w:w="9067" w:type="dxa"/>
        <w:tblCellMar>
          <w:top w:w="28" w:type="dxa"/>
          <w:bottom w:w="28" w:type="dxa"/>
        </w:tblCellMar>
        <w:tblLook w:val="04A0" w:firstRow="1" w:lastRow="0" w:firstColumn="1" w:lastColumn="0" w:noHBand="0" w:noVBand="1"/>
      </w:tblPr>
      <w:tblGrid>
        <w:gridCol w:w="1200"/>
        <w:gridCol w:w="1239"/>
        <w:gridCol w:w="748"/>
        <w:gridCol w:w="1628"/>
        <w:gridCol w:w="4252"/>
      </w:tblGrid>
      <w:tr w:rsidR="009E01DA" w:rsidRPr="00D378BC" w14:paraId="0C4139F5" w14:textId="77777777" w:rsidTr="003F3F11">
        <w:tc>
          <w:tcPr>
            <w:tcW w:w="1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99B2CEC" w14:textId="77777777" w:rsidR="009E01DA" w:rsidRPr="00A37F87" w:rsidRDefault="009E01DA" w:rsidP="003F3F11">
            <w:pPr>
              <w:jc w:val="center"/>
              <w:rPr>
                <w:b/>
                <w:bCs/>
                <w:sz w:val="20"/>
                <w:szCs w:val="20"/>
              </w:rPr>
            </w:pPr>
            <w:r>
              <w:rPr>
                <w:b/>
                <w:bCs/>
                <w:sz w:val="20"/>
                <w:szCs w:val="20"/>
              </w:rPr>
              <w:t>Service</w:t>
            </w:r>
          </w:p>
        </w:tc>
        <w:tc>
          <w:tcPr>
            <w:tcW w:w="12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61173E96" w14:textId="77777777" w:rsidR="009E01DA" w:rsidRPr="00A37F87" w:rsidRDefault="009E01DA" w:rsidP="003F3F11">
            <w:pPr>
              <w:jc w:val="center"/>
              <w:rPr>
                <w:b/>
                <w:bCs/>
                <w:sz w:val="20"/>
                <w:szCs w:val="20"/>
              </w:rPr>
            </w:pPr>
            <w:r w:rsidRPr="00A37F87">
              <w:rPr>
                <w:b/>
                <w:bCs/>
                <w:sz w:val="20"/>
                <w:szCs w:val="20"/>
              </w:rPr>
              <w:t>Fonction</w:t>
            </w:r>
          </w:p>
        </w:tc>
        <w:tc>
          <w:tcPr>
            <w:tcW w:w="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53C8ED10" w14:textId="77777777" w:rsidR="009E01DA" w:rsidRPr="00A37F87" w:rsidRDefault="009E01DA" w:rsidP="003F3F11">
            <w:pPr>
              <w:jc w:val="center"/>
              <w:rPr>
                <w:b/>
                <w:bCs/>
                <w:sz w:val="20"/>
                <w:szCs w:val="20"/>
              </w:rPr>
            </w:pPr>
            <w:r w:rsidRPr="00A37F87">
              <w:rPr>
                <w:b/>
                <w:bCs/>
                <w:sz w:val="20"/>
                <w:szCs w:val="20"/>
              </w:rPr>
              <w:t>Forme</w:t>
            </w:r>
          </w:p>
        </w:tc>
        <w:tc>
          <w:tcPr>
            <w:tcW w:w="16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5E3B6038" w14:textId="77777777" w:rsidR="009E01DA" w:rsidRPr="00A37F87" w:rsidRDefault="009E01DA" w:rsidP="003F3F11">
            <w:pPr>
              <w:jc w:val="center"/>
              <w:rPr>
                <w:b/>
                <w:bCs/>
                <w:sz w:val="20"/>
                <w:szCs w:val="20"/>
              </w:rPr>
            </w:pPr>
            <w:r w:rsidRPr="00A37F87">
              <w:rPr>
                <w:b/>
                <w:bCs/>
                <w:sz w:val="20"/>
                <w:szCs w:val="20"/>
              </w:rPr>
              <w:t>Évaluation</w:t>
            </w: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26E72348" w14:textId="77777777" w:rsidR="009E01DA" w:rsidRPr="00A37F87" w:rsidRDefault="009E01DA" w:rsidP="003F3F11">
            <w:pPr>
              <w:jc w:val="center"/>
              <w:rPr>
                <w:b/>
                <w:bCs/>
                <w:sz w:val="20"/>
                <w:szCs w:val="20"/>
              </w:rPr>
            </w:pPr>
            <w:r w:rsidRPr="00A37F87">
              <w:rPr>
                <w:b/>
                <w:bCs/>
                <w:sz w:val="20"/>
                <w:szCs w:val="20"/>
              </w:rPr>
              <w:t>Référentiel</w:t>
            </w:r>
          </w:p>
        </w:tc>
      </w:tr>
      <w:tr w:rsidR="009E01DA" w14:paraId="6BE01708" w14:textId="77777777" w:rsidTr="003F3F11">
        <w:tblPrEx>
          <w:tblCellMar>
            <w:top w:w="0" w:type="dxa"/>
            <w:bottom w:w="0" w:type="dxa"/>
          </w:tblCellMar>
        </w:tblPrEx>
        <w:tc>
          <w:tcPr>
            <w:tcW w:w="1200" w:type="dxa"/>
            <w:vMerge w:val="restart"/>
            <w:shd w:val="clear" w:color="auto" w:fill="D1D1D1" w:themeFill="background2" w:themeFillShade="E6"/>
            <w:vAlign w:val="center"/>
          </w:tcPr>
          <w:p w14:paraId="3D591357" w14:textId="77777777" w:rsidR="009E01DA" w:rsidRPr="00261C30" w:rsidRDefault="009E01DA" w:rsidP="003F3F11">
            <w:pPr>
              <w:jc w:val="left"/>
              <w:rPr>
                <w:b/>
                <w:bCs/>
                <w:sz w:val="20"/>
                <w:szCs w:val="20"/>
              </w:rPr>
            </w:pPr>
            <w:r w:rsidRPr="00261C30">
              <w:rPr>
                <w:b/>
                <w:bCs/>
                <w:sz w:val="20"/>
                <w:szCs w:val="20"/>
              </w:rPr>
              <w:t xml:space="preserve">Production </w:t>
            </w:r>
          </w:p>
        </w:tc>
        <w:tc>
          <w:tcPr>
            <w:tcW w:w="1239" w:type="dxa"/>
            <w:vMerge w:val="restart"/>
            <w:shd w:val="clear" w:color="auto" w:fill="F2F2F2" w:themeFill="background1" w:themeFillShade="F2"/>
            <w:vAlign w:val="center"/>
          </w:tcPr>
          <w:p w14:paraId="1D47D84F" w14:textId="77777777" w:rsidR="009E01DA" w:rsidRDefault="009E01DA" w:rsidP="003F3F11">
            <w:pPr>
              <w:jc w:val="left"/>
              <w:rPr>
                <w:sz w:val="20"/>
                <w:szCs w:val="20"/>
              </w:rPr>
            </w:pPr>
            <w:r>
              <w:rPr>
                <w:sz w:val="20"/>
                <w:szCs w:val="20"/>
              </w:rPr>
              <w:t>Fourniture nutriments</w:t>
            </w:r>
          </w:p>
        </w:tc>
        <w:tc>
          <w:tcPr>
            <w:tcW w:w="748" w:type="dxa"/>
            <w:vMerge w:val="restart"/>
            <w:vAlign w:val="center"/>
          </w:tcPr>
          <w:p w14:paraId="68421129" w14:textId="77777777" w:rsidR="009E01DA" w:rsidRDefault="009E01DA" w:rsidP="003F3F11">
            <w:pPr>
              <w:jc w:val="center"/>
              <w:rPr>
                <w:sz w:val="20"/>
                <w:szCs w:val="20"/>
              </w:rPr>
            </w:pPr>
            <w:r>
              <w:rPr>
                <w:noProof/>
                <w:sz w:val="20"/>
                <w:szCs w:val="20"/>
              </w:rPr>
              <mc:AlternateContent>
                <mc:Choice Requires="wps">
                  <w:drawing>
                    <wp:inline distT="0" distB="0" distL="0" distR="0" wp14:anchorId="532646C6" wp14:editId="7E7601A1">
                      <wp:extent cx="94615" cy="153035"/>
                      <wp:effectExtent l="0" t="38100" r="57785" b="18415"/>
                      <wp:docPr id="1014400902"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type w14:anchorId="354A2E89" id="_x0000_t32" coordsize="21600,21600" o:spt="32" o:oned="t" path="m,l21600,21600e" filled="f">
                      <v:path arrowok="t" fillok="f" o:connecttype="none"/>
                      <o:lock v:ext="edit" shapetype="t"/>
                    </v:shapetype>
                    <v:shape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vMerge w:val="restart"/>
            <w:shd w:val="clear" w:color="auto" w:fill="F2F9EB"/>
            <w:vAlign w:val="center"/>
          </w:tcPr>
          <w:p w14:paraId="49993027" w14:textId="77777777" w:rsidR="009E01DA" w:rsidRPr="002F4BB9" w:rsidRDefault="009E01DA" w:rsidP="003F3F11">
            <w:pPr>
              <w:jc w:val="left"/>
              <w:rPr>
                <w:sz w:val="20"/>
                <w:szCs w:val="20"/>
              </w:rPr>
            </w:pPr>
            <w:r>
              <w:rPr>
                <w:sz w:val="20"/>
                <w:szCs w:val="20"/>
              </w:rPr>
              <w:t>P</w:t>
            </w:r>
            <w:r>
              <w:rPr>
                <w:sz w:val="20"/>
                <w:szCs w:val="20"/>
                <w:vertAlign w:val="subscript"/>
              </w:rPr>
              <w:t>qualité</w:t>
            </w:r>
          </w:p>
        </w:tc>
        <w:tc>
          <w:tcPr>
            <w:tcW w:w="4252" w:type="dxa"/>
            <w:shd w:val="clear" w:color="auto" w:fill="F2F9EB"/>
            <w:vAlign w:val="center"/>
          </w:tcPr>
          <w:p w14:paraId="14D93557" w14:textId="77777777" w:rsidR="009E01DA" w:rsidRPr="0000352D" w:rsidRDefault="009E01DA" w:rsidP="003F3F11">
            <w:pPr>
              <w:jc w:val="left"/>
              <w:rPr>
                <w:sz w:val="20"/>
                <w:szCs w:val="20"/>
              </w:rPr>
            </w:pPr>
            <w:r>
              <w:rPr>
                <w:sz w:val="20"/>
                <w:szCs w:val="20"/>
              </w:rPr>
              <w:t xml:space="preserve">(C) Valeur cible identifiée sur base des gammes optimales REQUASUD pour les cultures </w:t>
            </w:r>
            <w:r>
              <w:rPr>
                <w:sz w:val="20"/>
                <w:szCs w:val="20"/>
              </w:rPr>
              <w:fldChar w:fldCharType="begin"/>
            </w:r>
            <w:r>
              <w:rPr>
                <w:sz w:val="20"/>
                <w:szCs w:val="20"/>
              </w:rPr>
              <w:instrText xml:space="preserve"> ADDIN ZOTERO_ITEM CSL_CITATION {"citationID":"k7kOnRtQ","properties":{"unsorted":false,"formattedCitation":"(Genot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Pr>
                <w:sz w:val="20"/>
                <w:szCs w:val="20"/>
              </w:rPr>
              <w:fldChar w:fldCharType="separate"/>
            </w:r>
            <w:r w:rsidRPr="002D0BFF">
              <w:rPr>
                <w:rFonts w:cs="Calibri"/>
                <w:sz w:val="20"/>
              </w:rPr>
              <w:t>(Genot et al., 2011)</w:t>
            </w:r>
            <w:r>
              <w:rPr>
                <w:sz w:val="20"/>
                <w:szCs w:val="20"/>
              </w:rPr>
              <w:fldChar w:fldCharType="end"/>
            </w:r>
          </w:p>
        </w:tc>
      </w:tr>
      <w:tr w:rsidR="009E01DA" w14:paraId="10ABB31A" w14:textId="77777777" w:rsidTr="003F3F11">
        <w:tblPrEx>
          <w:tblCellMar>
            <w:top w:w="0" w:type="dxa"/>
            <w:bottom w:w="0" w:type="dxa"/>
          </w:tblCellMar>
        </w:tblPrEx>
        <w:tc>
          <w:tcPr>
            <w:tcW w:w="1200" w:type="dxa"/>
            <w:vMerge/>
            <w:shd w:val="clear" w:color="auto" w:fill="D1D1D1" w:themeFill="background2" w:themeFillShade="E6"/>
            <w:vAlign w:val="center"/>
          </w:tcPr>
          <w:p w14:paraId="0EE0723D"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38B4A07" w14:textId="77777777" w:rsidR="009E01DA" w:rsidRDefault="009E01DA" w:rsidP="003F3F11">
            <w:pPr>
              <w:jc w:val="left"/>
              <w:rPr>
                <w:sz w:val="20"/>
                <w:szCs w:val="20"/>
              </w:rPr>
            </w:pPr>
          </w:p>
        </w:tc>
        <w:tc>
          <w:tcPr>
            <w:tcW w:w="748" w:type="dxa"/>
            <w:vMerge/>
            <w:vAlign w:val="center"/>
          </w:tcPr>
          <w:p w14:paraId="21A3CD68" w14:textId="77777777" w:rsidR="009E01DA" w:rsidRDefault="009E01DA" w:rsidP="003F3F11">
            <w:pPr>
              <w:jc w:val="center"/>
              <w:rPr>
                <w:sz w:val="20"/>
                <w:szCs w:val="20"/>
              </w:rPr>
            </w:pPr>
          </w:p>
        </w:tc>
        <w:tc>
          <w:tcPr>
            <w:tcW w:w="1628" w:type="dxa"/>
            <w:vMerge/>
            <w:shd w:val="clear" w:color="auto" w:fill="F2F9EB"/>
            <w:vAlign w:val="center"/>
          </w:tcPr>
          <w:p w14:paraId="240BC09C" w14:textId="77777777" w:rsidR="009E01DA" w:rsidRPr="002F4BB9" w:rsidRDefault="009E01DA" w:rsidP="003F3F11">
            <w:pPr>
              <w:jc w:val="left"/>
              <w:rPr>
                <w:sz w:val="20"/>
                <w:szCs w:val="20"/>
              </w:rPr>
            </w:pPr>
          </w:p>
        </w:tc>
        <w:tc>
          <w:tcPr>
            <w:tcW w:w="4252" w:type="dxa"/>
            <w:shd w:val="clear" w:color="auto" w:fill="F2F9EB"/>
            <w:vAlign w:val="center"/>
          </w:tcPr>
          <w:p w14:paraId="71E8F27E" w14:textId="77777777" w:rsidR="009E01DA" w:rsidRPr="0000352D" w:rsidRDefault="009E01DA" w:rsidP="003F3F11">
            <w:pPr>
              <w:jc w:val="left"/>
              <w:rPr>
                <w:sz w:val="20"/>
                <w:szCs w:val="20"/>
              </w:rPr>
            </w:pPr>
            <w:r>
              <w:rPr>
                <w:sz w:val="20"/>
                <w:szCs w:val="20"/>
              </w:rPr>
              <w:t xml:space="preserve">(P-EV) Inférence d’une valeur cible plus permissive que celle des cultures </w:t>
            </w:r>
          </w:p>
        </w:tc>
      </w:tr>
      <w:tr w:rsidR="009E01DA" w14:paraId="3CB42349" w14:textId="77777777" w:rsidTr="003F3F11">
        <w:tblPrEx>
          <w:tblCellMar>
            <w:top w:w="0" w:type="dxa"/>
            <w:bottom w:w="0" w:type="dxa"/>
          </w:tblCellMar>
        </w:tblPrEx>
        <w:tc>
          <w:tcPr>
            <w:tcW w:w="1200" w:type="dxa"/>
            <w:vMerge/>
            <w:shd w:val="clear" w:color="auto" w:fill="D1D1D1" w:themeFill="background2" w:themeFillShade="E6"/>
            <w:vAlign w:val="center"/>
          </w:tcPr>
          <w:p w14:paraId="2602B281"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086D255" w14:textId="77777777" w:rsidR="009E01DA" w:rsidRDefault="009E01DA" w:rsidP="003F3F11">
            <w:pPr>
              <w:jc w:val="left"/>
              <w:rPr>
                <w:sz w:val="20"/>
                <w:szCs w:val="20"/>
              </w:rPr>
            </w:pPr>
          </w:p>
        </w:tc>
        <w:tc>
          <w:tcPr>
            <w:tcW w:w="748" w:type="dxa"/>
            <w:vMerge/>
            <w:vAlign w:val="center"/>
          </w:tcPr>
          <w:p w14:paraId="5F3FEE0E" w14:textId="77777777" w:rsidR="009E01DA" w:rsidRDefault="009E01DA" w:rsidP="003F3F11">
            <w:pPr>
              <w:jc w:val="center"/>
              <w:rPr>
                <w:sz w:val="20"/>
                <w:szCs w:val="20"/>
              </w:rPr>
            </w:pPr>
          </w:p>
        </w:tc>
        <w:tc>
          <w:tcPr>
            <w:tcW w:w="1628" w:type="dxa"/>
            <w:vMerge/>
            <w:shd w:val="clear" w:color="auto" w:fill="F2F9EB"/>
            <w:vAlign w:val="center"/>
          </w:tcPr>
          <w:p w14:paraId="329C6D7F" w14:textId="77777777" w:rsidR="009E01DA" w:rsidRPr="002F4BB9" w:rsidRDefault="009E01DA" w:rsidP="003F3F11">
            <w:pPr>
              <w:jc w:val="left"/>
              <w:rPr>
                <w:sz w:val="20"/>
                <w:szCs w:val="20"/>
              </w:rPr>
            </w:pPr>
          </w:p>
        </w:tc>
        <w:tc>
          <w:tcPr>
            <w:tcW w:w="4252" w:type="dxa"/>
            <w:shd w:val="clear" w:color="auto" w:fill="F2F9EB"/>
            <w:vAlign w:val="center"/>
          </w:tcPr>
          <w:p w14:paraId="362175E2" w14:textId="77777777" w:rsidR="009E01DA" w:rsidRPr="0000352D" w:rsidRDefault="009E01DA" w:rsidP="003F3F11">
            <w:pPr>
              <w:jc w:val="left"/>
              <w:rPr>
                <w:sz w:val="20"/>
                <w:szCs w:val="20"/>
              </w:rPr>
            </w:pPr>
            <w:r>
              <w:rPr>
                <w:sz w:val="20"/>
                <w:szCs w:val="20"/>
              </w:rPr>
              <w:t>(F) Paramètre non-limitant (score maximal dès niveau minimum)</w:t>
            </w:r>
          </w:p>
        </w:tc>
      </w:tr>
      <w:tr w:rsidR="009E01DA" w14:paraId="36787B25" w14:textId="77777777" w:rsidTr="003F3F11">
        <w:tblPrEx>
          <w:tblCellMar>
            <w:top w:w="0" w:type="dxa"/>
            <w:bottom w:w="0" w:type="dxa"/>
          </w:tblCellMar>
        </w:tblPrEx>
        <w:tc>
          <w:tcPr>
            <w:tcW w:w="1200" w:type="dxa"/>
            <w:vMerge/>
            <w:shd w:val="clear" w:color="auto" w:fill="D1D1D1" w:themeFill="background2" w:themeFillShade="E6"/>
            <w:vAlign w:val="center"/>
          </w:tcPr>
          <w:p w14:paraId="65BA8C99"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40B0A4B2" w14:textId="77777777" w:rsidR="009E01DA" w:rsidRDefault="009E01DA" w:rsidP="003F3F11">
            <w:pPr>
              <w:jc w:val="left"/>
              <w:rPr>
                <w:sz w:val="20"/>
                <w:szCs w:val="20"/>
              </w:rPr>
            </w:pPr>
          </w:p>
        </w:tc>
        <w:tc>
          <w:tcPr>
            <w:tcW w:w="748" w:type="dxa"/>
            <w:vMerge/>
            <w:vAlign w:val="center"/>
          </w:tcPr>
          <w:p w14:paraId="53AB15B5" w14:textId="77777777" w:rsidR="009E01DA" w:rsidRDefault="009E01DA" w:rsidP="003F3F11">
            <w:pPr>
              <w:jc w:val="center"/>
              <w:rPr>
                <w:sz w:val="20"/>
                <w:szCs w:val="20"/>
              </w:rPr>
            </w:pPr>
          </w:p>
        </w:tc>
        <w:tc>
          <w:tcPr>
            <w:tcW w:w="1628" w:type="dxa"/>
            <w:shd w:val="clear" w:color="auto" w:fill="EFF5FB"/>
            <w:vAlign w:val="center"/>
          </w:tcPr>
          <w:p w14:paraId="656CA0CF" w14:textId="77777777" w:rsidR="009E01DA" w:rsidRDefault="009E01DA" w:rsidP="003F3F11">
            <w:pPr>
              <w:jc w:val="left"/>
              <w:rPr>
                <w:sz w:val="20"/>
                <w:szCs w:val="20"/>
              </w:rPr>
            </w:pPr>
            <w:r>
              <w:rPr>
                <w:sz w:val="20"/>
                <w:szCs w:val="20"/>
              </w:rPr>
              <w:t>P</w:t>
            </w:r>
            <w:r>
              <w:rPr>
                <w:sz w:val="20"/>
                <w:szCs w:val="20"/>
                <w:vertAlign w:val="subscript"/>
              </w:rPr>
              <w:t>santé</w:t>
            </w:r>
          </w:p>
        </w:tc>
        <w:tc>
          <w:tcPr>
            <w:tcW w:w="4252" w:type="dxa"/>
            <w:shd w:val="clear" w:color="auto" w:fill="EFF5FB"/>
            <w:vAlign w:val="center"/>
          </w:tcPr>
          <w:p w14:paraId="13622029" w14:textId="77777777" w:rsidR="009E01DA" w:rsidRDefault="009E01DA" w:rsidP="003F3F11">
            <w:pPr>
              <w:jc w:val="left"/>
              <w:rPr>
                <w:sz w:val="20"/>
                <w:szCs w:val="20"/>
              </w:rPr>
            </w:pPr>
            <w:r>
              <w:rPr>
                <w:sz w:val="20"/>
                <w:szCs w:val="20"/>
              </w:rPr>
              <w:t xml:space="preserve">Gammes optimales pour une classe texturale et un pH donné </w:t>
            </w:r>
            <w:r>
              <w:rPr>
                <w:sz w:val="20"/>
                <w:szCs w:val="20"/>
              </w:rPr>
              <w:fldChar w:fldCharType="begin"/>
            </w:r>
            <w:r>
              <w:rPr>
                <w:sz w:val="20"/>
                <w:szCs w:val="20"/>
              </w:rPr>
              <w:instrText xml:space="preserve"> ADDIN ZOTERO_ITEM CSL_CITATION {"citationID":"gFdearnp","properties":{"unsorted":false,"formattedCitation":"(Genot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Pr>
                <w:sz w:val="20"/>
                <w:szCs w:val="20"/>
              </w:rPr>
              <w:fldChar w:fldCharType="separate"/>
            </w:r>
            <w:r w:rsidRPr="00E8144B">
              <w:rPr>
                <w:rFonts w:cs="Calibri"/>
                <w:sz w:val="20"/>
              </w:rPr>
              <w:t>(Genot et al., 2011)</w:t>
            </w:r>
            <w:r>
              <w:rPr>
                <w:sz w:val="20"/>
                <w:szCs w:val="20"/>
              </w:rPr>
              <w:fldChar w:fldCharType="end"/>
            </w:r>
          </w:p>
        </w:tc>
      </w:tr>
      <w:tr w:rsidR="009E01DA" w14:paraId="66BEBF3C" w14:textId="77777777" w:rsidTr="003F3F11">
        <w:tblPrEx>
          <w:tblCellMar>
            <w:top w:w="0" w:type="dxa"/>
            <w:bottom w:w="0" w:type="dxa"/>
          </w:tblCellMar>
        </w:tblPrEx>
        <w:tc>
          <w:tcPr>
            <w:tcW w:w="1200" w:type="dxa"/>
            <w:vMerge/>
            <w:shd w:val="clear" w:color="auto" w:fill="D1D1D1" w:themeFill="background2" w:themeFillShade="E6"/>
            <w:vAlign w:val="center"/>
          </w:tcPr>
          <w:p w14:paraId="47190166"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2557806C" w14:textId="77777777" w:rsidR="009E01DA" w:rsidRDefault="009E01DA" w:rsidP="003F3F11">
            <w:pPr>
              <w:jc w:val="left"/>
              <w:rPr>
                <w:sz w:val="20"/>
                <w:szCs w:val="20"/>
              </w:rPr>
            </w:pPr>
          </w:p>
        </w:tc>
        <w:tc>
          <w:tcPr>
            <w:tcW w:w="748" w:type="dxa"/>
            <w:vMerge w:val="restart"/>
            <w:vAlign w:val="center"/>
          </w:tcPr>
          <w:p w14:paraId="28E664F6" w14:textId="77777777" w:rsidR="009E01DA" w:rsidRDefault="009E01DA" w:rsidP="003F3F11">
            <w:pPr>
              <w:jc w:val="center"/>
              <w:rPr>
                <w:sz w:val="20"/>
                <w:szCs w:val="20"/>
              </w:rPr>
            </w:pPr>
            <w:r>
              <w:rPr>
                <w:noProof/>
                <w:sz w:val="20"/>
                <w:szCs w:val="20"/>
              </w:rPr>
              <mc:AlternateContent>
                <mc:Choice Requires="wps">
                  <w:drawing>
                    <wp:inline distT="0" distB="0" distL="0" distR="0" wp14:anchorId="10296651" wp14:editId="1F46E966">
                      <wp:extent cx="94615" cy="153035"/>
                      <wp:effectExtent l="0" t="38100" r="57785" b="18415"/>
                      <wp:docPr id="2093906329"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60D24B1"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vMerge w:val="restart"/>
            <w:shd w:val="clear" w:color="auto" w:fill="F2F9EB"/>
            <w:vAlign w:val="center"/>
          </w:tcPr>
          <w:p w14:paraId="29BBEDE9" w14:textId="77777777" w:rsidR="009E01DA" w:rsidRPr="002F4BB9" w:rsidRDefault="009E01DA" w:rsidP="003F3F11">
            <w:pPr>
              <w:jc w:val="left"/>
              <w:rPr>
                <w:sz w:val="20"/>
                <w:szCs w:val="20"/>
              </w:rPr>
            </w:pPr>
            <w:r>
              <w:rPr>
                <w:sz w:val="20"/>
                <w:szCs w:val="20"/>
              </w:rPr>
              <w:t>K, Mg, Ca</w:t>
            </w:r>
            <w:r>
              <w:rPr>
                <w:sz w:val="20"/>
                <w:szCs w:val="20"/>
                <w:vertAlign w:val="subscript"/>
              </w:rPr>
              <w:t>qualité</w:t>
            </w:r>
          </w:p>
        </w:tc>
        <w:tc>
          <w:tcPr>
            <w:tcW w:w="4252" w:type="dxa"/>
            <w:shd w:val="clear" w:color="auto" w:fill="F2F9EB"/>
            <w:vAlign w:val="center"/>
          </w:tcPr>
          <w:p w14:paraId="29A2D47E" w14:textId="77777777" w:rsidR="009E01DA" w:rsidRPr="0000352D" w:rsidRDefault="009E01DA" w:rsidP="003F3F11">
            <w:pPr>
              <w:jc w:val="left"/>
              <w:rPr>
                <w:sz w:val="20"/>
                <w:szCs w:val="20"/>
              </w:rPr>
            </w:pPr>
            <w:r>
              <w:rPr>
                <w:sz w:val="20"/>
                <w:szCs w:val="20"/>
              </w:rPr>
              <w:t xml:space="preserve">(C) Valeur cible identifiée sur base des gammes optimales REQUASUD pour les cultures </w:t>
            </w:r>
            <w:r>
              <w:rPr>
                <w:sz w:val="20"/>
                <w:szCs w:val="20"/>
              </w:rPr>
              <w:fldChar w:fldCharType="begin"/>
            </w:r>
            <w:r>
              <w:rPr>
                <w:sz w:val="20"/>
                <w:szCs w:val="20"/>
              </w:rPr>
              <w:instrText xml:space="preserve"> ADDIN ZOTERO_ITEM CSL_CITATION {"citationID":"pFioDCwI","properties":{"unsorted":false,"formattedCitation":"(Dombret, 2022)","plainCitation":"(Dombret, 2022)","noteIndex":0},"citationItems":[{"id":121,"uris":["http://zotero.org/groups/5684833/items/I22FDLA8"],"itemData":{"id":121,"type":"article-magazine","container-title":"Biowallonie","issue":"63","title":"Interpréter l'analyse de terre pour la culture maraîchère : comprendre les résultats (3/3)","URL":"https://www.biowallonie.com/wp-content/uploads/2022/04/Brochure_A4_ITBIO63_web.pdf","volume":"Itinéraires BIO","author":[{"family":"Dombret","given":"Laurence"}],"issued":{"date-parts":[["2022"]]}}}],"schema":"https://github.com/citation-style-language/schema/raw/master/csl-citation.json"} </w:instrText>
            </w:r>
            <w:r>
              <w:rPr>
                <w:sz w:val="20"/>
                <w:szCs w:val="20"/>
              </w:rPr>
              <w:fldChar w:fldCharType="separate"/>
            </w:r>
            <w:r w:rsidRPr="00B562EB">
              <w:rPr>
                <w:rFonts w:cs="Calibri"/>
                <w:sz w:val="20"/>
              </w:rPr>
              <w:t>(Dombret, 2022)</w:t>
            </w:r>
            <w:r>
              <w:rPr>
                <w:sz w:val="20"/>
                <w:szCs w:val="20"/>
              </w:rPr>
              <w:fldChar w:fldCharType="end"/>
            </w:r>
          </w:p>
        </w:tc>
      </w:tr>
      <w:tr w:rsidR="009E01DA" w14:paraId="714C8DCD" w14:textId="77777777" w:rsidTr="003F3F11">
        <w:tblPrEx>
          <w:tblCellMar>
            <w:top w:w="0" w:type="dxa"/>
            <w:bottom w:w="0" w:type="dxa"/>
          </w:tblCellMar>
        </w:tblPrEx>
        <w:tc>
          <w:tcPr>
            <w:tcW w:w="1200" w:type="dxa"/>
            <w:vMerge/>
            <w:shd w:val="clear" w:color="auto" w:fill="D1D1D1" w:themeFill="background2" w:themeFillShade="E6"/>
            <w:vAlign w:val="center"/>
          </w:tcPr>
          <w:p w14:paraId="3EBB5C5B"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34D2D6B1" w14:textId="77777777" w:rsidR="009E01DA" w:rsidRDefault="009E01DA" w:rsidP="003F3F11">
            <w:pPr>
              <w:jc w:val="left"/>
              <w:rPr>
                <w:sz w:val="20"/>
                <w:szCs w:val="20"/>
              </w:rPr>
            </w:pPr>
          </w:p>
        </w:tc>
        <w:tc>
          <w:tcPr>
            <w:tcW w:w="748" w:type="dxa"/>
            <w:vMerge/>
            <w:vAlign w:val="center"/>
          </w:tcPr>
          <w:p w14:paraId="178310A8" w14:textId="77777777" w:rsidR="009E01DA" w:rsidRDefault="009E01DA" w:rsidP="003F3F11">
            <w:pPr>
              <w:jc w:val="center"/>
              <w:rPr>
                <w:sz w:val="20"/>
                <w:szCs w:val="20"/>
              </w:rPr>
            </w:pPr>
          </w:p>
        </w:tc>
        <w:tc>
          <w:tcPr>
            <w:tcW w:w="1628" w:type="dxa"/>
            <w:vMerge/>
            <w:shd w:val="clear" w:color="auto" w:fill="F2F9EB"/>
            <w:vAlign w:val="center"/>
          </w:tcPr>
          <w:p w14:paraId="1A22B408" w14:textId="77777777" w:rsidR="009E01DA" w:rsidRPr="002F4BB9" w:rsidRDefault="009E01DA" w:rsidP="003F3F11">
            <w:pPr>
              <w:jc w:val="left"/>
              <w:rPr>
                <w:sz w:val="20"/>
                <w:szCs w:val="20"/>
              </w:rPr>
            </w:pPr>
          </w:p>
        </w:tc>
        <w:tc>
          <w:tcPr>
            <w:tcW w:w="4252" w:type="dxa"/>
            <w:shd w:val="clear" w:color="auto" w:fill="F2F9EB"/>
            <w:vAlign w:val="center"/>
          </w:tcPr>
          <w:p w14:paraId="406156D2" w14:textId="77777777" w:rsidR="009E01DA" w:rsidRPr="0000352D" w:rsidRDefault="009E01DA" w:rsidP="003F3F11">
            <w:pPr>
              <w:jc w:val="left"/>
              <w:rPr>
                <w:sz w:val="20"/>
                <w:szCs w:val="20"/>
              </w:rPr>
            </w:pPr>
            <w:r>
              <w:rPr>
                <w:sz w:val="20"/>
                <w:szCs w:val="20"/>
              </w:rPr>
              <w:t xml:space="preserve">(P-EV) Inférence d’une valeur cible plus permissive que celle des cultures </w:t>
            </w:r>
          </w:p>
        </w:tc>
      </w:tr>
      <w:tr w:rsidR="009E01DA" w14:paraId="3DAA7E0D" w14:textId="77777777" w:rsidTr="003F3F11">
        <w:tblPrEx>
          <w:tblCellMar>
            <w:top w:w="0" w:type="dxa"/>
            <w:bottom w:w="0" w:type="dxa"/>
          </w:tblCellMar>
        </w:tblPrEx>
        <w:tc>
          <w:tcPr>
            <w:tcW w:w="1200" w:type="dxa"/>
            <w:vMerge/>
            <w:shd w:val="clear" w:color="auto" w:fill="D1D1D1" w:themeFill="background2" w:themeFillShade="E6"/>
            <w:vAlign w:val="center"/>
          </w:tcPr>
          <w:p w14:paraId="20E8F7AC"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24724140" w14:textId="77777777" w:rsidR="009E01DA" w:rsidRDefault="009E01DA" w:rsidP="003F3F11">
            <w:pPr>
              <w:jc w:val="left"/>
              <w:rPr>
                <w:sz w:val="20"/>
                <w:szCs w:val="20"/>
              </w:rPr>
            </w:pPr>
          </w:p>
        </w:tc>
        <w:tc>
          <w:tcPr>
            <w:tcW w:w="748" w:type="dxa"/>
            <w:vMerge/>
            <w:vAlign w:val="center"/>
          </w:tcPr>
          <w:p w14:paraId="4E3DFDD4" w14:textId="77777777" w:rsidR="009E01DA" w:rsidRDefault="009E01DA" w:rsidP="003F3F11">
            <w:pPr>
              <w:jc w:val="center"/>
              <w:rPr>
                <w:sz w:val="20"/>
                <w:szCs w:val="20"/>
              </w:rPr>
            </w:pPr>
          </w:p>
        </w:tc>
        <w:tc>
          <w:tcPr>
            <w:tcW w:w="1628" w:type="dxa"/>
            <w:vMerge/>
            <w:shd w:val="clear" w:color="auto" w:fill="F2F9EB"/>
            <w:vAlign w:val="center"/>
          </w:tcPr>
          <w:p w14:paraId="3B3F9617" w14:textId="77777777" w:rsidR="009E01DA" w:rsidRPr="002F4BB9" w:rsidRDefault="009E01DA" w:rsidP="003F3F11">
            <w:pPr>
              <w:jc w:val="left"/>
              <w:rPr>
                <w:sz w:val="20"/>
                <w:szCs w:val="20"/>
              </w:rPr>
            </w:pPr>
          </w:p>
        </w:tc>
        <w:tc>
          <w:tcPr>
            <w:tcW w:w="4252" w:type="dxa"/>
            <w:shd w:val="clear" w:color="auto" w:fill="F2F9EB"/>
            <w:vAlign w:val="center"/>
          </w:tcPr>
          <w:p w14:paraId="116DD5A9" w14:textId="77777777" w:rsidR="009E01DA" w:rsidRPr="0000352D" w:rsidRDefault="009E01DA" w:rsidP="003F3F11">
            <w:pPr>
              <w:jc w:val="left"/>
              <w:rPr>
                <w:sz w:val="20"/>
                <w:szCs w:val="20"/>
              </w:rPr>
            </w:pPr>
            <w:r>
              <w:rPr>
                <w:sz w:val="20"/>
                <w:szCs w:val="20"/>
              </w:rPr>
              <w:t>(F) Paramètre non-limitant (score maximal dès niveau minimum)</w:t>
            </w:r>
          </w:p>
        </w:tc>
      </w:tr>
      <w:tr w:rsidR="009E01DA" w14:paraId="20B58ABF" w14:textId="77777777" w:rsidTr="003F3F11">
        <w:tblPrEx>
          <w:tblCellMar>
            <w:top w:w="0" w:type="dxa"/>
            <w:bottom w:w="0" w:type="dxa"/>
          </w:tblCellMar>
        </w:tblPrEx>
        <w:tc>
          <w:tcPr>
            <w:tcW w:w="1200" w:type="dxa"/>
            <w:vMerge/>
            <w:shd w:val="clear" w:color="auto" w:fill="D1D1D1" w:themeFill="background2" w:themeFillShade="E6"/>
            <w:vAlign w:val="center"/>
          </w:tcPr>
          <w:p w14:paraId="50B28167"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6B1B2D99" w14:textId="77777777" w:rsidR="009E01DA" w:rsidRDefault="009E01DA" w:rsidP="003F3F11">
            <w:pPr>
              <w:jc w:val="left"/>
              <w:rPr>
                <w:sz w:val="20"/>
                <w:szCs w:val="20"/>
              </w:rPr>
            </w:pPr>
          </w:p>
        </w:tc>
        <w:tc>
          <w:tcPr>
            <w:tcW w:w="748" w:type="dxa"/>
            <w:vMerge/>
            <w:vAlign w:val="center"/>
          </w:tcPr>
          <w:p w14:paraId="0CB136FA" w14:textId="77777777" w:rsidR="009E01DA" w:rsidRDefault="009E01DA" w:rsidP="003F3F11">
            <w:pPr>
              <w:jc w:val="center"/>
              <w:rPr>
                <w:sz w:val="20"/>
                <w:szCs w:val="20"/>
              </w:rPr>
            </w:pPr>
          </w:p>
        </w:tc>
        <w:tc>
          <w:tcPr>
            <w:tcW w:w="1628" w:type="dxa"/>
            <w:shd w:val="clear" w:color="auto" w:fill="EFF5FB"/>
            <w:vAlign w:val="center"/>
          </w:tcPr>
          <w:p w14:paraId="0596D9FC" w14:textId="77777777" w:rsidR="009E01DA" w:rsidRDefault="009E01DA" w:rsidP="003F3F11">
            <w:pPr>
              <w:jc w:val="left"/>
              <w:rPr>
                <w:sz w:val="20"/>
                <w:szCs w:val="20"/>
              </w:rPr>
            </w:pPr>
            <w:r>
              <w:rPr>
                <w:sz w:val="20"/>
                <w:szCs w:val="20"/>
              </w:rPr>
              <w:t>K, Mg, Ca</w:t>
            </w:r>
            <w:r>
              <w:rPr>
                <w:sz w:val="20"/>
                <w:szCs w:val="20"/>
                <w:vertAlign w:val="subscript"/>
              </w:rPr>
              <w:t>santé</w:t>
            </w:r>
          </w:p>
        </w:tc>
        <w:tc>
          <w:tcPr>
            <w:tcW w:w="4252" w:type="dxa"/>
            <w:shd w:val="clear" w:color="auto" w:fill="EFF5FB"/>
            <w:vAlign w:val="center"/>
          </w:tcPr>
          <w:p w14:paraId="07353EC4" w14:textId="77777777" w:rsidR="009E01DA" w:rsidRDefault="009E01DA" w:rsidP="003F3F11">
            <w:pPr>
              <w:jc w:val="left"/>
              <w:rPr>
                <w:sz w:val="20"/>
                <w:szCs w:val="20"/>
              </w:rPr>
            </w:pPr>
            <w:r>
              <w:rPr>
                <w:sz w:val="20"/>
                <w:szCs w:val="20"/>
              </w:rPr>
              <w:t xml:space="preserve">Gammes optimales selon la valeur de la CEC </w:t>
            </w:r>
            <w:r>
              <w:rPr>
                <w:sz w:val="20"/>
                <w:szCs w:val="20"/>
              </w:rPr>
              <w:fldChar w:fldCharType="begin"/>
            </w:r>
            <w:r>
              <w:rPr>
                <w:sz w:val="20"/>
                <w:szCs w:val="20"/>
              </w:rPr>
              <w:instrText xml:space="preserve"> ADDIN ZOTERO_ITEM CSL_CITATION {"citationID":"QKUHaaBZ","properties":{"unsorted":false,"formattedCitation":"(Dombret, 2022)","plainCitation":"(Dombret, 2022)","noteIndex":0},"citationItems":[{"id":121,"uris":["http://zotero.org/groups/5684833/items/I22FDLA8"],"itemData":{"id":121,"type":"article-magazine","container-title":"Biowallonie","issue":"63","title":"Interpréter l'analyse de terre pour la culture maraîchère : comprendre les résultats (3/3)","URL":"https://www.biowallonie.com/wp-content/uploads/2022/04/Brochure_A4_ITBIO63_web.pdf","volume":"Itinéraires BIO","author":[{"family":"Dombret","given":"Laurence"}],"issued":{"date-parts":[["2022"]]}}}],"schema":"https://github.com/citation-style-language/schema/raw/master/csl-citation.json"} </w:instrText>
            </w:r>
            <w:r>
              <w:rPr>
                <w:sz w:val="20"/>
                <w:szCs w:val="20"/>
              </w:rPr>
              <w:fldChar w:fldCharType="separate"/>
            </w:r>
            <w:r w:rsidRPr="00450383">
              <w:rPr>
                <w:rFonts w:cs="Calibri"/>
                <w:sz w:val="20"/>
              </w:rPr>
              <w:t>(Dombret, 2022)</w:t>
            </w:r>
            <w:r>
              <w:rPr>
                <w:sz w:val="20"/>
                <w:szCs w:val="20"/>
              </w:rPr>
              <w:fldChar w:fldCharType="end"/>
            </w:r>
            <w:r>
              <w:rPr>
                <w:sz w:val="20"/>
                <w:szCs w:val="20"/>
              </w:rPr>
              <w:t xml:space="preserve"> </w:t>
            </w:r>
          </w:p>
        </w:tc>
      </w:tr>
      <w:tr w:rsidR="009E01DA" w14:paraId="7A40C473" w14:textId="77777777" w:rsidTr="003F3F11">
        <w:tblPrEx>
          <w:tblCellMar>
            <w:top w:w="0" w:type="dxa"/>
            <w:bottom w:w="0" w:type="dxa"/>
          </w:tblCellMar>
        </w:tblPrEx>
        <w:tc>
          <w:tcPr>
            <w:tcW w:w="1200" w:type="dxa"/>
            <w:vMerge/>
            <w:shd w:val="clear" w:color="auto" w:fill="D1D1D1" w:themeFill="background2" w:themeFillShade="E6"/>
            <w:vAlign w:val="center"/>
          </w:tcPr>
          <w:p w14:paraId="6F9874EF"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46CAF3D4" w14:textId="77777777" w:rsidR="009E01DA" w:rsidRDefault="009E01DA" w:rsidP="003F3F11">
            <w:pPr>
              <w:jc w:val="left"/>
              <w:rPr>
                <w:sz w:val="20"/>
                <w:szCs w:val="20"/>
              </w:rPr>
            </w:pPr>
          </w:p>
        </w:tc>
        <w:tc>
          <w:tcPr>
            <w:tcW w:w="748" w:type="dxa"/>
            <w:vMerge w:val="restart"/>
            <w:vAlign w:val="center"/>
          </w:tcPr>
          <w:p w14:paraId="72F8E15B" w14:textId="77777777" w:rsidR="009E01DA" w:rsidRDefault="009E01DA" w:rsidP="003F3F11">
            <w:pPr>
              <w:jc w:val="center"/>
              <w:rPr>
                <w:sz w:val="20"/>
                <w:szCs w:val="20"/>
              </w:rPr>
            </w:pPr>
            <w:r>
              <w:rPr>
                <w:noProof/>
                <w:sz w:val="20"/>
                <w:szCs w:val="20"/>
              </w:rPr>
              <mc:AlternateContent>
                <mc:Choice Requires="wps">
                  <w:drawing>
                    <wp:inline distT="0" distB="0" distL="0" distR="0" wp14:anchorId="7E74BBD4" wp14:editId="5F56A2AF">
                      <wp:extent cx="94615" cy="153035"/>
                      <wp:effectExtent l="0" t="38100" r="57785" b="18415"/>
                      <wp:docPr id="1491665011"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6DEDFEBE"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50EA5BFD" w14:textId="77777777" w:rsidR="009E01DA" w:rsidRDefault="009E01DA" w:rsidP="003F3F11">
            <w:pPr>
              <w:jc w:val="left"/>
              <w:rPr>
                <w:sz w:val="20"/>
                <w:szCs w:val="20"/>
              </w:rPr>
            </w:pPr>
            <w:r>
              <w:rPr>
                <w:sz w:val="20"/>
                <w:szCs w:val="20"/>
              </w:rPr>
              <w:t>C</w:t>
            </w:r>
            <w:r>
              <w:rPr>
                <w:sz w:val="20"/>
                <w:szCs w:val="20"/>
                <w:vertAlign w:val="subscript"/>
              </w:rPr>
              <w:t>org qualité</w:t>
            </w:r>
          </w:p>
        </w:tc>
        <w:tc>
          <w:tcPr>
            <w:tcW w:w="4252" w:type="dxa"/>
            <w:shd w:val="clear" w:color="auto" w:fill="F2F9EB"/>
            <w:vAlign w:val="center"/>
          </w:tcPr>
          <w:p w14:paraId="49D7E388" w14:textId="77777777" w:rsidR="009E01DA" w:rsidRPr="0000352D" w:rsidRDefault="009E01DA" w:rsidP="003F3F11">
            <w:pPr>
              <w:jc w:val="left"/>
              <w:rPr>
                <w:sz w:val="20"/>
                <w:szCs w:val="20"/>
              </w:rPr>
            </w:pPr>
            <w:r>
              <w:rPr>
                <w:sz w:val="20"/>
                <w:szCs w:val="20"/>
              </w:rPr>
              <w:t xml:space="preserve">Valeur cible </w:t>
            </w:r>
            <w:r>
              <w:rPr>
                <w:sz w:val="20"/>
                <w:szCs w:val="20"/>
              </w:rPr>
              <w:fldChar w:fldCharType="begin"/>
            </w:r>
            <w:r>
              <w:rPr>
                <w:sz w:val="20"/>
                <w:szCs w:val="20"/>
              </w:rPr>
              <w:instrText xml:space="preserve"> ADDIN ZOTERO_ITEM CSL_CITATION {"citationID":"Tb7qp1YH","properties":{"unsorted":false,"formattedCitation":"(Baritz et al., 2023)","plainCitation":"(Baritz et al., 2023)","noteIndex":0},"citationItems":[{"id":82,"uris":["http://zotero.org/groups/5684833/items/2R2SZSKQ"],"itemData":{"id":82,"type":"report","abstract":"This report describes the rationale for a series of common and broadly accepted soil health indicators to support policy. The focus is on soil threats, and indicators were selected in view of their appropriateness for assessing the condition of soil, its degradation, its resilience and its valuable services. For each indicator, a rationale is provided for using thresholds as critical limits to indicate that soil is in good condition, i.e. healthy soil, in respect of of specific soil functions and local conditions.","call-number":"TH-AL-22-018-EN-N","ISBN":"978-92-9480-538-6","language":"eng","number":"08/2022","publisher":"European Environment Agency","source":"Publications Office of the European Union","title":"Soil monitoring in Europe: indicators and thresholds for soil quality assessments","title-short":"Soil monitoring in Europe","URL":"https://data.europa.eu/doi/10.2800/956606","author":[{"family":"Baritz","given":"Rainer"},{"family":"Amelung","given":"Wulf"},{"family":"Trombetti","given":"Marco"},{"family":"Hijbeek","given":"Renske"},{"family":"Romkens","given":"Paul"},{"family":"Vries","given":"Wim","non-dropping-particle":"de"}],"accessed":{"date-parts":[["2024",9,27]]},"issued":{"date-parts":[["2023"]]}}}],"schema":"https://github.com/citation-style-language/schema/raw/master/csl-citation.json"} </w:instrText>
            </w:r>
            <w:r>
              <w:rPr>
                <w:sz w:val="20"/>
                <w:szCs w:val="20"/>
              </w:rPr>
              <w:fldChar w:fldCharType="separate"/>
            </w:r>
            <w:r w:rsidRPr="003E3E9D">
              <w:rPr>
                <w:rFonts w:cs="Calibri"/>
                <w:sz w:val="20"/>
              </w:rPr>
              <w:t>(Baritz et al., 2023)</w:t>
            </w:r>
            <w:r>
              <w:rPr>
                <w:sz w:val="20"/>
                <w:szCs w:val="20"/>
              </w:rPr>
              <w:fldChar w:fldCharType="end"/>
            </w:r>
          </w:p>
        </w:tc>
      </w:tr>
      <w:tr w:rsidR="009E01DA" w14:paraId="5705DD73" w14:textId="77777777" w:rsidTr="003F3F11">
        <w:tblPrEx>
          <w:tblCellMar>
            <w:top w:w="0" w:type="dxa"/>
            <w:bottom w:w="0" w:type="dxa"/>
          </w:tblCellMar>
        </w:tblPrEx>
        <w:tc>
          <w:tcPr>
            <w:tcW w:w="1200" w:type="dxa"/>
            <w:vMerge/>
            <w:shd w:val="clear" w:color="auto" w:fill="D1D1D1" w:themeFill="background2" w:themeFillShade="E6"/>
            <w:vAlign w:val="center"/>
          </w:tcPr>
          <w:p w14:paraId="21BD6D22"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7B1086D7" w14:textId="77777777" w:rsidR="009E01DA" w:rsidRDefault="009E01DA" w:rsidP="003F3F11">
            <w:pPr>
              <w:jc w:val="left"/>
              <w:rPr>
                <w:sz w:val="20"/>
                <w:szCs w:val="20"/>
              </w:rPr>
            </w:pPr>
          </w:p>
        </w:tc>
        <w:tc>
          <w:tcPr>
            <w:tcW w:w="748" w:type="dxa"/>
            <w:vMerge/>
            <w:vAlign w:val="center"/>
          </w:tcPr>
          <w:p w14:paraId="4411EFF9" w14:textId="77777777" w:rsidR="009E01DA" w:rsidRDefault="009E01DA" w:rsidP="003F3F11">
            <w:pPr>
              <w:jc w:val="center"/>
              <w:rPr>
                <w:sz w:val="20"/>
                <w:szCs w:val="20"/>
              </w:rPr>
            </w:pPr>
          </w:p>
        </w:tc>
        <w:tc>
          <w:tcPr>
            <w:tcW w:w="1628" w:type="dxa"/>
            <w:shd w:val="clear" w:color="auto" w:fill="EFF5FB"/>
            <w:vAlign w:val="center"/>
          </w:tcPr>
          <w:p w14:paraId="7F3005AF" w14:textId="77777777" w:rsidR="009E01DA" w:rsidRDefault="009E01DA" w:rsidP="003F3F11">
            <w:pPr>
              <w:jc w:val="left"/>
              <w:rPr>
                <w:sz w:val="20"/>
                <w:szCs w:val="20"/>
              </w:rPr>
            </w:pPr>
            <w:r>
              <w:rPr>
                <w:sz w:val="20"/>
                <w:szCs w:val="20"/>
              </w:rPr>
              <w:t>C</w:t>
            </w:r>
            <w:r>
              <w:rPr>
                <w:sz w:val="20"/>
                <w:szCs w:val="20"/>
                <w:vertAlign w:val="subscript"/>
              </w:rPr>
              <w:t>org santé</w:t>
            </w:r>
          </w:p>
        </w:tc>
        <w:tc>
          <w:tcPr>
            <w:tcW w:w="4252" w:type="dxa"/>
            <w:shd w:val="clear" w:color="auto" w:fill="EFF5FB"/>
            <w:vAlign w:val="center"/>
          </w:tcPr>
          <w:p w14:paraId="70570FCB" w14:textId="77777777" w:rsidR="009E01DA" w:rsidRPr="0000352D" w:rsidRDefault="009E01DA" w:rsidP="003F3F11">
            <w:pPr>
              <w:jc w:val="left"/>
              <w:rPr>
                <w:sz w:val="20"/>
                <w:szCs w:val="20"/>
              </w:rPr>
            </w:pPr>
            <w:r>
              <w:rPr>
                <w:sz w:val="20"/>
                <w:szCs w:val="20"/>
              </w:rPr>
              <w:t xml:space="preserve">Valeurs considérées « satisfaisante » par classe texturale </w:t>
            </w:r>
            <w:r>
              <w:rPr>
                <w:sz w:val="20"/>
                <w:szCs w:val="20"/>
              </w:rPr>
              <w:fldChar w:fldCharType="begin"/>
            </w:r>
            <w:r>
              <w:rPr>
                <w:sz w:val="20"/>
                <w:szCs w:val="20"/>
              </w:rPr>
              <w:instrText xml:space="preserve"> ADDIN ZOTERO_ITEM CSL_CITATION {"citationID":"nnrynXmx","properties":{"unsorted":false,"formattedCitation":"(Mariage, 2019)","plainCitation":"(Mariage, 2019)","noteIndex":0},"citationItems":[{"id":118,"uris":["http://zotero.org/groups/5684833/items/WR8HRSK5"],"itemData":{"id":118,"type":"document","publisher":"REQUASUD","title":"Les matières organiques et la fertilité du sol","URL":"https://www.requasud.be/assets/pdf/publications/presentations/fiche_explicative_carbone_v01.pdf","author":[{"family":"Mariage","given":"Clémence"}],"issued":{"date-parts":[["2019"]]}}}],"schema":"https://github.com/citation-style-language/schema/raw/master/csl-citation.json"} </w:instrText>
            </w:r>
            <w:r>
              <w:rPr>
                <w:sz w:val="20"/>
                <w:szCs w:val="20"/>
              </w:rPr>
              <w:fldChar w:fldCharType="separate"/>
            </w:r>
            <w:r w:rsidRPr="009B3EB5">
              <w:rPr>
                <w:rFonts w:cs="Calibri"/>
                <w:sz w:val="20"/>
              </w:rPr>
              <w:t>(Mariage, 2019)</w:t>
            </w:r>
            <w:r>
              <w:rPr>
                <w:sz w:val="20"/>
                <w:szCs w:val="20"/>
              </w:rPr>
              <w:fldChar w:fldCharType="end"/>
            </w:r>
          </w:p>
        </w:tc>
      </w:tr>
      <w:tr w:rsidR="009E01DA" w14:paraId="01DAC78F" w14:textId="77777777" w:rsidTr="003F3F11">
        <w:tblPrEx>
          <w:tblCellMar>
            <w:top w:w="0" w:type="dxa"/>
            <w:bottom w:w="0" w:type="dxa"/>
          </w:tblCellMar>
        </w:tblPrEx>
        <w:tc>
          <w:tcPr>
            <w:tcW w:w="1200" w:type="dxa"/>
            <w:vMerge/>
            <w:shd w:val="clear" w:color="auto" w:fill="D1D1D1" w:themeFill="background2" w:themeFillShade="E6"/>
            <w:vAlign w:val="center"/>
          </w:tcPr>
          <w:p w14:paraId="170D649D"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77D99AB9" w14:textId="77777777" w:rsidR="009E01DA" w:rsidRDefault="009E01DA" w:rsidP="003F3F11">
            <w:pPr>
              <w:jc w:val="left"/>
              <w:rPr>
                <w:sz w:val="20"/>
                <w:szCs w:val="20"/>
              </w:rPr>
            </w:pPr>
          </w:p>
        </w:tc>
        <w:tc>
          <w:tcPr>
            <w:tcW w:w="748" w:type="dxa"/>
            <w:vMerge w:val="restart"/>
            <w:vAlign w:val="center"/>
          </w:tcPr>
          <w:p w14:paraId="7211942E" w14:textId="77777777" w:rsidR="009E01DA" w:rsidRDefault="009E01DA" w:rsidP="003F3F11">
            <w:pPr>
              <w:jc w:val="center"/>
              <w:rPr>
                <w:sz w:val="20"/>
                <w:szCs w:val="20"/>
              </w:rPr>
            </w:pPr>
            <w:r>
              <w:rPr>
                <w:noProof/>
                <w:sz w:val="20"/>
                <w:szCs w:val="20"/>
              </w:rPr>
              <mc:AlternateContent>
                <mc:Choice Requires="wps">
                  <w:drawing>
                    <wp:inline distT="0" distB="0" distL="0" distR="0" wp14:anchorId="19ABF85B" wp14:editId="75637A4C">
                      <wp:extent cx="94615" cy="153035"/>
                      <wp:effectExtent l="0" t="38100" r="57785" b="18415"/>
                      <wp:docPr id="1782179210"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CC1E3A6"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276E94FC" w14:textId="77777777" w:rsidR="009E01DA" w:rsidRDefault="009E01DA" w:rsidP="003F3F11">
            <w:pPr>
              <w:jc w:val="left"/>
              <w:rPr>
                <w:sz w:val="20"/>
                <w:szCs w:val="20"/>
              </w:rPr>
            </w:pPr>
            <w:r>
              <w:rPr>
                <w:sz w:val="20"/>
                <w:szCs w:val="20"/>
              </w:rPr>
              <w:t>CEC</w:t>
            </w:r>
            <w:r>
              <w:rPr>
                <w:sz w:val="20"/>
                <w:szCs w:val="20"/>
                <w:vertAlign w:val="subscript"/>
              </w:rPr>
              <w:t>qualité</w:t>
            </w:r>
          </w:p>
        </w:tc>
        <w:tc>
          <w:tcPr>
            <w:tcW w:w="4252" w:type="dxa"/>
            <w:shd w:val="clear" w:color="auto" w:fill="F2F9EB"/>
            <w:vAlign w:val="center"/>
          </w:tcPr>
          <w:p w14:paraId="58564D27" w14:textId="77777777" w:rsidR="009E01DA" w:rsidRPr="0000352D" w:rsidRDefault="009E01DA" w:rsidP="003F3F11">
            <w:pPr>
              <w:jc w:val="left"/>
              <w:rPr>
                <w:sz w:val="20"/>
                <w:szCs w:val="20"/>
              </w:rPr>
            </w:pPr>
            <w:r>
              <w:rPr>
                <w:sz w:val="20"/>
                <w:szCs w:val="20"/>
              </w:rPr>
              <w:t xml:space="preserve">Interprétation absolue des gammes de CEC </w:t>
            </w:r>
            <w:r>
              <w:rPr>
                <w:sz w:val="20"/>
                <w:szCs w:val="20"/>
              </w:rPr>
              <w:fldChar w:fldCharType="begin"/>
            </w:r>
            <w:r>
              <w:rPr>
                <w:sz w:val="20"/>
                <w:szCs w:val="20"/>
              </w:rPr>
              <w:instrText xml:space="preserve"> ADDIN ZOTERO_ITEM CSL_CITATION {"citationID":"JfMnj7VQ","properties":{"unsorted":false,"formattedCitation":"(Cugnon,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A61B1">
              <w:rPr>
                <w:rFonts w:cs="Calibri"/>
                <w:sz w:val="20"/>
              </w:rPr>
              <w:t>(Cugnon, 2025)</w:t>
            </w:r>
            <w:r>
              <w:rPr>
                <w:sz w:val="20"/>
                <w:szCs w:val="20"/>
              </w:rPr>
              <w:fldChar w:fldCharType="end"/>
            </w:r>
            <w:r>
              <w:rPr>
                <w:sz w:val="20"/>
                <w:szCs w:val="20"/>
              </w:rPr>
              <w:t xml:space="preserve"> </w:t>
            </w:r>
          </w:p>
        </w:tc>
      </w:tr>
      <w:tr w:rsidR="009E01DA" w14:paraId="178F848B" w14:textId="77777777" w:rsidTr="003F3F11">
        <w:tblPrEx>
          <w:tblCellMar>
            <w:top w:w="0" w:type="dxa"/>
            <w:bottom w:w="0" w:type="dxa"/>
          </w:tblCellMar>
        </w:tblPrEx>
        <w:tc>
          <w:tcPr>
            <w:tcW w:w="1200" w:type="dxa"/>
            <w:vMerge/>
            <w:shd w:val="clear" w:color="auto" w:fill="D1D1D1" w:themeFill="background2" w:themeFillShade="E6"/>
            <w:vAlign w:val="center"/>
          </w:tcPr>
          <w:p w14:paraId="41266C20"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7A0EE3C9" w14:textId="77777777" w:rsidR="009E01DA" w:rsidRDefault="009E01DA" w:rsidP="003F3F11">
            <w:pPr>
              <w:jc w:val="left"/>
              <w:rPr>
                <w:sz w:val="20"/>
                <w:szCs w:val="20"/>
              </w:rPr>
            </w:pPr>
          </w:p>
        </w:tc>
        <w:tc>
          <w:tcPr>
            <w:tcW w:w="748" w:type="dxa"/>
            <w:vMerge/>
            <w:vAlign w:val="center"/>
          </w:tcPr>
          <w:p w14:paraId="284596E6" w14:textId="77777777" w:rsidR="009E01DA" w:rsidRDefault="009E01DA" w:rsidP="003F3F11">
            <w:pPr>
              <w:jc w:val="center"/>
              <w:rPr>
                <w:sz w:val="20"/>
                <w:szCs w:val="20"/>
              </w:rPr>
            </w:pPr>
          </w:p>
        </w:tc>
        <w:tc>
          <w:tcPr>
            <w:tcW w:w="1628" w:type="dxa"/>
            <w:shd w:val="clear" w:color="auto" w:fill="EFF5FB"/>
            <w:vAlign w:val="center"/>
          </w:tcPr>
          <w:p w14:paraId="10BAB938" w14:textId="77777777" w:rsidR="009E01DA" w:rsidRDefault="009E01DA" w:rsidP="003F3F11">
            <w:pPr>
              <w:jc w:val="left"/>
              <w:rPr>
                <w:sz w:val="20"/>
                <w:szCs w:val="20"/>
              </w:rPr>
            </w:pPr>
            <w:r>
              <w:rPr>
                <w:sz w:val="20"/>
                <w:szCs w:val="20"/>
              </w:rPr>
              <w:t>CEC</w:t>
            </w:r>
            <w:r>
              <w:rPr>
                <w:sz w:val="20"/>
                <w:szCs w:val="20"/>
                <w:vertAlign w:val="subscript"/>
              </w:rPr>
              <w:t>santé</w:t>
            </w:r>
          </w:p>
        </w:tc>
        <w:tc>
          <w:tcPr>
            <w:tcW w:w="4252" w:type="dxa"/>
            <w:shd w:val="clear" w:color="auto" w:fill="EFF5FB"/>
            <w:vAlign w:val="center"/>
          </w:tcPr>
          <w:p w14:paraId="66604DA4" w14:textId="77777777" w:rsidR="009E01DA" w:rsidRPr="0000352D" w:rsidRDefault="009E01DA" w:rsidP="003F3F11">
            <w:pPr>
              <w:jc w:val="left"/>
              <w:rPr>
                <w:sz w:val="20"/>
                <w:szCs w:val="20"/>
              </w:rPr>
            </w:pPr>
            <w:r>
              <w:rPr>
                <w:sz w:val="20"/>
                <w:szCs w:val="20"/>
              </w:rPr>
              <w:t xml:space="preserve">Gammes de CEC par classe texturale </w:t>
            </w:r>
            <w:r>
              <w:rPr>
                <w:sz w:val="20"/>
                <w:szCs w:val="20"/>
              </w:rPr>
              <w:fldChar w:fldCharType="begin"/>
            </w:r>
            <w:r>
              <w:rPr>
                <w:sz w:val="20"/>
                <w:szCs w:val="20"/>
              </w:rPr>
              <w:instrText xml:space="preserve"> ADDIN ZOTERO_ITEM CSL_CITATION {"citationID":"GXFncJxt","properties":{"unsorted":false,"formattedCitation":"(Cugnon,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515A0">
              <w:rPr>
                <w:rFonts w:cs="Calibri"/>
                <w:sz w:val="20"/>
              </w:rPr>
              <w:t>(Cugnon, 2025)</w:t>
            </w:r>
            <w:r>
              <w:rPr>
                <w:sz w:val="20"/>
                <w:szCs w:val="20"/>
              </w:rPr>
              <w:fldChar w:fldCharType="end"/>
            </w:r>
          </w:p>
        </w:tc>
      </w:tr>
      <w:tr w:rsidR="009E01DA" w14:paraId="3F89C6BC" w14:textId="77777777" w:rsidTr="003F3F11">
        <w:tblPrEx>
          <w:tblCellMar>
            <w:top w:w="0" w:type="dxa"/>
            <w:bottom w:w="0" w:type="dxa"/>
          </w:tblCellMar>
        </w:tblPrEx>
        <w:tc>
          <w:tcPr>
            <w:tcW w:w="1200" w:type="dxa"/>
            <w:vMerge/>
            <w:shd w:val="clear" w:color="auto" w:fill="D1D1D1" w:themeFill="background2" w:themeFillShade="E6"/>
            <w:vAlign w:val="center"/>
          </w:tcPr>
          <w:p w14:paraId="77DC748D"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F703DEE" w14:textId="77777777" w:rsidR="009E01DA" w:rsidRDefault="009E01DA" w:rsidP="003F3F11">
            <w:pPr>
              <w:jc w:val="left"/>
              <w:rPr>
                <w:sz w:val="20"/>
                <w:szCs w:val="20"/>
              </w:rPr>
            </w:pPr>
          </w:p>
        </w:tc>
        <w:tc>
          <w:tcPr>
            <w:tcW w:w="748" w:type="dxa"/>
            <w:vMerge w:val="restart"/>
            <w:vAlign w:val="center"/>
          </w:tcPr>
          <w:p w14:paraId="7004C546" w14:textId="77777777" w:rsidR="009E01DA" w:rsidRDefault="009E01DA" w:rsidP="003F3F11">
            <w:pPr>
              <w:jc w:val="center"/>
              <w:rPr>
                <w:sz w:val="20"/>
                <w:szCs w:val="20"/>
              </w:rPr>
            </w:pPr>
            <w:r>
              <w:rPr>
                <w:noProof/>
                <w:sz w:val="20"/>
                <w:szCs w:val="20"/>
              </w:rPr>
              <mc:AlternateContent>
                <mc:Choice Requires="wps">
                  <w:drawing>
                    <wp:inline distT="0" distB="0" distL="0" distR="0" wp14:anchorId="04579B24" wp14:editId="2FE76C5A">
                      <wp:extent cx="248400" cy="0"/>
                      <wp:effectExtent l="38100" t="76200" r="18415" b="95250"/>
                      <wp:docPr id="933547764"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DBD5F8E"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628" w:type="dxa"/>
            <w:shd w:val="clear" w:color="auto" w:fill="F2F9EB"/>
            <w:vAlign w:val="center"/>
          </w:tcPr>
          <w:p w14:paraId="02110B44" w14:textId="77777777" w:rsidR="009E01DA" w:rsidRPr="002F4BB9" w:rsidRDefault="009E01DA" w:rsidP="003F3F11">
            <w:pPr>
              <w:jc w:val="left"/>
              <w:rPr>
                <w:sz w:val="20"/>
                <w:szCs w:val="20"/>
              </w:rPr>
            </w:pPr>
            <w:r>
              <w:rPr>
                <w:sz w:val="20"/>
                <w:szCs w:val="20"/>
              </w:rPr>
              <w:t>pH</w:t>
            </w:r>
            <w:r>
              <w:rPr>
                <w:sz w:val="20"/>
                <w:szCs w:val="20"/>
                <w:vertAlign w:val="subscript"/>
              </w:rPr>
              <w:t>qualité</w:t>
            </w:r>
            <w:r>
              <w:rPr>
                <w:sz w:val="20"/>
                <w:szCs w:val="20"/>
              </w:rPr>
              <w:t xml:space="preserve"> </w:t>
            </w:r>
          </w:p>
        </w:tc>
        <w:tc>
          <w:tcPr>
            <w:tcW w:w="4252" w:type="dxa"/>
            <w:vMerge w:val="restart"/>
            <w:vAlign w:val="center"/>
          </w:tcPr>
          <w:p w14:paraId="62E9D47E" w14:textId="77777777" w:rsidR="009E01DA" w:rsidRPr="0000352D" w:rsidRDefault="009E01DA" w:rsidP="003F3F11">
            <w:pPr>
              <w:jc w:val="left"/>
              <w:rPr>
                <w:sz w:val="20"/>
                <w:szCs w:val="20"/>
              </w:rPr>
            </w:pPr>
            <w:r>
              <w:rPr>
                <w:sz w:val="20"/>
                <w:szCs w:val="20"/>
              </w:rPr>
              <w:t>(C) Gammes optimales (</w:t>
            </w:r>
            <w:r>
              <w:t>pH</w:t>
            </w:r>
            <w:r>
              <w:rPr>
                <w:vertAlign w:val="subscript"/>
              </w:rPr>
              <w:t>KCl</w:t>
            </w:r>
            <w:r>
              <w:t>)</w:t>
            </w:r>
            <w:r>
              <w:rPr>
                <w:sz w:val="20"/>
                <w:szCs w:val="20"/>
              </w:rPr>
              <w:t xml:space="preserve"> REQUASUD pour les cultures </w:t>
            </w:r>
            <w:r>
              <w:rPr>
                <w:sz w:val="20"/>
                <w:szCs w:val="20"/>
              </w:rPr>
              <w:fldChar w:fldCharType="begin"/>
            </w:r>
            <w:r>
              <w:rPr>
                <w:sz w:val="20"/>
                <w:szCs w:val="20"/>
              </w:rPr>
              <w:instrText xml:space="preserve"> ADDIN ZOTERO_ITEM CSL_CITATION {"citationID":"oxyzwn3y","properties":{"unsorted":false,"formattedCitation":"(Cugnon,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00639">
              <w:rPr>
                <w:rFonts w:cs="Calibri"/>
                <w:sz w:val="20"/>
              </w:rPr>
              <w:t>(Cugnon, 2025)</w:t>
            </w:r>
            <w:r>
              <w:rPr>
                <w:sz w:val="20"/>
                <w:szCs w:val="20"/>
              </w:rPr>
              <w:fldChar w:fldCharType="end"/>
            </w:r>
          </w:p>
        </w:tc>
      </w:tr>
      <w:tr w:rsidR="009E01DA" w14:paraId="73DFB965" w14:textId="77777777" w:rsidTr="003F3F11">
        <w:tblPrEx>
          <w:tblCellMar>
            <w:top w:w="0" w:type="dxa"/>
            <w:bottom w:w="0" w:type="dxa"/>
          </w:tblCellMar>
        </w:tblPrEx>
        <w:tc>
          <w:tcPr>
            <w:tcW w:w="1200" w:type="dxa"/>
            <w:vMerge/>
            <w:shd w:val="clear" w:color="auto" w:fill="D1D1D1" w:themeFill="background2" w:themeFillShade="E6"/>
            <w:vAlign w:val="center"/>
          </w:tcPr>
          <w:p w14:paraId="2399E66D"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6229AC0D" w14:textId="77777777" w:rsidR="009E01DA" w:rsidRDefault="009E01DA" w:rsidP="003F3F11">
            <w:pPr>
              <w:jc w:val="left"/>
              <w:rPr>
                <w:sz w:val="20"/>
                <w:szCs w:val="20"/>
              </w:rPr>
            </w:pPr>
          </w:p>
        </w:tc>
        <w:tc>
          <w:tcPr>
            <w:tcW w:w="748" w:type="dxa"/>
            <w:vMerge/>
            <w:vAlign w:val="center"/>
          </w:tcPr>
          <w:p w14:paraId="73BA615C" w14:textId="77777777" w:rsidR="009E01DA" w:rsidRDefault="009E01DA" w:rsidP="003F3F11">
            <w:pPr>
              <w:jc w:val="center"/>
              <w:rPr>
                <w:sz w:val="20"/>
                <w:szCs w:val="20"/>
              </w:rPr>
            </w:pPr>
          </w:p>
        </w:tc>
        <w:tc>
          <w:tcPr>
            <w:tcW w:w="1628" w:type="dxa"/>
            <w:shd w:val="clear" w:color="auto" w:fill="EFF5FB"/>
            <w:vAlign w:val="center"/>
          </w:tcPr>
          <w:p w14:paraId="5036032D" w14:textId="77777777" w:rsidR="009E01DA" w:rsidRDefault="009E01DA" w:rsidP="003F3F11">
            <w:pPr>
              <w:jc w:val="left"/>
              <w:rPr>
                <w:sz w:val="20"/>
                <w:szCs w:val="20"/>
              </w:rPr>
            </w:pPr>
            <w:r>
              <w:rPr>
                <w:sz w:val="20"/>
                <w:szCs w:val="20"/>
              </w:rPr>
              <w:t>pH</w:t>
            </w:r>
            <w:r>
              <w:rPr>
                <w:sz w:val="20"/>
                <w:szCs w:val="20"/>
                <w:vertAlign w:val="subscript"/>
              </w:rPr>
              <w:t>santé</w:t>
            </w:r>
          </w:p>
        </w:tc>
        <w:tc>
          <w:tcPr>
            <w:tcW w:w="4252" w:type="dxa"/>
            <w:vMerge/>
            <w:vAlign w:val="center"/>
          </w:tcPr>
          <w:p w14:paraId="4324BFD2" w14:textId="77777777" w:rsidR="009E01DA" w:rsidRPr="0000352D" w:rsidRDefault="009E01DA" w:rsidP="003F3F11">
            <w:pPr>
              <w:jc w:val="left"/>
              <w:rPr>
                <w:sz w:val="20"/>
                <w:szCs w:val="20"/>
              </w:rPr>
            </w:pPr>
          </w:p>
        </w:tc>
      </w:tr>
      <w:tr w:rsidR="009E01DA" w14:paraId="143E0897" w14:textId="77777777" w:rsidTr="003F3F11">
        <w:tblPrEx>
          <w:tblCellMar>
            <w:top w:w="0" w:type="dxa"/>
            <w:bottom w:w="0" w:type="dxa"/>
          </w:tblCellMar>
        </w:tblPrEx>
        <w:tc>
          <w:tcPr>
            <w:tcW w:w="1200" w:type="dxa"/>
            <w:vMerge/>
            <w:shd w:val="clear" w:color="auto" w:fill="D1D1D1" w:themeFill="background2" w:themeFillShade="E6"/>
            <w:vAlign w:val="center"/>
          </w:tcPr>
          <w:p w14:paraId="68D85D49"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4F7FB4A0" w14:textId="77777777" w:rsidR="009E01DA" w:rsidRPr="0000352D" w:rsidRDefault="009E01DA" w:rsidP="003F3F11">
            <w:pPr>
              <w:jc w:val="left"/>
              <w:rPr>
                <w:sz w:val="20"/>
                <w:szCs w:val="20"/>
              </w:rPr>
            </w:pPr>
          </w:p>
        </w:tc>
        <w:tc>
          <w:tcPr>
            <w:tcW w:w="748" w:type="dxa"/>
            <w:vMerge/>
            <w:vAlign w:val="center"/>
          </w:tcPr>
          <w:p w14:paraId="714148AC" w14:textId="77777777" w:rsidR="009E01DA" w:rsidRPr="0000352D" w:rsidRDefault="009E01DA" w:rsidP="003F3F11">
            <w:pPr>
              <w:jc w:val="center"/>
              <w:rPr>
                <w:sz w:val="20"/>
                <w:szCs w:val="20"/>
              </w:rPr>
            </w:pPr>
          </w:p>
        </w:tc>
        <w:tc>
          <w:tcPr>
            <w:tcW w:w="1628" w:type="dxa"/>
            <w:shd w:val="clear" w:color="auto" w:fill="F2F9EB"/>
            <w:vAlign w:val="center"/>
          </w:tcPr>
          <w:p w14:paraId="708DD38F" w14:textId="77777777" w:rsidR="009E01DA" w:rsidRPr="002F4BB9" w:rsidRDefault="009E01DA" w:rsidP="003F3F11">
            <w:pPr>
              <w:jc w:val="left"/>
              <w:rPr>
                <w:rFonts w:cs="Calibri"/>
                <w:sz w:val="20"/>
                <w:szCs w:val="20"/>
              </w:rPr>
            </w:pPr>
            <w:r>
              <w:rPr>
                <w:sz w:val="20"/>
                <w:szCs w:val="20"/>
              </w:rPr>
              <w:t>pH</w:t>
            </w:r>
            <w:r>
              <w:rPr>
                <w:sz w:val="20"/>
                <w:szCs w:val="20"/>
                <w:vertAlign w:val="subscript"/>
              </w:rPr>
              <w:t>qualité</w:t>
            </w:r>
            <w:r>
              <w:rPr>
                <w:sz w:val="20"/>
                <w:szCs w:val="20"/>
              </w:rPr>
              <w:t xml:space="preserve"> </w:t>
            </w:r>
          </w:p>
        </w:tc>
        <w:tc>
          <w:tcPr>
            <w:tcW w:w="4252" w:type="dxa"/>
            <w:vMerge w:val="restart"/>
            <w:vAlign w:val="center"/>
          </w:tcPr>
          <w:p w14:paraId="0BFA1681" w14:textId="77777777" w:rsidR="009E01DA" w:rsidRDefault="009E01DA" w:rsidP="003F3F11">
            <w:pPr>
              <w:jc w:val="left"/>
              <w:rPr>
                <w:sz w:val="20"/>
                <w:szCs w:val="20"/>
              </w:rPr>
            </w:pPr>
            <w:r>
              <w:rPr>
                <w:sz w:val="20"/>
                <w:szCs w:val="20"/>
              </w:rPr>
              <w:t>(P) Gammes optimales (</w:t>
            </w:r>
            <w:r>
              <w:t>pH</w:t>
            </w:r>
            <w:r>
              <w:rPr>
                <w:vertAlign w:val="subscript"/>
              </w:rPr>
              <w:t>KCl</w:t>
            </w:r>
            <w:r>
              <w:t>)</w:t>
            </w:r>
            <w:r>
              <w:rPr>
                <w:sz w:val="20"/>
                <w:szCs w:val="20"/>
              </w:rPr>
              <w:t xml:space="preserve"> REQUASUD pour les prairies </w:t>
            </w:r>
            <w:r>
              <w:rPr>
                <w:sz w:val="20"/>
                <w:szCs w:val="20"/>
              </w:rPr>
              <w:fldChar w:fldCharType="begin"/>
            </w:r>
            <w:r>
              <w:rPr>
                <w:sz w:val="20"/>
                <w:szCs w:val="20"/>
              </w:rPr>
              <w:instrText xml:space="preserve"> ADDIN ZOTERO_ITEM CSL_CITATION {"citationID":"KaYFxno7","properties":{"unsorted":false,"formattedCitation":"(Cugnon,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00639">
              <w:rPr>
                <w:rFonts w:cs="Calibri"/>
                <w:sz w:val="20"/>
              </w:rPr>
              <w:t>(Cugnon, 2025)</w:t>
            </w:r>
            <w:r>
              <w:rPr>
                <w:sz w:val="20"/>
                <w:szCs w:val="20"/>
              </w:rPr>
              <w:fldChar w:fldCharType="end"/>
            </w:r>
          </w:p>
        </w:tc>
      </w:tr>
      <w:tr w:rsidR="009E01DA" w14:paraId="16A9DB61" w14:textId="77777777" w:rsidTr="003F3F11">
        <w:tblPrEx>
          <w:tblCellMar>
            <w:top w:w="0" w:type="dxa"/>
            <w:bottom w:w="0" w:type="dxa"/>
          </w:tblCellMar>
        </w:tblPrEx>
        <w:tc>
          <w:tcPr>
            <w:tcW w:w="1200" w:type="dxa"/>
            <w:vMerge/>
            <w:shd w:val="clear" w:color="auto" w:fill="D1D1D1" w:themeFill="background2" w:themeFillShade="E6"/>
            <w:vAlign w:val="center"/>
          </w:tcPr>
          <w:p w14:paraId="2ADC4566"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F5F2AE7" w14:textId="77777777" w:rsidR="009E01DA" w:rsidRPr="0000352D" w:rsidRDefault="009E01DA" w:rsidP="003F3F11">
            <w:pPr>
              <w:jc w:val="left"/>
              <w:rPr>
                <w:sz w:val="20"/>
                <w:szCs w:val="20"/>
              </w:rPr>
            </w:pPr>
          </w:p>
        </w:tc>
        <w:tc>
          <w:tcPr>
            <w:tcW w:w="748" w:type="dxa"/>
            <w:vMerge/>
            <w:vAlign w:val="center"/>
          </w:tcPr>
          <w:p w14:paraId="60FDB961" w14:textId="77777777" w:rsidR="009E01DA" w:rsidRPr="0000352D" w:rsidRDefault="009E01DA" w:rsidP="003F3F11">
            <w:pPr>
              <w:jc w:val="center"/>
              <w:rPr>
                <w:sz w:val="20"/>
                <w:szCs w:val="20"/>
              </w:rPr>
            </w:pPr>
          </w:p>
        </w:tc>
        <w:tc>
          <w:tcPr>
            <w:tcW w:w="1628" w:type="dxa"/>
            <w:shd w:val="clear" w:color="auto" w:fill="EFF5FB"/>
            <w:vAlign w:val="center"/>
          </w:tcPr>
          <w:p w14:paraId="00BDB9CD" w14:textId="77777777" w:rsidR="009E01DA" w:rsidRDefault="009E01DA" w:rsidP="003F3F11">
            <w:pPr>
              <w:jc w:val="left"/>
              <w:rPr>
                <w:rFonts w:cs="Calibri"/>
                <w:sz w:val="20"/>
                <w:szCs w:val="20"/>
              </w:rPr>
            </w:pPr>
            <w:r>
              <w:rPr>
                <w:sz w:val="20"/>
                <w:szCs w:val="20"/>
              </w:rPr>
              <w:t>pH</w:t>
            </w:r>
            <w:r>
              <w:rPr>
                <w:sz w:val="20"/>
                <w:szCs w:val="20"/>
                <w:vertAlign w:val="subscript"/>
              </w:rPr>
              <w:t>santé</w:t>
            </w:r>
          </w:p>
        </w:tc>
        <w:tc>
          <w:tcPr>
            <w:tcW w:w="4252" w:type="dxa"/>
            <w:vMerge/>
            <w:vAlign w:val="center"/>
          </w:tcPr>
          <w:p w14:paraId="098D8EBF" w14:textId="77777777" w:rsidR="009E01DA" w:rsidRDefault="009E01DA" w:rsidP="003F3F11">
            <w:pPr>
              <w:jc w:val="left"/>
              <w:rPr>
                <w:sz w:val="20"/>
                <w:szCs w:val="20"/>
              </w:rPr>
            </w:pPr>
          </w:p>
        </w:tc>
      </w:tr>
      <w:tr w:rsidR="009E01DA" w14:paraId="65295820" w14:textId="77777777" w:rsidTr="003F3F11">
        <w:tblPrEx>
          <w:tblCellMar>
            <w:top w:w="0" w:type="dxa"/>
            <w:bottom w:w="0" w:type="dxa"/>
          </w:tblCellMar>
        </w:tblPrEx>
        <w:trPr>
          <w:trHeight w:val="403"/>
        </w:trPr>
        <w:tc>
          <w:tcPr>
            <w:tcW w:w="1200" w:type="dxa"/>
            <w:vMerge/>
            <w:shd w:val="clear" w:color="auto" w:fill="D1D1D1" w:themeFill="background2" w:themeFillShade="E6"/>
            <w:vAlign w:val="center"/>
          </w:tcPr>
          <w:p w14:paraId="0D51DABE"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1841533A" w14:textId="77777777" w:rsidR="009E01DA" w:rsidRPr="0000352D" w:rsidRDefault="009E01DA" w:rsidP="003F3F11">
            <w:pPr>
              <w:jc w:val="left"/>
              <w:rPr>
                <w:sz w:val="20"/>
                <w:szCs w:val="20"/>
              </w:rPr>
            </w:pPr>
          </w:p>
        </w:tc>
        <w:tc>
          <w:tcPr>
            <w:tcW w:w="748" w:type="dxa"/>
            <w:vMerge/>
            <w:vAlign w:val="center"/>
          </w:tcPr>
          <w:p w14:paraId="1D2289A3" w14:textId="77777777" w:rsidR="009E01DA" w:rsidRPr="0000352D" w:rsidRDefault="009E01DA" w:rsidP="003F3F11">
            <w:pPr>
              <w:jc w:val="center"/>
              <w:rPr>
                <w:sz w:val="20"/>
                <w:szCs w:val="20"/>
              </w:rPr>
            </w:pPr>
          </w:p>
        </w:tc>
        <w:tc>
          <w:tcPr>
            <w:tcW w:w="1628" w:type="dxa"/>
            <w:shd w:val="clear" w:color="auto" w:fill="F2F9EB"/>
            <w:vAlign w:val="center"/>
          </w:tcPr>
          <w:p w14:paraId="5106FED4" w14:textId="77777777" w:rsidR="009E01DA" w:rsidRPr="002F4BB9" w:rsidRDefault="009E01DA" w:rsidP="003F3F11">
            <w:pPr>
              <w:jc w:val="left"/>
              <w:rPr>
                <w:rFonts w:cs="Calibri"/>
                <w:sz w:val="20"/>
                <w:szCs w:val="20"/>
              </w:rPr>
            </w:pPr>
            <w:r>
              <w:rPr>
                <w:sz w:val="20"/>
                <w:szCs w:val="20"/>
              </w:rPr>
              <w:t>pH</w:t>
            </w:r>
            <w:r>
              <w:rPr>
                <w:sz w:val="20"/>
                <w:szCs w:val="20"/>
                <w:vertAlign w:val="subscript"/>
              </w:rPr>
              <w:t>qualité</w:t>
            </w:r>
            <w:r>
              <w:rPr>
                <w:sz w:val="20"/>
                <w:szCs w:val="20"/>
              </w:rPr>
              <w:t xml:space="preserve"> </w:t>
            </w:r>
          </w:p>
        </w:tc>
        <w:tc>
          <w:tcPr>
            <w:tcW w:w="4252" w:type="dxa"/>
            <w:vMerge w:val="restart"/>
            <w:vAlign w:val="center"/>
          </w:tcPr>
          <w:p w14:paraId="146AED96" w14:textId="77777777" w:rsidR="009E01DA" w:rsidRDefault="009E01DA" w:rsidP="003F3F11">
            <w:pPr>
              <w:jc w:val="left"/>
              <w:rPr>
                <w:sz w:val="20"/>
                <w:szCs w:val="20"/>
              </w:rPr>
            </w:pPr>
            <w:r>
              <w:rPr>
                <w:sz w:val="20"/>
                <w:szCs w:val="20"/>
              </w:rPr>
              <w:t>(EV) Adaptation des gammes optimales (</w:t>
            </w:r>
            <w:r>
              <w:t>pH</w:t>
            </w:r>
            <w:r>
              <w:rPr>
                <w:vertAlign w:val="subscript"/>
              </w:rPr>
              <w:t>KCl</w:t>
            </w:r>
            <w:r>
              <w:t>)</w:t>
            </w:r>
            <w:r>
              <w:rPr>
                <w:sz w:val="20"/>
                <w:szCs w:val="20"/>
              </w:rPr>
              <w:t xml:space="preserve"> REQUASUD // chapitre C Qualiroutes </w:t>
            </w:r>
            <w:r>
              <w:rPr>
                <w:sz w:val="20"/>
                <w:szCs w:val="20"/>
              </w:rPr>
              <w:fldChar w:fldCharType="begin"/>
            </w:r>
            <w:r>
              <w:rPr>
                <w:sz w:val="20"/>
                <w:szCs w:val="20"/>
              </w:rPr>
              <w:instrText xml:space="preserve"> ADDIN ZOTERO_ITEM CSL_CITATION {"citationID":"B00A4otB","properties":{"unsorted":false,"formattedCitation":"(SPW Mobilit\\uc0\\u233{} Infrastructures, 2026)","plainCitation":"(SPW Mobilité Infrastructures, 2026)","noteIndex":0},"citationItems":[{"id":571,"uris":["http://zotero.org/groups/5684833/items/XUAHKAZ9"],"itemData":{"id":571,"type":"standard","abstract":"Sur cet onglet vous trouverez le site Qualité et Construction","language":"fr","publisher":"Service Public de Wallonie","title":"Cahier des Charges type Qualiroutes - Chapitre C : Matériaux et produits de construction","URL":"https://infrastructures.wallonie.be/cms/render/live/fr/sites/routes/pouvoirs-locaux/nos-thematiques/routes/qualite--construction/qualiroutes.html","version":"approuvé par le Gouvernement wallon en date du 20 juillet 2011","author":[{"family":"SPW Mobilité Infrastructures","given":""}],"accessed":{"date-parts":[["2026",6,2]]},"issued":{"date-parts":[["2026"]]}}}],"schema":"https://github.com/citation-style-language/schema/raw/master/csl-citation.json"} </w:instrText>
            </w:r>
            <w:r>
              <w:rPr>
                <w:sz w:val="20"/>
                <w:szCs w:val="20"/>
              </w:rPr>
              <w:fldChar w:fldCharType="separate"/>
            </w:r>
            <w:r w:rsidRPr="00BF6371">
              <w:rPr>
                <w:rFonts w:cs="Calibri"/>
                <w:kern w:val="0"/>
                <w:sz w:val="20"/>
              </w:rPr>
              <w:t>(SPW Mobilité Infrastructures, 2026)</w:t>
            </w:r>
            <w:r>
              <w:rPr>
                <w:sz w:val="20"/>
                <w:szCs w:val="20"/>
              </w:rPr>
              <w:fldChar w:fldCharType="end"/>
            </w:r>
          </w:p>
        </w:tc>
      </w:tr>
      <w:tr w:rsidR="009E01DA" w14:paraId="3584FA3E" w14:textId="77777777" w:rsidTr="003F3F11">
        <w:tblPrEx>
          <w:tblCellMar>
            <w:top w:w="0" w:type="dxa"/>
            <w:bottom w:w="0" w:type="dxa"/>
          </w:tblCellMar>
        </w:tblPrEx>
        <w:tc>
          <w:tcPr>
            <w:tcW w:w="1200" w:type="dxa"/>
            <w:vMerge/>
            <w:shd w:val="clear" w:color="auto" w:fill="D1D1D1" w:themeFill="background2" w:themeFillShade="E6"/>
            <w:vAlign w:val="center"/>
          </w:tcPr>
          <w:p w14:paraId="7E26AC26"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2CA7168E" w14:textId="77777777" w:rsidR="009E01DA" w:rsidRPr="0000352D" w:rsidRDefault="009E01DA" w:rsidP="003F3F11">
            <w:pPr>
              <w:jc w:val="left"/>
              <w:rPr>
                <w:sz w:val="20"/>
                <w:szCs w:val="20"/>
              </w:rPr>
            </w:pPr>
          </w:p>
        </w:tc>
        <w:tc>
          <w:tcPr>
            <w:tcW w:w="748" w:type="dxa"/>
            <w:vMerge/>
            <w:vAlign w:val="center"/>
          </w:tcPr>
          <w:p w14:paraId="21191D08" w14:textId="77777777" w:rsidR="009E01DA" w:rsidRPr="0000352D" w:rsidRDefault="009E01DA" w:rsidP="003F3F11">
            <w:pPr>
              <w:jc w:val="center"/>
              <w:rPr>
                <w:sz w:val="20"/>
                <w:szCs w:val="20"/>
              </w:rPr>
            </w:pPr>
          </w:p>
        </w:tc>
        <w:tc>
          <w:tcPr>
            <w:tcW w:w="1628" w:type="dxa"/>
            <w:shd w:val="clear" w:color="auto" w:fill="EFF5FB"/>
            <w:vAlign w:val="center"/>
          </w:tcPr>
          <w:p w14:paraId="5B7B6E68" w14:textId="77777777" w:rsidR="009E01DA" w:rsidRDefault="009E01DA" w:rsidP="003F3F11">
            <w:pPr>
              <w:jc w:val="left"/>
              <w:rPr>
                <w:rFonts w:cs="Calibri"/>
                <w:sz w:val="20"/>
                <w:szCs w:val="20"/>
              </w:rPr>
            </w:pPr>
            <w:r>
              <w:rPr>
                <w:sz w:val="20"/>
                <w:szCs w:val="20"/>
              </w:rPr>
              <w:t>pH</w:t>
            </w:r>
            <w:r>
              <w:rPr>
                <w:sz w:val="20"/>
                <w:szCs w:val="20"/>
                <w:vertAlign w:val="subscript"/>
              </w:rPr>
              <w:t>santé</w:t>
            </w:r>
          </w:p>
        </w:tc>
        <w:tc>
          <w:tcPr>
            <w:tcW w:w="4252" w:type="dxa"/>
            <w:vMerge/>
            <w:vAlign w:val="center"/>
          </w:tcPr>
          <w:p w14:paraId="294775F5" w14:textId="77777777" w:rsidR="009E01DA" w:rsidRDefault="009E01DA" w:rsidP="003F3F11">
            <w:pPr>
              <w:jc w:val="left"/>
              <w:rPr>
                <w:sz w:val="20"/>
                <w:szCs w:val="20"/>
              </w:rPr>
            </w:pPr>
          </w:p>
        </w:tc>
      </w:tr>
      <w:tr w:rsidR="009E01DA" w14:paraId="65473F93" w14:textId="77777777" w:rsidTr="003F3F11">
        <w:tblPrEx>
          <w:tblCellMar>
            <w:top w:w="0" w:type="dxa"/>
            <w:bottom w:w="0" w:type="dxa"/>
          </w:tblCellMar>
        </w:tblPrEx>
        <w:trPr>
          <w:trHeight w:val="328"/>
        </w:trPr>
        <w:tc>
          <w:tcPr>
            <w:tcW w:w="1200" w:type="dxa"/>
            <w:vMerge/>
            <w:shd w:val="clear" w:color="auto" w:fill="D1D1D1" w:themeFill="background2" w:themeFillShade="E6"/>
            <w:vAlign w:val="center"/>
          </w:tcPr>
          <w:p w14:paraId="4980E5E1"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70FFBBE8" w14:textId="77777777" w:rsidR="009E01DA" w:rsidRPr="0000352D" w:rsidRDefault="009E01DA" w:rsidP="003F3F11">
            <w:pPr>
              <w:jc w:val="left"/>
              <w:rPr>
                <w:sz w:val="20"/>
                <w:szCs w:val="20"/>
              </w:rPr>
            </w:pPr>
          </w:p>
        </w:tc>
        <w:tc>
          <w:tcPr>
            <w:tcW w:w="748" w:type="dxa"/>
            <w:vMerge/>
            <w:vAlign w:val="center"/>
          </w:tcPr>
          <w:p w14:paraId="1DD8A4F3" w14:textId="77777777" w:rsidR="009E01DA" w:rsidRPr="0000352D" w:rsidRDefault="009E01DA" w:rsidP="003F3F11">
            <w:pPr>
              <w:jc w:val="center"/>
              <w:rPr>
                <w:sz w:val="20"/>
                <w:szCs w:val="20"/>
              </w:rPr>
            </w:pPr>
          </w:p>
        </w:tc>
        <w:tc>
          <w:tcPr>
            <w:tcW w:w="1628" w:type="dxa"/>
            <w:shd w:val="clear" w:color="auto" w:fill="F2F9EB"/>
            <w:vAlign w:val="center"/>
          </w:tcPr>
          <w:p w14:paraId="1B3CC6E3" w14:textId="77777777" w:rsidR="009E01DA" w:rsidRDefault="009E01DA" w:rsidP="003F3F11">
            <w:pPr>
              <w:jc w:val="left"/>
              <w:rPr>
                <w:rFonts w:cs="Calibri"/>
                <w:sz w:val="20"/>
                <w:szCs w:val="20"/>
              </w:rPr>
            </w:pPr>
            <w:r>
              <w:rPr>
                <w:sz w:val="20"/>
                <w:szCs w:val="20"/>
              </w:rPr>
              <w:t>pH</w:t>
            </w:r>
            <w:r>
              <w:rPr>
                <w:sz w:val="20"/>
                <w:szCs w:val="20"/>
                <w:vertAlign w:val="subscript"/>
              </w:rPr>
              <w:t>qualité</w:t>
            </w:r>
          </w:p>
        </w:tc>
        <w:tc>
          <w:tcPr>
            <w:tcW w:w="4252" w:type="dxa"/>
            <w:vMerge w:val="restart"/>
            <w:vAlign w:val="center"/>
          </w:tcPr>
          <w:p w14:paraId="05A6A652" w14:textId="77777777" w:rsidR="009E01DA" w:rsidRDefault="009E01DA" w:rsidP="003F3F11">
            <w:pPr>
              <w:jc w:val="left"/>
              <w:rPr>
                <w:sz w:val="20"/>
                <w:szCs w:val="20"/>
              </w:rPr>
            </w:pPr>
            <w:r>
              <w:rPr>
                <w:sz w:val="20"/>
                <w:szCs w:val="20"/>
              </w:rPr>
              <w:t>(F) Gammes d’interprétation (</w:t>
            </w:r>
            <w:r>
              <w:t>pH</w:t>
            </w:r>
            <w:r>
              <w:rPr>
                <w:vertAlign w:val="subscript"/>
              </w:rPr>
              <w:t>eau</w:t>
            </w:r>
            <w:r>
              <w:t>)</w:t>
            </w:r>
            <w:r>
              <w:rPr>
                <w:sz w:val="20"/>
                <w:szCs w:val="20"/>
              </w:rPr>
              <w:t xml:space="preserve"> pour les sols forestiers </w:t>
            </w:r>
            <w:r>
              <w:rPr>
                <w:sz w:val="20"/>
                <w:szCs w:val="20"/>
              </w:rPr>
              <w:fldChar w:fldCharType="begin"/>
            </w:r>
            <w:r>
              <w:rPr>
                <w:sz w:val="20"/>
                <w:szCs w:val="20"/>
              </w:rPr>
              <w:instrText xml:space="preserve"> ADDIN ZOTERO_ITEM CSL_CITATION {"citationID":"CB20bPQA","properties":{"unsorted":false,"formattedCitation":"({\\i{}Fichier \\uc0\\u233{}cologique des essences}, s.\\uc0\\u160{}d.)","plainCitation":"(Fichier écologique des essences, s. d.)","noteIndex":0},"citationItems":[{"id":569,"uris":["http://zotero.org/groups/5684833/items/8E5EHNH6"],"itemData":{"id":569,"type":"document","title":"Fichier écologique des essences","URL":"https://www.fichierecologique.be/#!/","accessed":{"date-parts":[["2026",6,2]]}}}],"schema":"https://github.com/citation-style-language/schema/raw/master/csl-citation.json"} </w:instrText>
            </w:r>
            <w:r>
              <w:rPr>
                <w:sz w:val="20"/>
                <w:szCs w:val="20"/>
              </w:rPr>
              <w:fldChar w:fldCharType="separate"/>
            </w:r>
            <w:r w:rsidRPr="00D522F1">
              <w:rPr>
                <w:rFonts w:cs="Calibri"/>
                <w:kern w:val="0"/>
                <w:sz w:val="20"/>
              </w:rPr>
              <w:t>(</w:t>
            </w:r>
            <w:r w:rsidRPr="00D522F1">
              <w:rPr>
                <w:rFonts w:cs="Calibri"/>
                <w:i/>
                <w:iCs/>
                <w:kern w:val="0"/>
                <w:sz w:val="20"/>
              </w:rPr>
              <w:t>Fichier écologique des essences</w:t>
            </w:r>
            <w:r w:rsidRPr="00D522F1">
              <w:rPr>
                <w:rFonts w:cs="Calibri"/>
                <w:kern w:val="0"/>
                <w:sz w:val="20"/>
              </w:rPr>
              <w:t>, s. d.)</w:t>
            </w:r>
            <w:r>
              <w:rPr>
                <w:sz w:val="20"/>
                <w:szCs w:val="20"/>
              </w:rPr>
              <w:fldChar w:fldCharType="end"/>
            </w:r>
          </w:p>
        </w:tc>
      </w:tr>
      <w:tr w:rsidR="009E01DA" w14:paraId="49EBD9FE" w14:textId="77777777" w:rsidTr="003F3F11">
        <w:tblPrEx>
          <w:tblCellMar>
            <w:top w:w="0" w:type="dxa"/>
            <w:bottom w:w="0" w:type="dxa"/>
          </w:tblCellMar>
        </w:tblPrEx>
        <w:tc>
          <w:tcPr>
            <w:tcW w:w="1200" w:type="dxa"/>
            <w:vMerge/>
            <w:shd w:val="clear" w:color="auto" w:fill="D1D1D1" w:themeFill="background2" w:themeFillShade="E6"/>
            <w:vAlign w:val="center"/>
          </w:tcPr>
          <w:p w14:paraId="795ED58C"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46335252" w14:textId="77777777" w:rsidR="009E01DA" w:rsidRPr="0000352D" w:rsidRDefault="009E01DA" w:rsidP="003F3F11">
            <w:pPr>
              <w:jc w:val="left"/>
              <w:rPr>
                <w:sz w:val="20"/>
                <w:szCs w:val="20"/>
              </w:rPr>
            </w:pPr>
          </w:p>
        </w:tc>
        <w:tc>
          <w:tcPr>
            <w:tcW w:w="748" w:type="dxa"/>
            <w:vMerge/>
            <w:vAlign w:val="center"/>
          </w:tcPr>
          <w:p w14:paraId="39E9F45F" w14:textId="77777777" w:rsidR="009E01DA" w:rsidRDefault="009E01DA" w:rsidP="003F3F11">
            <w:pPr>
              <w:jc w:val="center"/>
              <w:rPr>
                <w:sz w:val="20"/>
                <w:szCs w:val="20"/>
              </w:rPr>
            </w:pPr>
          </w:p>
        </w:tc>
        <w:tc>
          <w:tcPr>
            <w:tcW w:w="1628" w:type="dxa"/>
            <w:shd w:val="clear" w:color="auto" w:fill="EFF5FB"/>
            <w:vAlign w:val="center"/>
          </w:tcPr>
          <w:p w14:paraId="5F50BF85" w14:textId="77777777" w:rsidR="009E01DA" w:rsidRDefault="009E01DA" w:rsidP="003F3F11">
            <w:pPr>
              <w:jc w:val="left"/>
              <w:rPr>
                <w:sz w:val="20"/>
                <w:szCs w:val="20"/>
              </w:rPr>
            </w:pPr>
            <w:r>
              <w:rPr>
                <w:sz w:val="20"/>
                <w:szCs w:val="20"/>
              </w:rPr>
              <w:t>pH</w:t>
            </w:r>
            <w:r>
              <w:rPr>
                <w:sz w:val="20"/>
                <w:szCs w:val="20"/>
                <w:vertAlign w:val="subscript"/>
              </w:rPr>
              <w:t>santé</w:t>
            </w:r>
          </w:p>
        </w:tc>
        <w:tc>
          <w:tcPr>
            <w:tcW w:w="4252" w:type="dxa"/>
            <w:vMerge/>
            <w:vAlign w:val="center"/>
          </w:tcPr>
          <w:p w14:paraId="37D03772" w14:textId="77777777" w:rsidR="009E01DA" w:rsidRPr="002B345A" w:rsidRDefault="009E01DA" w:rsidP="003F3F11">
            <w:pPr>
              <w:jc w:val="left"/>
              <w:rPr>
                <w:highlight w:val="yellow"/>
              </w:rPr>
            </w:pPr>
          </w:p>
        </w:tc>
      </w:tr>
      <w:tr w:rsidR="009E01DA" w14:paraId="3D5FD714" w14:textId="77777777" w:rsidTr="003F3F11">
        <w:tblPrEx>
          <w:tblCellMar>
            <w:top w:w="0" w:type="dxa"/>
            <w:bottom w:w="0" w:type="dxa"/>
          </w:tblCellMar>
        </w:tblPrEx>
        <w:tc>
          <w:tcPr>
            <w:tcW w:w="1200" w:type="dxa"/>
            <w:vMerge/>
            <w:shd w:val="clear" w:color="auto" w:fill="D1D1D1" w:themeFill="background2" w:themeFillShade="E6"/>
            <w:vAlign w:val="center"/>
          </w:tcPr>
          <w:p w14:paraId="7816CD59"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1DD0B4A3" w14:textId="77777777" w:rsidR="009E01DA" w:rsidRPr="0000352D" w:rsidRDefault="009E01DA" w:rsidP="003F3F11">
            <w:pPr>
              <w:jc w:val="left"/>
              <w:rPr>
                <w:sz w:val="20"/>
                <w:szCs w:val="20"/>
              </w:rPr>
            </w:pPr>
          </w:p>
        </w:tc>
        <w:tc>
          <w:tcPr>
            <w:tcW w:w="748" w:type="dxa"/>
            <w:vMerge w:val="restart"/>
            <w:vAlign w:val="center"/>
          </w:tcPr>
          <w:p w14:paraId="6AAE9ADE"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5C347BFB" wp14:editId="64852A5E">
                      <wp:extent cx="248400" cy="0"/>
                      <wp:effectExtent l="38100" t="76200" r="18415" b="95250"/>
                      <wp:docPr id="1546839154"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55F4AFE9"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628" w:type="dxa"/>
            <w:tcBorders>
              <w:top w:val="single" w:sz="4" w:space="0" w:color="auto"/>
              <w:bottom w:val="single" w:sz="4" w:space="0" w:color="auto"/>
            </w:tcBorders>
            <w:shd w:val="clear" w:color="auto" w:fill="F2F9EB"/>
            <w:vAlign w:val="center"/>
          </w:tcPr>
          <w:p w14:paraId="477825B1" w14:textId="77777777" w:rsidR="009E01DA" w:rsidRDefault="009E01DA" w:rsidP="003F3F11">
            <w:pPr>
              <w:jc w:val="left"/>
              <w:rPr>
                <w:sz w:val="20"/>
                <w:szCs w:val="20"/>
              </w:rPr>
            </w:pPr>
            <w:r w:rsidRPr="009D49FA">
              <w:rPr>
                <w:sz w:val="20"/>
                <w:szCs w:val="20"/>
              </w:rPr>
              <w:t>K/Mg</w:t>
            </w:r>
            <w:r w:rsidRPr="009D49FA">
              <w:rPr>
                <w:sz w:val="20"/>
                <w:szCs w:val="20"/>
                <w:vertAlign w:val="subscript"/>
              </w:rPr>
              <w:t>qualité</w:t>
            </w:r>
          </w:p>
        </w:tc>
        <w:tc>
          <w:tcPr>
            <w:tcW w:w="4252" w:type="dxa"/>
            <w:vMerge w:val="restart"/>
            <w:vAlign w:val="center"/>
          </w:tcPr>
          <w:p w14:paraId="674AD87B" w14:textId="77777777" w:rsidR="009E01DA" w:rsidRPr="002B345A" w:rsidRDefault="009E01DA" w:rsidP="003F3F11">
            <w:pPr>
              <w:jc w:val="left"/>
              <w:rPr>
                <w:highlight w:val="yellow"/>
              </w:rPr>
            </w:pPr>
            <w:r w:rsidRPr="009D49FA">
              <w:rPr>
                <w:sz w:val="20"/>
                <w:szCs w:val="20"/>
              </w:rPr>
              <w:t xml:space="preserve">Gamme optimale </w:t>
            </w:r>
            <w:r w:rsidRPr="009D49FA">
              <w:rPr>
                <w:sz w:val="20"/>
                <w:szCs w:val="20"/>
              </w:rPr>
              <w:fldChar w:fldCharType="begin"/>
            </w:r>
            <w:r>
              <w:rPr>
                <w:sz w:val="20"/>
                <w:szCs w:val="20"/>
              </w:rPr>
              <w:instrText xml:space="preserve"> ADDIN ZOTERO_ITEM CSL_CITATION {"citationID":"6izxBfFz","properties":{"unsorted":false,"formattedCitation":"(Cugnon,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Pr="009D49FA">
              <w:rPr>
                <w:sz w:val="20"/>
                <w:szCs w:val="20"/>
              </w:rPr>
              <w:fldChar w:fldCharType="separate"/>
            </w:r>
            <w:r w:rsidRPr="009D49FA">
              <w:rPr>
                <w:rFonts w:cs="Calibri"/>
                <w:sz w:val="20"/>
                <w:szCs w:val="20"/>
              </w:rPr>
              <w:t>(Cugnon, 2025)</w:t>
            </w:r>
            <w:r w:rsidRPr="009D49FA">
              <w:rPr>
                <w:sz w:val="20"/>
                <w:szCs w:val="20"/>
              </w:rPr>
              <w:fldChar w:fldCharType="end"/>
            </w:r>
          </w:p>
        </w:tc>
      </w:tr>
      <w:tr w:rsidR="009E01DA" w14:paraId="7B9DA3E5" w14:textId="77777777" w:rsidTr="003F3F11">
        <w:tblPrEx>
          <w:tblCellMar>
            <w:top w:w="0" w:type="dxa"/>
            <w:bottom w:w="0" w:type="dxa"/>
          </w:tblCellMar>
        </w:tblPrEx>
        <w:tc>
          <w:tcPr>
            <w:tcW w:w="1200" w:type="dxa"/>
            <w:vMerge/>
            <w:shd w:val="clear" w:color="auto" w:fill="D1D1D1" w:themeFill="background2" w:themeFillShade="E6"/>
            <w:vAlign w:val="center"/>
          </w:tcPr>
          <w:p w14:paraId="20CADF6D"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21EA252D" w14:textId="77777777" w:rsidR="009E01DA" w:rsidRPr="0000352D" w:rsidRDefault="009E01DA" w:rsidP="003F3F11">
            <w:pPr>
              <w:jc w:val="left"/>
              <w:rPr>
                <w:sz w:val="20"/>
                <w:szCs w:val="20"/>
              </w:rPr>
            </w:pPr>
          </w:p>
        </w:tc>
        <w:tc>
          <w:tcPr>
            <w:tcW w:w="748" w:type="dxa"/>
            <w:vMerge/>
            <w:vAlign w:val="center"/>
          </w:tcPr>
          <w:p w14:paraId="2EA0FB40" w14:textId="77777777" w:rsidR="009E01DA" w:rsidRPr="0000352D" w:rsidRDefault="009E01DA" w:rsidP="003F3F11">
            <w:pPr>
              <w:jc w:val="center"/>
              <w:rPr>
                <w:sz w:val="20"/>
                <w:szCs w:val="20"/>
              </w:rPr>
            </w:pPr>
          </w:p>
        </w:tc>
        <w:tc>
          <w:tcPr>
            <w:tcW w:w="1628" w:type="dxa"/>
            <w:tcBorders>
              <w:top w:val="single" w:sz="4" w:space="0" w:color="auto"/>
            </w:tcBorders>
            <w:shd w:val="clear" w:color="auto" w:fill="EFF5FB"/>
            <w:vAlign w:val="center"/>
          </w:tcPr>
          <w:p w14:paraId="70D3A029" w14:textId="77777777" w:rsidR="009E01DA" w:rsidRDefault="009E01DA" w:rsidP="003F3F11">
            <w:pPr>
              <w:jc w:val="left"/>
              <w:rPr>
                <w:sz w:val="20"/>
                <w:szCs w:val="20"/>
              </w:rPr>
            </w:pPr>
            <w:r w:rsidRPr="009D49FA">
              <w:rPr>
                <w:sz w:val="20"/>
                <w:szCs w:val="20"/>
              </w:rPr>
              <w:t>K/Mg</w:t>
            </w:r>
            <w:r w:rsidRPr="009D49FA">
              <w:rPr>
                <w:sz w:val="20"/>
                <w:szCs w:val="20"/>
                <w:vertAlign w:val="subscript"/>
              </w:rPr>
              <w:t>santé</w:t>
            </w:r>
          </w:p>
        </w:tc>
        <w:tc>
          <w:tcPr>
            <w:tcW w:w="4252" w:type="dxa"/>
            <w:vMerge/>
            <w:vAlign w:val="center"/>
          </w:tcPr>
          <w:p w14:paraId="01B443E7" w14:textId="77777777" w:rsidR="009E01DA" w:rsidRPr="002B345A" w:rsidRDefault="009E01DA" w:rsidP="003F3F11">
            <w:pPr>
              <w:jc w:val="left"/>
              <w:rPr>
                <w:highlight w:val="yellow"/>
              </w:rPr>
            </w:pPr>
          </w:p>
        </w:tc>
      </w:tr>
      <w:tr w:rsidR="009E01DA" w14:paraId="70299E7D" w14:textId="77777777" w:rsidTr="003F3F11">
        <w:tblPrEx>
          <w:tblCellMar>
            <w:top w:w="0" w:type="dxa"/>
            <w:bottom w:w="0" w:type="dxa"/>
          </w:tblCellMar>
        </w:tblPrEx>
        <w:tc>
          <w:tcPr>
            <w:tcW w:w="1200" w:type="dxa"/>
            <w:vMerge/>
            <w:shd w:val="clear" w:color="auto" w:fill="D1D1D1" w:themeFill="background2" w:themeFillShade="E6"/>
            <w:vAlign w:val="center"/>
          </w:tcPr>
          <w:p w14:paraId="69A5841F" w14:textId="77777777" w:rsidR="009E01DA" w:rsidRPr="00261C30" w:rsidRDefault="009E01DA" w:rsidP="003F3F11">
            <w:pPr>
              <w:jc w:val="left"/>
              <w:rPr>
                <w:b/>
                <w:bCs/>
                <w:sz w:val="20"/>
                <w:szCs w:val="20"/>
              </w:rPr>
            </w:pPr>
          </w:p>
        </w:tc>
        <w:tc>
          <w:tcPr>
            <w:tcW w:w="1239" w:type="dxa"/>
            <w:vMerge w:val="restart"/>
            <w:shd w:val="clear" w:color="auto" w:fill="F2F2F2" w:themeFill="background1" w:themeFillShade="F2"/>
            <w:vAlign w:val="center"/>
          </w:tcPr>
          <w:p w14:paraId="0DCA9AD1" w14:textId="77777777" w:rsidR="009E01DA" w:rsidRPr="0000352D" w:rsidRDefault="009E01DA" w:rsidP="003F3F11">
            <w:pPr>
              <w:jc w:val="left"/>
              <w:rPr>
                <w:sz w:val="20"/>
                <w:szCs w:val="20"/>
              </w:rPr>
            </w:pPr>
            <w:r>
              <w:rPr>
                <w:sz w:val="20"/>
                <w:szCs w:val="20"/>
              </w:rPr>
              <w:t>Fourniture eau</w:t>
            </w:r>
          </w:p>
        </w:tc>
        <w:tc>
          <w:tcPr>
            <w:tcW w:w="748" w:type="dxa"/>
            <w:vMerge w:val="restart"/>
            <w:vAlign w:val="center"/>
          </w:tcPr>
          <w:p w14:paraId="30A1F993"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63B73E59" wp14:editId="07DFD33F">
                      <wp:extent cx="94615" cy="153035"/>
                      <wp:effectExtent l="0" t="38100" r="57785" b="18415"/>
                      <wp:docPr id="1731663065"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047F5D9E"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50F05857" w14:textId="77777777" w:rsidR="009E01DA" w:rsidRDefault="009E01DA" w:rsidP="003F3F11">
            <w:pPr>
              <w:jc w:val="left"/>
              <w:rPr>
                <w:rFonts w:cs="Calibri"/>
                <w:sz w:val="20"/>
                <w:szCs w:val="20"/>
              </w:rPr>
            </w:pPr>
            <w:r>
              <w:rPr>
                <w:sz w:val="20"/>
                <w:szCs w:val="20"/>
              </w:rPr>
              <w:t>REU</w:t>
            </w:r>
            <w:r>
              <w:rPr>
                <w:sz w:val="20"/>
                <w:szCs w:val="20"/>
                <w:vertAlign w:val="subscript"/>
              </w:rPr>
              <w:t>qualité</w:t>
            </w:r>
          </w:p>
        </w:tc>
        <w:tc>
          <w:tcPr>
            <w:tcW w:w="4252" w:type="dxa"/>
            <w:shd w:val="clear" w:color="auto" w:fill="F2F9EB"/>
            <w:vAlign w:val="center"/>
          </w:tcPr>
          <w:p w14:paraId="2F79D693" w14:textId="77777777" w:rsidR="009E01DA" w:rsidRDefault="009E01DA" w:rsidP="003F3F11">
            <w:pPr>
              <w:jc w:val="left"/>
              <w:rPr>
                <w:sz w:val="20"/>
                <w:szCs w:val="20"/>
              </w:rPr>
            </w:pPr>
            <w:r w:rsidRPr="00CF72F7">
              <w:rPr>
                <w:sz w:val="20"/>
                <w:szCs w:val="20"/>
              </w:rPr>
              <w:t>Valeurs optimales</w:t>
            </w:r>
            <w:r>
              <w:rPr>
                <w:sz w:val="20"/>
                <w:szCs w:val="20"/>
              </w:rPr>
              <w:t xml:space="preserve"> pour croissance racinaire </w:t>
            </w:r>
            <w:r>
              <w:rPr>
                <w:sz w:val="20"/>
                <w:szCs w:val="20"/>
              </w:rPr>
              <w:fldChar w:fldCharType="begin"/>
            </w:r>
            <w:r>
              <w:rPr>
                <w:sz w:val="20"/>
                <w:szCs w:val="20"/>
              </w:rPr>
              <w:instrText xml:space="preserve"> ADDIN ZOTERO_ITEM CSL_CITATION {"citationID":"wfh9soWb","properties":{"unsorted":false,"formattedCitation":"(Bielders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rPr>
                <w:sz w:val="20"/>
                <w:szCs w:val="20"/>
              </w:rPr>
              <w:fldChar w:fldCharType="separate"/>
            </w:r>
            <w:r w:rsidRPr="00EE551E">
              <w:rPr>
                <w:rFonts w:cs="Calibri"/>
                <w:sz w:val="20"/>
              </w:rPr>
              <w:t>(Bielders et al., 2013)</w:t>
            </w:r>
            <w:r>
              <w:rPr>
                <w:sz w:val="20"/>
                <w:szCs w:val="20"/>
              </w:rPr>
              <w:fldChar w:fldCharType="end"/>
            </w:r>
          </w:p>
        </w:tc>
      </w:tr>
      <w:tr w:rsidR="009E01DA" w14:paraId="45AC73C1" w14:textId="77777777" w:rsidTr="003F3F11">
        <w:tblPrEx>
          <w:tblCellMar>
            <w:top w:w="0" w:type="dxa"/>
            <w:bottom w:w="0" w:type="dxa"/>
          </w:tblCellMar>
        </w:tblPrEx>
        <w:tc>
          <w:tcPr>
            <w:tcW w:w="1200" w:type="dxa"/>
            <w:vMerge/>
            <w:shd w:val="clear" w:color="auto" w:fill="D1D1D1" w:themeFill="background2" w:themeFillShade="E6"/>
            <w:vAlign w:val="center"/>
          </w:tcPr>
          <w:p w14:paraId="07B2207E"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79537A5" w14:textId="77777777" w:rsidR="009E01DA" w:rsidRPr="0000352D" w:rsidRDefault="009E01DA" w:rsidP="003F3F11">
            <w:pPr>
              <w:jc w:val="left"/>
              <w:rPr>
                <w:sz w:val="20"/>
                <w:szCs w:val="20"/>
              </w:rPr>
            </w:pPr>
          </w:p>
        </w:tc>
        <w:tc>
          <w:tcPr>
            <w:tcW w:w="748" w:type="dxa"/>
            <w:vMerge/>
            <w:vAlign w:val="center"/>
          </w:tcPr>
          <w:p w14:paraId="1284A5C9" w14:textId="77777777" w:rsidR="009E01DA" w:rsidRPr="0000352D" w:rsidRDefault="009E01DA" w:rsidP="003F3F11">
            <w:pPr>
              <w:jc w:val="center"/>
              <w:rPr>
                <w:sz w:val="20"/>
                <w:szCs w:val="20"/>
              </w:rPr>
            </w:pPr>
          </w:p>
        </w:tc>
        <w:tc>
          <w:tcPr>
            <w:tcW w:w="1628" w:type="dxa"/>
            <w:shd w:val="clear" w:color="auto" w:fill="EFF5FB"/>
            <w:vAlign w:val="center"/>
          </w:tcPr>
          <w:p w14:paraId="05D8D8A1" w14:textId="77777777" w:rsidR="009E01DA" w:rsidRDefault="009E01DA" w:rsidP="003F3F11">
            <w:pPr>
              <w:jc w:val="left"/>
              <w:rPr>
                <w:rFonts w:cs="Calibri"/>
                <w:sz w:val="20"/>
                <w:szCs w:val="20"/>
              </w:rPr>
            </w:pPr>
            <w:r>
              <w:rPr>
                <w:sz w:val="20"/>
                <w:szCs w:val="20"/>
              </w:rPr>
              <w:t>REU</w:t>
            </w:r>
            <w:r>
              <w:rPr>
                <w:sz w:val="20"/>
                <w:szCs w:val="20"/>
                <w:vertAlign w:val="subscript"/>
              </w:rPr>
              <w:t>santé</w:t>
            </w:r>
          </w:p>
        </w:tc>
        <w:tc>
          <w:tcPr>
            <w:tcW w:w="4252" w:type="dxa"/>
            <w:shd w:val="clear" w:color="auto" w:fill="EFF5FB"/>
            <w:vAlign w:val="center"/>
          </w:tcPr>
          <w:p w14:paraId="6AFB4C56" w14:textId="77777777" w:rsidR="009E01DA" w:rsidRDefault="009E01DA" w:rsidP="003F3F11">
            <w:pPr>
              <w:jc w:val="left"/>
              <w:rPr>
                <w:sz w:val="20"/>
                <w:szCs w:val="20"/>
              </w:rPr>
            </w:pPr>
            <w:r>
              <w:rPr>
                <w:sz w:val="20"/>
                <w:szCs w:val="20"/>
              </w:rPr>
              <w:t>Comparaison à la valeur optimale (MO optimisée)</w:t>
            </w:r>
          </w:p>
        </w:tc>
      </w:tr>
      <w:tr w:rsidR="009E01DA" w14:paraId="78EB1166" w14:textId="77777777" w:rsidTr="003F3F11">
        <w:tblPrEx>
          <w:tblCellMar>
            <w:top w:w="0" w:type="dxa"/>
            <w:bottom w:w="0" w:type="dxa"/>
          </w:tblCellMar>
        </w:tblPrEx>
        <w:tc>
          <w:tcPr>
            <w:tcW w:w="1200" w:type="dxa"/>
            <w:vMerge/>
            <w:shd w:val="clear" w:color="auto" w:fill="D1D1D1" w:themeFill="background2" w:themeFillShade="E6"/>
            <w:vAlign w:val="center"/>
          </w:tcPr>
          <w:p w14:paraId="03E19E57" w14:textId="77777777" w:rsidR="009E01DA" w:rsidRPr="00261C30" w:rsidRDefault="009E01DA" w:rsidP="003F3F11">
            <w:pPr>
              <w:jc w:val="left"/>
              <w:rPr>
                <w:b/>
                <w:bCs/>
                <w:sz w:val="20"/>
                <w:szCs w:val="20"/>
              </w:rPr>
            </w:pPr>
          </w:p>
        </w:tc>
        <w:tc>
          <w:tcPr>
            <w:tcW w:w="1239" w:type="dxa"/>
            <w:vMerge w:val="restart"/>
            <w:tcBorders>
              <w:top w:val="single" w:sz="4" w:space="0" w:color="FFFFFF" w:themeColor="background1"/>
            </w:tcBorders>
            <w:shd w:val="clear" w:color="auto" w:fill="F2F2F2" w:themeFill="background1" w:themeFillShade="F2"/>
            <w:vAlign w:val="center"/>
          </w:tcPr>
          <w:p w14:paraId="01842050" w14:textId="77777777" w:rsidR="009E01DA" w:rsidRPr="0000352D" w:rsidRDefault="009E01DA" w:rsidP="003F3F11">
            <w:pPr>
              <w:jc w:val="left"/>
              <w:rPr>
                <w:sz w:val="20"/>
                <w:szCs w:val="20"/>
              </w:rPr>
            </w:pPr>
            <w:r w:rsidRPr="0000352D">
              <w:rPr>
                <w:sz w:val="20"/>
                <w:szCs w:val="20"/>
              </w:rPr>
              <w:t>Structure</w:t>
            </w:r>
          </w:p>
        </w:tc>
        <w:tc>
          <w:tcPr>
            <w:tcW w:w="748" w:type="dxa"/>
            <w:vMerge w:val="restart"/>
            <w:tcBorders>
              <w:top w:val="single" w:sz="4" w:space="0" w:color="FFFFFF" w:themeColor="background1"/>
            </w:tcBorders>
            <w:vAlign w:val="center"/>
          </w:tcPr>
          <w:p w14:paraId="44D85316"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30B7D57B" wp14:editId="17858F00">
                      <wp:extent cx="94615" cy="153035"/>
                      <wp:effectExtent l="0" t="0" r="76835" b="56515"/>
                      <wp:docPr id="687576109" name="Connecteur droit avec flèche 1"/>
                      <wp:cNvGraphicFramePr/>
                      <a:graphic xmlns:a="http://schemas.openxmlformats.org/drawingml/2006/main">
                        <a:graphicData uri="http://schemas.microsoft.com/office/word/2010/wordprocessingShape">
                          <wps:wsp>
                            <wps:cNvCnPr/>
                            <wps:spPr>
                              <a:xfrm>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A5650F1" id="Connecteur droit avec flèche 1" o:spid="_x0000_s1026" type="#_x0000_t32" style="width:7.45pt;height:12.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" strokecolor="#0e2841 [3215]" strokeweight="1pt">
                      <v:stroke endarrow="block" joinstyle="miter"/>
                      <w10:anchorlock/>
                    </v:shape>
                  </w:pict>
                </mc:Fallback>
              </mc:AlternateContent>
            </w:r>
          </w:p>
        </w:tc>
        <w:tc>
          <w:tcPr>
            <w:tcW w:w="1628" w:type="dxa"/>
            <w:tcBorders>
              <w:top w:val="single" w:sz="4" w:space="0" w:color="FFFFFF" w:themeColor="background1"/>
            </w:tcBorders>
            <w:shd w:val="clear" w:color="auto" w:fill="F2F9EB"/>
            <w:vAlign w:val="center"/>
          </w:tcPr>
          <w:p w14:paraId="39F84B69" w14:textId="77777777" w:rsidR="009E01DA" w:rsidRDefault="009E01DA" w:rsidP="003F3F11">
            <w:pPr>
              <w:jc w:val="left"/>
              <w:rPr>
                <w:rFonts w:cs="Calibri"/>
                <w:sz w:val="20"/>
                <w:szCs w:val="20"/>
              </w:rPr>
            </w:pPr>
            <w:r>
              <w:rPr>
                <w:sz w:val="20"/>
                <w:szCs w:val="20"/>
              </w:rPr>
              <w:t>VESS</w:t>
            </w:r>
            <w:r>
              <w:rPr>
                <w:sz w:val="20"/>
                <w:szCs w:val="20"/>
                <w:vertAlign w:val="subscript"/>
              </w:rPr>
              <w:t>qualité</w:t>
            </w:r>
          </w:p>
        </w:tc>
        <w:tc>
          <w:tcPr>
            <w:tcW w:w="4252" w:type="dxa"/>
            <w:vMerge w:val="restart"/>
            <w:vAlign w:val="center"/>
          </w:tcPr>
          <w:p w14:paraId="0571C6FA" w14:textId="77777777" w:rsidR="009E01DA" w:rsidRDefault="009E01DA" w:rsidP="003F3F11">
            <w:pPr>
              <w:jc w:val="left"/>
              <w:rPr>
                <w:sz w:val="20"/>
                <w:szCs w:val="20"/>
              </w:rPr>
            </w:pPr>
            <w:r w:rsidRPr="0000352D">
              <w:rPr>
                <w:sz w:val="20"/>
                <w:szCs w:val="20"/>
              </w:rPr>
              <w:t xml:space="preserve">Valeurs optimales pour croissance racinaire </w:t>
            </w:r>
            <w:r>
              <w:rPr>
                <w:sz w:val="20"/>
                <w:szCs w:val="20"/>
              </w:rPr>
              <w:fldChar w:fldCharType="begin"/>
            </w:r>
            <w:r>
              <w:rPr>
                <w:sz w:val="20"/>
                <w:szCs w:val="20"/>
              </w:rPr>
              <w:instrText xml:space="preserve"> ADDIN ZOTERO_ITEM CSL_CITATION {"citationID":"kOYiCpII","properties":{"unsorted":false,"formattedCitation":"(Ball et al., 2017)","plainCitation":"(Ball et al., 2017)","noteIndex":0},"citationItems":[{"id":471,"uris":["http://zotero.org/groups/5684833/items/AGAM8FM8"],"itemData":{"id":471,"type":"article-journal","abstract":"Visual soil evaluation techniques have gained popularity and are increasingly used in agriculture and soil science for research, consultancy and teaching purposes. We describe recent applications, developments, opportunities and limitations, mainly of the Visual Evaluation of Soil Structure (for topsoil (VESS) and for subsoil (SubVESS)), and of the Visual Soil Assessment (VSA). Data are taken from experiments on compaction and from assessments made in farmer’s fields in the UK, Brazil and New Zealand. The methods are widely used to detect compaction and are well-suited for monitoring changes in compaction status, particularly in relation to weather extremes. VESS proved useful in distinguishing grazing vs wheel compaction in the UK and Brazil by permitting detection of layers at different depths within the topsoil zone. The depths of compact layers are important for scoring management decisions for soil improvement. However the use of scores as limiting thresholds in different soil types needs the support of further soil measurements and/or additional visual assessments of soil and crop. VSA and VESS were also used to estimate the risk of significant soil emissions of nitrous oxide where compaction damage was present and rates of mineral N fertiliser were high. Visual assessments also have the potential to assess the risk of surface water runoff and nutrient loss. The potential role of soil colour was shown for the further development of visual evaluation techniques for a soil carbon storage index. Visual soil evaluation techniques also provide a useful visual aid for improving soil awareness in groups of stakeholders, helping the exchange of knowledge and ideas for innovation in agriculture.","collection-title":"Visual soil evaluation and soil compaction research","container-title":"Soil and Tillage Research","DOI":"10.1016/j.still.2016.07.006","ISSN":"0167-1987","journalAbbreviation":"Soil and Tillage Research","page":"114-124","source":"ScienceDirect","title":"Visual soil evaluation: A summary of some applications and potential developments for agriculture","title-short":"Visual soil evaluation","volume":"173","author":[{"family":"Ball","given":"Bruce C."},{"family":"Guimarães","given":"Rachel M. L."},{"family":"Cloy","given":"Joanna M."},{"family":"Hargreaves","given":"Paul R."},{"family":"Shepherd","given":"T. Graham"},{"family":"McKenzie","given":"Blair M."}],"issued":{"date-parts":[["2017",11,1]]}}}],"schema":"https://github.com/citation-style-language/schema/raw/master/csl-citation.json"} </w:instrText>
            </w:r>
            <w:r>
              <w:rPr>
                <w:sz w:val="20"/>
                <w:szCs w:val="20"/>
              </w:rPr>
              <w:fldChar w:fldCharType="separate"/>
            </w:r>
            <w:r w:rsidRPr="00DA409C">
              <w:rPr>
                <w:rFonts w:cs="Calibri"/>
                <w:sz w:val="20"/>
              </w:rPr>
              <w:t>(Ball et al., 2017)</w:t>
            </w:r>
            <w:r>
              <w:rPr>
                <w:sz w:val="20"/>
                <w:szCs w:val="20"/>
              </w:rPr>
              <w:fldChar w:fldCharType="end"/>
            </w:r>
          </w:p>
        </w:tc>
      </w:tr>
      <w:tr w:rsidR="009E01DA" w14:paraId="031B1867" w14:textId="77777777" w:rsidTr="003F3F11">
        <w:tblPrEx>
          <w:tblCellMar>
            <w:top w:w="0" w:type="dxa"/>
            <w:bottom w:w="0" w:type="dxa"/>
          </w:tblCellMar>
        </w:tblPrEx>
        <w:tc>
          <w:tcPr>
            <w:tcW w:w="1200" w:type="dxa"/>
            <w:vMerge/>
            <w:shd w:val="clear" w:color="auto" w:fill="D1D1D1" w:themeFill="background2" w:themeFillShade="E6"/>
            <w:vAlign w:val="center"/>
          </w:tcPr>
          <w:p w14:paraId="6D07792D"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2C0AEC1" w14:textId="77777777" w:rsidR="009E01DA" w:rsidRPr="0000352D" w:rsidRDefault="009E01DA" w:rsidP="003F3F11">
            <w:pPr>
              <w:jc w:val="left"/>
              <w:rPr>
                <w:sz w:val="20"/>
                <w:szCs w:val="20"/>
              </w:rPr>
            </w:pPr>
          </w:p>
        </w:tc>
        <w:tc>
          <w:tcPr>
            <w:tcW w:w="748" w:type="dxa"/>
            <w:vMerge/>
            <w:vAlign w:val="center"/>
          </w:tcPr>
          <w:p w14:paraId="44FD023F" w14:textId="77777777" w:rsidR="009E01DA" w:rsidRPr="0000352D" w:rsidRDefault="009E01DA" w:rsidP="003F3F11">
            <w:pPr>
              <w:jc w:val="center"/>
              <w:rPr>
                <w:sz w:val="20"/>
                <w:szCs w:val="20"/>
              </w:rPr>
            </w:pPr>
          </w:p>
        </w:tc>
        <w:tc>
          <w:tcPr>
            <w:tcW w:w="1628" w:type="dxa"/>
            <w:shd w:val="clear" w:color="auto" w:fill="EFF5FB"/>
            <w:vAlign w:val="center"/>
          </w:tcPr>
          <w:p w14:paraId="394C0673" w14:textId="77777777" w:rsidR="009E01DA" w:rsidRDefault="009E01DA" w:rsidP="003F3F11">
            <w:pPr>
              <w:jc w:val="left"/>
              <w:rPr>
                <w:rFonts w:cs="Calibri"/>
                <w:sz w:val="20"/>
                <w:szCs w:val="20"/>
              </w:rPr>
            </w:pPr>
            <w:r>
              <w:rPr>
                <w:sz w:val="20"/>
                <w:szCs w:val="20"/>
              </w:rPr>
              <w:t>VESS</w:t>
            </w:r>
            <w:r>
              <w:rPr>
                <w:sz w:val="20"/>
                <w:szCs w:val="20"/>
                <w:vertAlign w:val="subscript"/>
              </w:rPr>
              <w:t>santé</w:t>
            </w:r>
          </w:p>
        </w:tc>
        <w:tc>
          <w:tcPr>
            <w:tcW w:w="4252" w:type="dxa"/>
            <w:vMerge/>
            <w:vAlign w:val="center"/>
          </w:tcPr>
          <w:p w14:paraId="34A04245" w14:textId="77777777" w:rsidR="009E01DA" w:rsidRDefault="009E01DA" w:rsidP="003F3F11">
            <w:pPr>
              <w:jc w:val="left"/>
              <w:rPr>
                <w:sz w:val="20"/>
                <w:szCs w:val="20"/>
              </w:rPr>
            </w:pPr>
          </w:p>
        </w:tc>
      </w:tr>
      <w:tr w:rsidR="009E01DA" w14:paraId="6A5D80FF" w14:textId="77777777" w:rsidTr="003F3F11">
        <w:tblPrEx>
          <w:tblCellMar>
            <w:top w:w="0" w:type="dxa"/>
            <w:bottom w:w="0" w:type="dxa"/>
          </w:tblCellMar>
        </w:tblPrEx>
        <w:tc>
          <w:tcPr>
            <w:tcW w:w="1200" w:type="dxa"/>
            <w:vMerge/>
            <w:shd w:val="clear" w:color="auto" w:fill="D1D1D1" w:themeFill="background2" w:themeFillShade="E6"/>
            <w:vAlign w:val="center"/>
          </w:tcPr>
          <w:p w14:paraId="4183D7E6"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79FE5A09" w14:textId="77777777" w:rsidR="009E01DA" w:rsidRPr="0000352D" w:rsidRDefault="009E01DA" w:rsidP="003F3F11">
            <w:pPr>
              <w:jc w:val="left"/>
              <w:rPr>
                <w:sz w:val="20"/>
                <w:szCs w:val="20"/>
              </w:rPr>
            </w:pPr>
          </w:p>
        </w:tc>
        <w:tc>
          <w:tcPr>
            <w:tcW w:w="748" w:type="dxa"/>
            <w:vMerge w:val="restart"/>
            <w:tcBorders>
              <w:top w:val="single" w:sz="4" w:space="0" w:color="FFFFFF" w:themeColor="background1"/>
            </w:tcBorders>
            <w:vAlign w:val="center"/>
          </w:tcPr>
          <w:p w14:paraId="2DD1070D"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79CBB921" wp14:editId="178A27CB">
                      <wp:extent cx="248400" cy="0"/>
                      <wp:effectExtent l="38100" t="76200" r="18415" b="95250"/>
                      <wp:docPr id="527244355"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5EFD8D22"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628" w:type="dxa"/>
            <w:tcBorders>
              <w:top w:val="single" w:sz="4" w:space="0" w:color="FFFFFF" w:themeColor="background1"/>
            </w:tcBorders>
            <w:shd w:val="clear" w:color="auto" w:fill="F2F9EB"/>
            <w:vAlign w:val="center"/>
          </w:tcPr>
          <w:p w14:paraId="47085A42" w14:textId="77777777" w:rsidR="009E01DA" w:rsidRDefault="009E01DA" w:rsidP="003F3F11">
            <w:pPr>
              <w:jc w:val="left"/>
              <w:rPr>
                <w:rFonts w:cs="Calibri"/>
                <w:sz w:val="20"/>
                <w:szCs w:val="20"/>
              </w:rPr>
            </w:pPr>
            <w:r>
              <w:rPr>
                <w:rFonts w:cs="Calibri"/>
              </w:rPr>
              <w:t>ρ</w:t>
            </w:r>
            <w:r>
              <w:rPr>
                <w:rFonts w:cs="Calibri"/>
                <w:vertAlign w:val="subscript"/>
              </w:rPr>
              <w:t xml:space="preserve">b </w:t>
            </w:r>
            <w:r>
              <w:rPr>
                <w:sz w:val="20"/>
                <w:szCs w:val="20"/>
                <w:vertAlign w:val="subscript"/>
              </w:rPr>
              <w:t>qualité</w:t>
            </w:r>
          </w:p>
        </w:tc>
        <w:tc>
          <w:tcPr>
            <w:tcW w:w="4252" w:type="dxa"/>
            <w:tcBorders>
              <w:top w:val="single" w:sz="4" w:space="0" w:color="FFFFFF" w:themeColor="background1"/>
            </w:tcBorders>
            <w:shd w:val="clear" w:color="auto" w:fill="F2F9EB"/>
            <w:vAlign w:val="center"/>
          </w:tcPr>
          <w:p w14:paraId="267B7C55" w14:textId="77777777" w:rsidR="009E01DA" w:rsidRDefault="009E01DA" w:rsidP="003F3F11">
            <w:pPr>
              <w:jc w:val="left"/>
              <w:rPr>
                <w:sz w:val="20"/>
                <w:szCs w:val="20"/>
              </w:rPr>
            </w:pPr>
            <w:r w:rsidRPr="0000352D">
              <w:rPr>
                <w:sz w:val="20"/>
                <w:szCs w:val="20"/>
              </w:rPr>
              <w:t xml:space="preserve">Valeurs optimales pour croissance racinaire </w:t>
            </w:r>
            <w:r>
              <w:rPr>
                <w:sz w:val="20"/>
                <w:szCs w:val="20"/>
              </w:rPr>
              <w:fldChar w:fldCharType="begin"/>
            </w:r>
            <w:r>
              <w:rPr>
                <w:sz w:val="20"/>
                <w:szCs w:val="20"/>
              </w:rPr>
              <w:instrText xml:space="preserve"> ADDIN ZOTERO_ITEM CSL_CITATION {"citationID":"180WNerY","properties":{"unsorted":false,"formattedCitation":"(Bielders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rPr>
                <w:sz w:val="20"/>
                <w:szCs w:val="20"/>
              </w:rPr>
              <w:fldChar w:fldCharType="separate"/>
            </w:r>
            <w:r w:rsidRPr="00E845A3">
              <w:rPr>
                <w:rFonts w:cs="Calibri"/>
                <w:sz w:val="20"/>
              </w:rPr>
              <w:t>(Bielders et al., 2013)</w:t>
            </w:r>
            <w:r>
              <w:rPr>
                <w:sz w:val="20"/>
                <w:szCs w:val="20"/>
              </w:rPr>
              <w:fldChar w:fldCharType="end"/>
            </w:r>
          </w:p>
        </w:tc>
      </w:tr>
      <w:tr w:rsidR="009E01DA" w14:paraId="724BBDC9" w14:textId="77777777" w:rsidTr="003F3F11">
        <w:tc>
          <w:tcPr>
            <w:tcW w:w="1200" w:type="dxa"/>
            <w:vMerge/>
            <w:shd w:val="clear" w:color="auto" w:fill="D1D1D1" w:themeFill="background2" w:themeFillShade="E6"/>
            <w:vAlign w:val="center"/>
          </w:tcPr>
          <w:p w14:paraId="202AB8B7"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21FD048C" w14:textId="77777777" w:rsidR="009E01DA" w:rsidRPr="0000352D" w:rsidRDefault="009E01DA" w:rsidP="003F3F11">
            <w:pPr>
              <w:jc w:val="left"/>
              <w:rPr>
                <w:sz w:val="20"/>
                <w:szCs w:val="20"/>
              </w:rPr>
            </w:pPr>
          </w:p>
        </w:tc>
        <w:tc>
          <w:tcPr>
            <w:tcW w:w="748" w:type="dxa"/>
            <w:vMerge/>
            <w:vAlign w:val="center"/>
          </w:tcPr>
          <w:p w14:paraId="02A42DF4" w14:textId="77777777" w:rsidR="009E01DA" w:rsidRPr="0000352D" w:rsidRDefault="009E01DA" w:rsidP="003F3F11">
            <w:pPr>
              <w:jc w:val="center"/>
              <w:rPr>
                <w:sz w:val="20"/>
                <w:szCs w:val="20"/>
              </w:rPr>
            </w:pPr>
          </w:p>
        </w:tc>
        <w:tc>
          <w:tcPr>
            <w:tcW w:w="1628" w:type="dxa"/>
            <w:vMerge w:val="restart"/>
            <w:shd w:val="clear" w:color="auto" w:fill="EFF5FB"/>
            <w:vAlign w:val="center"/>
          </w:tcPr>
          <w:p w14:paraId="6F839ADE" w14:textId="77777777" w:rsidR="009E01DA" w:rsidRDefault="009E01DA" w:rsidP="003F3F11">
            <w:pPr>
              <w:jc w:val="left"/>
              <w:rPr>
                <w:rFonts w:cs="Calibri"/>
                <w:sz w:val="20"/>
                <w:szCs w:val="20"/>
              </w:rPr>
            </w:pPr>
            <w:r>
              <w:rPr>
                <w:rFonts w:cs="Calibri"/>
              </w:rPr>
              <w:t>ρ</w:t>
            </w:r>
            <w:r>
              <w:rPr>
                <w:rFonts w:cs="Calibri"/>
                <w:vertAlign w:val="subscript"/>
              </w:rPr>
              <w:t>b</w:t>
            </w:r>
            <w:r>
              <w:rPr>
                <w:sz w:val="20"/>
                <w:szCs w:val="20"/>
                <w:vertAlign w:val="subscript"/>
              </w:rPr>
              <w:t xml:space="preserve"> santé</w:t>
            </w:r>
          </w:p>
        </w:tc>
        <w:tc>
          <w:tcPr>
            <w:tcW w:w="4252" w:type="dxa"/>
            <w:shd w:val="clear" w:color="auto" w:fill="EFF5FB"/>
            <w:vAlign w:val="center"/>
          </w:tcPr>
          <w:p w14:paraId="26D91D74" w14:textId="77777777" w:rsidR="009E01DA" w:rsidRPr="0000352D" w:rsidRDefault="009E01DA" w:rsidP="003F3F11">
            <w:pPr>
              <w:jc w:val="left"/>
              <w:rPr>
                <w:sz w:val="20"/>
                <w:szCs w:val="20"/>
              </w:rPr>
            </w:pPr>
            <w:r>
              <w:rPr>
                <w:sz w:val="20"/>
                <w:szCs w:val="20"/>
              </w:rPr>
              <w:t xml:space="preserve">(C-P-EV) </w:t>
            </w:r>
            <w:r w:rsidRPr="0000352D">
              <w:rPr>
                <w:sz w:val="20"/>
                <w:szCs w:val="20"/>
              </w:rPr>
              <w:t xml:space="preserve">Valeurs </w:t>
            </w:r>
            <w:r>
              <w:rPr>
                <w:sz w:val="20"/>
                <w:szCs w:val="20"/>
              </w:rPr>
              <w:t>idéales</w:t>
            </w:r>
            <w:r w:rsidRPr="0000352D">
              <w:rPr>
                <w:sz w:val="20"/>
                <w:szCs w:val="20"/>
              </w:rPr>
              <w:t xml:space="preserve"> </w:t>
            </w:r>
            <w:r>
              <w:rPr>
                <w:sz w:val="20"/>
                <w:szCs w:val="20"/>
              </w:rPr>
              <w:t xml:space="preserve">par classe texturale pour des cultures </w:t>
            </w:r>
            <w:r>
              <w:rPr>
                <w:sz w:val="20"/>
                <w:szCs w:val="20"/>
              </w:rPr>
              <w:fldChar w:fldCharType="begin"/>
            </w:r>
            <w:r>
              <w:rPr>
                <w:sz w:val="20"/>
                <w:szCs w:val="20"/>
              </w:rPr>
              <w:instrText xml:space="preserve"> ADDIN ZOTERO_ITEM CSL_CITATION {"citationID":"CN5H1qTH","properties":{"unsorted":false,"formattedCitation":"(Calzolari et al., 2019)","plainCitation":"(Calzolari et al., 2019)","noteIndex":0},"citationItems":[{"id":562,"uris":["http://zotero.org/groups/5684833/items/DL92HZTX"],"itemData":{"id":562,"type":"article-journal","abstract":"Urban soils are deeply influenced by human activities. They consist of materials different from those of nearby agricultural or natural areas, due to mechanical disturbance, supply or removal of material, contamination with exogenous materials (plastics, asphalt, pollutants, etc.). They are the result of urbanization activities that involve total or partial sealing of the surfaces (Morel et al. 2005).\nThe development of urban soils is controlled by the same factors as natural soils, with a clear and important prevalence of the anthropic factor. The survey of urban soils therefore follows the same criteria of surveying natural or agricultural soils, taking into account that the anthropic disturbance in addition to being prevalent acts in a very short time. This causes a strong heterogeneity in the spatial distribution of the soils and of their characteristics that is problematic to solve in a detailed soil map. \nHuman disturbed soils are classified (FAO World Reference Base For Soil Resources, IUSS - Working Group WRB, 2014) as: \no Anthrosols: soil that has been formed or heavily modified due to long-term human activity, such as from irrigation, addition of organic waste or wet-field cultivation used to create paddy fields\no Technosols: are dominated by their technical origin. They contain either a significant (20% or more) amount of artefacts or some sort of geotechnical liner, or are sealed by technic hard rock (hard material created by humans, having properties unlike natural rock).\nUrban soils perform the same functions as a natural soil contributing to the provision of Ecosystem Services. However, the degree of disturbance to which they are subjected, the level of sealing and the type of coverage have an influence that needs to be described in detail and taken into account.\nGiven the great variability of the urban environment and the differences between different urban environments, there are still no standardized references for the survey and mapping of urban soils. There are some experiences, such as the map of the city of Berlin (https://www.stadtentwicklung.berlin.de/umwelt/umweltatlas/dinh_01.htm) and of New York City (http://www.soilandwater.nyc/urban-soils.html). \nWithin the SOS4LIFE project, a methodology has been developed for defining  urban soil mapping units in the study case of the town of Carpi (MO), based on the type of \"natural\" soils below the urban fabric, the urban typologies and the land cover of unsealed soils. Considering that most of the SEs in urban areas are provided by green areas, the assessment of soils and related functionality has been concentrated in gardens and parks, sports fields and on peri-urban agricultural areas. The gardens in private allotments were not considered, having verified the high degree of impermeabilization of the same (driveways, parking lots, access ramps to garages, etc.). However, even these soils, although strongly altered, maintain some functionalities. The SEs considered are therefore generally underestimated for the entire city.","language":"cpe","note":"Accepted: 2024-02-19T13:57:35Z","source":"iris.cnr.it","title":"Guidelines for assessing soil ecosystem services in urban environment and their management - LIFE15 ENV/IT/000225 GUIDELINES ACTION B1.3","URL":"https://iris.cnr.it/handle/20.500.14243/362331","author":[{"family":"Calzolari","given":"Costanza"},{"family":"Ungaro","given":"Fabrizio"},{"family":"Maienza","given":"Anita"},{"family":"Marchi","given":"Nazaria"},{"family":"Tarocco","given":"Paola"}],"accessed":{"date-parts":[["2026",5,31]]},"issued":{"date-parts":[["2019"]]}}}],"schema":"https://github.com/citation-style-language/schema/raw/master/csl-citation.json"} </w:instrText>
            </w:r>
            <w:r>
              <w:rPr>
                <w:sz w:val="20"/>
                <w:szCs w:val="20"/>
              </w:rPr>
              <w:fldChar w:fldCharType="separate"/>
            </w:r>
            <w:r w:rsidRPr="00C03C8D">
              <w:rPr>
                <w:rFonts w:cs="Calibri"/>
                <w:sz w:val="20"/>
              </w:rPr>
              <w:t>(Calzolari et al., 2019)</w:t>
            </w:r>
            <w:r>
              <w:rPr>
                <w:sz w:val="20"/>
                <w:szCs w:val="20"/>
              </w:rPr>
              <w:fldChar w:fldCharType="end"/>
            </w:r>
            <w:r w:rsidRPr="0000352D">
              <w:rPr>
                <w:sz w:val="20"/>
                <w:szCs w:val="20"/>
              </w:rPr>
              <w:t xml:space="preserve"> </w:t>
            </w:r>
          </w:p>
        </w:tc>
      </w:tr>
      <w:tr w:rsidR="009E01DA" w:rsidRPr="0000352D" w14:paraId="2525D4AB" w14:textId="77777777" w:rsidTr="003F3F11">
        <w:tc>
          <w:tcPr>
            <w:tcW w:w="1200" w:type="dxa"/>
            <w:vMerge/>
            <w:shd w:val="clear" w:color="auto" w:fill="D1D1D1" w:themeFill="background2" w:themeFillShade="E6"/>
            <w:vAlign w:val="center"/>
          </w:tcPr>
          <w:p w14:paraId="5EBCAF45"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079CCF99" w14:textId="77777777" w:rsidR="009E01DA" w:rsidRPr="0000352D" w:rsidRDefault="009E01DA" w:rsidP="003F3F11">
            <w:pPr>
              <w:jc w:val="left"/>
              <w:rPr>
                <w:sz w:val="20"/>
                <w:szCs w:val="20"/>
              </w:rPr>
            </w:pPr>
          </w:p>
        </w:tc>
        <w:tc>
          <w:tcPr>
            <w:tcW w:w="748" w:type="dxa"/>
            <w:vMerge/>
            <w:vAlign w:val="center"/>
          </w:tcPr>
          <w:p w14:paraId="25D4D8C8" w14:textId="77777777" w:rsidR="009E01DA" w:rsidRPr="0000352D" w:rsidRDefault="009E01DA" w:rsidP="003F3F11">
            <w:pPr>
              <w:jc w:val="center"/>
              <w:rPr>
                <w:sz w:val="20"/>
                <w:szCs w:val="20"/>
              </w:rPr>
            </w:pPr>
          </w:p>
        </w:tc>
        <w:tc>
          <w:tcPr>
            <w:tcW w:w="1628" w:type="dxa"/>
            <w:vMerge/>
            <w:shd w:val="clear" w:color="auto" w:fill="EFF5FB"/>
            <w:vAlign w:val="center"/>
          </w:tcPr>
          <w:p w14:paraId="718D2CF9" w14:textId="77777777" w:rsidR="009E01DA" w:rsidRDefault="009E01DA" w:rsidP="003F3F11">
            <w:pPr>
              <w:jc w:val="left"/>
              <w:rPr>
                <w:rFonts w:cs="Calibri"/>
                <w:sz w:val="20"/>
                <w:szCs w:val="20"/>
              </w:rPr>
            </w:pPr>
          </w:p>
        </w:tc>
        <w:tc>
          <w:tcPr>
            <w:tcW w:w="4252" w:type="dxa"/>
            <w:shd w:val="clear" w:color="auto" w:fill="EFF5FB"/>
            <w:vAlign w:val="center"/>
          </w:tcPr>
          <w:p w14:paraId="50032EC3" w14:textId="77777777" w:rsidR="009E01DA" w:rsidRDefault="009E01DA" w:rsidP="003F3F11">
            <w:pPr>
              <w:jc w:val="left"/>
              <w:rPr>
                <w:sz w:val="20"/>
                <w:szCs w:val="20"/>
              </w:rPr>
            </w:pPr>
            <w:r>
              <w:rPr>
                <w:sz w:val="20"/>
                <w:szCs w:val="20"/>
              </w:rPr>
              <w:t xml:space="preserve">(F) Valeurs idéales par classe texturale déterminées empiriquement pour des essences forestières </w:t>
            </w:r>
            <w:r>
              <w:rPr>
                <w:sz w:val="20"/>
                <w:szCs w:val="20"/>
              </w:rPr>
              <w:fldChar w:fldCharType="begin"/>
            </w:r>
            <w:r>
              <w:rPr>
                <w:sz w:val="20"/>
                <w:szCs w:val="20"/>
              </w:rPr>
              <w:instrText xml:space="preserve"> ADDIN ZOTERO_ITEM CSL_CITATION {"citationID":"KwALFI3v","properties":{"unsorted":false,"formattedCitation":"(Ampoorter et al., 2011)","plainCitation":"(Ampoorter et al., 2011)","noteIndex":0},"citationItems":[{"id":438,"uris":["http://zotero.org/groups/5684833/items/JA2Y6HI7"],"itemData":{"id":438,"type":"article-journal","abstract":"Soil compaction due to mechanized harvesting operations in forests can have profound effects on forest soils and, hence, can have a detrimental effect on subsequent forest regeneration. We performed a meta-analysis to quantify the effect of soil compaction on height growth, diameter growth, and survival of tree saplings. These effects were predominantly insignificant, varied strongly and were thus not unambiguously negative. Only on silty soils, growth and survival were significantly reduced by soil compaction, which contrasted with sandy and loamy soils, where the effect of soil compaction was negligible or even slightly positive. A weighted analysis revealed an overall decrease of height growth on the compacted areas, but this result should be interpreted with caution due to the limited number of observations. Although results did not show an overall negative effect of soil compaction, harvesting activities should focus on minimizing soil compaction degree and extent to prevent a decrease of soil productivity. From a methodological point of view we suggest providing more basic statistics in the articles and to include more shade-tolerant tree species in future experimental designs. These species are currently underrepresented.\nZusammenfassung\nDie Bodenverdichtung in Folge mechanisierter Holzerntemethoden kann erhebliche Auswirkungen auf Waldböden haben und damit auch schädliche Auswirkungen auf die nachfolgende Waldregeneration. Wir führten eine Meta-Analyse durch, um den Effekt der Bodenverdichtung auf Wuchshöhe, Dickenwachstum und Überleben der Jungbäume zu quantifizieren. Diese Effekte waren überwiegend nicht signifikant, variierten stark und waren deshalb nicht eindeutig negativ. Nur auf schluffigen Böden wurden Wachstum und Überleben signifikant durch die Bodenverdichtung verringert, Dies stand im Gegensatz zu sandigen und lehmigen Böden, auf denen die Auswirkungen der Bodenverdichtung vernachlässigbar oder sogar positiv waren. Eine gewichtete Analyse erbrachte insgesamt eine Abnahme des Höhenwachstums auf verdichteten Flächen, aber aufgrund der geringen Anzahl von Beobachtungen sollte dieses Ergebnis mit Vorsicht interpretiert werden. Auch wenn die Ergebnisse keinen generell negativen Effekt der Bodenverdichtung zeigten, sollten Erntemaßnahmen darauf gerichtet sein, Grad und Ausmaß der Bodenverdichtung zu minimieren, um einer Abnahme der Produktivität vorzubeugen. Von einem methodischen Standpunkt aus regen wir an, mehr basale Statistiken in den Artikeln zu publizieren und mehr schattentolerante Baumarten in zukünftige Untersuchungen aufzunehmen. Diese Arten sind gegenwärtig unterrepräsentiert.","container-title":"Basic and Applied Ecology","DOI":"10.1016/j.baae.2011.06.003","ISSN":"1439-1791","issue":"5","journalAbbreviation":"Basic and Applied Ecology","page":"394-402","source":"ScienceDirect","title":"Effects of soil compaction on growth and survival of tree saplings: A meta-analysis","title-short":"Effects of soil compaction on growth and survival of tree saplings","volume":"12","author":[{"family":"Ampoorter","given":"E."},{"family":"De Frenne","given":"P."},{"family":"Hermy","given":"M."},{"family":"Verheyen","given":"K."}],"issued":{"date-parts":[["2011",8,1]]}}}],"schema":"https://github.com/citation-style-language/schema/raw/master/csl-citation.json"} </w:instrText>
            </w:r>
            <w:r>
              <w:rPr>
                <w:sz w:val="20"/>
                <w:szCs w:val="20"/>
              </w:rPr>
              <w:fldChar w:fldCharType="separate"/>
            </w:r>
            <w:r w:rsidRPr="00650859">
              <w:rPr>
                <w:rFonts w:cs="Calibri"/>
                <w:sz w:val="20"/>
              </w:rPr>
              <w:t>(Ampoorter et al., 2011)</w:t>
            </w:r>
            <w:r>
              <w:rPr>
                <w:sz w:val="20"/>
                <w:szCs w:val="20"/>
              </w:rPr>
              <w:fldChar w:fldCharType="end"/>
            </w:r>
          </w:p>
        </w:tc>
      </w:tr>
      <w:tr w:rsidR="009E01DA" w:rsidRPr="0000352D" w14:paraId="56EF19F3" w14:textId="77777777" w:rsidTr="003F3F11">
        <w:trPr>
          <w:trHeight w:val="475"/>
        </w:trPr>
        <w:tc>
          <w:tcPr>
            <w:tcW w:w="1200" w:type="dxa"/>
            <w:vMerge/>
            <w:shd w:val="clear" w:color="auto" w:fill="D1D1D1" w:themeFill="background2" w:themeFillShade="E6"/>
            <w:vAlign w:val="center"/>
          </w:tcPr>
          <w:p w14:paraId="375C7831"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717BC1FF" w14:textId="77777777" w:rsidR="009E01DA" w:rsidRPr="0000352D" w:rsidRDefault="009E01DA" w:rsidP="003F3F11">
            <w:pPr>
              <w:jc w:val="left"/>
              <w:rPr>
                <w:sz w:val="20"/>
                <w:szCs w:val="20"/>
              </w:rPr>
            </w:pPr>
          </w:p>
        </w:tc>
        <w:tc>
          <w:tcPr>
            <w:tcW w:w="748" w:type="dxa"/>
            <w:vMerge w:val="restart"/>
            <w:vAlign w:val="center"/>
          </w:tcPr>
          <w:p w14:paraId="33CE3771"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2A255384" wp14:editId="7501AE57">
                      <wp:extent cx="94615" cy="153035"/>
                      <wp:effectExtent l="0" t="38100" r="57785" b="18415"/>
                      <wp:docPr id="1836418795"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26C9E12C"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0931C1CC" w14:textId="77777777" w:rsidR="009E01DA" w:rsidRDefault="009E01DA" w:rsidP="003F3F11">
            <w:pPr>
              <w:jc w:val="left"/>
              <w:rPr>
                <w:rFonts w:cs="Calibri"/>
                <w:sz w:val="20"/>
                <w:szCs w:val="20"/>
              </w:rPr>
            </w:pPr>
            <w:r>
              <w:rPr>
                <w:sz w:val="20"/>
                <w:szCs w:val="20"/>
              </w:rPr>
              <w:t>Drainage</w:t>
            </w:r>
            <w:r>
              <w:rPr>
                <w:sz w:val="20"/>
                <w:szCs w:val="20"/>
                <w:vertAlign w:val="subscript"/>
              </w:rPr>
              <w:t>qualité</w:t>
            </w:r>
          </w:p>
        </w:tc>
        <w:tc>
          <w:tcPr>
            <w:tcW w:w="4252" w:type="dxa"/>
            <w:vMerge w:val="restart"/>
            <w:vAlign w:val="center"/>
          </w:tcPr>
          <w:p w14:paraId="54E4571F" w14:textId="77777777" w:rsidR="009E01DA" w:rsidRDefault="009E01DA" w:rsidP="003F3F11">
            <w:pPr>
              <w:jc w:val="left"/>
              <w:rPr>
                <w:sz w:val="20"/>
                <w:szCs w:val="20"/>
              </w:rPr>
            </w:pPr>
            <w:r>
              <w:rPr>
                <w:sz w:val="20"/>
                <w:szCs w:val="20"/>
              </w:rPr>
              <w:t xml:space="preserve">Appréciation du drainage pour 2 ensembles texturaux sur base de la présence et profondeur d’apparition des taches d’hydromorphie selon la </w:t>
            </w:r>
            <w:r w:rsidRPr="009976A0">
              <w:rPr>
                <w:sz w:val="20"/>
                <w:szCs w:val="20"/>
              </w:rPr>
              <w:t>Légende de la Carte Numérique des Sols de Wallonie</w:t>
            </w:r>
            <w:r>
              <w:rPr>
                <w:sz w:val="20"/>
                <w:szCs w:val="20"/>
              </w:rPr>
              <w:t xml:space="preserve"> </w:t>
            </w:r>
            <w:r>
              <w:rPr>
                <w:sz w:val="20"/>
                <w:szCs w:val="20"/>
              </w:rPr>
              <w:fldChar w:fldCharType="begin"/>
            </w:r>
            <w:r>
              <w:rPr>
                <w:sz w:val="20"/>
                <w:szCs w:val="20"/>
              </w:rPr>
              <w:instrText xml:space="preserve"> ADDIN ZOTERO_ITEM CSL_CITATION {"citationID":"O7nz53ZP","properties":{"unsorted":false,"formattedCitation":"(Bah et al., 2007)","plainCitation":"(Bah et al., 2007)","noteIndex":0},"citationItems":[{"id":20,"uris":["http://zotero.org/groups/5684833/items/AHCVNBT5"],"itemData":{"id":20,"type":"report","publisher":"Faculté universitaire des Sciences agronomiques de Gembloux – Laboratoire de Géopédologie, en relation avec le PCNSW (convention pour le compte de la Région Wallonne – DGA)","title":"Légende de la Carte Numérique des Sols de Wallonie (Belgique) sur base de la légende originale de la Carte des sols de la Belgique de l’IRSIA à 1/20.000","URL":"https://www.fichierecologique.be/resources/LCNSW_V2.pdf","author":[{"family":"Bah","given":"B."},{"family":"Engels","given":"P."},{"family":"Legrain","given":"X."},{"family":"Colinet","given":"G."}],"issued":{"date-parts":[["2007",12]]}}}],"schema":"https://github.com/citation-style-language/schema/raw/master/csl-citation.json"} </w:instrText>
            </w:r>
            <w:r>
              <w:rPr>
                <w:sz w:val="20"/>
                <w:szCs w:val="20"/>
              </w:rPr>
              <w:fldChar w:fldCharType="separate"/>
            </w:r>
            <w:r w:rsidRPr="009976A0">
              <w:rPr>
                <w:rFonts w:cs="Calibri"/>
                <w:sz w:val="20"/>
              </w:rPr>
              <w:t>(Bah et al., 2007)</w:t>
            </w:r>
            <w:r>
              <w:rPr>
                <w:sz w:val="20"/>
                <w:szCs w:val="20"/>
              </w:rPr>
              <w:fldChar w:fldCharType="end"/>
            </w:r>
          </w:p>
        </w:tc>
      </w:tr>
      <w:tr w:rsidR="009E01DA" w:rsidRPr="0000352D" w14:paraId="3FBA347A" w14:textId="77777777" w:rsidTr="003F3F11">
        <w:tc>
          <w:tcPr>
            <w:tcW w:w="1200" w:type="dxa"/>
            <w:vMerge/>
            <w:shd w:val="clear" w:color="auto" w:fill="D1D1D1" w:themeFill="background2" w:themeFillShade="E6"/>
            <w:vAlign w:val="center"/>
          </w:tcPr>
          <w:p w14:paraId="2DC36961"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3CAE6982" w14:textId="77777777" w:rsidR="009E01DA" w:rsidRPr="0000352D" w:rsidRDefault="009E01DA" w:rsidP="003F3F11">
            <w:pPr>
              <w:jc w:val="left"/>
              <w:rPr>
                <w:sz w:val="20"/>
                <w:szCs w:val="20"/>
              </w:rPr>
            </w:pPr>
          </w:p>
        </w:tc>
        <w:tc>
          <w:tcPr>
            <w:tcW w:w="748" w:type="dxa"/>
            <w:vMerge/>
            <w:vAlign w:val="center"/>
          </w:tcPr>
          <w:p w14:paraId="0A126DB5" w14:textId="77777777" w:rsidR="009E01DA" w:rsidRPr="0000352D" w:rsidRDefault="009E01DA" w:rsidP="003F3F11">
            <w:pPr>
              <w:jc w:val="center"/>
              <w:rPr>
                <w:sz w:val="20"/>
                <w:szCs w:val="20"/>
              </w:rPr>
            </w:pPr>
          </w:p>
        </w:tc>
        <w:tc>
          <w:tcPr>
            <w:tcW w:w="1628" w:type="dxa"/>
            <w:shd w:val="clear" w:color="auto" w:fill="EFF5FB"/>
            <w:vAlign w:val="center"/>
          </w:tcPr>
          <w:p w14:paraId="00076531" w14:textId="77777777" w:rsidR="009E01DA" w:rsidRDefault="009E01DA" w:rsidP="003F3F11">
            <w:pPr>
              <w:jc w:val="left"/>
              <w:rPr>
                <w:rFonts w:cs="Calibri"/>
                <w:sz w:val="20"/>
                <w:szCs w:val="20"/>
              </w:rPr>
            </w:pPr>
            <w:r>
              <w:rPr>
                <w:sz w:val="20"/>
                <w:szCs w:val="20"/>
              </w:rPr>
              <w:t>Drainage</w:t>
            </w:r>
            <w:r>
              <w:rPr>
                <w:sz w:val="20"/>
                <w:szCs w:val="20"/>
                <w:vertAlign w:val="subscript"/>
              </w:rPr>
              <w:t>santé</w:t>
            </w:r>
          </w:p>
        </w:tc>
        <w:tc>
          <w:tcPr>
            <w:tcW w:w="4252" w:type="dxa"/>
            <w:vMerge/>
            <w:vAlign w:val="center"/>
          </w:tcPr>
          <w:p w14:paraId="36C1B143" w14:textId="77777777" w:rsidR="009E01DA" w:rsidRDefault="009E01DA" w:rsidP="003F3F11">
            <w:pPr>
              <w:jc w:val="left"/>
              <w:rPr>
                <w:sz w:val="20"/>
                <w:szCs w:val="20"/>
              </w:rPr>
            </w:pPr>
          </w:p>
        </w:tc>
      </w:tr>
      <w:tr w:rsidR="009E01DA" w:rsidRPr="0000352D" w14:paraId="0221CD83" w14:textId="77777777" w:rsidTr="003F3F11">
        <w:tc>
          <w:tcPr>
            <w:tcW w:w="1200" w:type="dxa"/>
            <w:vMerge/>
            <w:shd w:val="clear" w:color="auto" w:fill="D1D1D1" w:themeFill="background2" w:themeFillShade="E6"/>
            <w:vAlign w:val="center"/>
          </w:tcPr>
          <w:p w14:paraId="657C0B54"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62CB7BA4" w14:textId="77777777" w:rsidR="009E01DA" w:rsidRDefault="009E01DA" w:rsidP="003F3F11">
            <w:pPr>
              <w:jc w:val="left"/>
              <w:rPr>
                <w:sz w:val="20"/>
                <w:szCs w:val="20"/>
              </w:rPr>
            </w:pPr>
          </w:p>
        </w:tc>
        <w:tc>
          <w:tcPr>
            <w:tcW w:w="748" w:type="dxa"/>
            <w:vMerge w:val="restart"/>
            <w:vAlign w:val="center"/>
          </w:tcPr>
          <w:p w14:paraId="33533286" w14:textId="77777777" w:rsidR="009E01DA" w:rsidRDefault="009E01DA" w:rsidP="003F3F11">
            <w:pPr>
              <w:jc w:val="center"/>
              <w:rPr>
                <w:sz w:val="20"/>
                <w:szCs w:val="20"/>
              </w:rPr>
            </w:pPr>
            <w:r>
              <w:rPr>
                <w:noProof/>
                <w:sz w:val="20"/>
                <w:szCs w:val="20"/>
              </w:rPr>
              <mc:AlternateContent>
                <mc:Choice Requires="wps">
                  <w:drawing>
                    <wp:inline distT="0" distB="0" distL="0" distR="0" wp14:anchorId="5C8A3312" wp14:editId="3CD60FEF">
                      <wp:extent cx="94615" cy="153035"/>
                      <wp:effectExtent l="0" t="38100" r="57785" b="18415"/>
                      <wp:docPr id="496718094"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490F023B"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19C60065" w14:textId="77777777" w:rsidR="009E01DA" w:rsidRDefault="009E01DA" w:rsidP="003F3F11">
            <w:pPr>
              <w:jc w:val="left"/>
              <w:rPr>
                <w:sz w:val="20"/>
                <w:szCs w:val="20"/>
              </w:rPr>
            </w:pPr>
            <w:r>
              <w:rPr>
                <w:sz w:val="20"/>
                <w:szCs w:val="20"/>
              </w:rPr>
              <w:t>C</w:t>
            </w:r>
            <w:r>
              <w:rPr>
                <w:sz w:val="20"/>
                <w:szCs w:val="20"/>
                <w:vertAlign w:val="subscript"/>
              </w:rPr>
              <w:t>org</w:t>
            </w:r>
            <w:r>
              <w:rPr>
                <w:sz w:val="20"/>
                <w:szCs w:val="20"/>
              </w:rPr>
              <w:t>/argile</w:t>
            </w:r>
            <w:r>
              <w:rPr>
                <w:sz w:val="20"/>
                <w:szCs w:val="20"/>
                <w:vertAlign w:val="subscript"/>
              </w:rPr>
              <w:t>qualité</w:t>
            </w:r>
          </w:p>
        </w:tc>
        <w:tc>
          <w:tcPr>
            <w:tcW w:w="4252" w:type="dxa"/>
            <w:shd w:val="clear" w:color="auto" w:fill="F2F9EB"/>
            <w:vAlign w:val="center"/>
          </w:tcPr>
          <w:p w14:paraId="5C09E1A1" w14:textId="77777777" w:rsidR="009E01DA" w:rsidRPr="0000352D" w:rsidRDefault="009E01DA" w:rsidP="003F3F11">
            <w:pPr>
              <w:jc w:val="left"/>
              <w:rPr>
                <w:sz w:val="20"/>
                <w:szCs w:val="20"/>
              </w:rPr>
            </w:pPr>
            <w:r>
              <w:rPr>
                <w:sz w:val="20"/>
                <w:szCs w:val="20"/>
              </w:rPr>
              <w:t xml:space="preserve">Valeurs optimales en lien avec une bonne qualité structurale </w:t>
            </w:r>
            <w:r>
              <w:rPr>
                <w:sz w:val="20"/>
                <w:szCs w:val="20"/>
              </w:rPr>
              <w:fldChar w:fldCharType="begin"/>
            </w:r>
            <w:r>
              <w:rPr>
                <w:sz w:val="20"/>
                <w:szCs w:val="20"/>
              </w:rPr>
              <w:instrText xml:space="preserve"> ADDIN ZOTERO_ITEM CSL_CITATION {"citationID":"6rGq8gPy","properties":{"unsorted":false,"formattedCitation":"(Johannes et al., 2017)","plainCitation":"(Johannes et al., 2017)","noteIndex":0},"citationItems":[{"id":578,"uris":["http://zotero.org/groups/5684833/items/7DIUTBLP"],"itemData":{"id":578,"type":"article-journal","abstract":"Most soil structure-related physical properties are correlated to soil organic carbon (SOC) content. Texture, mineralogy, and SOC:clay ratio are also acknowledged to affect physical properties, however there is no consensus or general conclusions in this respect. Against this background, the present study aims at determining objectives for the management of SOC in terms of structural quality of agricultural soils. The large area in which 161 free-to-swell undisturbed samples were obtained for this research represents a major part of the Swiss agricultural land and belongs to one broad soil group (Cambi-Luvisols). The structural quality was scored visually, and bulk volumes (inverse of bulk density) were measured at standard matric potentials. To define the effect of SOC without interference of soil mechanical degradation, soils with good structural quality scores were considered first in studying the relationship between SOC and soil pore volumes. Results suggest that the relationship is always linear, irrespective of the clay content of the soils. No optimum of SOC corresponding to a fraction of the clay content is found, contrary to the theory of “complexed organic carbon” (Dexter et al., 2008). However, the SOC:clay ratio decreases with decreasing soil structure quality. The SOC:clay ratio of 1:8 is the average for a very good structure quality. A SOC:clay ratio of 1:10 is the limit between good and medium structural quality, thus it constitutes a reasonable goal for soil management by farmers. A SOC:clay ratio of 1:8 or smaller leads to a high probability of poor structural state. These ratios can be used as criteria for soil structural quality and SOC management, and in that context, the concept of complexed organic carbon appears relevant.","container-title":"Geoderma","DOI":"10.1016/j.geoderma.2017.04.021","ISSN":"0016-7061","journalAbbreviation":"Geoderma","page":"14-21","source":"ScienceDirect","title":"Optimal organic carbon values for soil structure quality of arable soils. Does clay content matter?","volume":"302","author":[{"family":"Johannes","given":"Alice"},{"family":"Matter","given":"Adrien"},{"family":"Schulin","given":"Rainer"},{"family":"Weisskopf","given":"Peter"},{"family":"Baveye","given":"Philippe C."},{"family":"Boivin","given":"Pascal"}],"issued":{"date-parts":[["2017",9,15]]}}}],"schema":"https://github.com/citation-style-language/schema/raw/master/csl-citation.json"} </w:instrText>
            </w:r>
            <w:r>
              <w:rPr>
                <w:sz w:val="20"/>
                <w:szCs w:val="20"/>
              </w:rPr>
              <w:fldChar w:fldCharType="separate"/>
            </w:r>
            <w:r w:rsidRPr="007A5ABF">
              <w:rPr>
                <w:rFonts w:cs="Calibri"/>
                <w:sz w:val="20"/>
              </w:rPr>
              <w:t>(Johannes et al., 2017)</w:t>
            </w:r>
            <w:r>
              <w:rPr>
                <w:sz w:val="20"/>
                <w:szCs w:val="20"/>
              </w:rPr>
              <w:fldChar w:fldCharType="end"/>
            </w:r>
          </w:p>
        </w:tc>
      </w:tr>
      <w:tr w:rsidR="009E01DA" w:rsidRPr="0000352D" w14:paraId="39388B6B" w14:textId="77777777" w:rsidTr="003F3F11">
        <w:tc>
          <w:tcPr>
            <w:tcW w:w="1200" w:type="dxa"/>
            <w:vMerge/>
            <w:shd w:val="clear" w:color="auto" w:fill="D1D1D1" w:themeFill="background2" w:themeFillShade="E6"/>
            <w:vAlign w:val="center"/>
          </w:tcPr>
          <w:p w14:paraId="65D5BCE8"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3BCF177" w14:textId="77777777" w:rsidR="009E01DA" w:rsidRDefault="009E01DA" w:rsidP="003F3F11">
            <w:pPr>
              <w:jc w:val="left"/>
              <w:rPr>
                <w:sz w:val="20"/>
                <w:szCs w:val="20"/>
              </w:rPr>
            </w:pPr>
          </w:p>
        </w:tc>
        <w:tc>
          <w:tcPr>
            <w:tcW w:w="748" w:type="dxa"/>
            <w:vMerge/>
            <w:tcBorders>
              <w:bottom w:val="single" w:sz="18" w:space="0" w:color="auto"/>
            </w:tcBorders>
            <w:vAlign w:val="center"/>
          </w:tcPr>
          <w:p w14:paraId="12884344" w14:textId="77777777" w:rsidR="009E01DA" w:rsidRDefault="009E01DA" w:rsidP="003F3F11">
            <w:pPr>
              <w:jc w:val="center"/>
              <w:rPr>
                <w:sz w:val="20"/>
                <w:szCs w:val="20"/>
              </w:rPr>
            </w:pPr>
          </w:p>
        </w:tc>
        <w:tc>
          <w:tcPr>
            <w:tcW w:w="1628" w:type="dxa"/>
            <w:tcBorders>
              <w:bottom w:val="single" w:sz="18" w:space="0" w:color="auto"/>
            </w:tcBorders>
            <w:shd w:val="clear" w:color="auto" w:fill="EFF5FB"/>
            <w:vAlign w:val="center"/>
          </w:tcPr>
          <w:p w14:paraId="108943CD" w14:textId="77777777" w:rsidR="009E01DA" w:rsidRDefault="009E01DA" w:rsidP="003F3F11">
            <w:pPr>
              <w:jc w:val="left"/>
              <w:rPr>
                <w:sz w:val="20"/>
                <w:szCs w:val="20"/>
              </w:rPr>
            </w:pPr>
            <w:r>
              <w:rPr>
                <w:sz w:val="20"/>
                <w:szCs w:val="20"/>
              </w:rPr>
              <w:t>C</w:t>
            </w:r>
            <w:r>
              <w:rPr>
                <w:sz w:val="20"/>
                <w:szCs w:val="20"/>
                <w:vertAlign w:val="subscript"/>
              </w:rPr>
              <w:t>org</w:t>
            </w:r>
            <w:r>
              <w:rPr>
                <w:sz w:val="20"/>
                <w:szCs w:val="20"/>
              </w:rPr>
              <w:t>/argile</w:t>
            </w:r>
            <w:r>
              <w:rPr>
                <w:sz w:val="20"/>
                <w:szCs w:val="20"/>
                <w:vertAlign w:val="subscript"/>
              </w:rPr>
              <w:t>santé</w:t>
            </w:r>
          </w:p>
        </w:tc>
        <w:tc>
          <w:tcPr>
            <w:tcW w:w="4252" w:type="dxa"/>
            <w:tcBorders>
              <w:bottom w:val="single" w:sz="18" w:space="0" w:color="auto"/>
            </w:tcBorders>
            <w:shd w:val="clear" w:color="auto" w:fill="EFF5FB"/>
            <w:vAlign w:val="center"/>
          </w:tcPr>
          <w:p w14:paraId="7CFAB682" w14:textId="77777777" w:rsidR="009E01DA" w:rsidRPr="0000352D" w:rsidRDefault="009E01DA" w:rsidP="003F3F11">
            <w:pPr>
              <w:jc w:val="left"/>
              <w:rPr>
                <w:sz w:val="20"/>
                <w:szCs w:val="20"/>
              </w:rPr>
            </w:pPr>
            <w:r>
              <w:rPr>
                <w:sz w:val="20"/>
                <w:szCs w:val="20"/>
              </w:rPr>
              <w:t>Comparaison à la valeur potentielle atteignable en fonction de la classe texturale (sur base de MO potentielle)</w:t>
            </w:r>
          </w:p>
        </w:tc>
      </w:tr>
      <w:tr w:rsidR="009E01DA" w:rsidRPr="0000352D" w14:paraId="3501072E" w14:textId="77777777" w:rsidTr="003F3F11">
        <w:tc>
          <w:tcPr>
            <w:tcW w:w="1200" w:type="dxa"/>
            <w:vMerge w:val="restart"/>
            <w:tcBorders>
              <w:top w:val="single" w:sz="18" w:space="0" w:color="auto"/>
            </w:tcBorders>
            <w:shd w:val="clear" w:color="auto" w:fill="D1D1D1" w:themeFill="background2" w:themeFillShade="E6"/>
            <w:vAlign w:val="center"/>
          </w:tcPr>
          <w:p w14:paraId="49495AD1" w14:textId="77777777" w:rsidR="009E01DA" w:rsidRPr="00261C30" w:rsidRDefault="009E01DA" w:rsidP="003F3F11">
            <w:pPr>
              <w:jc w:val="left"/>
              <w:rPr>
                <w:b/>
                <w:bCs/>
                <w:sz w:val="20"/>
                <w:szCs w:val="20"/>
              </w:rPr>
            </w:pPr>
            <w:r w:rsidRPr="00261C30">
              <w:rPr>
                <w:b/>
                <w:bCs/>
                <w:sz w:val="20"/>
                <w:szCs w:val="20"/>
              </w:rPr>
              <w:t>Infiltration</w:t>
            </w:r>
          </w:p>
        </w:tc>
        <w:tc>
          <w:tcPr>
            <w:tcW w:w="1239" w:type="dxa"/>
            <w:vMerge w:val="restart"/>
            <w:tcBorders>
              <w:top w:val="single" w:sz="18" w:space="0" w:color="auto"/>
            </w:tcBorders>
            <w:shd w:val="clear" w:color="auto" w:fill="F2F2F2" w:themeFill="background1" w:themeFillShade="F2"/>
            <w:vAlign w:val="center"/>
          </w:tcPr>
          <w:p w14:paraId="1E2DE0B0" w14:textId="77777777" w:rsidR="009E01DA" w:rsidRPr="0000352D" w:rsidRDefault="009E01DA" w:rsidP="003F3F11">
            <w:pPr>
              <w:jc w:val="left"/>
              <w:rPr>
                <w:sz w:val="20"/>
                <w:szCs w:val="20"/>
              </w:rPr>
            </w:pPr>
            <w:r>
              <w:rPr>
                <w:sz w:val="20"/>
                <w:szCs w:val="20"/>
              </w:rPr>
              <w:t>Infiltration</w:t>
            </w:r>
          </w:p>
        </w:tc>
        <w:tc>
          <w:tcPr>
            <w:tcW w:w="748" w:type="dxa"/>
            <w:vMerge w:val="restart"/>
            <w:tcBorders>
              <w:top w:val="single" w:sz="18" w:space="0" w:color="auto"/>
            </w:tcBorders>
            <w:vAlign w:val="center"/>
          </w:tcPr>
          <w:p w14:paraId="611194D4"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7B2E07DB" wp14:editId="2FF05A11">
                      <wp:extent cx="94615" cy="153035"/>
                      <wp:effectExtent l="0" t="38100" r="57785" b="18415"/>
                      <wp:docPr id="848313753"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594A9752"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7A87817F" w14:textId="77777777" w:rsidR="009E01DA" w:rsidRDefault="009E01DA" w:rsidP="003F3F11">
            <w:pPr>
              <w:jc w:val="left"/>
              <w:rPr>
                <w:rFonts w:cs="Calibri"/>
                <w:sz w:val="20"/>
                <w:szCs w:val="20"/>
              </w:rPr>
            </w:pPr>
            <w:r>
              <w:rPr>
                <w:sz w:val="20"/>
                <w:szCs w:val="20"/>
              </w:rPr>
              <w:t>Ksat</w:t>
            </w:r>
            <w:r>
              <w:rPr>
                <w:sz w:val="20"/>
                <w:szCs w:val="20"/>
                <w:vertAlign w:val="subscript"/>
              </w:rPr>
              <w:t>qualité</w:t>
            </w:r>
          </w:p>
        </w:tc>
        <w:tc>
          <w:tcPr>
            <w:tcW w:w="4252" w:type="dxa"/>
            <w:tcBorders>
              <w:top w:val="single" w:sz="18" w:space="0" w:color="auto"/>
            </w:tcBorders>
            <w:shd w:val="clear" w:color="auto" w:fill="F2F9EB"/>
            <w:vAlign w:val="center"/>
          </w:tcPr>
          <w:p w14:paraId="3B7FE856" w14:textId="77777777" w:rsidR="009E01DA" w:rsidRDefault="009E01DA" w:rsidP="003F3F11">
            <w:pPr>
              <w:jc w:val="left"/>
              <w:rPr>
                <w:sz w:val="20"/>
                <w:szCs w:val="20"/>
              </w:rPr>
            </w:pPr>
            <w:r w:rsidRPr="0000352D">
              <w:rPr>
                <w:sz w:val="20"/>
                <w:szCs w:val="20"/>
              </w:rPr>
              <w:t xml:space="preserve">Valeurs optimales </w:t>
            </w:r>
            <w:r>
              <w:rPr>
                <w:sz w:val="20"/>
                <w:szCs w:val="20"/>
              </w:rPr>
              <w:fldChar w:fldCharType="begin"/>
            </w:r>
            <w:r>
              <w:rPr>
                <w:sz w:val="20"/>
                <w:szCs w:val="20"/>
              </w:rPr>
              <w:instrText xml:space="preserve"> ADDIN ZOTERO_ITEM CSL_CITATION {"citationID":"Mp76CDwS","properties":{"unsorted":false,"formattedCitation":"(O\\uc0\\u8217{}Geen, 2013)","plainCitation":"(O’Geen, 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T."}],"accessed":{"date-parts":[["2026",2,3]]},"issued":{"date-parts":[["2013"]]}}}],"schema":"https://github.com/citation-style-language/schema/raw/master/csl-citation.json"} </w:instrText>
            </w:r>
            <w:r>
              <w:rPr>
                <w:sz w:val="20"/>
                <w:szCs w:val="20"/>
              </w:rPr>
              <w:fldChar w:fldCharType="separate"/>
            </w:r>
            <w:r w:rsidRPr="00992E8E">
              <w:rPr>
                <w:rFonts w:cs="Calibri"/>
                <w:kern w:val="0"/>
                <w:sz w:val="20"/>
              </w:rPr>
              <w:t>(O’Geen, 2013)</w:t>
            </w:r>
            <w:r>
              <w:rPr>
                <w:sz w:val="20"/>
                <w:szCs w:val="20"/>
              </w:rPr>
              <w:fldChar w:fldCharType="end"/>
            </w:r>
          </w:p>
        </w:tc>
      </w:tr>
      <w:tr w:rsidR="009E01DA" w:rsidRPr="0000352D" w14:paraId="033B9BA0" w14:textId="77777777" w:rsidTr="003F3F11">
        <w:tc>
          <w:tcPr>
            <w:tcW w:w="1200" w:type="dxa"/>
            <w:vMerge/>
            <w:shd w:val="clear" w:color="auto" w:fill="D1D1D1" w:themeFill="background2" w:themeFillShade="E6"/>
            <w:vAlign w:val="center"/>
          </w:tcPr>
          <w:p w14:paraId="037D44AF"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77C0A04C" w14:textId="77777777" w:rsidR="009E01DA" w:rsidRPr="0000352D" w:rsidRDefault="009E01DA" w:rsidP="003F3F11">
            <w:pPr>
              <w:jc w:val="left"/>
              <w:rPr>
                <w:sz w:val="20"/>
                <w:szCs w:val="20"/>
              </w:rPr>
            </w:pPr>
          </w:p>
        </w:tc>
        <w:tc>
          <w:tcPr>
            <w:tcW w:w="748" w:type="dxa"/>
            <w:vMerge/>
            <w:vAlign w:val="center"/>
          </w:tcPr>
          <w:p w14:paraId="33D282B0" w14:textId="77777777" w:rsidR="009E01DA" w:rsidRPr="0000352D" w:rsidRDefault="009E01DA" w:rsidP="003F3F11">
            <w:pPr>
              <w:jc w:val="center"/>
              <w:rPr>
                <w:sz w:val="20"/>
                <w:szCs w:val="20"/>
              </w:rPr>
            </w:pPr>
          </w:p>
        </w:tc>
        <w:tc>
          <w:tcPr>
            <w:tcW w:w="1628" w:type="dxa"/>
            <w:shd w:val="clear" w:color="auto" w:fill="EFF5FB"/>
            <w:vAlign w:val="center"/>
          </w:tcPr>
          <w:p w14:paraId="2DEC762D" w14:textId="77777777" w:rsidR="009E01DA" w:rsidRDefault="009E01DA" w:rsidP="003F3F11">
            <w:pPr>
              <w:jc w:val="left"/>
              <w:rPr>
                <w:rFonts w:cs="Calibri"/>
                <w:sz w:val="20"/>
                <w:szCs w:val="20"/>
              </w:rPr>
            </w:pPr>
            <w:r>
              <w:rPr>
                <w:sz w:val="20"/>
                <w:szCs w:val="20"/>
              </w:rPr>
              <w:t>Ksat</w:t>
            </w:r>
            <w:r>
              <w:rPr>
                <w:sz w:val="20"/>
                <w:szCs w:val="20"/>
                <w:vertAlign w:val="subscript"/>
              </w:rPr>
              <w:t>santé</w:t>
            </w:r>
          </w:p>
        </w:tc>
        <w:tc>
          <w:tcPr>
            <w:tcW w:w="4252" w:type="dxa"/>
            <w:shd w:val="clear" w:color="auto" w:fill="EFF5FB"/>
            <w:vAlign w:val="center"/>
          </w:tcPr>
          <w:p w14:paraId="637E66D3" w14:textId="77777777" w:rsidR="009E01DA" w:rsidRDefault="009E01DA" w:rsidP="003F3F11">
            <w:pPr>
              <w:jc w:val="left"/>
              <w:rPr>
                <w:sz w:val="20"/>
                <w:szCs w:val="20"/>
              </w:rPr>
            </w:pPr>
            <w:r w:rsidRPr="0000352D">
              <w:rPr>
                <w:sz w:val="20"/>
                <w:szCs w:val="20"/>
              </w:rPr>
              <w:t xml:space="preserve">Valeurs </w:t>
            </w:r>
            <w:r>
              <w:rPr>
                <w:sz w:val="20"/>
                <w:szCs w:val="20"/>
              </w:rPr>
              <w:t>moyennes</w:t>
            </w:r>
            <w:r w:rsidRPr="0000352D">
              <w:rPr>
                <w:sz w:val="20"/>
                <w:szCs w:val="20"/>
              </w:rPr>
              <w:t xml:space="preserve"> </w:t>
            </w:r>
            <w:r>
              <w:rPr>
                <w:sz w:val="20"/>
                <w:szCs w:val="20"/>
              </w:rPr>
              <w:t xml:space="preserve">par classe texturale </w:t>
            </w:r>
            <w:r>
              <w:rPr>
                <w:sz w:val="20"/>
                <w:szCs w:val="20"/>
              </w:rPr>
              <w:fldChar w:fldCharType="begin"/>
            </w:r>
            <w:r>
              <w:rPr>
                <w:sz w:val="20"/>
                <w:szCs w:val="20"/>
              </w:rPr>
              <w:instrText xml:space="preserve"> ADDIN ZOTERO_ITEM CSL_CITATION {"citationID":"eZQ3kfGq","properties":{"unsorted":false,"formattedCitation":"(O\\uc0\\u8217{}Geen, 2013)","plainCitation":"(O’Geen, 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T."}],"accessed":{"date-parts":[["2026",2,3]]},"issued":{"date-parts":[["2013"]]}}}],"schema":"https://github.com/citation-style-language/schema/raw/master/csl-citation.json"} </w:instrText>
            </w:r>
            <w:r>
              <w:rPr>
                <w:sz w:val="20"/>
                <w:szCs w:val="20"/>
              </w:rPr>
              <w:fldChar w:fldCharType="separate"/>
            </w:r>
            <w:r w:rsidRPr="00992E8E">
              <w:rPr>
                <w:rFonts w:cs="Calibri"/>
                <w:kern w:val="0"/>
                <w:sz w:val="20"/>
              </w:rPr>
              <w:t>(O’Geen, 2013)</w:t>
            </w:r>
            <w:r>
              <w:rPr>
                <w:sz w:val="20"/>
                <w:szCs w:val="20"/>
              </w:rPr>
              <w:fldChar w:fldCharType="end"/>
            </w:r>
          </w:p>
        </w:tc>
      </w:tr>
      <w:tr w:rsidR="009E01DA" w:rsidRPr="0000352D" w14:paraId="2ABF645C" w14:textId="77777777" w:rsidTr="003F3F11">
        <w:trPr>
          <w:trHeight w:val="740"/>
        </w:trPr>
        <w:tc>
          <w:tcPr>
            <w:tcW w:w="1200" w:type="dxa"/>
            <w:vMerge/>
            <w:shd w:val="clear" w:color="auto" w:fill="D1D1D1" w:themeFill="background2" w:themeFillShade="E6"/>
            <w:vAlign w:val="center"/>
          </w:tcPr>
          <w:p w14:paraId="20CDFCFA" w14:textId="77777777" w:rsidR="009E01DA" w:rsidRPr="00261C30" w:rsidRDefault="009E01DA" w:rsidP="003F3F11">
            <w:pPr>
              <w:jc w:val="left"/>
              <w:rPr>
                <w:b/>
                <w:bCs/>
                <w:sz w:val="20"/>
                <w:szCs w:val="20"/>
              </w:rPr>
            </w:pPr>
          </w:p>
        </w:tc>
        <w:tc>
          <w:tcPr>
            <w:tcW w:w="1239" w:type="dxa"/>
            <w:vMerge w:val="restart"/>
            <w:shd w:val="clear" w:color="auto" w:fill="F2F2F2" w:themeFill="background1" w:themeFillShade="F2"/>
            <w:vAlign w:val="center"/>
          </w:tcPr>
          <w:p w14:paraId="196ED0FA" w14:textId="77777777" w:rsidR="009E01DA" w:rsidRPr="0000352D" w:rsidRDefault="009E01DA" w:rsidP="003F3F11">
            <w:pPr>
              <w:jc w:val="left"/>
              <w:rPr>
                <w:sz w:val="20"/>
                <w:szCs w:val="20"/>
              </w:rPr>
            </w:pPr>
            <w:r>
              <w:rPr>
                <w:sz w:val="20"/>
                <w:szCs w:val="20"/>
              </w:rPr>
              <w:t>Drainage</w:t>
            </w:r>
          </w:p>
        </w:tc>
        <w:tc>
          <w:tcPr>
            <w:tcW w:w="748" w:type="dxa"/>
            <w:vMerge w:val="restart"/>
            <w:vAlign w:val="center"/>
          </w:tcPr>
          <w:p w14:paraId="4B53BC3E"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32BBFB3E" wp14:editId="70A254C9">
                      <wp:extent cx="94615" cy="153035"/>
                      <wp:effectExtent l="0" t="38100" r="57785" b="18415"/>
                      <wp:docPr id="312443919"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54DAF18"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666983EB" w14:textId="77777777" w:rsidR="009E01DA" w:rsidRDefault="009E01DA" w:rsidP="003F3F11">
            <w:pPr>
              <w:jc w:val="left"/>
              <w:rPr>
                <w:rFonts w:cs="Calibri"/>
                <w:sz w:val="20"/>
                <w:szCs w:val="20"/>
              </w:rPr>
            </w:pPr>
            <w:r>
              <w:rPr>
                <w:sz w:val="20"/>
                <w:szCs w:val="20"/>
              </w:rPr>
              <w:t>Drainage</w:t>
            </w:r>
            <w:r>
              <w:rPr>
                <w:sz w:val="20"/>
                <w:szCs w:val="20"/>
                <w:vertAlign w:val="subscript"/>
              </w:rPr>
              <w:t>qualité</w:t>
            </w:r>
          </w:p>
        </w:tc>
        <w:tc>
          <w:tcPr>
            <w:tcW w:w="4252" w:type="dxa"/>
            <w:vMerge w:val="restart"/>
            <w:vAlign w:val="center"/>
          </w:tcPr>
          <w:p w14:paraId="78F6AFB3" w14:textId="77777777" w:rsidR="009E01DA" w:rsidRDefault="009E01DA" w:rsidP="003F3F11">
            <w:pPr>
              <w:jc w:val="left"/>
              <w:rPr>
                <w:sz w:val="20"/>
                <w:szCs w:val="20"/>
              </w:rPr>
            </w:pPr>
            <w:r>
              <w:rPr>
                <w:sz w:val="20"/>
                <w:szCs w:val="20"/>
              </w:rPr>
              <w:t xml:space="preserve">Appréciation du drainage pour 2 ensembles texturaux sur base de la présence et profondeur d’apparition des taches d’hydromorphie selon la </w:t>
            </w:r>
            <w:r w:rsidRPr="009976A0">
              <w:rPr>
                <w:sz w:val="20"/>
                <w:szCs w:val="20"/>
              </w:rPr>
              <w:t>Légende de la Carte Numérique des Sols de Wallonie</w:t>
            </w:r>
            <w:r>
              <w:rPr>
                <w:sz w:val="20"/>
                <w:szCs w:val="20"/>
              </w:rPr>
              <w:t xml:space="preserve"> </w:t>
            </w:r>
            <w:r>
              <w:rPr>
                <w:sz w:val="20"/>
                <w:szCs w:val="20"/>
              </w:rPr>
              <w:fldChar w:fldCharType="begin"/>
            </w:r>
            <w:r>
              <w:rPr>
                <w:sz w:val="20"/>
                <w:szCs w:val="20"/>
              </w:rPr>
              <w:instrText xml:space="preserve"> ADDIN ZOTERO_ITEM CSL_CITATION {"citationID":"9NnH9vBr","properties":{"unsorted":false,"formattedCitation":"(Bah et al., 2007)","plainCitation":"(Bah et al., 2007)","noteIndex":0},"citationItems":[{"id":20,"uris":["http://zotero.org/groups/5684833/items/AHCVNBT5"],"itemData":{"id":20,"type":"report","publisher":"Faculté universitaire des Sciences agronomiques de Gembloux – Laboratoire de Géopédologie, en relation avec le PCNSW (convention pour le compte de la Région Wallonne – DGA)","title":"Légende de la Carte Numérique des Sols de Wallonie (Belgique) sur base de la légende originale de la Carte des sols de la Belgique de l’IRSIA à 1/20.000","URL":"https://www.fichierecologique.be/resources/LCNSW_V2.pdf","author":[{"family":"Bah","given":"B."},{"family":"Engels","given":"P."},{"family":"Legrain","given":"X."},{"family":"Colinet","given":"G."}],"issued":{"date-parts":[["2007",12]]}}}],"schema":"https://github.com/citation-style-language/schema/raw/master/csl-citation.json"} </w:instrText>
            </w:r>
            <w:r>
              <w:rPr>
                <w:sz w:val="20"/>
                <w:szCs w:val="20"/>
              </w:rPr>
              <w:fldChar w:fldCharType="separate"/>
            </w:r>
            <w:r w:rsidRPr="009976A0">
              <w:rPr>
                <w:rFonts w:cs="Calibri"/>
                <w:sz w:val="20"/>
              </w:rPr>
              <w:t>(Bah et al., 2007)</w:t>
            </w:r>
            <w:r>
              <w:rPr>
                <w:sz w:val="20"/>
                <w:szCs w:val="20"/>
              </w:rPr>
              <w:fldChar w:fldCharType="end"/>
            </w:r>
          </w:p>
        </w:tc>
      </w:tr>
      <w:tr w:rsidR="009E01DA" w:rsidRPr="0000352D" w14:paraId="0800B5F6" w14:textId="77777777" w:rsidTr="003F3F11">
        <w:tc>
          <w:tcPr>
            <w:tcW w:w="1200" w:type="dxa"/>
            <w:vMerge/>
            <w:tcBorders>
              <w:bottom w:val="single" w:sz="18" w:space="0" w:color="auto"/>
            </w:tcBorders>
            <w:shd w:val="clear" w:color="auto" w:fill="D1D1D1" w:themeFill="background2" w:themeFillShade="E6"/>
            <w:vAlign w:val="center"/>
          </w:tcPr>
          <w:p w14:paraId="0B79DA7E" w14:textId="77777777" w:rsidR="009E01DA" w:rsidRPr="00261C30" w:rsidRDefault="009E01DA" w:rsidP="003F3F11">
            <w:pPr>
              <w:jc w:val="left"/>
              <w:rPr>
                <w:b/>
                <w:bCs/>
                <w:sz w:val="20"/>
                <w:szCs w:val="20"/>
              </w:rPr>
            </w:pPr>
          </w:p>
        </w:tc>
        <w:tc>
          <w:tcPr>
            <w:tcW w:w="1239" w:type="dxa"/>
            <w:vMerge/>
            <w:tcBorders>
              <w:bottom w:val="single" w:sz="18" w:space="0" w:color="auto"/>
            </w:tcBorders>
            <w:shd w:val="clear" w:color="auto" w:fill="F2F2F2" w:themeFill="background1" w:themeFillShade="F2"/>
            <w:vAlign w:val="center"/>
          </w:tcPr>
          <w:p w14:paraId="5CBFC8AC" w14:textId="77777777" w:rsidR="009E01DA" w:rsidRPr="0000352D" w:rsidRDefault="009E01DA" w:rsidP="003F3F11">
            <w:pPr>
              <w:jc w:val="left"/>
              <w:rPr>
                <w:sz w:val="20"/>
                <w:szCs w:val="20"/>
              </w:rPr>
            </w:pPr>
          </w:p>
        </w:tc>
        <w:tc>
          <w:tcPr>
            <w:tcW w:w="748" w:type="dxa"/>
            <w:vMerge/>
            <w:tcBorders>
              <w:bottom w:val="single" w:sz="18" w:space="0" w:color="auto"/>
            </w:tcBorders>
            <w:vAlign w:val="center"/>
          </w:tcPr>
          <w:p w14:paraId="44825177" w14:textId="77777777" w:rsidR="009E01DA" w:rsidRPr="0000352D" w:rsidRDefault="009E01DA" w:rsidP="003F3F11">
            <w:pPr>
              <w:jc w:val="center"/>
              <w:rPr>
                <w:sz w:val="20"/>
                <w:szCs w:val="20"/>
              </w:rPr>
            </w:pPr>
          </w:p>
        </w:tc>
        <w:tc>
          <w:tcPr>
            <w:tcW w:w="1628" w:type="dxa"/>
            <w:tcBorders>
              <w:bottom w:val="single" w:sz="18" w:space="0" w:color="auto"/>
            </w:tcBorders>
            <w:shd w:val="clear" w:color="auto" w:fill="EFF5FB"/>
            <w:vAlign w:val="center"/>
          </w:tcPr>
          <w:p w14:paraId="567C1A0C" w14:textId="77777777" w:rsidR="009E01DA" w:rsidRDefault="009E01DA" w:rsidP="003F3F11">
            <w:pPr>
              <w:jc w:val="left"/>
              <w:rPr>
                <w:rFonts w:cs="Calibri"/>
                <w:sz w:val="20"/>
                <w:szCs w:val="20"/>
              </w:rPr>
            </w:pPr>
            <w:r>
              <w:rPr>
                <w:sz w:val="20"/>
                <w:szCs w:val="20"/>
              </w:rPr>
              <w:t>Drainage</w:t>
            </w:r>
            <w:r>
              <w:rPr>
                <w:sz w:val="20"/>
                <w:szCs w:val="20"/>
                <w:vertAlign w:val="subscript"/>
              </w:rPr>
              <w:t>santé</w:t>
            </w:r>
          </w:p>
        </w:tc>
        <w:tc>
          <w:tcPr>
            <w:tcW w:w="4252" w:type="dxa"/>
            <w:vMerge/>
            <w:tcBorders>
              <w:bottom w:val="single" w:sz="18" w:space="0" w:color="auto"/>
            </w:tcBorders>
            <w:vAlign w:val="center"/>
          </w:tcPr>
          <w:p w14:paraId="720013B3" w14:textId="77777777" w:rsidR="009E01DA" w:rsidRDefault="009E01DA" w:rsidP="003F3F11">
            <w:pPr>
              <w:jc w:val="left"/>
              <w:rPr>
                <w:sz w:val="20"/>
                <w:szCs w:val="20"/>
              </w:rPr>
            </w:pPr>
          </w:p>
        </w:tc>
      </w:tr>
      <w:tr w:rsidR="009E01DA" w:rsidRPr="0000352D" w14:paraId="7909E516" w14:textId="77777777" w:rsidTr="003F3F11">
        <w:tc>
          <w:tcPr>
            <w:tcW w:w="1200" w:type="dxa"/>
            <w:vMerge w:val="restart"/>
            <w:tcBorders>
              <w:top w:val="single" w:sz="18" w:space="0" w:color="auto"/>
            </w:tcBorders>
            <w:shd w:val="clear" w:color="auto" w:fill="D1D1D1" w:themeFill="background2" w:themeFillShade="E6"/>
            <w:vAlign w:val="center"/>
          </w:tcPr>
          <w:p w14:paraId="1E5162A1" w14:textId="77777777" w:rsidR="009E01DA" w:rsidRPr="00261C30" w:rsidRDefault="009E01DA" w:rsidP="003F3F11">
            <w:pPr>
              <w:jc w:val="left"/>
              <w:rPr>
                <w:b/>
                <w:bCs/>
                <w:sz w:val="20"/>
                <w:szCs w:val="20"/>
              </w:rPr>
            </w:pPr>
            <w:r w:rsidRPr="00261C30">
              <w:rPr>
                <w:b/>
                <w:bCs/>
                <w:sz w:val="20"/>
                <w:szCs w:val="20"/>
              </w:rPr>
              <w:t>Protection des nappes</w:t>
            </w:r>
          </w:p>
        </w:tc>
        <w:tc>
          <w:tcPr>
            <w:tcW w:w="1239" w:type="dxa"/>
            <w:vMerge w:val="restart"/>
            <w:tcBorders>
              <w:top w:val="single" w:sz="18" w:space="0" w:color="auto"/>
            </w:tcBorders>
            <w:shd w:val="clear" w:color="auto" w:fill="F2F2F2" w:themeFill="background1" w:themeFillShade="F2"/>
            <w:vAlign w:val="center"/>
          </w:tcPr>
          <w:p w14:paraId="3341802C" w14:textId="77777777" w:rsidR="009E01DA" w:rsidRPr="0000352D" w:rsidRDefault="009E01DA" w:rsidP="003F3F11">
            <w:pPr>
              <w:jc w:val="left"/>
              <w:rPr>
                <w:sz w:val="20"/>
                <w:szCs w:val="20"/>
              </w:rPr>
            </w:pPr>
            <w:r>
              <w:rPr>
                <w:sz w:val="20"/>
                <w:szCs w:val="20"/>
              </w:rPr>
              <w:t>Rétention</w:t>
            </w:r>
          </w:p>
        </w:tc>
        <w:tc>
          <w:tcPr>
            <w:tcW w:w="748" w:type="dxa"/>
            <w:vMerge w:val="restart"/>
            <w:tcBorders>
              <w:top w:val="single" w:sz="18" w:space="0" w:color="auto"/>
            </w:tcBorders>
            <w:vAlign w:val="center"/>
          </w:tcPr>
          <w:p w14:paraId="72DEEEF9"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1E9B8601" wp14:editId="4F7085E4">
                      <wp:extent cx="94615" cy="153035"/>
                      <wp:effectExtent l="0" t="38100" r="57785" b="18415"/>
                      <wp:docPr id="300856950"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6E9B447D"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6D82C23C" w14:textId="77777777" w:rsidR="009E01DA" w:rsidRDefault="009E01DA" w:rsidP="003F3F11">
            <w:pPr>
              <w:jc w:val="left"/>
              <w:rPr>
                <w:sz w:val="20"/>
                <w:szCs w:val="20"/>
              </w:rPr>
            </w:pPr>
            <w:r>
              <w:rPr>
                <w:sz w:val="20"/>
                <w:szCs w:val="20"/>
              </w:rPr>
              <w:t>Conc</w:t>
            </w:r>
            <w:r>
              <w:rPr>
                <w:sz w:val="20"/>
                <w:szCs w:val="20"/>
                <w:vertAlign w:val="subscript"/>
              </w:rPr>
              <w:t>rétention qualité</w:t>
            </w:r>
          </w:p>
        </w:tc>
        <w:tc>
          <w:tcPr>
            <w:tcW w:w="4252" w:type="dxa"/>
            <w:tcBorders>
              <w:top w:val="single" w:sz="18" w:space="0" w:color="auto"/>
            </w:tcBorders>
            <w:shd w:val="clear" w:color="auto" w:fill="F2F9EB"/>
            <w:vAlign w:val="center"/>
          </w:tcPr>
          <w:p w14:paraId="4C627AB2" w14:textId="77777777" w:rsidR="009E01DA" w:rsidRDefault="009E01DA" w:rsidP="003F3F11">
            <w:pPr>
              <w:jc w:val="left"/>
              <w:rPr>
                <w:sz w:val="20"/>
                <w:szCs w:val="20"/>
              </w:rPr>
            </w:pPr>
            <w:r>
              <w:rPr>
                <w:sz w:val="20"/>
                <w:szCs w:val="20"/>
              </w:rPr>
              <w:t>Comparaison à la valeur cible modélisée avec paramètres standards et MO optimale</w:t>
            </w:r>
          </w:p>
        </w:tc>
      </w:tr>
      <w:tr w:rsidR="009E01DA" w:rsidRPr="0000352D" w14:paraId="1796C588" w14:textId="77777777" w:rsidTr="003F3F11">
        <w:tc>
          <w:tcPr>
            <w:tcW w:w="1200" w:type="dxa"/>
            <w:vMerge/>
            <w:tcBorders>
              <w:bottom w:val="single" w:sz="18" w:space="0" w:color="auto"/>
            </w:tcBorders>
            <w:shd w:val="clear" w:color="auto" w:fill="D1D1D1" w:themeFill="background2" w:themeFillShade="E6"/>
            <w:vAlign w:val="center"/>
          </w:tcPr>
          <w:p w14:paraId="0BA688D0" w14:textId="77777777" w:rsidR="009E01DA" w:rsidRPr="00261C30" w:rsidRDefault="009E01DA" w:rsidP="003F3F11">
            <w:pPr>
              <w:jc w:val="left"/>
              <w:rPr>
                <w:b/>
                <w:bCs/>
                <w:sz w:val="20"/>
                <w:szCs w:val="20"/>
              </w:rPr>
            </w:pPr>
          </w:p>
        </w:tc>
        <w:tc>
          <w:tcPr>
            <w:tcW w:w="1239" w:type="dxa"/>
            <w:vMerge/>
            <w:tcBorders>
              <w:bottom w:val="single" w:sz="18" w:space="0" w:color="auto"/>
            </w:tcBorders>
            <w:shd w:val="clear" w:color="auto" w:fill="F2F2F2" w:themeFill="background1" w:themeFillShade="F2"/>
            <w:vAlign w:val="center"/>
          </w:tcPr>
          <w:p w14:paraId="0EDB44F2" w14:textId="77777777" w:rsidR="009E01DA" w:rsidRPr="0000352D" w:rsidRDefault="009E01DA" w:rsidP="003F3F11">
            <w:pPr>
              <w:jc w:val="left"/>
              <w:rPr>
                <w:sz w:val="20"/>
                <w:szCs w:val="20"/>
              </w:rPr>
            </w:pPr>
          </w:p>
        </w:tc>
        <w:tc>
          <w:tcPr>
            <w:tcW w:w="748" w:type="dxa"/>
            <w:vMerge/>
            <w:tcBorders>
              <w:bottom w:val="single" w:sz="18" w:space="0" w:color="auto"/>
            </w:tcBorders>
            <w:vAlign w:val="center"/>
          </w:tcPr>
          <w:p w14:paraId="0CF09FEE" w14:textId="77777777" w:rsidR="009E01DA" w:rsidRPr="0000352D" w:rsidRDefault="009E01DA" w:rsidP="003F3F11">
            <w:pPr>
              <w:jc w:val="center"/>
              <w:rPr>
                <w:sz w:val="20"/>
                <w:szCs w:val="20"/>
              </w:rPr>
            </w:pPr>
          </w:p>
        </w:tc>
        <w:tc>
          <w:tcPr>
            <w:tcW w:w="1628" w:type="dxa"/>
            <w:tcBorders>
              <w:bottom w:val="single" w:sz="18" w:space="0" w:color="auto"/>
            </w:tcBorders>
            <w:shd w:val="clear" w:color="auto" w:fill="EFF5FB"/>
            <w:vAlign w:val="center"/>
          </w:tcPr>
          <w:p w14:paraId="063420CA" w14:textId="77777777" w:rsidR="009E01DA" w:rsidRDefault="009E01DA" w:rsidP="003F3F11">
            <w:pPr>
              <w:jc w:val="left"/>
              <w:rPr>
                <w:sz w:val="20"/>
                <w:szCs w:val="20"/>
              </w:rPr>
            </w:pPr>
            <w:r>
              <w:rPr>
                <w:sz w:val="20"/>
                <w:szCs w:val="20"/>
              </w:rPr>
              <w:t>Conc</w:t>
            </w:r>
            <w:r>
              <w:rPr>
                <w:sz w:val="20"/>
                <w:szCs w:val="20"/>
                <w:vertAlign w:val="subscript"/>
              </w:rPr>
              <w:t>rétention santé</w:t>
            </w:r>
          </w:p>
        </w:tc>
        <w:tc>
          <w:tcPr>
            <w:tcW w:w="4252" w:type="dxa"/>
            <w:tcBorders>
              <w:bottom w:val="single" w:sz="18" w:space="0" w:color="auto"/>
            </w:tcBorders>
            <w:shd w:val="clear" w:color="auto" w:fill="EFF5FB"/>
            <w:vAlign w:val="center"/>
          </w:tcPr>
          <w:p w14:paraId="18DAA91F" w14:textId="77777777" w:rsidR="009E01DA" w:rsidRDefault="009E01DA" w:rsidP="003F3F11">
            <w:pPr>
              <w:jc w:val="left"/>
              <w:rPr>
                <w:sz w:val="20"/>
                <w:szCs w:val="20"/>
              </w:rPr>
            </w:pPr>
            <w:r>
              <w:rPr>
                <w:sz w:val="20"/>
                <w:szCs w:val="20"/>
              </w:rPr>
              <w:t>Comparaison à la valeur potentielle atteignable en fonction de la classe texturale (sur base de MO potentielle)</w:t>
            </w:r>
          </w:p>
        </w:tc>
      </w:tr>
      <w:tr w:rsidR="009E01DA" w:rsidRPr="0000352D" w14:paraId="23542FC5" w14:textId="77777777" w:rsidTr="003F3F11">
        <w:tc>
          <w:tcPr>
            <w:tcW w:w="1200" w:type="dxa"/>
            <w:tcBorders>
              <w:top w:val="single" w:sz="18" w:space="0" w:color="auto"/>
              <w:bottom w:val="single" w:sz="18" w:space="0" w:color="auto"/>
            </w:tcBorders>
            <w:shd w:val="clear" w:color="auto" w:fill="D1D1D1" w:themeFill="background2" w:themeFillShade="E6"/>
            <w:vAlign w:val="center"/>
          </w:tcPr>
          <w:p w14:paraId="0E24BFE3" w14:textId="77777777" w:rsidR="009E01DA" w:rsidRPr="00261C30" w:rsidRDefault="009E01DA" w:rsidP="003F3F11">
            <w:pPr>
              <w:jc w:val="left"/>
              <w:rPr>
                <w:b/>
                <w:bCs/>
                <w:sz w:val="20"/>
                <w:szCs w:val="20"/>
              </w:rPr>
            </w:pPr>
            <w:r w:rsidRPr="00261C30">
              <w:rPr>
                <w:b/>
                <w:bCs/>
                <w:sz w:val="20"/>
                <w:szCs w:val="20"/>
              </w:rPr>
              <w:t>Accueil végétation diversifiée</w:t>
            </w:r>
          </w:p>
        </w:tc>
        <w:tc>
          <w:tcPr>
            <w:tcW w:w="1239" w:type="dxa"/>
            <w:tcBorders>
              <w:top w:val="single" w:sz="18" w:space="0" w:color="auto"/>
              <w:bottom w:val="single" w:sz="18" w:space="0" w:color="auto"/>
            </w:tcBorders>
            <w:shd w:val="clear" w:color="auto" w:fill="F2F2F2" w:themeFill="background1" w:themeFillShade="F2"/>
            <w:vAlign w:val="center"/>
          </w:tcPr>
          <w:p w14:paraId="32E213E6" w14:textId="77777777" w:rsidR="009E01DA" w:rsidRPr="0000352D" w:rsidRDefault="009E01DA" w:rsidP="003F3F11">
            <w:pPr>
              <w:jc w:val="left"/>
              <w:rPr>
                <w:sz w:val="20"/>
                <w:szCs w:val="20"/>
              </w:rPr>
            </w:pPr>
            <w:r>
              <w:rPr>
                <w:sz w:val="20"/>
                <w:szCs w:val="20"/>
              </w:rPr>
              <w:t>Diversité réseaux trophiques</w:t>
            </w:r>
          </w:p>
        </w:tc>
        <w:tc>
          <w:tcPr>
            <w:tcW w:w="748" w:type="dxa"/>
            <w:tcBorders>
              <w:top w:val="single" w:sz="18" w:space="0" w:color="auto"/>
              <w:bottom w:val="single" w:sz="18" w:space="0" w:color="auto"/>
            </w:tcBorders>
            <w:vAlign w:val="center"/>
          </w:tcPr>
          <w:p w14:paraId="26222D62"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2ACD5824" wp14:editId="22BB2E87">
                      <wp:extent cx="94615" cy="153035"/>
                      <wp:effectExtent l="0" t="0" r="76835" b="56515"/>
                      <wp:docPr id="1715849515" name="Connecteur droit avec flèche 1"/>
                      <wp:cNvGraphicFramePr/>
                      <a:graphic xmlns:a="http://schemas.openxmlformats.org/drawingml/2006/main">
                        <a:graphicData uri="http://schemas.microsoft.com/office/word/2010/wordprocessingShape">
                          <wps:wsp>
                            <wps:cNvCnPr/>
                            <wps:spPr>
                              <a:xfrm>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4AA780E1" id="Connecteur droit avec flèche 1" o:spid="_x0000_s1026" type="#_x0000_t32" style="width:7.45pt;height:12.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" strokecolor="#0e2841 [3215]" strokeweight="1pt">
                      <v:stroke endarrow="block" joinstyle="miter"/>
                      <w10:anchorlock/>
                    </v:shape>
                  </w:pict>
                </mc:Fallback>
              </mc:AlternateContent>
            </w:r>
          </w:p>
        </w:tc>
        <w:tc>
          <w:tcPr>
            <w:tcW w:w="1628" w:type="dxa"/>
            <w:tcBorders>
              <w:top w:val="single" w:sz="18" w:space="0" w:color="auto"/>
              <w:bottom w:val="single" w:sz="18" w:space="0" w:color="auto"/>
            </w:tcBorders>
            <w:shd w:val="clear" w:color="auto" w:fill="F2F9EB"/>
            <w:vAlign w:val="center"/>
          </w:tcPr>
          <w:p w14:paraId="0833BF61" w14:textId="77777777" w:rsidR="009E01DA" w:rsidRDefault="009E01DA" w:rsidP="003F3F11">
            <w:pPr>
              <w:jc w:val="left"/>
              <w:rPr>
                <w:sz w:val="20"/>
                <w:szCs w:val="20"/>
              </w:rPr>
            </w:pPr>
            <w:r>
              <w:rPr>
                <w:sz w:val="20"/>
                <w:szCs w:val="20"/>
              </w:rPr>
              <w:t>P</w:t>
            </w:r>
            <w:r>
              <w:rPr>
                <w:sz w:val="20"/>
                <w:szCs w:val="20"/>
                <w:vertAlign w:val="subscript"/>
              </w:rPr>
              <w:t>qualité</w:t>
            </w:r>
          </w:p>
        </w:tc>
        <w:tc>
          <w:tcPr>
            <w:tcW w:w="4252" w:type="dxa"/>
            <w:tcBorders>
              <w:top w:val="single" w:sz="18" w:space="0" w:color="auto"/>
              <w:bottom w:val="single" w:sz="18" w:space="0" w:color="auto"/>
            </w:tcBorders>
            <w:shd w:val="clear" w:color="auto" w:fill="F2F9EB"/>
            <w:vAlign w:val="center"/>
          </w:tcPr>
          <w:p w14:paraId="4441973F" w14:textId="77777777" w:rsidR="009E01DA" w:rsidRDefault="009E01DA" w:rsidP="003F3F11">
            <w:pPr>
              <w:jc w:val="left"/>
              <w:rPr>
                <w:sz w:val="20"/>
                <w:szCs w:val="20"/>
              </w:rPr>
            </w:pPr>
            <w:r>
              <w:rPr>
                <w:sz w:val="20"/>
                <w:szCs w:val="20"/>
              </w:rPr>
              <w:t xml:space="preserve">Seuil à partir duquel la diversité végétale des écosystèmes chute drastiquement </w:t>
            </w:r>
            <w:r>
              <w:rPr>
                <w:sz w:val="20"/>
                <w:szCs w:val="20"/>
              </w:rPr>
              <w:fldChar w:fldCharType="begin"/>
            </w:r>
            <w:r>
              <w:rPr>
                <w:sz w:val="20"/>
                <w:szCs w:val="20"/>
              </w:rPr>
              <w:instrText xml:space="preserve"> ADDIN ZOTERO_ITEM CSL_CITATION {"citationID":"blyoNLJo","properties":{"unsorted":false,"formattedCitation":"(Janssens &amp; Peeters, 1999)","plainCitation":"(Janssens &amp; Peeters, 1999)","noteIndex":0},"citationItems":[{"id":124,"uris":["http://zotero.org/groups/5684833/items/6FFL6DXR"],"itemData":{"id":124,"type":"article-journal","language":"fr","source":"dial.uclouvain.be","title":"Talus et pré fleuris : mode d'emploi. Un guide pour l'aménagement écologique d'espaces verts","title-short":"Talus et pré fleuris","URL":"https://dial.uclouvain.be/pr/boreal/object/boreal:84530","author":[{"family":"Janssens","given":"Frédéric"},{"family":"Peeters","given":"Alain"}],"accessed":{"date-parts":[["2025",7,30]]},"issued":{"date-parts":[["1999"]]}}}],"schema":"https://github.com/citation-style-language/schema/raw/master/csl-citation.json"} </w:instrText>
            </w:r>
            <w:r>
              <w:rPr>
                <w:sz w:val="20"/>
                <w:szCs w:val="20"/>
              </w:rPr>
              <w:fldChar w:fldCharType="separate"/>
            </w:r>
            <w:r w:rsidRPr="008E013D">
              <w:rPr>
                <w:rFonts w:cs="Calibri"/>
                <w:sz w:val="20"/>
              </w:rPr>
              <w:t>(Janssens &amp; Peeters, 1999)</w:t>
            </w:r>
            <w:r>
              <w:rPr>
                <w:sz w:val="20"/>
                <w:szCs w:val="20"/>
              </w:rPr>
              <w:fldChar w:fldCharType="end"/>
            </w:r>
          </w:p>
        </w:tc>
      </w:tr>
      <w:tr w:rsidR="009E01DA" w:rsidRPr="0000352D" w14:paraId="3F7CBC4F" w14:textId="77777777" w:rsidTr="003F3F11">
        <w:tc>
          <w:tcPr>
            <w:tcW w:w="1200" w:type="dxa"/>
            <w:vMerge w:val="restart"/>
            <w:tcBorders>
              <w:top w:val="single" w:sz="18" w:space="0" w:color="auto"/>
            </w:tcBorders>
            <w:shd w:val="clear" w:color="auto" w:fill="D1D1D1" w:themeFill="background2" w:themeFillShade="E6"/>
            <w:vAlign w:val="center"/>
          </w:tcPr>
          <w:p w14:paraId="6FB950E9" w14:textId="77777777" w:rsidR="009E01DA" w:rsidRPr="00261C30" w:rsidRDefault="009E01DA" w:rsidP="003F3F11">
            <w:pPr>
              <w:jc w:val="left"/>
              <w:rPr>
                <w:b/>
                <w:bCs/>
                <w:sz w:val="20"/>
                <w:szCs w:val="20"/>
              </w:rPr>
            </w:pPr>
            <w:r w:rsidRPr="00261C30">
              <w:rPr>
                <w:b/>
                <w:bCs/>
                <w:sz w:val="20"/>
                <w:szCs w:val="20"/>
              </w:rPr>
              <w:t>Biodiversité du sol</w:t>
            </w:r>
          </w:p>
        </w:tc>
        <w:tc>
          <w:tcPr>
            <w:tcW w:w="1239" w:type="dxa"/>
            <w:vMerge w:val="restart"/>
            <w:tcBorders>
              <w:top w:val="single" w:sz="18" w:space="0" w:color="auto"/>
            </w:tcBorders>
            <w:shd w:val="clear" w:color="auto" w:fill="F2F2F2" w:themeFill="background1" w:themeFillShade="F2"/>
            <w:vAlign w:val="center"/>
          </w:tcPr>
          <w:p w14:paraId="3361EB43" w14:textId="77777777" w:rsidR="009E01DA" w:rsidRPr="0000352D" w:rsidRDefault="009E01DA" w:rsidP="003F3F11">
            <w:pPr>
              <w:jc w:val="left"/>
              <w:rPr>
                <w:sz w:val="20"/>
                <w:szCs w:val="20"/>
              </w:rPr>
            </w:pPr>
            <w:r>
              <w:rPr>
                <w:sz w:val="20"/>
                <w:szCs w:val="20"/>
              </w:rPr>
              <w:t>Abondance microbienne</w:t>
            </w:r>
          </w:p>
        </w:tc>
        <w:tc>
          <w:tcPr>
            <w:tcW w:w="748" w:type="dxa"/>
            <w:vMerge w:val="restart"/>
            <w:tcBorders>
              <w:top w:val="single" w:sz="18" w:space="0" w:color="auto"/>
            </w:tcBorders>
            <w:vAlign w:val="center"/>
          </w:tcPr>
          <w:p w14:paraId="4E8B437A"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01F4B588" wp14:editId="23E4D6A2">
                      <wp:extent cx="94615" cy="153035"/>
                      <wp:effectExtent l="0" t="38100" r="57785" b="18415"/>
                      <wp:docPr id="211993507"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24939BA1"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4FA88CDD" w14:textId="77777777" w:rsidR="009E01DA" w:rsidRDefault="009E01DA" w:rsidP="003F3F11">
            <w:pPr>
              <w:jc w:val="left"/>
              <w:rPr>
                <w:sz w:val="20"/>
                <w:szCs w:val="20"/>
              </w:rPr>
            </w:pPr>
            <w:r>
              <w:rPr>
                <w:sz w:val="20"/>
                <w:szCs w:val="20"/>
              </w:rPr>
              <w:t>C</w:t>
            </w:r>
            <w:r>
              <w:rPr>
                <w:sz w:val="20"/>
                <w:szCs w:val="20"/>
                <w:vertAlign w:val="subscript"/>
              </w:rPr>
              <w:t>mic qualité</w:t>
            </w:r>
          </w:p>
        </w:tc>
        <w:tc>
          <w:tcPr>
            <w:tcW w:w="4252" w:type="dxa"/>
            <w:vMerge w:val="restart"/>
            <w:tcBorders>
              <w:top w:val="single" w:sz="18" w:space="0" w:color="auto"/>
            </w:tcBorders>
            <w:vAlign w:val="center"/>
          </w:tcPr>
          <w:p w14:paraId="1030E98F" w14:textId="77777777" w:rsidR="009E01DA" w:rsidRDefault="009E01DA" w:rsidP="003F3F11">
            <w:pPr>
              <w:jc w:val="left"/>
              <w:rPr>
                <w:sz w:val="20"/>
                <w:szCs w:val="20"/>
              </w:rPr>
            </w:pPr>
            <w:r>
              <w:rPr>
                <w:sz w:val="20"/>
                <w:szCs w:val="20"/>
              </w:rPr>
              <w:t xml:space="preserve">Distribution des valeurs mesurées sur des sols agricoles RW </w:t>
            </w:r>
            <w:r>
              <w:rPr>
                <w:sz w:val="20"/>
                <w:szCs w:val="20"/>
              </w:rPr>
              <w:fldChar w:fldCharType="begin"/>
            </w:r>
            <w:r>
              <w:rPr>
                <w:sz w:val="20"/>
                <w:szCs w:val="20"/>
              </w:rPr>
              <w:instrText xml:space="preserve"> ADDIN ZOTERO_ITEM CSL_CITATION {"citationID":"E8l1SzRE","properties":{"unsorted":false,"formattedCitation":"(Chartin et al., 2015)","plainCitation":"(Chartin et al., 2015)","noteIndex":0},"citationItems":[{"id":91,"uris":["http://zotero.org/groups/5684833/items/X3Q8CCBC"],"itemData":{"id":91,"type":"article-journal","language":"fr","source":"Zotero","title":"« Carbone organique, biomasse et activité microbienne des sols : vers un indicateur de la qualité des sols en Wallonie »","author":[{"family":"Chartin","given":"Caroline"},{"family":"Kruger","given":"Inken"},{"family":"Stevens","given":"Antoine"},{"family":"Wesemael","given":"Bas Van"},{"family":"Carnol","given":"Monique"}],"issued":{"date-parts":[["2015"]]}}}],"schema":"https://github.com/citation-style-language/schema/raw/master/csl-citation.json"} </w:instrText>
            </w:r>
            <w:r>
              <w:rPr>
                <w:sz w:val="20"/>
                <w:szCs w:val="20"/>
              </w:rPr>
              <w:fldChar w:fldCharType="separate"/>
            </w:r>
            <w:r w:rsidRPr="00C22895">
              <w:rPr>
                <w:rFonts w:cs="Calibri"/>
                <w:sz w:val="20"/>
              </w:rPr>
              <w:t>(Chartin et al., 2015)</w:t>
            </w:r>
            <w:r>
              <w:rPr>
                <w:sz w:val="20"/>
                <w:szCs w:val="20"/>
              </w:rPr>
              <w:fldChar w:fldCharType="end"/>
            </w:r>
          </w:p>
        </w:tc>
      </w:tr>
      <w:tr w:rsidR="009E01DA" w:rsidRPr="0000352D" w14:paraId="4AEAA40A" w14:textId="77777777" w:rsidTr="003F3F11">
        <w:tc>
          <w:tcPr>
            <w:tcW w:w="1200" w:type="dxa"/>
            <w:vMerge/>
            <w:shd w:val="clear" w:color="auto" w:fill="D1D1D1" w:themeFill="background2" w:themeFillShade="E6"/>
            <w:vAlign w:val="center"/>
          </w:tcPr>
          <w:p w14:paraId="2F5106BB"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27BFA37" w14:textId="77777777" w:rsidR="009E01DA" w:rsidRPr="0000352D" w:rsidRDefault="009E01DA" w:rsidP="003F3F11">
            <w:pPr>
              <w:jc w:val="left"/>
              <w:rPr>
                <w:sz w:val="20"/>
                <w:szCs w:val="20"/>
              </w:rPr>
            </w:pPr>
          </w:p>
        </w:tc>
        <w:tc>
          <w:tcPr>
            <w:tcW w:w="748" w:type="dxa"/>
            <w:vMerge/>
            <w:vAlign w:val="center"/>
          </w:tcPr>
          <w:p w14:paraId="793AF85A" w14:textId="77777777" w:rsidR="009E01DA" w:rsidRPr="0000352D" w:rsidRDefault="009E01DA" w:rsidP="003F3F11">
            <w:pPr>
              <w:jc w:val="center"/>
              <w:rPr>
                <w:sz w:val="20"/>
                <w:szCs w:val="20"/>
              </w:rPr>
            </w:pPr>
          </w:p>
        </w:tc>
        <w:tc>
          <w:tcPr>
            <w:tcW w:w="1628" w:type="dxa"/>
            <w:shd w:val="clear" w:color="auto" w:fill="EFF5FB"/>
            <w:vAlign w:val="center"/>
          </w:tcPr>
          <w:p w14:paraId="665695DF" w14:textId="77777777" w:rsidR="009E01DA" w:rsidRDefault="009E01DA" w:rsidP="003F3F11">
            <w:pPr>
              <w:jc w:val="left"/>
              <w:rPr>
                <w:sz w:val="20"/>
                <w:szCs w:val="20"/>
              </w:rPr>
            </w:pPr>
            <w:r>
              <w:rPr>
                <w:sz w:val="20"/>
                <w:szCs w:val="20"/>
              </w:rPr>
              <w:t>C</w:t>
            </w:r>
            <w:r>
              <w:rPr>
                <w:sz w:val="20"/>
                <w:szCs w:val="20"/>
                <w:vertAlign w:val="subscript"/>
              </w:rPr>
              <w:t>mic santé</w:t>
            </w:r>
          </w:p>
        </w:tc>
        <w:tc>
          <w:tcPr>
            <w:tcW w:w="4252" w:type="dxa"/>
            <w:vMerge/>
            <w:vAlign w:val="center"/>
          </w:tcPr>
          <w:p w14:paraId="22C06B8C" w14:textId="77777777" w:rsidR="009E01DA" w:rsidRDefault="009E01DA" w:rsidP="003F3F11">
            <w:pPr>
              <w:jc w:val="left"/>
              <w:rPr>
                <w:sz w:val="20"/>
                <w:szCs w:val="20"/>
              </w:rPr>
            </w:pPr>
          </w:p>
        </w:tc>
      </w:tr>
      <w:tr w:rsidR="009E01DA" w:rsidRPr="0000352D" w14:paraId="21176E35" w14:textId="77777777" w:rsidTr="003F3F11">
        <w:tc>
          <w:tcPr>
            <w:tcW w:w="1200" w:type="dxa"/>
            <w:vMerge/>
            <w:shd w:val="clear" w:color="auto" w:fill="D1D1D1" w:themeFill="background2" w:themeFillShade="E6"/>
            <w:vAlign w:val="center"/>
          </w:tcPr>
          <w:p w14:paraId="26A3E6BB" w14:textId="77777777" w:rsidR="009E01DA" w:rsidRPr="00261C30" w:rsidRDefault="009E01DA" w:rsidP="003F3F11">
            <w:pPr>
              <w:jc w:val="left"/>
              <w:rPr>
                <w:b/>
                <w:bCs/>
                <w:sz w:val="20"/>
                <w:szCs w:val="20"/>
              </w:rPr>
            </w:pPr>
          </w:p>
        </w:tc>
        <w:tc>
          <w:tcPr>
            <w:tcW w:w="1239" w:type="dxa"/>
            <w:vMerge w:val="restart"/>
            <w:shd w:val="clear" w:color="auto" w:fill="F2F2F2" w:themeFill="background1" w:themeFillShade="F2"/>
            <w:vAlign w:val="center"/>
          </w:tcPr>
          <w:p w14:paraId="78D75844" w14:textId="77777777" w:rsidR="009E01DA" w:rsidRPr="0000352D" w:rsidRDefault="009E01DA" w:rsidP="003F3F11">
            <w:pPr>
              <w:jc w:val="left"/>
              <w:rPr>
                <w:sz w:val="20"/>
                <w:szCs w:val="20"/>
              </w:rPr>
            </w:pPr>
            <w:r>
              <w:rPr>
                <w:sz w:val="20"/>
                <w:szCs w:val="20"/>
              </w:rPr>
              <w:t>Diversité nématodes</w:t>
            </w:r>
          </w:p>
        </w:tc>
        <w:tc>
          <w:tcPr>
            <w:tcW w:w="748" w:type="dxa"/>
            <w:vMerge w:val="restart"/>
            <w:vAlign w:val="center"/>
          </w:tcPr>
          <w:p w14:paraId="78621BB7"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1D0ACF7C" wp14:editId="42C68F3B">
                      <wp:extent cx="94615" cy="153035"/>
                      <wp:effectExtent l="0" t="38100" r="57785" b="18415"/>
                      <wp:docPr id="1600443032"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A07C5A3"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66CE34CA" w14:textId="77777777" w:rsidR="009E01DA" w:rsidRDefault="009E01DA" w:rsidP="003F3F11">
            <w:pPr>
              <w:jc w:val="left"/>
              <w:rPr>
                <w:sz w:val="20"/>
                <w:szCs w:val="20"/>
              </w:rPr>
            </w:pPr>
            <w:r>
              <w:rPr>
                <w:sz w:val="20"/>
                <w:szCs w:val="20"/>
              </w:rPr>
              <w:t>SI</w:t>
            </w:r>
            <w:r>
              <w:rPr>
                <w:sz w:val="20"/>
                <w:szCs w:val="20"/>
                <w:vertAlign w:val="subscript"/>
              </w:rPr>
              <w:t>ném qualité</w:t>
            </w:r>
          </w:p>
        </w:tc>
        <w:tc>
          <w:tcPr>
            <w:tcW w:w="4252" w:type="dxa"/>
            <w:vMerge w:val="restart"/>
            <w:vAlign w:val="center"/>
          </w:tcPr>
          <w:p w14:paraId="0FCC0639" w14:textId="77777777" w:rsidR="009E01DA" w:rsidRDefault="009E01DA" w:rsidP="003F3F11">
            <w:pPr>
              <w:jc w:val="left"/>
              <w:rPr>
                <w:sz w:val="20"/>
                <w:szCs w:val="20"/>
              </w:rPr>
            </w:pPr>
            <w:r>
              <w:rPr>
                <w:sz w:val="20"/>
                <w:szCs w:val="20"/>
              </w:rPr>
              <w:t xml:space="preserve">Gammes optimales </w:t>
            </w:r>
            <w:r>
              <w:rPr>
                <w:sz w:val="20"/>
                <w:szCs w:val="20"/>
              </w:rPr>
              <w:fldChar w:fldCharType="begin"/>
            </w:r>
            <w:r>
              <w:rPr>
                <w:sz w:val="20"/>
                <w:szCs w:val="20"/>
              </w:rPr>
              <w:instrText xml:space="preserve"> ADDIN ZOTERO_ITEM CSL_CITATION {"citationID":"lYO4Z45l","properties":{"unsorted":true,"formattedCitation":"(Le Guedard et al., 2017; Chauvin, 2025)","plainCitation":"(Le Guedard et al., 2017; Chauvin, 2025)","noteIndex":0},"citationItems":[{"id":477,"uris":["http://zotero.org/groups/5684833/items/Z5X6SQPP"],"itemData":{"id":477,"type":"report","number":"010216","title":"La librairie ADEME - Bio-indicateurs de l'état des sols (Les)","URL":"https://librairie.ademe.fr/urbanisme-territoires-et-sols/1971-bio-indicateurs-de-l-etat-des-sols-les-9791029708244.html","author":[{"family":"Le Guedard","given":"Marina"},{"family":"Bessoule","given":"Jean-Jacques"},{"family":"Faure","given":"Olivier"},{"family":"Fayolle","given":"Gérald"},{"family":"Nau","given":"Jean-François"},{"family":"Villenave","given":"Cécile"},{"family":"Ceremonie","given":"Hélène"},{"family":"Pauget","given":"Benjamin"},{"family":"Peres","given":"Guénola"}],"editor":[{"literal":"ADERA"},{"literal":"LEB Aquitaine Transfert"},{"literal":"CNRS BORDEAUX"},{"literal":"ECOLE NATIONALE SUPERIEURE DES MINES DE SAINT-ETIENNE"},{"literal":"EODD Ingénieurs Conseils"},{"literal":"AGROCAMPUS OUEST"}],"accessed":{"date-parts":[["2026",3,10]]},"issued":{"date-parts":[["2017"]]}}},{"id":592,"uris":["http://zotero.org/groups/5684833/items/6H4ESTD4"],"itemData":{"id":592,"type":"speech","event-place":"Parc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Pr>
                <w:sz w:val="20"/>
                <w:szCs w:val="20"/>
              </w:rPr>
              <w:fldChar w:fldCharType="separate"/>
            </w:r>
            <w:r w:rsidRPr="00A82AF0">
              <w:rPr>
                <w:rFonts w:cs="Calibri"/>
                <w:sz w:val="20"/>
              </w:rPr>
              <w:t>(Le Guedard et al., 2017; Chauvin, 2025)</w:t>
            </w:r>
            <w:r>
              <w:rPr>
                <w:sz w:val="20"/>
                <w:szCs w:val="20"/>
              </w:rPr>
              <w:fldChar w:fldCharType="end"/>
            </w:r>
          </w:p>
        </w:tc>
      </w:tr>
      <w:tr w:rsidR="009E01DA" w:rsidRPr="0000352D" w14:paraId="12A3CCC0" w14:textId="77777777" w:rsidTr="003F3F11">
        <w:tc>
          <w:tcPr>
            <w:tcW w:w="1200" w:type="dxa"/>
            <w:vMerge/>
            <w:shd w:val="clear" w:color="auto" w:fill="D1D1D1" w:themeFill="background2" w:themeFillShade="E6"/>
            <w:vAlign w:val="center"/>
          </w:tcPr>
          <w:p w14:paraId="1AEBB542"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F955BD3" w14:textId="77777777" w:rsidR="009E01DA" w:rsidRPr="0000352D" w:rsidRDefault="009E01DA" w:rsidP="003F3F11">
            <w:pPr>
              <w:jc w:val="left"/>
              <w:rPr>
                <w:sz w:val="20"/>
                <w:szCs w:val="20"/>
              </w:rPr>
            </w:pPr>
          </w:p>
        </w:tc>
        <w:tc>
          <w:tcPr>
            <w:tcW w:w="748" w:type="dxa"/>
            <w:vMerge/>
            <w:vAlign w:val="center"/>
          </w:tcPr>
          <w:p w14:paraId="7FF085FD" w14:textId="77777777" w:rsidR="009E01DA" w:rsidRPr="0000352D" w:rsidRDefault="009E01DA" w:rsidP="003F3F11">
            <w:pPr>
              <w:jc w:val="center"/>
              <w:rPr>
                <w:sz w:val="20"/>
                <w:szCs w:val="20"/>
              </w:rPr>
            </w:pPr>
          </w:p>
        </w:tc>
        <w:tc>
          <w:tcPr>
            <w:tcW w:w="1628" w:type="dxa"/>
            <w:shd w:val="clear" w:color="auto" w:fill="EFF5FB"/>
            <w:vAlign w:val="center"/>
          </w:tcPr>
          <w:p w14:paraId="49514108" w14:textId="77777777" w:rsidR="009E01DA" w:rsidRDefault="009E01DA" w:rsidP="003F3F11">
            <w:pPr>
              <w:jc w:val="left"/>
              <w:rPr>
                <w:sz w:val="20"/>
                <w:szCs w:val="20"/>
              </w:rPr>
            </w:pPr>
            <w:r>
              <w:rPr>
                <w:sz w:val="20"/>
                <w:szCs w:val="20"/>
              </w:rPr>
              <w:t>SI</w:t>
            </w:r>
            <w:r>
              <w:rPr>
                <w:sz w:val="20"/>
                <w:szCs w:val="20"/>
                <w:vertAlign w:val="subscript"/>
              </w:rPr>
              <w:t>ném santé</w:t>
            </w:r>
          </w:p>
        </w:tc>
        <w:tc>
          <w:tcPr>
            <w:tcW w:w="4252" w:type="dxa"/>
            <w:vMerge/>
            <w:vAlign w:val="center"/>
          </w:tcPr>
          <w:p w14:paraId="4D38AF24" w14:textId="77777777" w:rsidR="009E01DA" w:rsidRDefault="009E01DA" w:rsidP="003F3F11">
            <w:pPr>
              <w:jc w:val="left"/>
              <w:rPr>
                <w:sz w:val="20"/>
                <w:szCs w:val="20"/>
              </w:rPr>
            </w:pPr>
          </w:p>
        </w:tc>
      </w:tr>
      <w:tr w:rsidR="009E01DA" w:rsidRPr="0000352D" w14:paraId="3EE0AD8A" w14:textId="77777777" w:rsidTr="003F3F11">
        <w:tc>
          <w:tcPr>
            <w:tcW w:w="1200" w:type="dxa"/>
            <w:vMerge/>
            <w:shd w:val="clear" w:color="auto" w:fill="D1D1D1" w:themeFill="background2" w:themeFillShade="E6"/>
            <w:vAlign w:val="center"/>
          </w:tcPr>
          <w:p w14:paraId="30F29EF8"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66C952EE" w14:textId="77777777" w:rsidR="009E01DA" w:rsidRPr="0000352D" w:rsidRDefault="009E01DA" w:rsidP="003F3F11">
            <w:pPr>
              <w:jc w:val="left"/>
              <w:rPr>
                <w:sz w:val="20"/>
                <w:szCs w:val="20"/>
              </w:rPr>
            </w:pPr>
          </w:p>
        </w:tc>
        <w:tc>
          <w:tcPr>
            <w:tcW w:w="748" w:type="dxa"/>
            <w:vMerge w:val="restart"/>
            <w:vAlign w:val="center"/>
          </w:tcPr>
          <w:p w14:paraId="547F4F33" w14:textId="77777777" w:rsidR="009E01DA" w:rsidRPr="0000352D" w:rsidRDefault="009E01DA" w:rsidP="003F3F11">
            <w:pPr>
              <w:jc w:val="center"/>
              <w:rPr>
                <w:sz w:val="20"/>
                <w:szCs w:val="20"/>
              </w:rPr>
            </w:pPr>
            <w:r>
              <w:rPr>
                <w:noProof/>
                <w:sz w:val="20"/>
                <w:szCs w:val="20"/>
              </w:rPr>
              <mc:AlternateContent>
                <mc:Choice Requires="wps">
                  <w:drawing>
                    <wp:inline distT="0" distB="0" distL="0" distR="0" wp14:anchorId="56719356" wp14:editId="5E2E4054">
                      <wp:extent cx="94615" cy="153035"/>
                      <wp:effectExtent l="0" t="38100" r="57785" b="18415"/>
                      <wp:docPr id="630603330"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EC6BEB7"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330E3018" w14:textId="77777777" w:rsidR="009E01DA" w:rsidRDefault="009E01DA" w:rsidP="003F3F11">
            <w:pPr>
              <w:jc w:val="left"/>
              <w:rPr>
                <w:sz w:val="20"/>
                <w:szCs w:val="20"/>
              </w:rPr>
            </w:pPr>
            <w:r>
              <w:rPr>
                <w:sz w:val="20"/>
                <w:szCs w:val="20"/>
              </w:rPr>
              <w:t>Shannon</w:t>
            </w:r>
            <w:r>
              <w:rPr>
                <w:sz w:val="20"/>
                <w:szCs w:val="20"/>
                <w:vertAlign w:val="subscript"/>
              </w:rPr>
              <w:t>ném qualité</w:t>
            </w:r>
          </w:p>
        </w:tc>
        <w:tc>
          <w:tcPr>
            <w:tcW w:w="4252" w:type="dxa"/>
            <w:vMerge w:val="restart"/>
            <w:vAlign w:val="center"/>
          </w:tcPr>
          <w:p w14:paraId="4257D705" w14:textId="77777777" w:rsidR="009E01DA" w:rsidRDefault="009E01DA" w:rsidP="003F3F11">
            <w:pPr>
              <w:jc w:val="left"/>
              <w:rPr>
                <w:sz w:val="20"/>
                <w:szCs w:val="20"/>
              </w:rPr>
            </w:pPr>
            <w:r>
              <w:rPr>
                <w:sz w:val="20"/>
                <w:szCs w:val="20"/>
              </w:rPr>
              <w:t xml:space="preserve">Valeur cible </w:t>
            </w:r>
            <w:r>
              <w:rPr>
                <w:sz w:val="20"/>
                <w:szCs w:val="20"/>
              </w:rPr>
              <w:fldChar w:fldCharType="begin"/>
            </w:r>
            <w:r>
              <w:rPr>
                <w:sz w:val="20"/>
                <w:szCs w:val="20"/>
              </w:rPr>
              <w:instrText xml:space="preserve"> ADDIN ZOTERO_ITEM CSL_CITATION {"citationID":"DQKwYcXs","properties":{"unsorted":false,"formattedCitation":"(Chauvin, 2025)","plainCitation":"(Chauvin, 2025)","noteIndex":0},"citationItems":[{"id":592,"uris":["http://zotero.org/groups/5684833/items/6H4ESTD4"],"itemData":{"id":592,"type":"speech","event-place":"Parc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Pr>
                <w:sz w:val="20"/>
                <w:szCs w:val="20"/>
              </w:rPr>
              <w:fldChar w:fldCharType="separate"/>
            </w:r>
            <w:r w:rsidRPr="00327490">
              <w:rPr>
                <w:rFonts w:cs="Calibri"/>
                <w:sz w:val="20"/>
              </w:rPr>
              <w:t>(Chauvin, 2025)</w:t>
            </w:r>
            <w:r>
              <w:rPr>
                <w:sz w:val="20"/>
                <w:szCs w:val="20"/>
              </w:rPr>
              <w:fldChar w:fldCharType="end"/>
            </w:r>
          </w:p>
        </w:tc>
      </w:tr>
      <w:tr w:rsidR="009E01DA" w14:paraId="7121DDFA" w14:textId="77777777" w:rsidTr="003F3F11">
        <w:tc>
          <w:tcPr>
            <w:tcW w:w="1200" w:type="dxa"/>
            <w:vMerge/>
            <w:tcBorders>
              <w:bottom w:val="single" w:sz="18" w:space="0" w:color="auto"/>
            </w:tcBorders>
            <w:shd w:val="clear" w:color="auto" w:fill="D1D1D1" w:themeFill="background2" w:themeFillShade="E6"/>
            <w:vAlign w:val="center"/>
          </w:tcPr>
          <w:p w14:paraId="4C6E4EFD" w14:textId="77777777" w:rsidR="009E01DA" w:rsidRPr="00261C30" w:rsidRDefault="009E01DA" w:rsidP="003F3F11">
            <w:pPr>
              <w:jc w:val="left"/>
              <w:rPr>
                <w:b/>
                <w:bCs/>
                <w:sz w:val="20"/>
                <w:szCs w:val="20"/>
              </w:rPr>
            </w:pPr>
          </w:p>
        </w:tc>
        <w:tc>
          <w:tcPr>
            <w:tcW w:w="1239" w:type="dxa"/>
            <w:vMerge/>
            <w:tcBorders>
              <w:bottom w:val="single" w:sz="18" w:space="0" w:color="auto"/>
            </w:tcBorders>
            <w:shd w:val="clear" w:color="auto" w:fill="F2F2F2" w:themeFill="background1" w:themeFillShade="F2"/>
            <w:vAlign w:val="center"/>
          </w:tcPr>
          <w:p w14:paraId="3ED9212B" w14:textId="77777777" w:rsidR="009E01DA" w:rsidRDefault="009E01DA" w:rsidP="003F3F11">
            <w:pPr>
              <w:jc w:val="left"/>
              <w:rPr>
                <w:sz w:val="20"/>
                <w:szCs w:val="20"/>
              </w:rPr>
            </w:pPr>
          </w:p>
        </w:tc>
        <w:tc>
          <w:tcPr>
            <w:tcW w:w="748" w:type="dxa"/>
            <w:vMerge/>
            <w:tcBorders>
              <w:bottom w:val="single" w:sz="18" w:space="0" w:color="auto"/>
            </w:tcBorders>
            <w:vAlign w:val="center"/>
          </w:tcPr>
          <w:p w14:paraId="2ADA3F9F" w14:textId="77777777" w:rsidR="009E01DA" w:rsidRDefault="009E01DA" w:rsidP="003F3F11">
            <w:pPr>
              <w:jc w:val="center"/>
              <w:rPr>
                <w:sz w:val="20"/>
                <w:szCs w:val="20"/>
              </w:rPr>
            </w:pPr>
          </w:p>
        </w:tc>
        <w:tc>
          <w:tcPr>
            <w:tcW w:w="1628" w:type="dxa"/>
            <w:tcBorders>
              <w:bottom w:val="single" w:sz="18" w:space="0" w:color="auto"/>
            </w:tcBorders>
            <w:shd w:val="clear" w:color="auto" w:fill="EFF5FB"/>
            <w:vAlign w:val="center"/>
          </w:tcPr>
          <w:p w14:paraId="11C777CD" w14:textId="77777777" w:rsidR="009E01DA" w:rsidRDefault="009E01DA" w:rsidP="003F3F11">
            <w:pPr>
              <w:jc w:val="left"/>
              <w:rPr>
                <w:sz w:val="20"/>
                <w:szCs w:val="20"/>
              </w:rPr>
            </w:pPr>
            <w:r>
              <w:rPr>
                <w:sz w:val="20"/>
                <w:szCs w:val="20"/>
              </w:rPr>
              <w:t>Shannon</w:t>
            </w:r>
            <w:r>
              <w:rPr>
                <w:sz w:val="20"/>
                <w:szCs w:val="20"/>
                <w:vertAlign w:val="subscript"/>
              </w:rPr>
              <w:t>ném santé</w:t>
            </w:r>
          </w:p>
        </w:tc>
        <w:tc>
          <w:tcPr>
            <w:tcW w:w="4252" w:type="dxa"/>
            <w:vMerge/>
            <w:tcBorders>
              <w:bottom w:val="single" w:sz="18" w:space="0" w:color="auto"/>
            </w:tcBorders>
            <w:vAlign w:val="center"/>
          </w:tcPr>
          <w:p w14:paraId="2C4BC06D" w14:textId="77777777" w:rsidR="009E01DA" w:rsidRDefault="009E01DA" w:rsidP="003F3F11">
            <w:pPr>
              <w:jc w:val="left"/>
              <w:rPr>
                <w:sz w:val="20"/>
                <w:szCs w:val="20"/>
              </w:rPr>
            </w:pPr>
          </w:p>
        </w:tc>
      </w:tr>
      <w:tr w:rsidR="009E01DA" w14:paraId="709C5D90" w14:textId="77777777" w:rsidTr="003F3F11">
        <w:tc>
          <w:tcPr>
            <w:tcW w:w="1200" w:type="dxa"/>
            <w:vMerge w:val="restart"/>
            <w:tcBorders>
              <w:top w:val="single" w:sz="18" w:space="0" w:color="auto"/>
            </w:tcBorders>
            <w:shd w:val="clear" w:color="auto" w:fill="D1D1D1" w:themeFill="background2" w:themeFillShade="E6"/>
            <w:vAlign w:val="center"/>
          </w:tcPr>
          <w:p w14:paraId="3B4DAB7E" w14:textId="77777777" w:rsidR="009E01DA" w:rsidRPr="00261C30" w:rsidRDefault="009E01DA" w:rsidP="003F3F11">
            <w:pPr>
              <w:jc w:val="left"/>
              <w:rPr>
                <w:b/>
                <w:bCs/>
                <w:sz w:val="20"/>
                <w:szCs w:val="20"/>
              </w:rPr>
            </w:pPr>
            <w:r w:rsidRPr="00261C30">
              <w:rPr>
                <w:b/>
                <w:bCs/>
                <w:sz w:val="20"/>
                <w:szCs w:val="20"/>
              </w:rPr>
              <w:t>Stockage C</w:t>
            </w:r>
          </w:p>
        </w:tc>
        <w:tc>
          <w:tcPr>
            <w:tcW w:w="1239" w:type="dxa"/>
            <w:vMerge w:val="restart"/>
            <w:tcBorders>
              <w:top w:val="single" w:sz="18" w:space="0" w:color="auto"/>
            </w:tcBorders>
            <w:shd w:val="clear" w:color="auto" w:fill="F2F2F2" w:themeFill="background1" w:themeFillShade="F2"/>
            <w:vAlign w:val="center"/>
          </w:tcPr>
          <w:p w14:paraId="2DB8DB5D" w14:textId="77777777" w:rsidR="009E01DA" w:rsidRDefault="009E01DA" w:rsidP="003F3F11">
            <w:pPr>
              <w:jc w:val="left"/>
              <w:rPr>
                <w:sz w:val="20"/>
                <w:szCs w:val="20"/>
              </w:rPr>
            </w:pPr>
            <w:r>
              <w:rPr>
                <w:sz w:val="20"/>
                <w:szCs w:val="20"/>
              </w:rPr>
              <w:t>Stockage</w:t>
            </w:r>
          </w:p>
        </w:tc>
        <w:tc>
          <w:tcPr>
            <w:tcW w:w="748" w:type="dxa"/>
            <w:vMerge w:val="restart"/>
            <w:tcBorders>
              <w:top w:val="single" w:sz="18" w:space="0" w:color="auto"/>
            </w:tcBorders>
            <w:vAlign w:val="center"/>
          </w:tcPr>
          <w:p w14:paraId="27C4496A" w14:textId="77777777" w:rsidR="009E01DA" w:rsidRDefault="009E01DA" w:rsidP="003F3F11">
            <w:pPr>
              <w:jc w:val="center"/>
              <w:rPr>
                <w:sz w:val="20"/>
                <w:szCs w:val="20"/>
              </w:rPr>
            </w:pPr>
            <w:r>
              <w:rPr>
                <w:noProof/>
                <w:sz w:val="20"/>
                <w:szCs w:val="20"/>
              </w:rPr>
              <mc:AlternateContent>
                <mc:Choice Requires="wps">
                  <w:drawing>
                    <wp:inline distT="0" distB="0" distL="0" distR="0" wp14:anchorId="2F66BA8C" wp14:editId="130F5325">
                      <wp:extent cx="94615" cy="153035"/>
                      <wp:effectExtent l="0" t="38100" r="57785" b="18415"/>
                      <wp:docPr id="1356976655"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03632902"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30413E0D" w14:textId="77777777" w:rsidR="009E01DA" w:rsidRDefault="009E01DA" w:rsidP="003F3F11">
            <w:pPr>
              <w:jc w:val="left"/>
              <w:rPr>
                <w:sz w:val="20"/>
                <w:szCs w:val="20"/>
              </w:rPr>
            </w:pPr>
            <w:r>
              <w:rPr>
                <w:sz w:val="20"/>
                <w:szCs w:val="20"/>
              </w:rPr>
              <w:t>Stock C</w:t>
            </w:r>
            <w:r>
              <w:rPr>
                <w:sz w:val="20"/>
                <w:szCs w:val="20"/>
                <w:vertAlign w:val="subscript"/>
              </w:rPr>
              <w:t>qualité</w:t>
            </w:r>
          </w:p>
        </w:tc>
        <w:tc>
          <w:tcPr>
            <w:tcW w:w="4252" w:type="dxa"/>
            <w:tcBorders>
              <w:top w:val="single" w:sz="18" w:space="0" w:color="auto"/>
            </w:tcBorders>
            <w:shd w:val="clear" w:color="auto" w:fill="F2F9EB"/>
            <w:vAlign w:val="center"/>
          </w:tcPr>
          <w:p w14:paraId="51F64AB2" w14:textId="77777777" w:rsidR="009E01DA" w:rsidRDefault="009E01DA" w:rsidP="003F3F11">
            <w:pPr>
              <w:jc w:val="left"/>
              <w:rPr>
                <w:sz w:val="20"/>
                <w:szCs w:val="20"/>
              </w:rPr>
            </w:pPr>
            <w:r w:rsidRPr="00CF72F7">
              <w:rPr>
                <w:sz w:val="20"/>
                <w:szCs w:val="20"/>
              </w:rPr>
              <w:t xml:space="preserve">Valeurs </w:t>
            </w:r>
            <w:r>
              <w:rPr>
                <w:sz w:val="20"/>
                <w:szCs w:val="20"/>
              </w:rPr>
              <w:t xml:space="preserve">minimales pour un stockage considéré suffisant </w:t>
            </w:r>
            <w:r>
              <w:rPr>
                <w:sz w:val="20"/>
                <w:szCs w:val="20"/>
              </w:rPr>
              <w:fldChar w:fldCharType="begin"/>
            </w:r>
            <w:r>
              <w:rPr>
                <w:sz w:val="20"/>
                <w:szCs w:val="20"/>
              </w:rPr>
              <w:instrText xml:space="preserve"> ADDIN ZOTERO_ITEM CSL_CITATION {"citationID":"G7mGH8er","properties":{"unsorted":false,"formattedCitation":"(Mukherjee &amp; Lal, 2014)","plainCitation":"(Mukherjee &amp; Lal, 2014)","noteIndex":0},"citationItems":[{"id":99,"uris":["http://zotero.org/groups/5684833/items/KAYA7WNR"],"itemData":{"id":99,"type":"article-journal","abstract":"Assessment of management-induced changes in soil quality is important to sustaining high crop yield. A large diversity of cultivated soils necessitate identification development of an appropriate soil quality index (SQI) based on relative soil properties and crop yield. Whereas numerous attempts have been made to estimate SQI for major soils across the World, there is no standard method established and thus, a strong need exists for developing a user-friendly and credible SQI through comparison of various available methods. Therefore, the objective of this article is to compare three widely used methods to estimate SQI using the data collected from 72 soil samples from three on-farm study sites in Ohio. Additionally, challenge lies in establishing a correlation between crop yield versus SQI calculated either depth wise or in combination of soil layers as standard methodology is not yet available and was not given much attention to date. Predominant soils of the study included one organic (Mc), and two mineral (CrB, Ko) soils. Three methods used to estimate SQI were: (i) simple additive SQI (SQI-1), (ii) weighted additive SQI (SQI-2), and (iii) statistically modeled SQI (SQI-3) based on principal component analysis (PCA). The SQI varied between treatments and soil types and ranged between 0–0.9 (1 being the maximum SQI). In general, SQIs did not significantly differ at depths under any method suggesting that soil quality did not significantly differ for different depths at the studied sites. Additionally, data indicate that SQI-3 was most strongly correlated with crop yield, the correlation coefficient ranged between 0.74–0.78. All three SQIs were significantly correlated (r = 0.92–0.97) to each other and with crop yield (r = 0.65–0.79). Separate analyses by crop variety revealed that correlation was low indicating that some key aspects of soil quality related to crop response are important requirements for estimating SQI.","container-title":"PLOS ONE","DOI":"10.1371/journal.pone.0105981","ISSN":"1932-6203","issue":"8","journalAbbreviation":"PLOS ONE","language":"en","page":"e105981","publisher":"Public Library of Science","source":"PLoS Journals","title":"Comparison of Soil Quality Index Using Three Methods","volume":"9","author":[{"family":"Mukherjee","given":"Atanu"},{"family":"Lal","given":"Rattan"}],"issued":{"date-parts":[["2014",8,22]]}}}],"schema":"https://github.com/citation-style-language/schema/raw/master/csl-citation.json"} </w:instrText>
            </w:r>
            <w:r>
              <w:rPr>
                <w:sz w:val="20"/>
                <w:szCs w:val="20"/>
              </w:rPr>
              <w:fldChar w:fldCharType="separate"/>
            </w:r>
            <w:r w:rsidRPr="6CB535F6">
              <w:rPr>
                <w:rFonts w:cs="Calibri"/>
                <w:sz w:val="20"/>
                <w:szCs w:val="20"/>
              </w:rPr>
              <w:t>(Mukherjee &amp; Lal, 2014)</w:t>
            </w:r>
            <w:r>
              <w:rPr>
                <w:sz w:val="20"/>
                <w:szCs w:val="20"/>
              </w:rPr>
              <w:fldChar w:fldCharType="end"/>
            </w:r>
          </w:p>
        </w:tc>
      </w:tr>
      <w:tr w:rsidR="009E01DA" w14:paraId="2531764B" w14:textId="77777777" w:rsidTr="003F3F11">
        <w:tc>
          <w:tcPr>
            <w:tcW w:w="1200" w:type="dxa"/>
            <w:vMerge/>
            <w:shd w:val="clear" w:color="auto" w:fill="D1D1D1" w:themeFill="background2" w:themeFillShade="E6"/>
            <w:vAlign w:val="center"/>
          </w:tcPr>
          <w:p w14:paraId="39BE416B"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52E0731F" w14:textId="77777777" w:rsidR="009E01DA" w:rsidRDefault="009E01DA" w:rsidP="003F3F11">
            <w:pPr>
              <w:jc w:val="left"/>
              <w:rPr>
                <w:sz w:val="20"/>
                <w:szCs w:val="20"/>
              </w:rPr>
            </w:pPr>
          </w:p>
        </w:tc>
        <w:tc>
          <w:tcPr>
            <w:tcW w:w="748" w:type="dxa"/>
            <w:vMerge/>
            <w:vAlign w:val="center"/>
          </w:tcPr>
          <w:p w14:paraId="07AD5085" w14:textId="77777777" w:rsidR="009E01DA" w:rsidRDefault="009E01DA" w:rsidP="003F3F11">
            <w:pPr>
              <w:jc w:val="center"/>
              <w:rPr>
                <w:noProof/>
                <w:sz w:val="20"/>
                <w:szCs w:val="20"/>
              </w:rPr>
            </w:pPr>
          </w:p>
        </w:tc>
        <w:tc>
          <w:tcPr>
            <w:tcW w:w="1628" w:type="dxa"/>
            <w:shd w:val="clear" w:color="auto" w:fill="EFF5FB"/>
            <w:vAlign w:val="center"/>
          </w:tcPr>
          <w:p w14:paraId="1EF6B325" w14:textId="77777777" w:rsidR="009E01DA" w:rsidRPr="006365C3" w:rsidRDefault="009E01DA" w:rsidP="003F3F11">
            <w:pPr>
              <w:jc w:val="left"/>
              <w:rPr>
                <w:sz w:val="20"/>
                <w:szCs w:val="20"/>
                <w:vertAlign w:val="subscript"/>
              </w:rPr>
            </w:pPr>
            <w:r>
              <w:rPr>
                <w:sz w:val="20"/>
                <w:szCs w:val="20"/>
              </w:rPr>
              <w:t>Stock C</w:t>
            </w:r>
            <w:r>
              <w:rPr>
                <w:sz w:val="20"/>
                <w:szCs w:val="20"/>
                <w:vertAlign w:val="subscript"/>
              </w:rPr>
              <w:t>santé</w:t>
            </w:r>
          </w:p>
        </w:tc>
        <w:tc>
          <w:tcPr>
            <w:tcW w:w="4252" w:type="dxa"/>
            <w:shd w:val="clear" w:color="auto" w:fill="EFF5FB"/>
            <w:vAlign w:val="center"/>
          </w:tcPr>
          <w:p w14:paraId="79434816" w14:textId="77777777" w:rsidR="009E01DA" w:rsidRDefault="009E01DA" w:rsidP="003F3F11">
            <w:pPr>
              <w:jc w:val="left"/>
              <w:rPr>
                <w:sz w:val="20"/>
                <w:szCs w:val="20"/>
              </w:rPr>
            </w:pPr>
            <w:r>
              <w:rPr>
                <w:sz w:val="20"/>
                <w:szCs w:val="20"/>
              </w:rPr>
              <w:t>Comparaison à la valeur optimale en fonction de la classe texturale (sur base de MO potentielle)</w:t>
            </w:r>
          </w:p>
        </w:tc>
      </w:tr>
      <w:tr w:rsidR="009E01DA" w14:paraId="774DE8D6" w14:textId="77777777" w:rsidTr="003F3F11">
        <w:tc>
          <w:tcPr>
            <w:tcW w:w="1200" w:type="dxa"/>
            <w:vMerge/>
            <w:shd w:val="clear" w:color="auto" w:fill="D1D1D1" w:themeFill="background2" w:themeFillShade="E6"/>
            <w:vAlign w:val="center"/>
          </w:tcPr>
          <w:p w14:paraId="7593F049" w14:textId="77777777" w:rsidR="009E01DA" w:rsidRPr="00261C30" w:rsidRDefault="009E01DA" w:rsidP="003F3F11">
            <w:pPr>
              <w:jc w:val="left"/>
              <w:rPr>
                <w:b/>
                <w:bCs/>
                <w:sz w:val="20"/>
                <w:szCs w:val="20"/>
              </w:rPr>
            </w:pPr>
          </w:p>
        </w:tc>
        <w:tc>
          <w:tcPr>
            <w:tcW w:w="1239" w:type="dxa"/>
            <w:vMerge w:val="restart"/>
            <w:shd w:val="clear" w:color="auto" w:fill="F2F2F2" w:themeFill="background1" w:themeFillShade="F2"/>
            <w:vAlign w:val="center"/>
          </w:tcPr>
          <w:p w14:paraId="477626F1" w14:textId="77777777" w:rsidR="009E01DA" w:rsidRDefault="009E01DA" w:rsidP="003F3F11">
            <w:pPr>
              <w:jc w:val="left"/>
              <w:rPr>
                <w:sz w:val="20"/>
                <w:szCs w:val="20"/>
              </w:rPr>
            </w:pPr>
            <w:r>
              <w:rPr>
                <w:sz w:val="20"/>
                <w:szCs w:val="20"/>
              </w:rPr>
              <w:t>Stockage</w:t>
            </w:r>
          </w:p>
        </w:tc>
        <w:tc>
          <w:tcPr>
            <w:tcW w:w="748" w:type="dxa"/>
            <w:vMerge w:val="restart"/>
            <w:vAlign w:val="center"/>
          </w:tcPr>
          <w:p w14:paraId="1AC0C04C" w14:textId="77777777" w:rsidR="009E01DA" w:rsidRDefault="009E01DA" w:rsidP="003F3F11">
            <w:pPr>
              <w:jc w:val="center"/>
              <w:rPr>
                <w:sz w:val="20"/>
                <w:szCs w:val="20"/>
              </w:rPr>
            </w:pPr>
            <w:r>
              <w:rPr>
                <w:noProof/>
                <w:sz w:val="20"/>
                <w:szCs w:val="20"/>
              </w:rPr>
              <mc:AlternateContent>
                <mc:Choice Requires="wps">
                  <w:drawing>
                    <wp:inline distT="0" distB="0" distL="0" distR="0" wp14:anchorId="4DF57474" wp14:editId="5C8160F4">
                      <wp:extent cx="94615" cy="153035"/>
                      <wp:effectExtent l="0" t="38100" r="57785" b="18415"/>
                      <wp:docPr id="435011218"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5E835CC3"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6F9DE7CB" w14:textId="77777777" w:rsidR="009E01DA" w:rsidRDefault="009E01DA" w:rsidP="003F3F11">
            <w:pPr>
              <w:jc w:val="left"/>
              <w:rPr>
                <w:sz w:val="20"/>
                <w:szCs w:val="20"/>
              </w:rPr>
            </w:pPr>
            <w:r>
              <w:rPr>
                <w:sz w:val="20"/>
                <w:szCs w:val="20"/>
              </w:rPr>
              <w:t>C</w:t>
            </w:r>
            <w:r>
              <w:rPr>
                <w:sz w:val="20"/>
                <w:szCs w:val="20"/>
                <w:vertAlign w:val="subscript"/>
              </w:rPr>
              <w:t>org</w:t>
            </w:r>
            <w:r>
              <w:rPr>
                <w:sz w:val="20"/>
                <w:szCs w:val="20"/>
              </w:rPr>
              <w:t>/argile</w:t>
            </w:r>
            <w:r>
              <w:rPr>
                <w:sz w:val="20"/>
                <w:szCs w:val="20"/>
                <w:vertAlign w:val="subscript"/>
              </w:rPr>
              <w:t>qualité</w:t>
            </w:r>
          </w:p>
        </w:tc>
        <w:tc>
          <w:tcPr>
            <w:tcW w:w="4252" w:type="dxa"/>
            <w:shd w:val="clear" w:color="auto" w:fill="F2F9EB"/>
            <w:vAlign w:val="center"/>
          </w:tcPr>
          <w:p w14:paraId="17D23BD4" w14:textId="77777777" w:rsidR="009E01DA" w:rsidRDefault="009E01DA" w:rsidP="003F3F11">
            <w:pPr>
              <w:jc w:val="left"/>
              <w:rPr>
                <w:sz w:val="20"/>
                <w:szCs w:val="20"/>
              </w:rPr>
            </w:pPr>
            <w:r>
              <w:rPr>
                <w:sz w:val="20"/>
                <w:szCs w:val="20"/>
              </w:rPr>
              <w:t xml:space="preserve">Seuil mentionné dans la directive - perte de carbone organique du sol </w:t>
            </w:r>
            <w:r>
              <w:rPr>
                <w:sz w:val="20"/>
                <w:szCs w:val="20"/>
              </w:rPr>
              <w:fldChar w:fldCharType="begin"/>
            </w:r>
            <w:r>
              <w:rPr>
                <w:sz w:val="20"/>
                <w:szCs w:val="20"/>
              </w:rPr>
              <w:instrText xml:space="preserve"> ADDIN ZOTERO_ITEM CSL_CITATION {"citationID":"HK670IHy","properties":{"unsorted":false,"formattedCitation":"(UE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Pr>
                <w:sz w:val="20"/>
                <w:szCs w:val="20"/>
              </w:rPr>
              <w:fldChar w:fldCharType="separate"/>
            </w:r>
            <w:r w:rsidRPr="00377A1A">
              <w:rPr>
                <w:rFonts w:cs="Calibri"/>
                <w:sz w:val="20"/>
              </w:rPr>
              <w:t>(UE 2025/2360, 2025)</w:t>
            </w:r>
            <w:r>
              <w:rPr>
                <w:sz w:val="20"/>
                <w:szCs w:val="20"/>
              </w:rPr>
              <w:fldChar w:fldCharType="end"/>
            </w:r>
          </w:p>
        </w:tc>
      </w:tr>
      <w:tr w:rsidR="009E01DA" w14:paraId="1F2ACC87" w14:textId="77777777" w:rsidTr="003F3F11">
        <w:tc>
          <w:tcPr>
            <w:tcW w:w="1200" w:type="dxa"/>
            <w:vMerge/>
            <w:shd w:val="clear" w:color="auto" w:fill="D1D1D1" w:themeFill="background2" w:themeFillShade="E6"/>
            <w:vAlign w:val="center"/>
          </w:tcPr>
          <w:p w14:paraId="02EA5C1F" w14:textId="77777777" w:rsidR="009E01DA" w:rsidRPr="00261C30" w:rsidRDefault="009E01DA" w:rsidP="003F3F11">
            <w:pPr>
              <w:jc w:val="left"/>
              <w:rPr>
                <w:b/>
                <w:bCs/>
                <w:sz w:val="20"/>
                <w:szCs w:val="20"/>
              </w:rPr>
            </w:pPr>
          </w:p>
        </w:tc>
        <w:tc>
          <w:tcPr>
            <w:tcW w:w="1239" w:type="dxa"/>
            <w:vMerge/>
            <w:shd w:val="clear" w:color="auto" w:fill="F2F2F2" w:themeFill="background1" w:themeFillShade="F2"/>
            <w:vAlign w:val="center"/>
          </w:tcPr>
          <w:p w14:paraId="73DCC6D5" w14:textId="77777777" w:rsidR="009E01DA" w:rsidRDefault="009E01DA" w:rsidP="003F3F11">
            <w:pPr>
              <w:jc w:val="left"/>
              <w:rPr>
                <w:sz w:val="20"/>
                <w:szCs w:val="20"/>
              </w:rPr>
            </w:pPr>
          </w:p>
        </w:tc>
        <w:tc>
          <w:tcPr>
            <w:tcW w:w="748" w:type="dxa"/>
            <w:vMerge/>
            <w:vAlign w:val="center"/>
          </w:tcPr>
          <w:p w14:paraId="77C4D4B6" w14:textId="77777777" w:rsidR="009E01DA" w:rsidRDefault="009E01DA" w:rsidP="003F3F11">
            <w:pPr>
              <w:jc w:val="center"/>
              <w:rPr>
                <w:sz w:val="20"/>
                <w:szCs w:val="20"/>
              </w:rPr>
            </w:pPr>
          </w:p>
        </w:tc>
        <w:tc>
          <w:tcPr>
            <w:tcW w:w="1628" w:type="dxa"/>
            <w:shd w:val="clear" w:color="auto" w:fill="EFF5FB"/>
            <w:vAlign w:val="center"/>
          </w:tcPr>
          <w:p w14:paraId="55213A49" w14:textId="77777777" w:rsidR="009E01DA" w:rsidRDefault="009E01DA" w:rsidP="003F3F11">
            <w:pPr>
              <w:jc w:val="left"/>
              <w:rPr>
                <w:sz w:val="20"/>
                <w:szCs w:val="20"/>
              </w:rPr>
            </w:pPr>
            <w:r>
              <w:rPr>
                <w:sz w:val="20"/>
                <w:szCs w:val="20"/>
              </w:rPr>
              <w:t>C</w:t>
            </w:r>
            <w:r>
              <w:rPr>
                <w:sz w:val="20"/>
                <w:szCs w:val="20"/>
                <w:vertAlign w:val="subscript"/>
              </w:rPr>
              <w:t>org</w:t>
            </w:r>
            <w:r>
              <w:rPr>
                <w:sz w:val="20"/>
                <w:szCs w:val="20"/>
              </w:rPr>
              <w:t>/argile</w:t>
            </w:r>
            <w:r>
              <w:rPr>
                <w:sz w:val="20"/>
                <w:szCs w:val="20"/>
                <w:vertAlign w:val="subscript"/>
              </w:rPr>
              <w:t>santé</w:t>
            </w:r>
          </w:p>
        </w:tc>
        <w:tc>
          <w:tcPr>
            <w:tcW w:w="4252" w:type="dxa"/>
            <w:shd w:val="clear" w:color="auto" w:fill="EFF5FB"/>
            <w:vAlign w:val="center"/>
          </w:tcPr>
          <w:p w14:paraId="76C5D935" w14:textId="77777777" w:rsidR="009E01DA" w:rsidRDefault="009E01DA" w:rsidP="003F3F11">
            <w:pPr>
              <w:jc w:val="left"/>
              <w:rPr>
                <w:sz w:val="20"/>
                <w:szCs w:val="20"/>
              </w:rPr>
            </w:pPr>
            <w:r>
              <w:rPr>
                <w:sz w:val="20"/>
                <w:szCs w:val="20"/>
              </w:rPr>
              <w:t>Comparaison à la valeur potentielle atteignable en fonction de la classe texturale (sur base de MO potentielle)</w:t>
            </w:r>
          </w:p>
        </w:tc>
      </w:tr>
    </w:tbl>
    <w:p w14:paraId="08A321B2" w14:textId="77777777" w:rsidR="00F75F65" w:rsidRDefault="00F75F65" w:rsidP="00F75F65"/>
    <w:p w14:paraId="25F58111" w14:textId="06BF7820" w:rsidR="00F75F65" w:rsidRPr="00F75F65" w:rsidRDefault="000A4712" w:rsidP="00F75F65">
      <w:pPr>
        <w:pStyle w:val="Titre3"/>
        <w:numPr>
          <w:ilvl w:val="2"/>
          <w:numId w:val="12"/>
        </w:numPr>
      </w:pPr>
      <w:bookmarkStart w:id="153" w:name="_Ref241228068"/>
      <w:bookmarkStart w:id="154" w:name="_Ref241228839"/>
      <w:bookmarkStart w:id="155" w:name="_Toc241478131"/>
      <w:r>
        <w:t>Agrégation des indicateurs</w:t>
      </w:r>
      <w:bookmarkEnd w:id="153"/>
      <w:bookmarkEnd w:id="154"/>
      <w:bookmarkEnd w:id="155"/>
    </w:p>
    <w:p w14:paraId="32FBDBB3" w14:textId="1AC6F2C3" w:rsidR="00784AB6" w:rsidRPr="00784AB6" w:rsidRDefault="00784AB6" w:rsidP="00784AB6">
      <w:r>
        <w:t xml:space="preserve">Le </w:t>
      </w:r>
      <w:r w:rsidRPr="00784AB6">
        <w:fldChar w:fldCharType="begin"/>
      </w:r>
      <w:r w:rsidRPr="00784AB6">
        <w:instrText xml:space="preserve"> REF _Ref233115132 \h  \* MERGEFORMAT </w:instrText>
      </w:r>
      <w:r w:rsidRPr="00784AB6">
        <w:fldChar w:fldCharType="separate"/>
      </w:r>
      <w:r w:rsidR="003D7F8A" w:rsidRPr="001B3E13">
        <w:t xml:space="preserve">Tableau </w:t>
      </w:r>
      <w:r w:rsidR="003D7F8A" w:rsidRPr="003D7F8A">
        <w:rPr>
          <w:noProof/>
        </w:rPr>
        <w:t>4</w:t>
      </w:r>
      <w:r w:rsidRPr="00784AB6">
        <w:fldChar w:fldCharType="end"/>
      </w:r>
      <w:r>
        <w:t xml:space="preserve"> reprend les différentes équations d’agrégation</w:t>
      </w:r>
      <w:r w:rsidR="00FA0F8D">
        <w:t xml:space="preserve"> des scores d’indicateurs en scores de fonction, et des scores de fonctions en scores de services écosystémiques.</w:t>
      </w:r>
    </w:p>
    <w:p w14:paraId="5C89F2A9" w14:textId="2B1E195A" w:rsidR="000A0208" w:rsidRPr="001B3E13" w:rsidRDefault="000A0208" w:rsidP="000A0208">
      <w:pPr>
        <w:pStyle w:val="Lgende"/>
        <w:keepNext/>
        <w:jc w:val="center"/>
        <w:rPr>
          <w:i w:val="0"/>
          <w:iCs w:val="0"/>
        </w:rPr>
      </w:pPr>
      <w:bookmarkStart w:id="156" w:name="_Ref233115132"/>
      <w:bookmarkStart w:id="157" w:name="_Toc233122654"/>
      <w:r w:rsidRPr="001B3E13">
        <w:rPr>
          <w:i w:val="0"/>
          <w:iCs w:val="0"/>
        </w:rPr>
        <w:lastRenderedPageBreak/>
        <w:t xml:space="preserve">Tableau </w:t>
      </w:r>
      <w:r w:rsidRPr="001B3E13">
        <w:rPr>
          <w:i w:val="0"/>
          <w:iCs w:val="0"/>
        </w:rPr>
        <w:fldChar w:fldCharType="begin"/>
      </w:r>
      <w:r w:rsidRPr="001B3E13">
        <w:rPr>
          <w:i w:val="0"/>
          <w:iCs w:val="0"/>
        </w:rPr>
        <w:instrText xml:space="preserve"> SEQ Tableau \* ARABIC </w:instrText>
      </w:r>
      <w:r w:rsidRPr="001B3E13">
        <w:rPr>
          <w:i w:val="0"/>
          <w:iCs w:val="0"/>
        </w:rPr>
        <w:fldChar w:fldCharType="separate"/>
      </w:r>
      <w:r w:rsidR="003D7F8A">
        <w:rPr>
          <w:i w:val="0"/>
          <w:iCs w:val="0"/>
          <w:noProof/>
        </w:rPr>
        <w:t>4</w:t>
      </w:r>
      <w:r w:rsidRPr="001B3E13">
        <w:rPr>
          <w:i w:val="0"/>
          <w:iCs w:val="0"/>
          <w:noProof/>
        </w:rPr>
        <w:fldChar w:fldCharType="end"/>
      </w:r>
      <w:bookmarkEnd w:id="156"/>
      <w:r w:rsidRPr="001B3E13">
        <w:rPr>
          <w:i w:val="0"/>
          <w:iCs w:val="0"/>
        </w:rPr>
        <w:t xml:space="preserve"> : Équations d'agrégation et application </w:t>
      </w:r>
      <w:r>
        <w:rPr>
          <w:i w:val="0"/>
          <w:iCs w:val="0"/>
        </w:rPr>
        <w:t>des coefficients de</w:t>
      </w:r>
      <w:r w:rsidRPr="001B3E13">
        <w:rPr>
          <w:i w:val="0"/>
          <w:iCs w:val="0"/>
        </w:rPr>
        <w:t xml:space="preserve"> contrainte, le cas échéant</w:t>
      </w:r>
      <w:r>
        <w:rPr>
          <w:i w:val="0"/>
          <w:iCs w:val="0"/>
        </w:rPr>
        <w:t>.</w:t>
      </w:r>
      <w:bookmarkEnd w:id="157"/>
    </w:p>
    <w:tbl>
      <w:tblPr>
        <w:tblStyle w:val="Grilledutableau"/>
        <w:tblW w:w="9067" w:type="dxa"/>
        <w:tblLayout w:type="fixed"/>
        <w:tblCellMar>
          <w:top w:w="85" w:type="dxa"/>
          <w:bottom w:w="85" w:type="dxa"/>
        </w:tblCellMar>
        <w:tblLook w:val="04A0" w:firstRow="1" w:lastRow="0" w:firstColumn="1" w:lastColumn="0" w:noHBand="0" w:noVBand="1"/>
      </w:tblPr>
      <w:tblGrid>
        <w:gridCol w:w="1413"/>
        <w:gridCol w:w="425"/>
        <w:gridCol w:w="6804"/>
        <w:gridCol w:w="425"/>
      </w:tblGrid>
      <w:tr w:rsidR="000A0208" w:rsidRPr="000829EE" w14:paraId="39E063C5" w14:textId="77777777" w:rsidTr="004306AE">
        <w:trPr>
          <w:trHeight w:val="278"/>
        </w:trPr>
        <w:tc>
          <w:tcPr>
            <w:tcW w:w="8642" w:type="dxa"/>
            <w:gridSpan w:val="3"/>
            <w:tcBorders>
              <w:right w:val="nil"/>
            </w:tcBorders>
            <w:shd w:val="clear" w:color="auto" w:fill="0E2841" w:themeFill="text2"/>
            <w:vAlign w:val="center"/>
          </w:tcPr>
          <w:p w14:paraId="332F1C2E" w14:textId="4C253276" w:rsidR="000A0208" w:rsidRPr="000829EE" w:rsidRDefault="000A0208" w:rsidP="004306AE">
            <w:pPr>
              <w:tabs>
                <w:tab w:val="left" w:pos="496"/>
              </w:tabs>
              <w:jc w:val="left"/>
              <w:rPr>
                <w:rFonts w:ascii="Cambria Math" w:hAnsi="Cambria Math" w:cs="Calibri"/>
                <w:sz w:val="24"/>
              </w:rPr>
            </w:pPr>
            <w:r w:rsidRPr="002448F6">
              <w:rPr>
                <w:rFonts w:ascii="Cambria Math" w:hAnsi="Cambria Math" w:cs="Calibri"/>
                <w:sz w:val="24"/>
              </w:rPr>
              <w:t>Production</w:t>
            </w:r>
          </w:p>
        </w:tc>
        <w:tc>
          <w:tcPr>
            <w:tcW w:w="425" w:type="dxa"/>
            <w:tcBorders>
              <w:left w:val="nil"/>
              <w:right w:val="single" w:sz="12" w:space="0" w:color="auto"/>
            </w:tcBorders>
            <w:shd w:val="clear" w:color="auto" w:fill="0E2841" w:themeFill="text2"/>
            <w:vAlign w:val="center"/>
          </w:tcPr>
          <w:p w14:paraId="3158E1EF" w14:textId="77777777" w:rsidR="000A0208" w:rsidRPr="005F54C6" w:rsidRDefault="000A0208" w:rsidP="004306AE">
            <w:pPr>
              <w:tabs>
                <w:tab w:val="left" w:pos="496"/>
              </w:tabs>
              <w:jc w:val="center"/>
              <w:rPr>
                <w:rFonts w:cs="Calibri"/>
                <w:sz w:val="16"/>
                <w:szCs w:val="16"/>
              </w:rPr>
            </w:pPr>
          </w:p>
        </w:tc>
      </w:tr>
      <w:tr w:rsidR="000A0208" w:rsidRPr="002448F6" w14:paraId="0629C775" w14:textId="77777777" w:rsidTr="004306AE">
        <w:trPr>
          <w:trHeight w:val="450"/>
        </w:trPr>
        <w:tc>
          <w:tcPr>
            <w:tcW w:w="8642" w:type="dxa"/>
            <w:gridSpan w:val="3"/>
            <w:tcBorders>
              <w:right w:val="nil"/>
            </w:tcBorders>
            <w:shd w:val="clear" w:color="auto" w:fill="F9F9F9"/>
            <w:vAlign w:val="center"/>
          </w:tcPr>
          <w:p w14:paraId="70603D27" w14:textId="77777777" w:rsidR="000A0208" w:rsidRPr="00A37B95" w:rsidRDefault="00AA1F57" w:rsidP="004306AE">
            <w:pPr>
              <w:tabs>
                <w:tab w:val="left" w:pos="496"/>
              </w:tabs>
              <w:jc w:val="left"/>
              <w:rPr>
                <w:rFonts w:ascii="Cambria Math" w:eastAsia="Aptos" w:hAnsi="Cambria Math" w:cs="Calibri"/>
                <w:b/>
                <w:bCs/>
                <w:color w:val="0E2841" w:themeColor="text2"/>
                <w:szCs w:val="22"/>
              </w:rPr>
            </w:pPr>
            <m:oMathPara>
              <m:oMathParaPr>
                <m:jc m:val="left"/>
              </m:oMathParaPr>
              <m:oMath>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Production</m:t>
                    </m:r>
                  </m:sub>
                </m:sSub>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5</m:t>
                </m:r>
                <m:r>
                  <m:rPr>
                    <m:sty m:val="b"/>
                  </m:rPr>
                  <w:rPr>
                    <w:rFonts w:ascii="Cambria Math" w:hAnsi="Cambria Math" w:cs="Calibri"/>
                    <w:color w:val="0E2841" w:themeColor="text2"/>
                    <w:szCs w:val="22"/>
                  </w:rPr>
                  <m:t>]=</m:t>
                </m:r>
                <m:nary>
                  <m:naryPr>
                    <m:chr m:val="∏"/>
                    <m:limLoc m:val="undOvr"/>
                    <m:subHide m:val="1"/>
                    <m:supHide m:val="1"/>
                    <m:ctrlPr>
                      <w:rPr>
                        <w:rFonts w:ascii="Cambria Math" w:hAnsi="Cambria Math" w:cs="Calibri"/>
                        <w:b/>
                        <w:bCs/>
                        <w:color w:val="0E2841" w:themeColor="text2"/>
                        <w:szCs w:val="22"/>
                      </w:rPr>
                    </m:ctrlPr>
                  </m:naryPr>
                  <m:sub/>
                  <m:sup/>
                  <m:e>
                    <m:r>
                      <m:rPr>
                        <m:sty m:val="bi"/>
                      </m:rPr>
                      <w:rPr>
                        <w:rFonts w:ascii="Cambria Math" w:hAnsi="Cambria Math" w:cs="Calibri"/>
                        <w:color w:val="0E2841" w:themeColor="text2"/>
                        <w:szCs w:val="22"/>
                      </w:rPr>
                      <m:t>(</m:t>
                    </m:r>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nutrition</m:t>
                        </m:r>
                      </m:sub>
                    </m:sSub>
                  </m:e>
                </m:nary>
                <m:r>
                  <m:rPr>
                    <m:sty m:val="bi"/>
                  </m:rPr>
                  <w:rPr>
                    <w:rFonts w:ascii="Cambria Math" w:hAnsi="Cambria Math" w:cs="Calibri"/>
                    <w:color w:val="0E2841" w:themeColor="text2"/>
                    <w:szCs w:val="22"/>
                  </w:rPr>
                  <m:t xml:space="preserve">; </m:t>
                </m:r>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structure</m:t>
                    </m:r>
                  </m:sub>
                </m:sSub>
                <m:r>
                  <m:rPr>
                    <m:sty m:val="bi"/>
                  </m:rPr>
                  <w:rPr>
                    <w:rFonts w:ascii="Cambria Math" w:hAnsi="Cambria Math" w:cs="Calibri"/>
                    <w:color w:val="0E2841" w:themeColor="text2"/>
                    <w:szCs w:val="22"/>
                  </w:rPr>
                  <m:t xml:space="preserve"> ; </m:t>
                </m:r>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fourniture</m:t>
                    </m:r>
                    <m:r>
                      <m:rPr>
                        <m:sty m:val="b"/>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eau</m:t>
                    </m:r>
                  </m:sub>
                </m:sSub>
                <m:r>
                  <m:rPr>
                    <m:sty m:val="bi"/>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5</m:t>
                </m:r>
                <m:r>
                  <m:rPr>
                    <m:sty m:val="b"/>
                  </m:rPr>
                  <w:rPr>
                    <w:rFonts w:ascii="Cambria Math" w:hAnsi="Cambria Math" w:cs="Calibri"/>
                    <w:color w:val="0E2841" w:themeColor="text2"/>
                    <w:szCs w:val="22"/>
                  </w:rPr>
                  <m:t>]</m:t>
                </m:r>
                <m:r>
                  <m:rPr>
                    <m:sty m:val="bi"/>
                  </m:rPr>
                  <w:rPr>
                    <w:rFonts w:ascii="Cambria Math" w:hAnsi="Cambria Math" w:cs="Calibri"/>
                    <w:color w:val="0E2841" w:themeColor="text2"/>
                    <w:szCs w:val="22"/>
                  </w:rPr>
                  <m:t>∙</m:t>
                </m:r>
                <m:r>
                  <m:rPr>
                    <m:sty m:val="bi"/>
                  </m:rPr>
                  <w:rPr>
                    <w:rFonts w:ascii="Cambria Math" w:hAnsi="Cambria Math" w:cs="Calibri"/>
                    <w:color w:val="0E2841" w:themeColor="text2"/>
                    <w:szCs w:val="22"/>
                  </w:rPr>
                  <m:t xml:space="preserve"> </m:t>
                </m:r>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1</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C</m:t>
                    </m:r>
                  </m:e>
                  <m:sub>
                    <m:r>
                      <m:rPr>
                        <m:sty m:val="b"/>
                      </m:rPr>
                      <w:rPr>
                        <w:rFonts w:ascii="Cambria Math" w:hAnsi="Cambria Math" w:cs="Calibri"/>
                        <w:color w:val="0E2841" w:themeColor="text2"/>
                        <w:szCs w:val="22"/>
                      </w:rPr>
                      <m:t>contrainte</m:t>
                    </m:r>
                  </m:sub>
                </m:sSub>
                <m:r>
                  <m:rPr>
                    <m:sty m:val="bi"/>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1</m:t>
                </m:r>
                <m:r>
                  <m:rPr>
                    <m:sty m:val="b"/>
                  </m:rPr>
                  <w:rPr>
                    <w:rFonts w:ascii="Cambria Math" w:hAnsi="Cambria Math" w:cs="Calibri"/>
                    <w:color w:val="0E2841" w:themeColor="text2"/>
                    <w:szCs w:val="22"/>
                  </w:rPr>
                  <m:t>])</m:t>
                </m:r>
              </m:oMath>
            </m:oMathPara>
          </w:p>
        </w:tc>
        <w:tc>
          <w:tcPr>
            <w:tcW w:w="425" w:type="dxa"/>
            <w:tcBorders>
              <w:left w:val="nil"/>
              <w:right w:val="single" w:sz="12" w:space="0" w:color="auto"/>
            </w:tcBorders>
            <w:shd w:val="clear" w:color="auto" w:fill="F9F9F9"/>
            <w:vAlign w:val="center"/>
          </w:tcPr>
          <w:p w14:paraId="3716F109" w14:textId="4F0A1634" w:rsidR="000A0208" w:rsidRPr="005F54C6" w:rsidRDefault="000A0208" w:rsidP="004306AE">
            <w:pPr>
              <w:tabs>
                <w:tab w:val="left" w:pos="496"/>
              </w:tabs>
              <w:jc w:val="center"/>
              <w:rPr>
                <w:rFonts w:eastAsia="Times New Roman" w:cs="Calibri"/>
                <w:color w:val="0E2841" w:themeColor="text2"/>
                <w:sz w:val="16"/>
                <w:szCs w:val="16"/>
              </w:rPr>
            </w:pPr>
          </w:p>
        </w:tc>
      </w:tr>
      <w:tr w:rsidR="000A0208" w:rsidRPr="002448F6" w14:paraId="2FC7DBB8" w14:textId="77777777" w:rsidTr="004306AE">
        <w:trPr>
          <w:trHeight w:val="553"/>
        </w:trPr>
        <w:tc>
          <w:tcPr>
            <w:tcW w:w="1413" w:type="dxa"/>
            <w:shd w:val="clear" w:color="auto" w:fill="F9F9F9"/>
            <w:vAlign w:val="center"/>
          </w:tcPr>
          <w:p w14:paraId="0BD5772C" w14:textId="110C767E" w:rsidR="000A0208" w:rsidRPr="00985936" w:rsidRDefault="00A21E2F" w:rsidP="004306AE">
            <w:pPr>
              <w:tabs>
                <w:tab w:val="left" w:pos="496"/>
              </w:tabs>
              <w:jc w:val="left"/>
              <w:rPr>
                <w:rFonts w:ascii="Cambria Math" w:eastAsia="Aptos" w:hAnsi="Cambria Math" w:cs="Calibri"/>
                <w:b/>
                <w:bCs/>
                <w:sz w:val="20"/>
                <w:szCs w:val="20"/>
              </w:rPr>
            </w:pPr>
            <w:r>
              <w:rPr>
                <w:rFonts w:ascii="Cambria Math" w:hAnsi="Cambria Math" w:cs="Calibri"/>
                <w:b/>
                <w:bCs/>
                <w:color w:val="0E2841" w:themeColor="text2"/>
                <w:sz w:val="20"/>
                <w:szCs w:val="20"/>
              </w:rPr>
              <w:t>Fourniture en nutriments</w:t>
            </w:r>
          </w:p>
        </w:tc>
        <w:tc>
          <w:tcPr>
            <w:tcW w:w="7229" w:type="dxa"/>
            <w:gridSpan w:val="2"/>
            <w:tcBorders>
              <w:right w:val="nil"/>
            </w:tcBorders>
            <w:shd w:val="clear" w:color="auto" w:fill="F9F9F9"/>
            <w:vAlign w:val="center"/>
          </w:tcPr>
          <w:p w14:paraId="17499825" w14:textId="0629566A" w:rsidR="000A0208" w:rsidRPr="00C62776" w:rsidRDefault="00AA1F57" w:rsidP="004306AE">
            <w:pPr>
              <w:tabs>
                <w:tab w:val="left" w:pos="496"/>
              </w:tabs>
              <w:jc w:val="left"/>
              <w:rPr>
                <w:rFonts w:ascii="Cambria Math" w:eastAsia="Aptos" w:hAnsi="Cambria Math" w:cs="Calibri"/>
                <w:b/>
                <w:bCs/>
                <w:sz w:val="18"/>
                <w:szCs w:val="18"/>
              </w:rPr>
            </w:pPr>
            <m:oMath>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m:t>
                  </m:r>
                </m:e>
                <m:sub>
                  <m:r>
                    <m:rPr>
                      <m:sty m:val="b"/>
                    </m:rPr>
                    <w:rPr>
                      <w:rFonts w:ascii="Cambria Math" w:hAnsi="Cambria Math" w:cs="Calibri"/>
                      <w:color w:val="0E2841" w:themeColor="text2"/>
                      <w:sz w:val="18"/>
                      <w:szCs w:val="18"/>
                    </w:rPr>
                    <m:t>nutrition</m:t>
                  </m:r>
                </m:sub>
              </m:sSub>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μ</m:t>
              </m:r>
              <m:r>
                <m:rPr>
                  <m:sty m:val="b"/>
                </m:rPr>
                <w:rPr>
                  <w:rFonts w:ascii="Cambria Math" w:hAnsi="Cambria Math" w:cs="Calibri"/>
                  <w:color w:val="0E2841" w:themeColor="text2"/>
                  <w:sz w:val="18"/>
                  <w:szCs w:val="18"/>
                </w:rPr>
                <m:t xml:space="preserve">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P</m:t>
                      </m:r>
                    </m:sub>
                  </m:sSub>
                </m:sub>
              </m:sSub>
              <m:r>
                <m:rPr>
                  <m:sty m:val="b"/>
                </m:rPr>
                <w:rPr>
                  <w:rFonts w:ascii="Cambria Math" w:hAnsi="Cambria Math" w:cs="Calibri"/>
                  <w:color w:val="0E2841" w:themeColor="text2"/>
                  <w:sz w:val="18"/>
                  <w:szCs w:val="18"/>
                </w:rPr>
                <m:t xml:space="preserve"> ;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K</m:t>
                      </m:r>
                    </m:sub>
                  </m:sSub>
                  <m:r>
                    <m:rPr>
                      <m:sty m:val="bi"/>
                    </m:rPr>
                    <w:rPr>
                      <w:rFonts w:ascii="Cambria Math" w:eastAsia="Aptos" w:hAnsi="Cambria Math" w:cs="Calibri"/>
                      <w:color w:val="0E2841" w:themeColor="text2"/>
                      <w:sz w:val="18"/>
                      <w:szCs w:val="18"/>
                    </w:rPr>
                    <m:t xml:space="preserve"> </m:t>
                  </m:r>
                </m:sub>
              </m:sSub>
              <m:r>
                <m:rPr>
                  <m:sty m:val="b"/>
                </m:rPr>
                <w:rPr>
                  <w:rFonts w:ascii="Cambria Math" w:hAnsi="Cambria Math" w:cs="Calibri"/>
                  <w:color w:val="0E2841" w:themeColor="text2"/>
                  <w:sz w:val="18"/>
                  <w:szCs w:val="18"/>
                </w:rPr>
                <m:t xml:space="preserve">;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Mg</m:t>
                      </m:r>
                    </m:sub>
                  </m:sSub>
                  <m:r>
                    <m:rPr>
                      <m:sty m:val="bi"/>
                    </m:rPr>
                    <w:rPr>
                      <w:rFonts w:ascii="Cambria Math" w:eastAsia="Aptos" w:hAnsi="Cambria Math" w:cs="Calibri"/>
                      <w:color w:val="0E2841" w:themeColor="text2"/>
                      <w:sz w:val="18"/>
                      <w:szCs w:val="18"/>
                    </w:rPr>
                    <m:t xml:space="preserve"> </m:t>
                  </m:r>
                </m:sub>
              </m:sSub>
              <m:r>
                <m:rPr>
                  <m:sty m:val="b"/>
                </m:rPr>
                <w:rPr>
                  <w:rFonts w:ascii="Cambria Math" w:hAnsi="Cambria Math" w:cs="Calibri"/>
                  <w:color w:val="0E2841" w:themeColor="text2"/>
                  <w:sz w:val="18"/>
                  <w:szCs w:val="18"/>
                </w:rPr>
                <m:t xml:space="preserve">;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Ca</m:t>
                      </m:r>
                    </m:sub>
                  </m:sSub>
                  <m:r>
                    <m:rPr>
                      <m:sty m:val="bi"/>
                    </m:rPr>
                    <w:rPr>
                      <w:rFonts w:ascii="Cambria Math" w:eastAsia="Aptos" w:hAnsi="Cambria Math" w:cs="Calibri"/>
                      <w:color w:val="0E2841" w:themeColor="text2"/>
                      <w:sz w:val="18"/>
                      <w:szCs w:val="18"/>
                    </w:rPr>
                    <m:t xml:space="preserve"> </m:t>
                  </m:r>
                </m:sub>
              </m:sSub>
              <m:r>
                <m:rPr>
                  <m:sty m:val="b"/>
                </m:rPr>
                <w:rPr>
                  <w:rFonts w:ascii="Cambria Math" w:hAnsi="Cambria Math" w:cs="Calibri"/>
                  <w:color w:val="0E2841" w:themeColor="text2"/>
                  <w:sz w:val="18"/>
                  <w:szCs w:val="18"/>
                </w:rPr>
                <m:t xml:space="preserve">;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C</m:t>
                          </m:r>
                        </m:e>
                        <m:sub>
                          <m:r>
                            <m:rPr>
                              <m:sty m:val="b"/>
                            </m:rPr>
                            <w:rPr>
                              <w:rFonts w:ascii="Cambria Math" w:eastAsia="Aptos" w:hAnsi="Cambria Math" w:cs="Calibri"/>
                              <w:color w:val="0E2841" w:themeColor="text2"/>
                              <w:sz w:val="18"/>
                              <w:szCs w:val="18"/>
                            </w:rPr>
                            <m:t>org</m:t>
                          </m:r>
                        </m:sub>
                      </m:sSub>
                    </m:sub>
                  </m:sSub>
                </m:sub>
              </m:sSub>
              <m:r>
                <m:rPr>
                  <m:sty m:val="b"/>
                </m:rPr>
                <w:rPr>
                  <w:rFonts w:ascii="Cambria Math" w:hAnsi="Cambria Math" w:cs="Calibri"/>
                  <w:color w:val="0E2841" w:themeColor="text2"/>
                  <w:sz w:val="18"/>
                  <w:szCs w:val="18"/>
                </w:rPr>
                <m:t xml:space="preserve"> ;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CEC</m:t>
                      </m:r>
                    </m:sub>
                  </m:sSub>
                </m:sub>
              </m:sSub>
              <m:r>
                <m:rPr>
                  <m:sty m:val="b"/>
                </m:rPr>
                <w:rPr>
                  <w:rFonts w:ascii="Cambria Math" w:hAnsi="Cambria Math" w:cs="Calibri"/>
                  <w:color w:val="0E2841" w:themeColor="text2"/>
                  <w:sz w:val="18"/>
                  <w:szCs w:val="18"/>
                </w:rPr>
                <m:t xml:space="preserve"> ;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f>
                    <m:fPr>
                      <m:ctrlPr>
                        <w:rPr>
                          <w:rFonts w:ascii="Cambria Math" w:hAnsi="Cambria Math" w:cs="Calibri"/>
                          <w:b/>
                          <w:bCs/>
                          <w:color w:val="0E2841" w:themeColor="text2"/>
                          <w:sz w:val="18"/>
                          <w:szCs w:val="18"/>
                        </w:rPr>
                      </m:ctrlPr>
                    </m:fPr>
                    <m:num>
                      <m:r>
                        <m:rPr>
                          <m:sty m:val="b"/>
                        </m:rPr>
                        <w:rPr>
                          <w:rFonts w:ascii="Cambria Math" w:hAnsi="Cambria Math" w:cs="Calibri"/>
                          <w:color w:val="0E2841" w:themeColor="text2"/>
                          <w:sz w:val="18"/>
                          <w:szCs w:val="18"/>
                        </w:rPr>
                        <m:t>K</m:t>
                      </m:r>
                    </m:num>
                    <m:den>
                      <m:r>
                        <m:rPr>
                          <m:sty m:val="b"/>
                        </m:rPr>
                        <w:rPr>
                          <w:rFonts w:ascii="Cambria Math" w:hAnsi="Cambria Math" w:cs="Calibri"/>
                          <w:color w:val="0E2841" w:themeColor="text2"/>
                          <w:sz w:val="18"/>
                          <w:szCs w:val="18"/>
                        </w:rPr>
                        <m:t>Mg</m:t>
                      </m:r>
                    </m:den>
                  </m:f>
                </m:sub>
              </m:sSub>
              <m:r>
                <m:rPr>
                  <m:sty m:val="b"/>
                </m:rPr>
                <w:rPr>
                  <w:rFonts w:ascii="Cambria Math" w:hAnsi="Cambria Math" w:cs="Calibri"/>
                  <w:color w:val="0E2841" w:themeColor="text2"/>
                  <w:sz w:val="18"/>
                  <w:szCs w:val="18"/>
                </w:rPr>
                <m:t>;</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r>
                    <m:rPr>
                      <m:sty m:val="b"/>
                    </m:rPr>
                    <w:rPr>
                      <w:rFonts w:ascii="Cambria Math" w:hAnsi="Cambria Math" w:cs="Calibri"/>
                      <w:color w:val="0E2841" w:themeColor="text2"/>
                      <w:sz w:val="18"/>
                      <w:szCs w:val="18"/>
                    </w:rPr>
                    <m:t>pH</m:t>
                  </m:r>
                </m:sub>
              </m:sSub>
              <m:r>
                <m:rPr>
                  <m:sty m:val="b"/>
                </m:rPr>
                <w:rPr>
                  <w:rFonts w:ascii="Cambria Math" w:hAnsi="Cambria Math" w:cs="Calibri"/>
                  <w:color w:val="0E2841" w:themeColor="text2"/>
                  <w:sz w:val="18"/>
                  <w:szCs w:val="18"/>
                </w:rPr>
                <m:t xml:space="preserve"> )</m:t>
              </m:r>
            </m:oMath>
            <w:r w:rsidR="000A0208">
              <w:rPr>
                <w:rFonts w:ascii="Cambria Math" w:eastAsia="Aptos" w:hAnsi="Cambria Math" w:cs="Calibri"/>
                <w:b/>
                <w:bCs/>
                <w:sz w:val="18"/>
                <w:szCs w:val="18"/>
              </w:rPr>
              <w:t xml:space="preserve"> </w:t>
            </w:r>
          </w:p>
        </w:tc>
        <w:tc>
          <w:tcPr>
            <w:tcW w:w="425" w:type="dxa"/>
            <w:tcBorders>
              <w:left w:val="nil"/>
              <w:right w:val="single" w:sz="12" w:space="0" w:color="auto"/>
            </w:tcBorders>
            <w:shd w:val="clear" w:color="auto" w:fill="F9F9F9"/>
            <w:vAlign w:val="center"/>
          </w:tcPr>
          <w:p w14:paraId="7D5E9004" w14:textId="621404CD" w:rsidR="000A0208" w:rsidRPr="005F54C6" w:rsidRDefault="000A0208" w:rsidP="008A3F34">
            <w:pPr>
              <w:tabs>
                <w:tab w:val="left" w:pos="496"/>
              </w:tabs>
              <w:rPr>
                <w:rFonts w:eastAsia="Aptos" w:cs="Calibri"/>
                <w:color w:val="0E2841" w:themeColor="text2"/>
                <w:sz w:val="16"/>
                <w:szCs w:val="16"/>
              </w:rPr>
            </w:pPr>
          </w:p>
        </w:tc>
      </w:tr>
      <w:tr w:rsidR="000A0208" w:rsidRPr="002448F6" w14:paraId="4D8DC041" w14:textId="77777777" w:rsidTr="004306AE">
        <w:trPr>
          <w:trHeight w:val="321"/>
        </w:trPr>
        <w:tc>
          <w:tcPr>
            <w:tcW w:w="1413" w:type="dxa"/>
            <w:vMerge w:val="restart"/>
            <w:vAlign w:val="center"/>
          </w:tcPr>
          <w:p w14:paraId="2144FBD6" w14:textId="77777777" w:rsidR="000A0208" w:rsidRPr="00985936" w:rsidRDefault="000A0208" w:rsidP="004306AE">
            <w:pPr>
              <w:tabs>
                <w:tab w:val="left" w:pos="496"/>
              </w:tabs>
              <w:jc w:val="left"/>
              <w:rPr>
                <w:rFonts w:ascii="Cambria Math" w:hAnsi="Cambria Math" w:cs="Calibri"/>
                <w:color w:val="CE4289"/>
                <w:sz w:val="20"/>
                <w:szCs w:val="20"/>
              </w:rPr>
            </w:pPr>
          </w:p>
        </w:tc>
        <w:tc>
          <w:tcPr>
            <w:tcW w:w="425" w:type="dxa"/>
            <w:tcBorders>
              <w:bottom w:val="dashSmallGap" w:sz="4" w:space="0" w:color="0E2841" w:themeColor="text2"/>
              <w:right w:val="nil"/>
            </w:tcBorders>
            <w:vAlign w:val="center"/>
          </w:tcPr>
          <w:p w14:paraId="6E7DF9FC" w14:textId="77777777" w:rsidR="000A0208" w:rsidRPr="009D763B" w:rsidRDefault="000A0208" w:rsidP="004306AE">
            <w:pPr>
              <w:tabs>
                <w:tab w:val="left" w:pos="496"/>
              </w:tabs>
              <w:jc w:val="left"/>
              <w:rPr>
                <w:rFonts w:ascii="Cambria Math" w:eastAsia="Aptos" w:hAnsi="Cambria Math" w:cs="Calibri"/>
                <w:sz w:val="18"/>
                <w:szCs w:val="18"/>
              </w:rPr>
            </w:pPr>
          </w:p>
        </w:tc>
        <w:tc>
          <w:tcPr>
            <w:tcW w:w="6804" w:type="dxa"/>
            <w:tcBorders>
              <w:left w:val="nil"/>
              <w:bottom w:val="dashSmallGap" w:sz="4" w:space="0" w:color="auto"/>
              <w:right w:val="nil"/>
            </w:tcBorders>
            <w:vAlign w:val="center"/>
          </w:tcPr>
          <w:p w14:paraId="71EC300E" w14:textId="77777777" w:rsidR="000A0208" w:rsidRPr="009D763B" w:rsidRDefault="00AA1F57" w:rsidP="004306AE">
            <w:pPr>
              <w:tabs>
                <w:tab w:val="left" w:pos="496"/>
              </w:tabs>
              <w:jc w:val="left"/>
              <w:rPr>
                <w:rFonts w:ascii="Cambria Math" w:eastAsia="Aptos" w:hAnsi="Cambria Math" w:cs="Calibri"/>
                <w:sz w:val="18"/>
                <w:szCs w:val="18"/>
              </w:rPr>
            </w:pPr>
            <m:oMathPara>
              <m:oMathParaPr>
                <m:jc m:val="left"/>
              </m:oMathParaPr>
              <m:oMath>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Score</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Q</m:t>
                        </m:r>
                      </m:e>
                      <m:sub>
                        <m:r>
                          <m:rPr>
                            <m:sty m:val="p"/>
                          </m:rPr>
                          <w:rPr>
                            <w:rFonts w:ascii="Cambria Math" w:eastAsia="Aptos" w:hAnsi="Cambria Math" w:cs="Calibri"/>
                            <w:sz w:val="18"/>
                            <w:szCs w:val="18"/>
                          </w:rPr>
                          <m:t>P,  K, Mg, Ca</m:t>
                        </m:r>
                      </m:sub>
                    </m:sSub>
                  </m:sub>
                </m:sSub>
                <m:r>
                  <m:rPr>
                    <m:sty m:val="p"/>
                  </m:rPr>
                  <w:rPr>
                    <w:rFonts w:ascii="Cambria Math" w:eastAsia="Cambria Math" w:hAnsi="Cambria Math" w:cs="Calibri"/>
                    <w:sz w:val="18"/>
                    <w:szCs w:val="18"/>
                  </w:rPr>
                  <m:t xml:space="preserve">=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Score</m:t>
                    </m:r>
                  </m:e>
                  <m:sub>
                    <m:r>
                      <m:rPr>
                        <m:sty m:val="p"/>
                      </m:rPr>
                      <w:rPr>
                        <w:rFonts w:ascii="Cambria Math" w:eastAsia="Cambria Math" w:hAnsi="Cambria Math" w:cs="Calibri"/>
                        <w:sz w:val="18"/>
                        <w:szCs w:val="18"/>
                      </w:rPr>
                      <m:t>P, K, Mg, Ca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 xml:space="preserve"> C</m:t>
                        </m:r>
                      </m:e>
                      <m:sub>
                        <m:r>
                          <m:rPr>
                            <m:sty m:val="p"/>
                          </m:rPr>
                          <w:rPr>
                            <w:rFonts w:ascii="Cambria Math" w:eastAsia="Cambria Math" w:hAnsi="Cambria Math" w:cs="Calibri"/>
                            <w:sz w:val="18"/>
                            <w:szCs w:val="18"/>
                          </w:rPr>
                          <m:t>sol utile</m:t>
                        </m:r>
                      </m:sub>
                    </m:sSub>
                  </m:sub>
                </m:sSub>
              </m:oMath>
            </m:oMathPara>
          </w:p>
        </w:tc>
        <w:tc>
          <w:tcPr>
            <w:tcW w:w="425" w:type="dxa"/>
            <w:tcBorders>
              <w:left w:val="nil"/>
              <w:bottom w:val="dashSmallGap" w:sz="4" w:space="0" w:color="auto"/>
              <w:right w:val="single" w:sz="12" w:space="0" w:color="auto"/>
            </w:tcBorders>
            <w:vAlign w:val="center"/>
          </w:tcPr>
          <w:p w14:paraId="0CFC7E81" w14:textId="77777777" w:rsidR="000A0208" w:rsidRPr="005F54C6" w:rsidRDefault="000A0208" w:rsidP="004306AE">
            <w:pPr>
              <w:tabs>
                <w:tab w:val="left" w:pos="496"/>
              </w:tabs>
              <w:jc w:val="center"/>
              <w:rPr>
                <w:rFonts w:eastAsia="Times New Roman" w:cs="Calibri"/>
                <w:sz w:val="16"/>
                <w:szCs w:val="16"/>
              </w:rPr>
            </w:pPr>
          </w:p>
        </w:tc>
      </w:tr>
      <w:tr w:rsidR="000A0208" w:rsidRPr="002448F6" w14:paraId="34E87492" w14:textId="77777777" w:rsidTr="004306AE">
        <w:trPr>
          <w:trHeight w:val="143"/>
        </w:trPr>
        <w:tc>
          <w:tcPr>
            <w:tcW w:w="1413" w:type="dxa"/>
            <w:vMerge/>
            <w:vAlign w:val="center"/>
          </w:tcPr>
          <w:p w14:paraId="1A48C1B5" w14:textId="77777777" w:rsidR="000A0208" w:rsidRPr="00985936" w:rsidRDefault="000A0208" w:rsidP="004306AE">
            <w:pPr>
              <w:tabs>
                <w:tab w:val="left" w:pos="496"/>
              </w:tabs>
              <w:jc w:val="left"/>
              <w:rPr>
                <w:rFonts w:ascii="Cambria Math" w:hAnsi="Cambria Math" w:cs="Calibri"/>
                <w:sz w:val="20"/>
                <w:szCs w:val="20"/>
              </w:rPr>
            </w:pPr>
          </w:p>
        </w:tc>
        <w:tc>
          <w:tcPr>
            <w:tcW w:w="425" w:type="dxa"/>
            <w:tcBorders>
              <w:top w:val="dashSmallGap" w:sz="4" w:space="0" w:color="0E2841" w:themeColor="text2"/>
              <w:bottom w:val="dashSmallGap" w:sz="4" w:space="0" w:color="0E2841" w:themeColor="text2"/>
              <w:right w:val="nil"/>
            </w:tcBorders>
            <w:vAlign w:val="center"/>
          </w:tcPr>
          <w:p w14:paraId="743BF612" w14:textId="77777777" w:rsidR="000A0208" w:rsidRPr="009D763B" w:rsidRDefault="000A0208" w:rsidP="004306AE">
            <w:pPr>
              <w:tabs>
                <w:tab w:val="left" w:pos="496"/>
              </w:tabs>
              <w:jc w:val="left"/>
              <w:rPr>
                <w:rFonts w:ascii="Cambria Math" w:eastAsia="Aptos" w:hAnsi="Cambria Math" w:cs="Calibri"/>
                <w:sz w:val="18"/>
                <w:szCs w:val="18"/>
              </w:rPr>
            </w:pPr>
          </w:p>
        </w:tc>
        <w:tc>
          <w:tcPr>
            <w:tcW w:w="6804" w:type="dxa"/>
            <w:tcBorders>
              <w:top w:val="dashSmallGap" w:sz="4" w:space="0" w:color="auto"/>
              <w:left w:val="nil"/>
              <w:bottom w:val="dashSmallGap" w:sz="4" w:space="0" w:color="auto"/>
              <w:right w:val="nil"/>
            </w:tcBorders>
            <w:vAlign w:val="center"/>
          </w:tcPr>
          <w:p w14:paraId="3B5C0F05" w14:textId="77777777" w:rsidR="000A0208" w:rsidRPr="009D763B" w:rsidRDefault="00AA1F57" w:rsidP="004306AE">
            <w:pPr>
              <w:tabs>
                <w:tab w:val="left" w:pos="496"/>
              </w:tabs>
              <w:jc w:val="left"/>
              <w:rPr>
                <w:rFonts w:ascii="Cambria Math" w:eastAsia="Aptos" w:hAnsi="Cambria Math" w:cs="Calibri"/>
                <w:sz w:val="18"/>
                <w:szCs w:val="18"/>
              </w:rPr>
            </w:pPr>
            <m:oMathPara>
              <m:oMathParaPr>
                <m:jc m:val="left"/>
              </m:oMathParaPr>
              <m:oMath>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Score</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Q</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C</m:t>
                            </m:r>
                          </m:e>
                          <m:sub>
                            <m:r>
                              <m:rPr>
                                <m:sty m:val="p"/>
                              </m:rPr>
                              <w:rPr>
                                <w:rFonts w:ascii="Cambria Math" w:eastAsia="Aptos" w:hAnsi="Cambria Math" w:cs="Calibri"/>
                                <w:sz w:val="18"/>
                                <w:szCs w:val="18"/>
                              </w:rPr>
                              <m:t>org</m:t>
                            </m:r>
                          </m:sub>
                        </m:sSub>
                      </m:sub>
                    </m:sSub>
                  </m:sub>
                </m:sSub>
                <m:r>
                  <m:rPr>
                    <m:sty m:val="p"/>
                  </m:rPr>
                  <w:rPr>
                    <w:rFonts w:ascii="Cambria Math" w:eastAsia="Cambria Math" w:hAnsi="Cambria Math" w:cs="Calibri"/>
                    <w:sz w:val="18"/>
                    <w:szCs w:val="18"/>
                  </w:rPr>
                  <m:t xml:space="preserve">=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Score</m:t>
                    </m:r>
                  </m:e>
                  <m:sub>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org</m:t>
                        </m:r>
                      </m:sub>
                    </m:sSub>
                    <m:r>
                      <m:rPr>
                        <m:sty m:val="p"/>
                      </m:rPr>
                      <w:rPr>
                        <w:rFonts w:ascii="Cambria Math" w:eastAsia="Cambria Math" w:hAnsi="Cambria Math" w:cs="Calibri"/>
                        <w:sz w:val="18"/>
                        <w:szCs w:val="18"/>
                      </w:rPr>
                      <m:t>∙</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sol utile</m:t>
                        </m:r>
                      </m:sub>
                    </m:sSub>
                  </m:sub>
                </m:sSub>
              </m:oMath>
            </m:oMathPara>
          </w:p>
        </w:tc>
        <w:tc>
          <w:tcPr>
            <w:tcW w:w="425" w:type="dxa"/>
            <w:tcBorders>
              <w:top w:val="dashSmallGap" w:sz="4" w:space="0" w:color="auto"/>
              <w:left w:val="nil"/>
              <w:bottom w:val="dashSmallGap" w:sz="4" w:space="0" w:color="auto"/>
              <w:right w:val="single" w:sz="12" w:space="0" w:color="auto"/>
            </w:tcBorders>
            <w:vAlign w:val="center"/>
          </w:tcPr>
          <w:p w14:paraId="55B8FDAB" w14:textId="77777777" w:rsidR="000A0208" w:rsidRPr="005F54C6" w:rsidRDefault="000A0208" w:rsidP="004306AE">
            <w:pPr>
              <w:tabs>
                <w:tab w:val="left" w:pos="496"/>
              </w:tabs>
              <w:jc w:val="center"/>
              <w:rPr>
                <w:rFonts w:eastAsia="Aptos" w:cs="Calibri"/>
                <w:sz w:val="16"/>
                <w:szCs w:val="16"/>
              </w:rPr>
            </w:pPr>
          </w:p>
        </w:tc>
      </w:tr>
      <w:tr w:rsidR="000A0208" w:rsidRPr="002448F6" w14:paraId="303FA5C3" w14:textId="77777777" w:rsidTr="008A3F34">
        <w:trPr>
          <w:trHeight w:val="143"/>
        </w:trPr>
        <w:tc>
          <w:tcPr>
            <w:tcW w:w="1413" w:type="dxa"/>
            <w:vMerge/>
            <w:vAlign w:val="center"/>
          </w:tcPr>
          <w:p w14:paraId="54CCCAA6" w14:textId="77777777" w:rsidR="000A0208" w:rsidRPr="00985936" w:rsidRDefault="000A0208" w:rsidP="004306AE">
            <w:pPr>
              <w:tabs>
                <w:tab w:val="left" w:pos="496"/>
              </w:tabs>
              <w:jc w:val="left"/>
              <w:rPr>
                <w:rFonts w:ascii="Cambria Math" w:hAnsi="Cambria Math" w:cs="Calibri"/>
                <w:sz w:val="20"/>
                <w:szCs w:val="20"/>
              </w:rPr>
            </w:pPr>
          </w:p>
        </w:tc>
        <w:tc>
          <w:tcPr>
            <w:tcW w:w="425" w:type="dxa"/>
            <w:tcBorders>
              <w:top w:val="dashSmallGap" w:sz="4" w:space="0" w:color="0E2841" w:themeColor="text2"/>
              <w:bottom w:val="single" w:sz="18" w:space="0" w:color="auto"/>
              <w:right w:val="nil"/>
            </w:tcBorders>
            <w:vAlign w:val="center"/>
          </w:tcPr>
          <w:p w14:paraId="4F871254" w14:textId="77777777" w:rsidR="000A0208" w:rsidRPr="009D763B" w:rsidRDefault="000A0208" w:rsidP="004306AE">
            <w:pPr>
              <w:tabs>
                <w:tab w:val="left" w:pos="496"/>
              </w:tabs>
              <w:jc w:val="left"/>
              <w:rPr>
                <w:rFonts w:ascii="Cambria Math" w:eastAsia="Aptos" w:hAnsi="Cambria Math" w:cs="Calibri"/>
                <w:sz w:val="18"/>
                <w:szCs w:val="18"/>
              </w:rPr>
            </w:pPr>
          </w:p>
        </w:tc>
        <w:tc>
          <w:tcPr>
            <w:tcW w:w="6804" w:type="dxa"/>
            <w:tcBorders>
              <w:top w:val="dashSmallGap" w:sz="4" w:space="0" w:color="auto"/>
              <w:left w:val="nil"/>
              <w:bottom w:val="single" w:sz="18" w:space="0" w:color="auto"/>
              <w:right w:val="nil"/>
            </w:tcBorders>
            <w:vAlign w:val="center"/>
          </w:tcPr>
          <w:p w14:paraId="0BD6FA0F" w14:textId="77777777" w:rsidR="000A0208" w:rsidRPr="000829EE" w:rsidRDefault="00AA1F57" w:rsidP="004306AE">
            <w:pPr>
              <w:tabs>
                <w:tab w:val="left" w:pos="496"/>
              </w:tabs>
              <w:jc w:val="left"/>
              <w:rPr>
                <w:rFonts w:ascii="Cambria Math" w:eastAsia="Aptos" w:hAnsi="Cambria Math" w:cs="Calibri"/>
                <w:sz w:val="18"/>
                <w:szCs w:val="18"/>
              </w:rPr>
            </w:pPr>
            <m:oMathPara>
              <m:oMathParaPr>
                <m:jc m:val="left"/>
              </m:oMathParaPr>
              <m:oMath>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Score</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Q</m:t>
                        </m:r>
                      </m:e>
                      <m:sub>
                        <m:r>
                          <m:rPr>
                            <m:sty m:val="p"/>
                          </m:rPr>
                          <w:rPr>
                            <w:rFonts w:ascii="Cambria Math" w:eastAsia="Aptos" w:hAnsi="Cambria Math" w:cs="Calibri"/>
                            <w:sz w:val="18"/>
                            <w:szCs w:val="18"/>
                          </w:rPr>
                          <m:t>CEC</m:t>
                        </m:r>
                      </m:sub>
                    </m:sSub>
                  </m:sub>
                </m:sSub>
                <m:r>
                  <m:rPr>
                    <m:sty m:val="p"/>
                  </m:rPr>
                  <w:rPr>
                    <w:rFonts w:ascii="Cambria Math" w:eastAsia="Cambria Math" w:hAnsi="Cambria Math" w:cs="Calibri"/>
                    <w:sz w:val="18"/>
                    <w:szCs w:val="18"/>
                  </w:rPr>
                  <m:t xml:space="preserve">=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Score</m:t>
                    </m:r>
                  </m:e>
                  <m:sub>
                    <m:r>
                      <m:rPr>
                        <m:sty m:val="p"/>
                      </m:rPr>
                      <w:rPr>
                        <w:rFonts w:ascii="Cambria Math" w:eastAsia="Cambria Math" w:hAnsi="Cambria Math" w:cs="Calibri"/>
                        <w:sz w:val="18"/>
                        <w:szCs w:val="18"/>
                      </w:rPr>
                      <m:t>CEC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sol utile</m:t>
                        </m:r>
                      </m:sub>
                    </m:sSub>
                  </m:sub>
                </m:sSub>
              </m:oMath>
            </m:oMathPara>
          </w:p>
        </w:tc>
        <w:tc>
          <w:tcPr>
            <w:tcW w:w="425" w:type="dxa"/>
            <w:tcBorders>
              <w:top w:val="dashSmallGap" w:sz="4" w:space="0" w:color="auto"/>
              <w:left w:val="nil"/>
              <w:bottom w:val="dashSmallGap" w:sz="4" w:space="0" w:color="auto"/>
              <w:right w:val="single" w:sz="12" w:space="0" w:color="auto"/>
            </w:tcBorders>
            <w:vAlign w:val="center"/>
          </w:tcPr>
          <w:p w14:paraId="5143C73F" w14:textId="77777777" w:rsidR="000A0208" w:rsidRPr="005F54C6" w:rsidRDefault="000A0208" w:rsidP="004306AE">
            <w:pPr>
              <w:tabs>
                <w:tab w:val="left" w:pos="496"/>
              </w:tabs>
              <w:jc w:val="center"/>
              <w:rPr>
                <w:rFonts w:eastAsia="Aptos" w:cs="Calibri"/>
                <w:sz w:val="16"/>
                <w:szCs w:val="16"/>
              </w:rPr>
            </w:pPr>
          </w:p>
        </w:tc>
      </w:tr>
      <w:tr w:rsidR="000A0208" w:rsidRPr="002448F6" w14:paraId="1C518DFA" w14:textId="77777777" w:rsidTr="004306AE">
        <w:trPr>
          <w:trHeight w:val="536"/>
        </w:trPr>
        <w:tc>
          <w:tcPr>
            <w:tcW w:w="1413" w:type="dxa"/>
            <w:tcBorders>
              <w:top w:val="single" w:sz="18" w:space="0" w:color="0E2841" w:themeColor="text2"/>
              <w:bottom w:val="single" w:sz="18" w:space="0" w:color="0E2841" w:themeColor="text2"/>
            </w:tcBorders>
            <w:shd w:val="clear" w:color="auto" w:fill="F9F9F9"/>
            <w:vAlign w:val="center"/>
          </w:tcPr>
          <w:p w14:paraId="70AA6876" w14:textId="77777777" w:rsidR="000A0208" w:rsidRPr="00985936" w:rsidRDefault="000A0208" w:rsidP="004306AE">
            <w:pPr>
              <w:tabs>
                <w:tab w:val="left" w:pos="496"/>
              </w:tabs>
              <w:jc w:val="left"/>
              <w:rPr>
                <w:rFonts w:ascii="Cambria Math" w:eastAsia="Aptos" w:hAnsi="Cambria Math" w:cs="Calibri"/>
                <w:iCs/>
                <w:color w:val="0E2841" w:themeColor="text2"/>
                <w:sz w:val="20"/>
                <w:szCs w:val="20"/>
              </w:rPr>
            </w:pPr>
            <w:r w:rsidRPr="00985936">
              <w:rPr>
                <w:rFonts w:ascii="Cambria Math" w:hAnsi="Cambria Math" w:cs="Calibri"/>
                <w:b/>
                <w:bCs/>
                <w:color w:val="0E2841" w:themeColor="text2"/>
                <w:sz w:val="20"/>
                <w:szCs w:val="20"/>
              </w:rPr>
              <w:t>Structure</w:t>
            </w:r>
          </w:p>
        </w:tc>
        <w:tc>
          <w:tcPr>
            <w:tcW w:w="7229" w:type="dxa"/>
            <w:gridSpan w:val="2"/>
            <w:tcBorders>
              <w:top w:val="single" w:sz="18" w:space="0" w:color="0E2841" w:themeColor="text2"/>
              <w:bottom w:val="single" w:sz="18" w:space="0" w:color="0E2841" w:themeColor="text2"/>
              <w:right w:val="nil"/>
            </w:tcBorders>
            <w:shd w:val="clear" w:color="auto" w:fill="F9F9F9"/>
            <w:vAlign w:val="center"/>
          </w:tcPr>
          <w:p w14:paraId="54766935" w14:textId="77777777" w:rsidR="000A0208" w:rsidRPr="00C62776" w:rsidRDefault="00AA1F57" w:rsidP="004306AE">
            <w:pPr>
              <w:tabs>
                <w:tab w:val="left" w:pos="496"/>
              </w:tabs>
              <w:jc w:val="left"/>
              <w:rPr>
                <w:rFonts w:ascii="Cambria Math" w:hAnsi="Cambria Math" w:cs="Calibri"/>
                <w:b/>
                <w:bCs/>
                <w:iCs/>
                <w:color w:val="0E2841" w:themeColor="text2"/>
                <w:sz w:val="18"/>
                <w:szCs w:val="18"/>
              </w:rPr>
            </w:pPr>
            <m:oMathPara>
              <m:oMathParaPr>
                <m:jc m:val="left"/>
              </m:oMathParaPr>
              <m:oMath>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S</m:t>
                    </m:r>
                  </m:e>
                  <m:sub>
                    <m:r>
                      <m:rPr>
                        <m:sty m:val="b"/>
                      </m:rPr>
                      <w:rPr>
                        <w:rFonts w:ascii="Cambria Math" w:hAnsi="Cambria Math" w:cs="Calibri"/>
                        <w:color w:val="0E2841" w:themeColor="text2"/>
                        <w:sz w:val="18"/>
                        <w:szCs w:val="18"/>
                      </w:rPr>
                      <m:t>structure</m:t>
                    </m:r>
                  </m:sub>
                </m:sSub>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μ</m:t>
                </m:r>
                <m:r>
                  <m:rPr>
                    <m:sty m:val="b"/>
                  </m:rPr>
                  <w:rPr>
                    <w:rFonts w:ascii="Cambria Math" w:hAnsi="Cambria Math" w:cs="Calibri"/>
                    <w:color w:val="0E2841" w:themeColor="text2"/>
                    <w:sz w:val="18"/>
                    <w:szCs w:val="18"/>
                  </w:rPr>
                  <m:t xml:space="preserve">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r>
                      <m:rPr>
                        <m:sty m:val="b"/>
                      </m:rPr>
                      <w:rPr>
                        <w:rFonts w:ascii="Cambria Math" w:hAnsi="Cambria Math" w:cs="Calibri"/>
                        <w:color w:val="0E2841" w:themeColor="text2"/>
                        <w:sz w:val="18"/>
                        <w:szCs w:val="18"/>
                      </w:rPr>
                      <m:t>VESS</m:t>
                    </m:r>
                  </m:sub>
                </m:sSub>
                <m:r>
                  <m:rPr>
                    <m:sty m:val="b"/>
                  </m:rPr>
                  <w:rPr>
                    <w:rFonts w:ascii="Cambria Math" w:hAnsi="Cambria Math" w:cs="Calibri"/>
                    <w:color w:val="0E2841" w:themeColor="text2"/>
                    <w:sz w:val="18"/>
                    <w:szCs w:val="18"/>
                  </w:rPr>
                  <m:t xml:space="preserve"> ;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ρ</m:t>
                        </m:r>
                      </m:e>
                      <m:sub>
                        <m:r>
                          <m:rPr>
                            <m:sty m:val="b"/>
                          </m:rPr>
                          <w:rPr>
                            <w:rFonts w:ascii="Cambria Math" w:eastAsia="Aptos" w:hAnsi="Cambria Math" w:cs="Calibri"/>
                            <w:color w:val="0E2841" w:themeColor="text2"/>
                            <w:sz w:val="18"/>
                            <w:szCs w:val="18"/>
                          </w:rPr>
                          <m:t>f</m:t>
                        </m:r>
                      </m:sub>
                    </m:sSub>
                  </m:sub>
                </m:sSub>
                <m:r>
                  <m:rPr>
                    <m:sty m:val="bi"/>
                  </m:rPr>
                  <w:rPr>
                    <w:rFonts w:ascii="Cambria Math" w:eastAsia="Aptos" w:hAnsi="Cambria Math" w:cs="Calibri"/>
                    <w:color w:val="0E2841" w:themeColor="text2"/>
                    <w:sz w:val="18"/>
                    <w:szCs w:val="18"/>
                  </w:rPr>
                  <m:t xml:space="preserve"> </m:t>
                </m:r>
                <m:r>
                  <m:rPr>
                    <m:sty m:val="b"/>
                  </m:rPr>
                  <w:rPr>
                    <w:rFonts w:ascii="Cambria Math" w:hAnsi="Cambria Math" w:cs="Calibri"/>
                    <w:color w:val="0E2841" w:themeColor="text2"/>
                    <w:sz w:val="18"/>
                    <w:szCs w:val="18"/>
                  </w:rPr>
                  <m:t xml:space="preserve">;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f>
                      <m:fPr>
                        <m:ctrlPr>
                          <w:rPr>
                            <w:rFonts w:ascii="Cambria Math" w:hAnsi="Cambria Math" w:cs="Calibri"/>
                            <w:b/>
                            <w:bCs/>
                            <w:color w:val="0E2841" w:themeColor="text2"/>
                            <w:sz w:val="18"/>
                            <w:szCs w:val="18"/>
                          </w:rPr>
                        </m:ctrlPr>
                      </m:fPr>
                      <m:num>
                        <m:sSub>
                          <m:sSubPr>
                            <m:ctrlPr>
                              <w:rPr>
                                <w:rFonts w:ascii="Cambria Math" w:hAnsi="Cambria Math" w:cs="Calibri"/>
                                <w:b/>
                                <w:bCs/>
                                <w:color w:val="0E2841" w:themeColor="text2"/>
                                <w:sz w:val="18"/>
                                <w:szCs w:val="18"/>
                              </w:rPr>
                            </m:ctrlPr>
                          </m:sSubPr>
                          <m:e>
                            <m:r>
                              <m:rPr>
                                <m:sty m:val="bi"/>
                              </m:rPr>
                              <w:rPr>
                                <w:rFonts w:ascii="Cambria Math" w:hAnsi="Cambria Math" w:cs="Calibri"/>
                                <w:color w:val="0E2841" w:themeColor="text2"/>
                                <w:sz w:val="18"/>
                                <w:szCs w:val="18"/>
                              </w:rPr>
                              <m:t>C</m:t>
                            </m:r>
                          </m:e>
                          <m:sub>
                            <m:r>
                              <m:rPr>
                                <m:sty m:val="bi"/>
                              </m:rPr>
                              <w:rPr>
                                <w:rFonts w:ascii="Cambria Math" w:hAnsi="Cambria Math" w:cs="Calibri"/>
                                <w:color w:val="0E2841" w:themeColor="text2"/>
                                <w:sz w:val="18"/>
                                <w:szCs w:val="18"/>
                              </w:rPr>
                              <m:t>org</m:t>
                            </m:r>
                          </m:sub>
                        </m:sSub>
                      </m:num>
                      <m:den>
                        <m:r>
                          <m:rPr>
                            <m:sty m:val="b"/>
                          </m:rPr>
                          <w:rPr>
                            <w:rFonts w:ascii="Cambria Math" w:hAnsi="Cambria Math" w:cs="Calibri"/>
                            <w:color w:val="0E2841" w:themeColor="text2"/>
                            <w:sz w:val="18"/>
                            <w:szCs w:val="18"/>
                          </w:rPr>
                          <m:t>argile</m:t>
                        </m:r>
                      </m:den>
                    </m:f>
                  </m:sub>
                </m:sSub>
                <m:r>
                  <m:rPr>
                    <m:sty m:val="b"/>
                  </m:rPr>
                  <w:rPr>
                    <w:rFonts w:ascii="Cambria Math" w:hAnsi="Cambria Math" w:cs="Calibri"/>
                    <w:color w:val="0E2841" w:themeColor="text2"/>
                    <w:sz w:val="18"/>
                    <w:szCs w:val="18"/>
                  </w:rPr>
                  <m:t xml:space="preserve">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r>
                      <m:rPr>
                        <m:sty m:val="b"/>
                      </m:rPr>
                      <w:rPr>
                        <w:rFonts w:ascii="Cambria Math" w:hAnsi="Cambria Math" w:cs="Calibri"/>
                        <w:color w:val="0E2841" w:themeColor="text2"/>
                        <w:sz w:val="18"/>
                        <w:szCs w:val="18"/>
                      </w:rPr>
                      <m:t>hydromorphie</m:t>
                    </m:r>
                    <m:r>
                      <m:rPr>
                        <m:sty m:val="b"/>
                      </m:rPr>
                      <w:rPr>
                        <w:rFonts w:ascii="Cambria Math" w:hAnsi="Cambria Math" w:cs="Calibri"/>
                        <w:color w:val="0E2841" w:themeColor="text2"/>
                        <w:sz w:val="18"/>
                        <w:szCs w:val="18"/>
                      </w:rPr>
                      <m:t xml:space="preserve"> (</m:t>
                    </m:r>
                    <m:r>
                      <m:rPr>
                        <m:sty m:val="b"/>
                      </m:rPr>
                      <w:rPr>
                        <w:rFonts w:ascii="Cambria Math" w:hAnsi="Cambria Math" w:cs="Calibri"/>
                        <w:color w:val="0E2841" w:themeColor="text2"/>
                        <w:sz w:val="18"/>
                        <w:szCs w:val="18"/>
                      </w:rPr>
                      <m:t>0</m:t>
                    </m:r>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100</m:t>
                    </m:r>
                    <m:r>
                      <m:rPr>
                        <m:sty m:val="b"/>
                      </m:rPr>
                      <w:rPr>
                        <w:rFonts w:ascii="Cambria Math" w:hAnsi="Cambria Math" w:cs="Calibri"/>
                        <w:color w:val="0E2841" w:themeColor="text2"/>
                        <w:sz w:val="18"/>
                        <w:szCs w:val="18"/>
                      </w:rPr>
                      <m:t>)</m:t>
                    </m:r>
                  </m:sub>
                </m:sSub>
                <m:r>
                  <m:rPr>
                    <m:sty m:val="b"/>
                  </m:rPr>
                  <w:rPr>
                    <w:rFonts w:ascii="Cambria Math" w:hAnsi="Cambria Math" w:cs="Calibri"/>
                    <w:color w:val="0E2841" w:themeColor="text2"/>
                    <w:sz w:val="18"/>
                    <w:szCs w:val="18"/>
                  </w:rPr>
                  <m:t xml:space="preserve"> )</m:t>
                </m:r>
              </m:oMath>
            </m:oMathPara>
          </w:p>
        </w:tc>
        <w:tc>
          <w:tcPr>
            <w:tcW w:w="425" w:type="dxa"/>
            <w:tcBorders>
              <w:top w:val="single" w:sz="18" w:space="0" w:color="0E2841" w:themeColor="text2"/>
              <w:left w:val="nil"/>
              <w:bottom w:val="single" w:sz="18" w:space="0" w:color="0E2841" w:themeColor="text2"/>
              <w:right w:val="single" w:sz="12" w:space="0" w:color="auto"/>
            </w:tcBorders>
            <w:shd w:val="clear" w:color="auto" w:fill="F9F9F9"/>
            <w:vAlign w:val="center"/>
          </w:tcPr>
          <w:p w14:paraId="5DAEF749" w14:textId="77777777" w:rsidR="000A0208" w:rsidRPr="005F54C6" w:rsidRDefault="000A0208" w:rsidP="004306AE">
            <w:pPr>
              <w:tabs>
                <w:tab w:val="left" w:pos="496"/>
              </w:tabs>
              <w:jc w:val="center"/>
              <w:rPr>
                <w:rFonts w:eastAsia="Aptos" w:cs="Calibri"/>
                <w:iCs/>
                <w:color w:val="0E2841" w:themeColor="text2"/>
                <w:sz w:val="16"/>
                <w:szCs w:val="16"/>
              </w:rPr>
            </w:pPr>
          </w:p>
        </w:tc>
      </w:tr>
      <w:tr w:rsidR="000A0208" w:rsidRPr="00C62776" w14:paraId="7F4AF23D" w14:textId="77777777" w:rsidTr="004306AE">
        <w:trPr>
          <w:trHeight w:val="235"/>
        </w:trPr>
        <w:tc>
          <w:tcPr>
            <w:tcW w:w="1413" w:type="dxa"/>
            <w:tcBorders>
              <w:top w:val="single" w:sz="18" w:space="0" w:color="0E2841" w:themeColor="text2"/>
            </w:tcBorders>
            <w:shd w:val="clear" w:color="auto" w:fill="F9F9F9"/>
            <w:vAlign w:val="center"/>
          </w:tcPr>
          <w:p w14:paraId="7FC07D38" w14:textId="77777777" w:rsidR="000A0208" w:rsidRPr="00985936" w:rsidRDefault="000A0208" w:rsidP="004306AE">
            <w:pPr>
              <w:tabs>
                <w:tab w:val="left" w:pos="496"/>
              </w:tabs>
              <w:jc w:val="left"/>
              <w:rPr>
                <w:rFonts w:ascii="Cambria Math" w:eastAsia="Aptos" w:hAnsi="Cambria Math" w:cs="Calibri"/>
                <w:b/>
                <w:bCs/>
                <w:sz w:val="20"/>
                <w:szCs w:val="20"/>
              </w:rPr>
            </w:pPr>
            <w:r w:rsidRPr="00C8312B">
              <w:rPr>
                <w:rFonts w:ascii="Cambria Math" w:hAnsi="Cambria Math" w:cs="Calibri"/>
                <w:b/>
                <w:bCs/>
                <w:color w:val="0E2841" w:themeColor="text2"/>
                <w:sz w:val="20"/>
                <w:szCs w:val="20"/>
              </w:rPr>
              <w:t>Fourniture eau</w:t>
            </w:r>
          </w:p>
        </w:tc>
        <w:tc>
          <w:tcPr>
            <w:tcW w:w="7229" w:type="dxa"/>
            <w:gridSpan w:val="2"/>
            <w:tcBorders>
              <w:top w:val="single" w:sz="18" w:space="0" w:color="0E2841" w:themeColor="text2"/>
              <w:right w:val="nil"/>
            </w:tcBorders>
            <w:shd w:val="clear" w:color="auto" w:fill="F9F9F9"/>
            <w:vAlign w:val="center"/>
          </w:tcPr>
          <w:p w14:paraId="1690BF8A" w14:textId="77777777" w:rsidR="000A0208" w:rsidRPr="00C62776" w:rsidRDefault="00AA1F57" w:rsidP="004306AE">
            <w:pPr>
              <w:tabs>
                <w:tab w:val="left" w:pos="496"/>
              </w:tabs>
              <w:jc w:val="left"/>
              <w:rPr>
                <w:rFonts w:ascii="Cambria Math" w:eastAsia="Aptos" w:hAnsi="Cambria Math" w:cs="Calibri"/>
                <w:b/>
                <w:bCs/>
                <w:sz w:val="18"/>
                <w:szCs w:val="18"/>
              </w:rPr>
            </w:pPr>
            <m:oMathPara>
              <m:oMathParaPr>
                <m:jc m:val="left"/>
              </m:oMathParaPr>
              <m:oMath>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S</m:t>
                    </m:r>
                  </m:e>
                  <m:sub>
                    <m:r>
                      <m:rPr>
                        <m:sty m:val="b"/>
                      </m:rPr>
                      <w:rPr>
                        <w:rFonts w:ascii="Cambria Math" w:hAnsi="Cambria Math" w:cs="Calibri"/>
                        <w:color w:val="0E2841" w:themeColor="text2"/>
                        <w:sz w:val="18"/>
                        <w:szCs w:val="18"/>
                      </w:rPr>
                      <m:t>fourniture</m:t>
                    </m:r>
                    <m:r>
                      <m:rPr>
                        <m:sty m:val="b"/>
                      </m:rPr>
                      <w:rPr>
                        <w:rFonts w:ascii="Cambria Math" w:hAnsi="Cambria Math" w:cs="Calibri"/>
                        <w:color w:val="0E2841" w:themeColor="text2"/>
                        <w:sz w:val="18"/>
                        <w:szCs w:val="18"/>
                      </w:rPr>
                      <m:t xml:space="preserve"> </m:t>
                    </m:r>
                    <m:r>
                      <m:rPr>
                        <m:sty m:val="b"/>
                      </m:rPr>
                      <w:rPr>
                        <w:rFonts w:ascii="Cambria Math" w:hAnsi="Cambria Math" w:cs="Calibri"/>
                        <w:color w:val="0E2841" w:themeColor="text2"/>
                        <w:sz w:val="18"/>
                        <w:szCs w:val="18"/>
                      </w:rPr>
                      <m:t>eau</m:t>
                    </m:r>
                  </m:sub>
                </m:sSub>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0</m:t>
                </m:r>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3</m:t>
                </m:r>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 xml:space="preserve"> </m:t>
                </m:r>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Score</m:t>
                    </m:r>
                  </m:e>
                  <m:sub>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REU</m:t>
                        </m:r>
                      </m:e>
                      <m:sub>
                        <m:r>
                          <m:rPr>
                            <m:sty m:val="b"/>
                          </m:rPr>
                          <w:rPr>
                            <w:rFonts w:ascii="Cambria Math" w:hAnsi="Cambria Math" w:cs="Calibri"/>
                            <w:color w:val="0E2841" w:themeColor="text2"/>
                            <w:sz w:val="18"/>
                            <w:szCs w:val="18"/>
                          </w:rPr>
                          <m:t>0</m:t>
                        </m:r>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30</m:t>
                        </m:r>
                      </m:sub>
                    </m:sSub>
                  </m:sub>
                </m:sSub>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0</m:t>
                </m:r>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7</m:t>
                </m:r>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 xml:space="preserve"> </m:t>
                </m:r>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Score</m:t>
                    </m:r>
                  </m:e>
                  <m:sub>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REU</m:t>
                        </m:r>
                      </m:e>
                      <m:sub>
                        <m:r>
                          <m:rPr>
                            <m:sty m:val="b"/>
                          </m:rPr>
                          <w:rPr>
                            <w:rFonts w:ascii="Cambria Math" w:hAnsi="Cambria Math" w:cs="Calibri"/>
                            <w:color w:val="0E2841" w:themeColor="text2"/>
                            <w:sz w:val="18"/>
                            <w:szCs w:val="18"/>
                          </w:rPr>
                          <m:t>30</m:t>
                        </m:r>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100</m:t>
                        </m:r>
                      </m:sub>
                    </m:sSub>
                  </m:sub>
                </m:sSub>
              </m:oMath>
            </m:oMathPara>
          </w:p>
        </w:tc>
        <w:tc>
          <w:tcPr>
            <w:tcW w:w="425" w:type="dxa"/>
            <w:tcBorders>
              <w:top w:val="single" w:sz="18" w:space="0" w:color="0E2841" w:themeColor="text2"/>
              <w:left w:val="nil"/>
              <w:right w:val="single" w:sz="12" w:space="0" w:color="auto"/>
            </w:tcBorders>
            <w:shd w:val="clear" w:color="auto" w:fill="F9F9F9"/>
            <w:vAlign w:val="center"/>
          </w:tcPr>
          <w:p w14:paraId="4A10BDB7" w14:textId="77777777" w:rsidR="000A0208" w:rsidRPr="005F54C6" w:rsidRDefault="000A0208" w:rsidP="004306AE">
            <w:pPr>
              <w:tabs>
                <w:tab w:val="left" w:pos="496"/>
              </w:tabs>
              <w:jc w:val="center"/>
              <w:rPr>
                <w:rFonts w:eastAsia="Aptos" w:cs="Calibri"/>
                <w:iCs/>
                <w:color w:val="0E2841" w:themeColor="text2"/>
                <w:sz w:val="16"/>
                <w:szCs w:val="16"/>
              </w:rPr>
            </w:pPr>
          </w:p>
        </w:tc>
      </w:tr>
      <w:tr w:rsidR="000A0208" w:rsidRPr="00EA05BA" w14:paraId="66D5C7CB" w14:textId="77777777" w:rsidTr="004306AE">
        <w:trPr>
          <w:trHeight w:val="214"/>
        </w:trPr>
        <w:tc>
          <w:tcPr>
            <w:tcW w:w="1413" w:type="dxa"/>
            <w:vMerge w:val="restart"/>
            <w:tcBorders>
              <w:top w:val="single" w:sz="18" w:space="0" w:color="0E2841" w:themeColor="text2"/>
            </w:tcBorders>
            <w:shd w:val="clear" w:color="auto" w:fill="F9F9F9"/>
            <w:vAlign w:val="center"/>
          </w:tcPr>
          <w:p w14:paraId="793C096A" w14:textId="77777777" w:rsidR="000A0208" w:rsidRPr="00C8312B" w:rsidRDefault="000A0208" w:rsidP="004306AE">
            <w:pPr>
              <w:tabs>
                <w:tab w:val="left" w:pos="496"/>
              </w:tabs>
              <w:jc w:val="left"/>
              <w:rPr>
                <w:rFonts w:ascii="Cambria Math" w:hAnsi="Cambria Math" w:cs="Calibri"/>
                <w:b/>
                <w:bCs/>
                <w:color w:val="0E2841" w:themeColor="text2"/>
                <w:sz w:val="20"/>
                <w:szCs w:val="20"/>
              </w:rPr>
            </w:pPr>
            <w:r>
              <w:rPr>
                <w:rFonts w:ascii="Cambria Math" w:hAnsi="Cambria Math" w:cs="Calibri"/>
                <w:b/>
                <w:bCs/>
                <w:color w:val="0E2841" w:themeColor="text2"/>
                <w:sz w:val="20"/>
                <w:szCs w:val="20"/>
              </w:rPr>
              <w:t>Contrainte</w:t>
            </w:r>
          </w:p>
        </w:tc>
        <w:tc>
          <w:tcPr>
            <w:tcW w:w="7229" w:type="dxa"/>
            <w:gridSpan w:val="2"/>
            <w:tcBorders>
              <w:top w:val="single" w:sz="18" w:space="0" w:color="0E2841" w:themeColor="text2"/>
              <w:right w:val="nil"/>
            </w:tcBorders>
            <w:shd w:val="clear" w:color="auto" w:fill="F9F9F9"/>
            <w:vAlign w:val="center"/>
          </w:tcPr>
          <w:p w14:paraId="0F422012" w14:textId="77777777" w:rsidR="000A0208" w:rsidRPr="00FA0F8D" w:rsidRDefault="00AA1F57" w:rsidP="006C2A59">
            <w:pPr>
              <w:tabs>
                <w:tab w:val="left" w:pos="496"/>
              </w:tabs>
              <w:jc w:val="left"/>
              <w:rPr>
                <w:rFonts w:ascii="Cambria Math" w:hAnsi="Cambria Math" w:cs="Calibri"/>
                <w:b/>
                <w:color w:val="0E2841" w:themeColor="text2"/>
              </w:rPr>
            </w:pPr>
            <m:oMathPara>
              <m:oMath>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C</m:t>
                    </m:r>
                  </m:e>
                  <m:sub>
                    <m:r>
                      <m:rPr>
                        <m:sty m:val="b"/>
                      </m:rPr>
                      <w:rPr>
                        <w:rFonts w:ascii="Cambria Math" w:hAnsi="Cambria Math" w:cs="Calibri"/>
                        <w:color w:val="0E2841" w:themeColor="text2"/>
                        <w:sz w:val="18"/>
                        <w:szCs w:val="18"/>
                      </w:rPr>
                      <m:t>contrainte</m:t>
                    </m:r>
                  </m:sub>
                </m:sSub>
                <m:r>
                  <m:rPr>
                    <m:sty m:val="b"/>
                  </m:rPr>
                  <w:rPr>
                    <w:rFonts w:ascii="Cambria Math" w:hAnsi="Cambria Math" w:cs="Calibri"/>
                    <w:color w:val="0E2841" w:themeColor="text2"/>
                    <w:sz w:val="18"/>
                    <w:szCs w:val="18"/>
                  </w:rPr>
                  <m:t>=</m:t>
                </m:r>
                <m:r>
                  <m:rPr>
                    <m:sty m:val="b"/>
                  </m:rPr>
                  <w:rPr>
                    <w:rFonts w:ascii="Cambria Math" w:hAnsi="Cambria Math" w:cs="Calibri"/>
                    <w:color w:val="0E2841" w:themeColor="text2"/>
                    <w:sz w:val="18"/>
                    <w:szCs w:val="18"/>
                  </w:rPr>
                  <m:t>min</m:t>
                </m:r>
                <m:r>
                  <m:rPr>
                    <m:sty m:val="b"/>
                  </m:rPr>
                  <w:rPr>
                    <w:rFonts w:ascii="Cambria Math" w:hAnsi="Cambria Math" w:cs="Calibri"/>
                    <w:color w:val="0E2841" w:themeColor="text2"/>
                    <w:sz w:val="18"/>
                    <w:szCs w:val="18"/>
                  </w:rPr>
                  <m:t xml:space="preserve">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C</m:t>
                    </m:r>
                  </m:e>
                  <m:sub>
                    <m:r>
                      <m:rPr>
                        <m:sty m:val="b"/>
                      </m:rPr>
                      <w:rPr>
                        <w:rFonts w:ascii="Cambria Math" w:hAnsi="Cambria Math" w:cs="Calibri"/>
                        <w:color w:val="0E2841" w:themeColor="text2"/>
                        <w:sz w:val="18"/>
                        <w:szCs w:val="18"/>
                      </w:rPr>
                      <m:t>pollution</m:t>
                    </m:r>
                  </m:sub>
                </m:sSub>
                <m:r>
                  <m:rPr>
                    <m:sty m:val="b"/>
                  </m:rPr>
                  <w:rPr>
                    <w:rFonts w:ascii="Cambria Math" w:hAnsi="Cambria Math" w:cs="Calibri"/>
                    <w:color w:val="0E2841" w:themeColor="text2"/>
                    <w:sz w:val="18"/>
                    <w:szCs w:val="18"/>
                  </w:rPr>
                  <m:t xml:space="preserve"> ;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C</m:t>
                    </m:r>
                  </m:e>
                  <m:sub>
                    <m:r>
                      <m:rPr>
                        <m:sty m:val="b"/>
                      </m:rPr>
                      <w:rPr>
                        <w:rFonts w:ascii="Cambria Math" w:hAnsi="Cambria Math" w:cs="Calibri"/>
                        <w:color w:val="0E2841" w:themeColor="text2"/>
                        <w:sz w:val="18"/>
                        <w:szCs w:val="18"/>
                      </w:rPr>
                      <m:t>EEE</m:t>
                    </m:r>
                  </m:sub>
                </m:sSub>
                <m:r>
                  <m:rPr>
                    <m:sty m:val="b"/>
                  </m:rPr>
                  <w:rPr>
                    <w:rFonts w:ascii="Cambria Math" w:hAnsi="Cambria Math" w:cs="Calibri"/>
                    <w:color w:val="0E2841" w:themeColor="text2"/>
                    <w:sz w:val="18"/>
                    <w:szCs w:val="18"/>
                  </w:rPr>
                  <m:t>)</m:t>
                </m:r>
              </m:oMath>
            </m:oMathPara>
          </w:p>
        </w:tc>
        <w:tc>
          <w:tcPr>
            <w:tcW w:w="425" w:type="dxa"/>
            <w:tcBorders>
              <w:top w:val="single" w:sz="18" w:space="0" w:color="0E2841" w:themeColor="text2"/>
              <w:left w:val="nil"/>
              <w:right w:val="single" w:sz="12" w:space="0" w:color="auto"/>
            </w:tcBorders>
            <w:shd w:val="clear" w:color="auto" w:fill="F9F9F9"/>
            <w:vAlign w:val="center"/>
          </w:tcPr>
          <w:p w14:paraId="76D5100D" w14:textId="77777777" w:rsidR="000A0208" w:rsidRPr="005F54C6" w:rsidRDefault="000A0208" w:rsidP="004306AE">
            <w:pPr>
              <w:tabs>
                <w:tab w:val="left" w:pos="496"/>
              </w:tabs>
              <w:jc w:val="center"/>
              <w:rPr>
                <w:rFonts w:eastAsia="Aptos" w:cs="Calibri"/>
                <w:iCs/>
                <w:color w:val="0E2841" w:themeColor="text2"/>
                <w:sz w:val="16"/>
                <w:szCs w:val="16"/>
              </w:rPr>
            </w:pPr>
          </w:p>
        </w:tc>
      </w:tr>
      <w:tr w:rsidR="000A0208" w:rsidRPr="0049410E" w14:paraId="18775348" w14:textId="77777777" w:rsidTr="004306AE">
        <w:trPr>
          <w:trHeight w:val="257"/>
        </w:trPr>
        <w:tc>
          <w:tcPr>
            <w:tcW w:w="1413" w:type="dxa"/>
            <w:vMerge/>
            <w:vAlign w:val="center"/>
          </w:tcPr>
          <w:p w14:paraId="325EA75D" w14:textId="77777777" w:rsidR="000A0208" w:rsidRPr="002448F6" w:rsidRDefault="000A0208" w:rsidP="004306AE">
            <w:pPr>
              <w:tabs>
                <w:tab w:val="left" w:pos="496"/>
              </w:tabs>
              <w:jc w:val="left"/>
              <w:rPr>
                <w:rFonts w:ascii="Cambria Math" w:hAnsi="Cambria Math" w:cs="Calibri"/>
                <w:color w:val="0E2841" w:themeColor="text2"/>
                <w:szCs w:val="22"/>
              </w:rPr>
            </w:pPr>
          </w:p>
        </w:tc>
        <w:tc>
          <w:tcPr>
            <w:tcW w:w="425" w:type="dxa"/>
            <w:tcBorders>
              <w:bottom w:val="dashSmallGap" w:sz="4" w:space="0" w:color="0E2841" w:themeColor="text2"/>
              <w:right w:val="nil"/>
            </w:tcBorders>
            <w:vAlign w:val="center"/>
          </w:tcPr>
          <w:p w14:paraId="744774D9" w14:textId="77777777" w:rsidR="000A0208" w:rsidRPr="00FD5BE2"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745A8F68" w14:textId="77777777" w:rsidR="000A0208" w:rsidRPr="00FA0F8D" w:rsidRDefault="00AA1F57" w:rsidP="006C2A59">
            <w:pPr>
              <w:tabs>
                <w:tab w:val="left" w:pos="496"/>
              </w:tabs>
              <w:jc w:val="left"/>
              <w:rPr>
                <w:rFonts w:ascii="Cambria Math" w:hAnsi="Cambria Math" w:cs="Calibri"/>
                <w:color w:val="0E2841" w:themeColor="text2"/>
                <w:sz w:val="18"/>
                <w:szCs w:val="18"/>
              </w:rPr>
            </w:pPr>
            <m:oMathPara>
              <m:oMath>
                <m:sSub>
                  <m:sSubPr>
                    <m:ctrlPr>
                      <w:rPr>
                        <w:rFonts w:ascii="Cambria Math" w:hAnsi="Cambria Math" w:cs="Calibri"/>
                        <w:iCs/>
                        <w:sz w:val="18"/>
                        <w:szCs w:val="18"/>
                      </w:rPr>
                    </m:ctrlPr>
                  </m:sSubPr>
                  <m:e>
                    <m:r>
                      <m:rPr>
                        <m:sty m:val="p"/>
                      </m:rPr>
                      <w:rPr>
                        <w:rFonts w:ascii="Cambria Math" w:hAnsi="Cambria Math" w:cs="Calibri"/>
                        <w:sz w:val="18"/>
                        <w:szCs w:val="18"/>
                      </w:rPr>
                      <m:t>C</m:t>
                    </m:r>
                  </m:e>
                  <m:sub>
                    <m:r>
                      <m:rPr>
                        <m:sty m:val="p"/>
                      </m:rPr>
                      <w:rPr>
                        <w:rFonts w:ascii="Cambria Math" w:hAnsi="Cambria Math" w:cs="Calibri"/>
                        <w:sz w:val="18"/>
                        <w:szCs w:val="18"/>
                      </w:rPr>
                      <m:t>pollution</m:t>
                    </m:r>
                  </m:sub>
                </m:sSub>
                <m:r>
                  <m:rPr>
                    <m:sty m:val="p"/>
                  </m:rPr>
                  <w:rPr>
                    <w:rFonts w:ascii="Cambria Math" w:hAnsi="Cambria Math" w:cs="Calibri"/>
                    <w:sz w:val="18"/>
                    <w:szCs w:val="18"/>
                  </w:rPr>
                  <m:t>=</m:t>
                </m:r>
                <m:func>
                  <m:funcPr>
                    <m:ctrlPr>
                      <w:rPr>
                        <w:rFonts w:ascii="Cambria Math" w:hAnsi="Cambria Math" w:cs="Calibri"/>
                        <w:iCs/>
                        <w:sz w:val="18"/>
                        <w:szCs w:val="18"/>
                      </w:rPr>
                    </m:ctrlPr>
                  </m:funcPr>
                  <m:fName>
                    <m:r>
                      <m:rPr>
                        <m:sty m:val="p"/>
                      </m:rPr>
                      <w:rPr>
                        <w:rFonts w:ascii="Cambria Math" w:hAnsi="Cambria Math" w:cs="Calibri"/>
                        <w:sz w:val="18"/>
                        <w:szCs w:val="18"/>
                      </w:rPr>
                      <m:t>min</m:t>
                    </m:r>
                  </m:fName>
                  <m:e>
                    <m:r>
                      <m:rPr>
                        <m:sty m:val="p"/>
                      </m:rPr>
                      <w:rPr>
                        <w:rFonts w:ascii="Cambria Math" w:hAnsi="Cambria Math" w:cs="Calibri"/>
                        <w:sz w:val="18"/>
                        <w:szCs w:val="18"/>
                      </w:rPr>
                      <m:t>(</m:t>
                    </m:r>
                    <m:sSub>
                      <m:sSubPr>
                        <m:ctrlPr>
                          <w:rPr>
                            <w:rFonts w:ascii="Cambria Math" w:hAnsi="Cambria Math" w:cs="Calibri"/>
                            <w:iCs/>
                            <w:sz w:val="18"/>
                            <w:szCs w:val="18"/>
                          </w:rPr>
                        </m:ctrlPr>
                      </m:sSubPr>
                      <m:e>
                        <m:r>
                          <m:rPr>
                            <m:sty m:val="p"/>
                          </m:rPr>
                          <w:rPr>
                            <w:rFonts w:ascii="Cambria Math" w:hAnsi="Cambria Math" w:cs="Calibri"/>
                            <w:sz w:val="18"/>
                            <w:szCs w:val="18"/>
                          </w:rPr>
                          <m:t>Score</m:t>
                        </m:r>
                      </m:e>
                      <m:sub>
                        <m:r>
                          <m:rPr>
                            <m:sty m:val="p"/>
                          </m:rPr>
                          <w:rPr>
                            <w:rFonts w:ascii="Cambria Math" w:hAnsi="Cambria Math" w:cs="Calibri"/>
                            <w:sz w:val="18"/>
                            <w:szCs w:val="18"/>
                          </w:rPr>
                          <m:t>polluants  f(VSH)</m:t>
                        </m:r>
                      </m:sub>
                    </m:sSub>
                  </m:e>
                </m:func>
                <m:r>
                  <m:rPr>
                    <m:sty m:val="p"/>
                  </m:rPr>
                  <w:rPr>
                    <w:rFonts w:ascii="Cambria Math" w:hAnsi="Cambria Math" w:cs="Calibri"/>
                    <w:sz w:val="18"/>
                    <w:szCs w:val="18"/>
                  </w:rPr>
                  <m:t>)</m:t>
                </m:r>
              </m:oMath>
            </m:oMathPara>
          </w:p>
        </w:tc>
        <w:tc>
          <w:tcPr>
            <w:tcW w:w="425" w:type="dxa"/>
            <w:tcBorders>
              <w:left w:val="nil"/>
              <w:bottom w:val="dashSmallGap" w:sz="4" w:space="0" w:color="0E2841" w:themeColor="text2"/>
              <w:right w:val="single" w:sz="12" w:space="0" w:color="auto"/>
            </w:tcBorders>
            <w:vAlign w:val="center"/>
          </w:tcPr>
          <w:p w14:paraId="513C7C3F" w14:textId="77777777" w:rsidR="000A0208" w:rsidRPr="005F54C6" w:rsidRDefault="000A0208" w:rsidP="004306AE">
            <w:pPr>
              <w:tabs>
                <w:tab w:val="left" w:pos="496"/>
              </w:tabs>
              <w:jc w:val="center"/>
              <w:rPr>
                <w:rFonts w:eastAsia="Times New Roman" w:cs="Calibri"/>
                <w:iCs/>
                <w:sz w:val="16"/>
                <w:szCs w:val="16"/>
              </w:rPr>
            </w:pPr>
          </w:p>
        </w:tc>
      </w:tr>
      <w:tr w:rsidR="000A0208" w:rsidRPr="000829EE" w14:paraId="27DAD3E8" w14:textId="77777777" w:rsidTr="004306AE">
        <w:trPr>
          <w:trHeight w:val="257"/>
        </w:trPr>
        <w:tc>
          <w:tcPr>
            <w:tcW w:w="8642" w:type="dxa"/>
            <w:gridSpan w:val="3"/>
            <w:tcBorders>
              <w:right w:val="nil"/>
            </w:tcBorders>
            <w:shd w:val="clear" w:color="auto" w:fill="0E2841" w:themeFill="text2"/>
            <w:vAlign w:val="center"/>
          </w:tcPr>
          <w:p w14:paraId="34C2B531" w14:textId="77777777" w:rsidR="000A0208" w:rsidRPr="00A351CD" w:rsidRDefault="000A0208" w:rsidP="004306AE">
            <w:pPr>
              <w:tabs>
                <w:tab w:val="left" w:pos="496"/>
              </w:tabs>
              <w:jc w:val="left"/>
              <w:rPr>
                <w:rFonts w:ascii="Cambria Math" w:hAnsi="Cambria Math" w:cs="Calibri"/>
                <w:sz w:val="24"/>
              </w:rPr>
            </w:pPr>
            <w:r w:rsidRPr="00A351CD">
              <w:rPr>
                <w:rFonts w:ascii="Cambria Math" w:hAnsi="Cambria Math" w:cs="Calibri"/>
                <w:sz w:val="24"/>
              </w:rPr>
              <w:t>Infiltration</w:t>
            </w:r>
          </w:p>
        </w:tc>
        <w:tc>
          <w:tcPr>
            <w:tcW w:w="425" w:type="dxa"/>
            <w:tcBorders>
              <w:left w:val="nil"/>
              <w:right w:val="single" w:sz="12" w:space="0" w:color="auto"/>
            </w:tcBorders>
            <w:shd w:val="clear" w:color="auto" w:fill="0E2841" w:themeFill="text2"/>
            <w:vAlign w:val="center"/>
          </w:tcPr>
          <w:p w14:paraId="2CADEFF2" w14:textId="77777777" w:rsidR="000A0208" w:rsidRPr="005F54C6" w:rsidRDefault="000A0208" w:rsidP="004306AE">
            <w:pPr>
              <w:tabs>
                <w:tab w:val="left" w:pos="496"/>
              </w:tabs>
              <w:jc w:val="center"/>
              <w:rPr>
                <w:rFonts w:cs="Calibri"/>
                <w:sz w:val="16"/>
                <w:szCs w:val="16"/>
              </w:rPr>
            </w:pPr>
          </w:p>
        </w:tc>
      </w:tr>
      <w:tr w:rsidR="000A0208" w:rsidRPr="002448F6" w14:paraId="2ED9194E" w14:textId="77777777" w:rsidTr="004306AE">
        <w:trPr>
          <w:trHeight w:val="363"/>
        </w:trPr>
        <w:tc>
          <w:tcPr>
            <w:tcW w:w="8642" w:type="dxa"/>
            <w:gridSpan w:val="3"/>
            <w:tcBorders>
              <w:right w:val="nil"/>
            </w:tcBorders>
            <w:shd w:val="clear" w:color="auto" w:fill="F9F9F9"/>
            <w:vAlign w:val="center"/>
          </w:tcPr>
          <w:p w14:paraId="11003F94" w14:textId="77777777" w:rsidR="000A0208" w:rsidRPr="008A144F" w:rsidRDefault="00AA1F57" w:rsidP="004306AE">
            <w:pPr>
              <w:tabs>
                <w:tab w:val="left" w:pos="496"/>
              </w:tabs>
              <w:jc w:val="left"/>
              <w:rPr>
                <w:rFonts w:ascii="Cambria Math" w:eastAsia="Aptos" w:hAnsi="Cambria Math" w:cs="Calibri"/>
                <w:b/>
                <w:bCs/>
                <w:szCs w:val="22"/>
              </w:rPr>
            </w:pPr>
            <m:oMathPara>
              <m:oMathParaPr>
                <m:jc m:val="left"/>
              </m:oMathParaPr>
              <m:oMath>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Infiltration</m:t>
                    </m:r>
                  </m:sub>
                </m:sSub>
                <m:d>
                  <m:dPr>
                    <m:begChr m:val="["/>
                    <m:endChr m:val="]"/>
                    <m:ctrlPr>
                      <w:rPr>
                        <w:rFonts w:ascii="Cambria Math" w:hAnsi="Cambria Math" w:cs="Calibri"/>
                        <w:b/>
                        <w:bCs/>
                        <w:color w:val="0E2841" w:themeColor="text2"/>
                        <w:szCs w:val="22"/>
                      </w:rPr>
                    </m:ctrlPr>
                  </m:dPr>
                  <m:e>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5</m:t>
                    </m:r>
                  </m:e>
                </m:d>
                <m:r>
                  <m:rPr>
                    <m:sty m:val="b"/>
                  </m:rPr>
                  <w:rPr>
                    <w:rFonts w:ascii="Cambria Math" w:hAnsi="Cambria Math" w:cs="Calibri"/>
                    <w:color w:val="0E2841" w:themeColor="text2"/>
                    <w:szCs w:val="22"/>
                  </w:rPr>
                  <m:t>=</m:t>
                </m:r>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infiltration</m:t>
                    </m:r>
                  </m:sub>
                </m:sSub>
                <m:r>
                  <m:rPr>
                    <m:sty m:val="b"/>
                  </m:rPr>
                  <w:rPr>
                    <w:rFonts w:ascii="Cambria Math" w:hAnsi="Cambria Math" w:cs="Calibri"/>
                    <w:color w:val="0E2841" w:themeColor="text2"/>
                    <w:szCs w:val="22"/>
                  </w:rPr>
                  <m:t xml:space="preserve"> </m:t>
                </m:r>
              </m:oMath>
            </m:oMathPara>
          </w:p>
        </w:tc>
        <w:tc>
          <w:tcPr>
            <w:tcW w:w="425" w:type="dxa"/>
            <w:tcBorders>
              <w:left w:val="nil"/>
              <w:right w:val="single" w:sz="12" w:space="0" w:color="auto"/>
            </w:tcBorders>
            <w:shd w:val="clear" w:color="auto" w:fill="F9F9F9"/>
            <w:vAlign w:val="center"/>
          </w:tcPr>
          <w:p w14:paraId="5193D181" w14:textId="77777777" w:rsidR="000A0208" w:rsidRPr="005F54C6" w:rsidRDefault="000A0208" w:rsidP="004306AE">
            <w:pPr>
              <w:tabs>
                <w:tab w:val="left" w:pos="496"/>
              </w:tabs>
              <w:jc w:val="center"/>
              <w:rPr>
                <w:rFonts w:eastAsia="Aptos" w:cs="Calibri"/>
                <w:color w:val="0E2841" w:themeColor="text2"/>
                <w:sz w:val="16"/>
                <w:szCs w:val="16"/>
              </w:rPr>
            </w:pPr>
          </w:p>
        </w:tc>
      </w:tr>
      <w:tr w:rsidR="000A0208" w:rsidRPr="002448F6" w14:paraId="28426DA4" w14:textId="77777777" w:rsidTr="004306AE">
        <w:trPr>
          <w:trHeight w:val="300"/>
        </w:trPr>
        <w:tc>
          <w:tcPr>
            <w:tcW w:w="1413" w:type="dxa"/>
            <w:vAlign w:val="center"/>
          </w:tcPr>
          <w:p w14:paraId="59AC9E33" w14:textId="77777777" w:rsidR="000A0208" w:rsidRPr="005F54C6" w:rsidRDefault="000A0208" w:rsidP="004306AE">
            <w:pPr>
              <w:tabs>
                <w:tab w:val="left" w:pos="496"/>
              </w:tabs>
              <w:jc w:val="left"/>
              <w:rPr>
                <w:rFonts w:ascii="Cambria Math" w:hAnsi="Cambria Math" w:cs="Calibri"/>
                <w:b/>
                <w:bCs/>
                <w:color w:val="0E2841" w:themeColor="text2"/>
                <w:szCs w:val="22"/>
              </w:rPr>
            </w:pPr>
            <w:r w:rsidRPr="005F54C6">
              <w:rPr>
                <w:rFonts w:ascii="Cambria Math" w:hAnsi="Cambria Math" w:cs="Calibri"/>
                <w:b/>
                <w:bCs/>
                <w:color w:val="0E2841" w:themeColor="text2"/>
                <w:szCs w:val="22"/>
              </w:rPr>
              <w:t>Infiltration</w:t>
            </w:r>
          </w:p>
        </w:tc>
        <w:tc>
          <w:tcPr>
            <w:tcW w:w="425" w:type="dxa"/>
            <w:tcBorders>
              <w:bottom w:val="dashSmallGap" w:sz="4" w:space="0" w:color="auto"/>
              <w:right w:val="nil"/>
            </w:tcBorders>
            <w:vAlign w:val="center"/>
          </w:tcPr>
          <w:p w14:paraId="4E3DF4B3" w14:textId="77777777" w:rsidR="000A0208" w:rsidRDefault="000A0208" w:rsidP="004306AE">
            <w:pPr>
              <w:tabs>
                <w:tab w:val="left" w:pos="496"/>
              </w:tabs>
              <w:jc w:val="left"/>
              <w:rPr>
                <w:rFonts w:ascii="Cambria Math" w:eastAsia="Aptos" w:hAnsi="Cambria Math" w:cs="Calibri"/>
                <w:iCs/>
                <w:noProof/>
                <w:color w:val="0E2841" w:themeColor="text2"/>
                <w:sz w:val="18"/>
                <w:szCs w:val="18"/>
              </w:rPr>
            </w:pPr>
          </w:p>
        </w:tc>
        <w:tc>
          <w:tcPr>
            <w:tcW w:w="6804" w:type="dxa"/>
            <w:tcBorders>
              <w:left w:val="nil"/>
              <w:bottom w:val="dashSmallGap" w:sz="4" w:space="0" w:color="auto"/>
              <w:right w:val="nil"/>
            </w:tcBorders>
            <w:vAlign w:val="center"/>
          </w:tcPr>
          <w:p w14:paraId="39E15FA1" w14:textId="77777777" w:rsidR="000A0208" w:rsidRPr="008A144F" w:rsidRDefault="00AA1F57" w:rsidP="004306AE">
            <w:pPr>
              <w:tabs>
                <w:tab w:val="left" w:pos="496"/>
              </w:tabs>
              <w:jc w:val="left"/>
              <w:rPr>
                <w:rFonts w:ascii="Cambria Math" w:eastAsia="Aptos" w:hAnsi="Cambria Math" w:cs="Calibri"/>
                <w:sz w:val="18"/>
                <w:szCs w:val="18"/>
              </w:rPr>
            </w:pPr>
            <m:oMathPara>
              <m:oMathParaPr>
                <m:jc m:val="left"/>
              </m:oMathParaPr>
              <m:oMath>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infiltration</m:t>
                    </m:r>
                  </m:sub>
                </m:sSub>
                <m:r>
                  <m:rPr>
                    <m:sty m:val="p"/>
                  </m:rPr>
                  <w:rPr>
                    <w:rFonts w:ascii="Cambria Math" w:hAnsi="Cambria Math" w:cs="Calibri"/>
                    <w:sz w:val="18"/>
                    <w:szCs w:val="18"/>
                  </w:rPr>
                  <m:t>=0,75∙</m:t>
                </m:r>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Score</m:t>
                    </m:r>
                  </m:e>
                  <m:sub>
                    <m:r>
                      <m:rPr>
                        <m:sty m:val="p"/>
                      </m:rPr>
                      <w:rPr>
                        <w:rFonts w:ascii="Cambria Math" w:eastAsia="Aptos" w:hAnsi="Cambria Math" w:cs="Calibri"/>
                        <w:sz w:val="18"/>
                        <w:szCs w:val="18"/>
                      </w:rPr>
                      <m:t>Ksat</m:t>
                    </m:r>
                  </m:sub>
                </m:sSub>
                <m:r>
                  <m:rPr>
                    <m:sty m:val="p"/>
                  </m:rPr>
                  <w:rPr>
                    <w:rFonts w:ascii="Cambria Math" w:hAnsi="Cambria Math" w:cs="Calibri"/>
                    <w:sz w:val="18"/>
                    <w:szCs w:val="18"/>
                  </w:rPr>
                  <m:t xml:space="preserve">+0,25∙ </m:t>
                </m:r>
                <m:sSub>
                  <m:sSubPr>
                    <m:ctrlPr>
                      <w:rPr>
                        <w:rFonts w:ascii="Cambria Math" w:hAnsi="Cambria Math" w:cs="Calibri"/>
                        <w:iCs/>
                        <w:sz w:val="18"/>
                        <w:szCs w:val="18"/>
                      </w:rPr>
                    </m:ctrlPr>
                  </m:sSubPr>
                  <m:e>
                    <m:r>
                      <m:rPr>
                        <m:sty m:val="p"/>
                      </m:rPr>
                      <w:rPr>
                        <w:rFonts w:ascii="Cambria Math" w:hAnsi="Cambria Math" w:cs="Calibri"/>
                        <w:sz w:val="18"/>
                        <w:szCs w:val="18"/>
                      </w:rPr>
                      <m:t>Score</m:t>
                    </m:r>
                  </m:e>
                  <m:sub>
                    <m:r>
                      <m:rPr>
                        <m:sty m:val="p"/>
                      </m:rPr>
                      <w:rPr>
                        <w:rFonts w:ascii="Cambria Math" w:hAnsi="Cambria Math" w:cs="Calibri"/>
                        <w:sz w:val="18"/>
                        <w:szCs w:val="18"/>
                      </w:rPr>
                      <m:t>hydromorphie</m:t>
                    </m:r>
                  </m:sub>
                </m:sSub>
              </m:oMath>
            </m:oMathPara>
          </w:p>
        </w:tc>
        <w:tc>
          <w:tcPr>
            <w:tcW w:w="425" w:type="dxa"/>
            <w:tcBorders>
              <w:left w:val="nil"/>
              <w:bottom w:val="dashSmallGap" w:sz="4" w:space="0" w:color="auto"/>
              <w:right w:val="single" w:sz="12" w:space="0" w:color="auto"/>
            </w:tcBorders>
            <w:vAlign w:val="center"/>
          </w:tcPr>
          <w:p w14:paraId="161E6CD9" w14:textId="77777777" w:rsidR="000A0208" w:rsidRPr="005F54C6" w:rsidRDefault="000A0208" w:rsidP="004306AE">
            <w:pPr>
              <w:tabs>
                <w:tab w:val="left" w:pos="496"/>
              </w:tabs>
              <w:jc w:val="center"/>
              <w:rPr>
                <w:rFonts w:eastAsia="Aptos" w:cs="Calibri"/>
                <w:sz w:val="16"/>
                <w:szCs w:val="16"/>
              </w:rPr>
            </w:pPr>
          </w:p>
        </w:tc>
      </w:tr>
      <w:tr w:rsidR="000A0208" w:rsidRPr="000829EE" w14:paraId="6410D5AC" w14:textId="77777777" w:rsidTr="004306AE">
        <w:trPr>
          <w:trHeight w:val="257"/>
        </w:trPr>
        <w:tc>
          <w:tcPr>
            <w:tcW w:w="8642" w:type="dxa"/>
            <w:gridSpan w:val="3"/>
            <w:tcBorders>
              <w:right w:val="nil"/>
            </w:tcBorders>
            <w:shd w:val="clear" w:color="auto" w:fill="0E2841" w:themeFill="text2"/>
            <w:vAlign w:val="center"/>
          </w:tcPr>
          <w:p w14:paraId="1DEE0FFA" w14:textId="77777777" w:rsidR="000A0208" w:rsidRPr="00A351CD" w:rsidRDefault="000A0208" w:rsidP="004306AE">
            <w:pPr>
              <w:tabs>
                <w:tab w:val="left" w:pos="496"/>
              </w:tabs>
              <w:jc w:val="left"/>
              <w:rPr>
                <w:rFonts w:ascii="Cambria Math" w:hAnsi="Cambria Math" w:cs="Calibri"/>
                <w:sz w:val="24"/>
              </w:rPr>
            </w:pPr>
            <w:r w:rsidRPr="00A351CD">
              <w:rPr>
                <w:rFonts w:ascii="Cambria Math" w:hAnsi="Cambria Math" w:cs="Calibri"/>
                <w:sz w:val="24"/>
              </w:rPr>
              <w:t>Protection des nappes</w:t>
            </w:r>
          </w:p>
        </w:tc>
        <w:tc>
          <w:tcPr>
            <w:tcW w:w="425" w:type="dxa"/>
            <w:tcBorders>
              <w:left w:val="nil"/>
              <w:right w:val="single" w:sz="12" w:space="0" w:color="auto"/>
            </w:tcBorders>
            <w:shd w:val="clear" w:color="auto" w:fill="0E2841" w:themeFill="text2"/>
            <w:vAlign w:val="center"/>
          </w:tcPr>
          <w:p w14:paraId="50E7B4D3" w14:textId="77777777" w:rsidR="000A0208" w:rsidRPr="005F54C6" w:rsidRDefault="000A0208" w:rsidP="004306AE">
            <w:pPr>
              <w:tabs>
                <w:tab w:val="left" w:pos="496"/>
              </w:tabs>
              <w:jc w:val="center"/>
              <w:rPr>
                <w:rFonts w:cs="Calibri"/>
                <w:sz w:val="16"/>
                <w:szCs w:val="16"/>
              </w:rPr>
            </w:pPr>
          </w:p>
        </w:tc>
      </w:tr>
      <w:tr w:rsidR="000A0208" w:rsidRPr="00C62776" w14:paraId="6E7D77C2" w14:textId="77777777" w:rsidTr="004306AE">
        <w:trPr>
          <w:trHeight w:val="278"/>
        </w:trPr>
        <w:tc>
          <w:tcPr>
            <w:tcW w:w="8642" w:type="dxa"/>
            <w:gridSpan w:val="3"/>
            <w:tcBorders>
              <w:right w:val="nil"/>
            </w:tcBorders>
            <w:shd w:val="clear" w:color="auto" w:fill="F9F9F9"/>
            <w:vAlign w:val="center"/>
          </w:tcPr>
          <w:p w14:paraId="74E20B36" w14:textId="77777777" w:rsidR="000A0208" w:rsidRPr="00C44A11" w:rsidRDefault="00AA1F57" w:rsidP="004306AE">
            <w:pPr>
              <w:tabs>
                <w:tab w:val="left" w:pos="496"/>
              </w:tabs>
              <w:jc w:val="left"/>
              <w:rPr>
                <w:rFonts w:ascii="Cambria Math" w:eastAsia="Aptos" w:hAnsi="Cambria Math" w:cs="Calibri"/>
                <w:b/>
                <w:bCs/>
                <w:iCs/>
                <w:szCs w:val="22"/>
              </w:rPr>
            </w:pPr>
            <m:oMathPara>
              <m:oMathParaPr>
                <m:jc m:val="left"/>
              </m:oMathParaPr>
              <m:oMath>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Protection</m:t>
                    </m:r>
                    <m:r>
                      <m:rPr>
                        <m:sty m:val="b"/>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des</m:t>
                    </m:r>
                    <m:r>
                      <m:rPr>
                        <m:sty m:val="b"/>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Nappes</m:t>
                    </m:r>
                  </m:sub>
                </m:sSub>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5</m:t>
                    </m:r>
                  </m:e>
                </m:d>
                <m:r>
                  <m:rPr>
                    <m:sty m:val="b"/>
                  </m:rPr>
                  <w:rPr>
                    <w:rFonts w:ascii="Cambria Math" w:hAnsi="Cambria Math" w:cs="Calibri"/>
                    <w:color w:val="0E2841" w:themeColor="text2"/>
                    <w:szCs w:val="22"/>
                  </w:rPr>
                  <m:t>=</m:t>
                </m:r>
                <m:sSub>
                  <m:sSubPr>
                    <m:ctrlPr>
                      <w:rPr>
                        <w:rFonts w:ascii="Cambria Math" w:eastAsia="Aptos" w:hAnsi="Cambria Math" w:cs="Calibri"/>
                        <w:b/>
                        <w:bCs/>
                        <w:iCs/>
                        <w:color w:val="0E2841" w:themeColor="text2"/>
                        <w:szCs w:val="22"/>
                      </w:rPr>
                    </m:ctrlPr>
                  </m:sSubPr>
                  <m:e>
                    <m:r>
                      <m:rPr>
                        <m:sty m:val="b"/>
                      </m:rPr>
                      <w:rPr>
                        <w:rFonts w:ascii="Cambria Math" w:eastAsia="Aptos" w:hAnsi="Cambria Math" w:cs="Calibri"/>
                        <w:color w:val="0E2841" w:themeColor="text2"/>
                        <w:szCs w:val="22"/>
                      </w:rPr>
                      <m:t>S</m:t>
                    </m:r>
                  </m:e>
                  <m:sub>
                    <m:r>
                      <m:rPr>
                        <m:sty m:val="b"/>
                      </m:rPr>
                      <w:rPr>
                        <w:rFonts w:ascii="Cambria Math" w:eastAsia="Aptos" w:hAnsi="Cambria Math" w:cs="Calibri"/>
                        <w:color w:val="0E2841" w:themeColor="text2"/>
                        <w:szCs w:val="22"/>
                      </w:rPr>
                      <m:t>r</m:t>
                    </m:r>
                    <m:r>
                      <m:rPr>
                        <m:sty m:val="b"/>
                      </m:rPr>
                      <w:rPr>
                        <w:rFonts w:ascii="Cambria Math" w:eastAsia="Aptos" w:hAnsi="Cambria Math" w:cs="Calibri"/>
                        <w:color w:val="0E2841" w:themeColor="text2"/>
                        <w:szCs w:val="22"/>
                      </w:rPr>
                      <m:t>é</m:t>
                    </m:r>
                    <m:r>
                      <m:rPr>
                        <m:sty m:val="b"/>
                      </m:rPr>
                      <w:rPr>
                        <w:rFonts w:ascii="Cambria Math" w:eastAsia="Aptos" w:hAnsi="Cambria Math" w:cs="Calibri"/>
                        <w:color w:val="0E2841" w:themeColor="text2"/>
                        <w:szCs w:val="22"/>
                      </w:rPr>
                      <m:t>tention</m:t>
                    </m:r>
                  </m:sub>
                </m:sSub>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5</m:t>
                    </m:r>
                  </m:e>
                </m:d>
                <m:r>
                  <m:rPr>
                    <m:sty m:val="b"/>
                  </m:rPr>
                  <w:rPr>
                    <w:rFonts w:ascii="Cambria Math" w:hAnsi="Cambria Math" w:cs="Calibri"/>
                    <w:color w:val="0E2841" w:themeColor="text2"/>
                    <w:szCs w:val="22"/>
                  </w:rPr>
                  <m:t>∙</m:t>
                </m:r>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1</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C</m:t>
                    </m:r>
                  </m:e>
                  <m:sub>
                    <m:r>
                      <m:rPr>
                        <m:sty m:val="b"/>
                      </m:rPr>
                      <w:rPr>
                        <w:rFonts w:ascii="Cambria Math" w:hAnsi="Cambria Math" w:cs="Calibri"/>
                        <w:color w:val="0E2841" w:themeColor="text2"/>
                        <w:szCs w:val="22"/>
                      </w:rPr>
                      <m:t>contrainte</m:t>
                    </m:r>
                  </m:sub>
                </m:sSub>
                <m:r>
                  <m:rPr>
                    <m:sty m:val="bi"/>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1</m:t>
                </m:r>
                <m:r>
                  <m:rPr>
                    <m:sty m:val="b"/>
                  </m:rPr>
                  <w:rPr>
                    <w:rFonts w:ascii="Cambria Math" w:hAnsi="Cambria Math" w:cs="Calibri"/>
                    <w:color w:val="0E2841" w:themeColor="text2"/>
                    <w:szCs w:val="22"/>
                  </w:rPr>
                  <m:t>])</m:t>
                </m:r>
              </m:oMath>
            </m:oMathPara>
          </w:p>
        </w:tc>
        <w:tc>
          <w:tcPr>
            <w:tcW w:w="425" w:type="dxa"/>
            <w:tcBorders>
              <w:left w:val="nil"/>
              <w:right w:val="single" w:sz="12" w:space="0" w:color="auto"/>
            </w:tcBorders>
            <w:shd w:val="clear" w:color="auto" w:fill="F9F9F9"/>
            <w:vAlign w:val="center"/>
          </w:tcPr>
          <w:p w14:paraId="1ED50DC1" w14:textId="77777777" w:rsidR="000A0208" w:rsidRPr="005F54C6" w:rsidRDefault="000A0208" w:rsidP="004306AE">
            <w:pPr>
              <w:tabs>
                <w:tab w:val="left" w:pos="496"/>
              </w:tabs>
              <w:jc w:val="center"/>
              <w:rPr>
                <w:rFonts w:eastAsia="Aptos" w:cs="Calibri"/>
                <w:iCs/>
                <w:color w:val="0E2841" w:themeColor="text2"/>
                <w:sz w:val="16"/>
                <w:szCs w:val="16"/>
              </w:rPr>
            </w:pPr>
          </w:p>
        </w:tc>
      </w:tr>
      <w:tr w:rsidR="000A0208" w:rsidRPr="001B01B6" w14:paraId="6EDD3648" w14:textId="77777777" w:rsidTr="004306AE">
        <w:trPr>
          <w:trHeight w:val="300"/>
        </w:trPr>
        <w:tc>
          <w:tcPr>
            <w:tcW w:w="1413" w:type="dxa"/>
            <w:vMerge w:val="restart"/>
            <w:vAlign w:val="center"/>
          </w:tcPr>
          <w:p w14:paraId="5E6834BA" w14:textId="77777777" w:rsidR="000A0208" w:rsidRPr="00605A71" w:rsidRDefault="000A0208" w:rsidP="004306AE">
            <w:pPr>
              <w:tabs>
                <w:tab w:val="left" w:pos="496"/>
              </w:tabs>
              <w:jc w:val="left"/>
              <w:rPr>
                <w:rFonts w:ascii="Cambria Math" w:hAnsi="Cambria Math" w:cs="Calibri"/>
                <w:b/>
                <w:bCs/>
                <w:color w:val="0E2841" w:themeColor="text2"/>
                <w:sz w:val="20"/>
                <w:szCs w:val="20"/>
              </w:rPr>
            </w:pPr>
            <w:r w:rsidRPr="00605A71">
              <w:rPr>
                <w:rFonts w:ascii="Cambria Math" w:hAnsi="Cambria Math" w:cs="Calibri"/>
                <w:b/>
                <w:bCs/>
                <w:color w:val="0E2841" w:themeColor="text2"/>
                <w:sz w:val="20"/>
                <w:szCs w:val="20"/>
              </w:rPr>
              <w:t>Rétention</w:t>
            </w:r>
          </w:p>
        </w:tc>
        <w:tc>
          <w:tcPr>
            <w:tcW w:w="425" w:type="dxa"/>
            <w:tcBorders>
              <w:bottom w:val="dashSmallGap" w:sz="4" w:space="0" w:color="0E2841" w:themeColor="text2"/>
              <w:right w:val="nil"/>
            </w:tcBorders>
            <w:vAlign w:val="center"/>
          </w:tcPr>
          <w:p w14:paraId="5EBBA919" w14:textId="77777777" w:rsidR="000A0208" w:rsidRPr="00FD5BE2"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605302A4" w14:textId="77777777" w:rsidR="000A0208" w:rsidRPr="00FA0F8D" w:rsidRDefault="00AA1F57" w:rsidP="004306AE">
            <w:pPr>
              <w:tabs>
                <w:tab w:val="left" w:pos="496"/>
              </w:tabs>
              <w:jc w:val="left"/>
              <w:rPr>
                <w:rFonts w:ascii="Cambria Math" w:eastAsia="Aptos" w:hAnsi="Cambria Math" w:cs="Calibri"/>
                <w:sz w:val="18"/>
                <w:szCs w:val="18"/>
              </w:rPr>
            </w:pPr>
            <m:oMathPara>
              <m:oMath>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PI, POHNI, POHI</m:t>
                    </m:r>
                  </m:sub>
                </m:sSub>
                <m:r>
                  <m:rPr>
                    <m:sty m:val="p"/>
                  </m:rPr>
                  <w:rPr>
                    <w:rFonts w:ascii="Cambria Math" w:hAnsi="Cambria Math" w:cs="Calibri"/>
                    <w:sz w:val="18"/>
                    <w:szCs w:val="18"/>
                  </w:rPr>
                  <m:t>=</m:t>
                </m:r>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min⁡(Score</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 xml:space="preserve">PI, </m:t>
                        </m:r>
                        <m:r>
                          <m:rPr>
                            <m:sty m:val="p"/>
                          </m:rPr>
                          <w:rPr>
                            <w:rFonts w:ascii="Cambria Math" w:hAnsi="Cambria Math" w:cs="Calibri"/>
                            <w:sz w:val="18"/>
                            <w:szCs w:val="18"/>
                          </w:rPr>
                          <m:t>POHNI, POHI</m:t>
                        </m:r>
                        <m:r>
                          <m:rPr>
                            <m:sty m:val="p"/>
                          </m:rPr>
                          <w:rPr>
                            <w:rFonts w:ascii="Cambria Math" w:eastAsia="Aptos" w:hAnsi="Cambria Math" w:cs="Calibri"/>
                            <w:sz w:val="18"/>
                            <w:szCs w:val="18"/>
                          </w:rPr>
                          <m:t xml:space="preserve"> f(VSN</m:t>
                        </m:r>
                      </m:e>
                      <m:sub>
                        <m:r>
                          <m:rPr>
                            <m:sty m:val="p"/>
                          </m:rPr>
                          <w:rPr>
                            <w:rFonts w:ascii="Cambria Math" w:eastAsia="Aptos" w:hAnsi="Cambria Math" w:cs="Calibri"/>
                            <w:sz w:val="18"/>
                            <w:szCs w:val="18"/>
                          </w:rPr>
                          <m:t>ajustée</m:t>
                        </m:r>
                      </m:sub>
                    </m:sSub>
                    <m:r>
                      <w:rPr>
                        <w:rFonts w:ascii="Cambria Math" w:eastAsia="Aptos" w:hAnsi="Cambria Math" w:cs="Calibri"/>
                        <w:sz w:val="18"/>
                        <w:szCs w:val="18"/>
                      </w:rPr>
                      <m:t>)</m:t>
                    </m:r>
                  </m:sub>
                </m:sSub>
                <m:r>
                  <w:rPr>
                    <w:rFonts w:ascii="Cambria Math" w:eastAsia="Aptos" w:hAnsi="Cambria Math" w:cs="Calibri"/>
                    <w:sz w:val="18"/>
                    <w:szCs w:val="18"/>
                  </w:rPr>
                  <m:t>)</m:t>
                </m:r>
              </m:oMath>
            </m:oMathPara>
          </w:p>
        </w:tc>
        <w:tc>
          <w:tcPr>
            <w:tcW w:w="425" w:type="dxa"/>
            <w:tcBorders>
              <w:left w:val="nil"/>
              <w:bottom w:val="dashSmallGap" w:sz="4" w:space="0" w:color="0E2841" w:themeColor="text2"/>
              <w:right w:val="single" w:sz="12" w:space="0" w:color="auto"/>
            </w:tcBorders>
            <w:vAlign w:val="center"/>
          </w:tcPr>
          <w:p w14:paraId="6B993042" w14:textId="77777777" w:rsidR="000A0208" w:rsidRPr="005F54C6" w:rsidRDefault="000A0208" w:rsidP="004306AE">
            <w:pPr>
              <w:tabs>
                <w:tab w:val="left" w:pos="496"/>
              </w:tabs>
              <w:jc w:val="center"/>
              <w:rPr>
                <w:rFonts w:eastAsia="Aptos" w:cs="Calibri"/>
                <w:sz w:val="16"/>
                <w:szCs w:val="16"/>
              </w:rPr>
            </w:pPr>
          </w:p>
        </w:tc>
      </w:tr>
      <w:tr w:rsidR="000A0208" w:rsidRPr="001B01B6" w14:paraId="1B42B420" w14:textId="77777777" w:rsidTr="004306AE">
        <w:trPr>
          <w:trHeight w:val="143"/>
        </w:trPr>
        <w:tc>
          <w:tcPr>
            <w:tcW w:w="1413" w:type="dxa"/>
            <w:vMerge/>
            <w:vAlign w:val="center"/>
          </w:tcPr>
          <w:p w14:paraId="37784DFC" w14:textId="77777777" w:rsidR="000A0208" w:rsidRPr="00605A71" w:rsidRDefault="000A0208" w:rsidP="004306AE">
            <w:pPr>
              <w:tabs>
                <w:tab w:val="left" w:pos="496"/>
              </w:tabs>
              <w:jc w:val="left"/>
              <w:rPr>
                <w:rFonts w:ascii="Cambria Math" w:hAnsi="Cambria Math" w:cs="Calibri"/>
                <w:b/>
                <w:bCs/>
                <w:color w:val="0E2841" w:themeColor="text2"/>
                <w:sz w:val="20"/>
                <w:szCs w:val="20"/>
              </w:rPr>
            </w:pPr>
          </w:p>
        </w:tc>
        <w:tc>
          <w:tcPr>
            <w:tcW w:w="425" w:type="dxa"/>
            <w:tcBorders>
              <w:bottom w:val="dashSmallGap" w:sz="4" w:space="0" w:color="0E2841" w:themeColor="text2"/>
              <w:right w:val="nil"/>
            </w:tcBorders>
            <w:vAlign w:val="center"/>
          </w:tcPr>
          <w:p w14:paraId="1D5490B2" w14:textId="77777777" w:rsidR="000A0208" w:rsidRPr="00FD5BE2"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503FAF77" w14:textId="77777777" w:rsidR="000A0208" w:rsidRPr="005C102D" w:rsidRDefault="00AA1F57" w:rsidP="004306AE">
            <w:pPr>
              <w:tabs>
                <w:tab w:val="left" w:pos="496"/>
              </w:tabs>
              <w:jc w:val="left"/>
              <w:rPr>
                <w:rFonts w:ascii="Cambria Math" w:hAnsi="Cambria Math" w:cs="Calibri"/>
                <w:color w:val="0E2841" w:themeColor="text2"/>
                <w:sz w:val="18"/>
                <w:szCs w:val="18"/>
              </w:rPr>
            </w:pPr>
            <m:oMathPara>
              <m:oMathParaPr>
                <m:jc m:val="left"/>
              </m:oMathParaPr>
              <m:oMath>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rétention</m:t>
                    </m:r>
                  </m:sub>
                </m:sSub>
                <m:r>
                  <m:rPr>
                    <m:sty m:val="p"/>
                  </m:rPr>
                  <w:rPr>
                    <w:rFonts w:ascii="Cambria Math" w:hAnsi="Cambria Math" w:cs="Calibri"/>
                    <w:sz w:val="18"/>
                    <w:szCs w:val="18"/>
                  </w:rPr>
                  <m:t>=</m:t>
                </m:r>
                <m:r>
                  <m:rPr>
                    <m:sty m:val="p"/>
                  </m:rPr>
                  <w:rPr>
                    <w:rFonts w:ascii="Cambria Math" w:eastAsia="Aptos" w:hAnsi="Cambria Math" w:cs="Calibri"/>
                    <w:sz w:val="18"/>
                    <w:szCs w:val="18"/>
                  </w:rPr>
                  <m:t xml:space="preserve"> </m:t>
                </m:r>
                <m:nary>
                  <m:naryPr>
                    <m:chr m:val="∏"/>
                    <m:limLoc m:val="undOvr"/>
                    <m:subHide m:val="1"/>
                    <m:supHide m:val="1"/>
                    <m:ctrlPr>
                      <w:rPr>
                        <w:rFonts w:ascii="Cambria Math" w:hAnsi="Cambria Math" w:cs="Calibri"/>
                        <w:sz w:val="18"/>
                        <w:szCs w:val="18"/>
                      </w:rPr>
                    </m:ctrlPr>
                  </m:naryPr>
                  <m:sub/>
                  <m:sup/>
                  <m:e>
                    <m:r>
                      <w:rPr>
                        <w:rFonts w:ascii="Cambria Math" w:hAnsi="Cambria Math" w:cs="Calibri"/>
                        <w:sz w:val="18"/>
                        <w:szCs w:val="18"/>
                      </w:rPr>
                      <m:t>(</m:t>
                    </m:r>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PI</m:t>
                        </m:r>
                      </m:sub>
                    </m:sSub>
                    <m:r>
                      <w:rPr>
                        <w:rFonts w:ascii="Cambria Math" w:hAnsi="Cambria Math" w:cs="Calibri"/>
                        <w:sz w:val="18"/>
                        <w:szCs w:val="18"/>
                      </w:rPr>
                      <m:t xml:space="preserve"> ; </m:t>
                    </m:r>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POHNI</m:t>
                        </m:r>
                      </m:sub>
                    </m:sSub>
                    <m:r>
                      <w:rPr>
                        <w:rFonts w:ascii="Cambria Math" w:hAnsi="Cambria Math" w:cs="Calibri"/>
                        <w:sz w:val="18"/>
                        <w:szCs w:val="18"/>
                      </w:rPr>
                      <m:t xml:space="preserve"> ; </m:t>
                    </m:r>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POHI</m:t>
                        </m:r>
                      </m:sub>
                    </m:sSub>
                    <m:r>
                      <w:rPr>
                        <w:rFonts w:ascii="Cambria Math" w:hAnsi="Cambria Math" w:cs="Calibri"/>
                        <w:sz w:val="18"/>
                        <w:szCs w:val="18"/>
                      </w:rPr>
                      <m:t xml:space="preserve">) </m:t>
                    </m:r>
                  </m:e>
                </m:nary>
              </m:oMath>
            </m:oMathPara>
          </w:p>
        </w:tc>
        <w:tc>
          <w:tcPr>
            <w:tcW w:w="425" w:type="dxa"/>
            <w:tcBorders>
              <w:left w:val="nil"/>
              <w:bottom w:val="dashSmallGap" w:sz="4" w:space="0" w:color="0E2841" w:themeColor="text2"/>
              <w:right w:val="single" w:sz="12" w:space="0" w:color="auto"/>
            </w:tcBorders>
            <w:vAlign w:val="center"/>
          </w:tcPr>
          <w:p w14:paraId="363B47EA" w14:textId="77777777" w:rsidR="000A0208" w:rsidRPr="005F54C6" w:rsidRDefault="000A0208" w:rsidP="004306AE">
            <w:pPr>
              <w:tabs>
                <w:tab w:val="left" w:pos="496"/>
              </w:tabs>
              <w:jc w:val="center"/>
              <w:rPr>
                <w:rFonts w:eastAsia="Aptos" w:cs="Calibri"/>
                <w:sz w:val="16"/>
                <w:szCs w:val="16"/>
              </w:rPr>
            </w:pPr>
          </w:p>
        </w:tc>
      </w:tr>
      <w:tr w:rsidR="000A0208" w:rsidRPr="0024193F" w14:paraId="48FA87EC" w14:textId="77777777" w:rsidTr="004306AE">
        <w:trPr>
          <w:trHeight w:val="257"/>
        </w:trPr>
        <w:tc>
          <w:tcPr>
            <w:tcW w:w="1413" w:type="dxa"/>
            <w:vAlign w:val="center"/>
          </w:tcPr>
          <w:p w14:paraId="6904FA7A" w14:textId="77777777" w:rsidR="000A0208" w:rsidRPr="00605A71" w:rsidRDefault="000A0208" w:rsidP="004306AE">
            <w:pPr>
              <w:tabs>
                <w:tab w:val="left" w:pos="496"/>
              </w:tabs>
              <w:jc w:val="left"/>
              <w:rPr>
                <w:rFonts w:ascii="Cambria Math" w:hAnsi="Cambria Math" w:cs="Calibri"/>
                <w:b/>
                <w:bCs/>
                <w:color w:val="0E2841" w:themeColor="text2"/>
                <w:sz w:val="20"/>
                <w:szCs w:val="20"/>
              </w:rPr>
            </w:pPr>
            <w:r w:rsidRPr="00605A71">
              <w:rPr>
                <w:rFonts w:ascii="Cambria Math" w:hAnsi="Cambria Math" w:cs="Calibri"/>
                <w:b/>
                <w:bCs/>
                <w:color w:val="0E2841" w:themeColor="text2"/>
                <w:sz w:val="20"/>
                <w:szCs w:val="20"/>
              </w:rPr>
              <w:t>Contrainte</w:t>
            </w:r>
          </w:p>
        </w:tc>
        <w:tc>
          <w:tcPr>
            <w:tcW w:w="425" w:type="dxa"/>
            <w:tcBorders>
              <w:top w:val="dashSmallGap" w:sz="4" w:space="0" w:color="0E2841" w:themeColor="text2"/>
              <w:bottom w:val="dashSmallGap" w:sz="4" w:space="0" w:color="0E2841" w:themeColor="text2"/>
              <w:right w:val="nil"/>
            </w:tcBorders>
            <w:vAlign w:val="center"/>
          </w:tcPr>
          <w:p w14:paraId="7F0A05C4" w14:textId="77777777" w:rsidR="000A0208" w:rsidRPr="002448F6" w:rsidRDefault="000A0208" w:rsidP="004306AE">
            <w:pPr>
              <w:tabs>
                <w:tab w:val="left" w:pos="496"/>
              </w:tabs>
              <w:jc w:val="left"/>
              <w:rPr>
                <w:rFonts w:ascii="Cambria Math" w:hAnsi="Cambria Math" w:cs="Calibri"/>
                <w:color w:val="0E2841" w:themeColor="text2"/>
                <w:szCs w:val="22"/>
              </w:rPr>
            </w:pPr>
          </w:p>
        </w:tc>
        <w:tc>
          <w:tcPr>
            <w:tcW w:w="6804" w:type="dxa"/>
            <w:tcBorders>
              <w:top w:val="dashSmallGap" w:sz="4" w:space="0" w:color="0E2841" w:themeColor="text2"/>
              <w:left w:val="nil"/>
              <w:bottom w:val="dashSmallGap" w:sz="4" w:space="0" w:color="0E2841" w:themeColor="text2"/>
              <w:right w:val="nil"/>
            </w:tcBorders>
            <w:vAlign w:val="center"/>
          </w:tcPr>
          <w:p w14:paraId="3E8C1C2D" w14:textId="77777777" w:rsidR="000A0208" w:rsidRPr="00FA0F8D" w:rsidRDefault="00AA1F57" w:rsidP="004306AE">
            <w:pPr>
              <w:tabs>
                <w:tab w:val="left" w:pos="496"/>
              </w:tabs>
              <w:jc w:val="left"/>
              <w:rPr>
                <w:rFonts w:ascii="Cambria Math" w:hAnsi="Cambria Math" w:cs="Calibri"/>
                <w:color w:val="0E2841" w:themeColor="text2"/>
              </w:rPr>
            </w:pPr>
            <m:oMathPara>
              <m:oMath>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C</m:t>
                    </m:r>
                  </m:e>
                  <m:sub>
                    <m:r>
                      <m:rPr>
                        <m:sty m:val="p"/>
                      </m:rPr>
                      <w:rPr>
                        <w:rFonts w:ascii="Cambria Math" w:eastAsia="Aptos" w:hAnsi="Cambria Math" w:cs="Calibri"/>
                        <w:sz w:val="18"/>
                        <w:szCs w:val="18"/>
                      </w:rPr>
                      <m:t>contrainte</m:t>
                    </m:r>
                  </m:sub>
                </m:sSub>
                <m:r>
                  <m:rPr>
                    <m:sty m:val="p"/>
                  </m:rPr>
                  <w:rPr>
                    <w:rFonts w:ascii="Cambria Math" w:eastAsia="Cambria Math" w:hAnsi="Cambria Math" w:cs="Calibri"/>
                    <w:sz w:val="18"/>
                    <w:szCs w:val="18"/>
                  </w:rPr>
                  <m:t>=</m:t>
                </m:r>
                <m:sSub>
                  <m:sSubPr>
                    <m:ctrlPr>
                      <w:rPr>
                        <w:rFonts w:ascii="Cambria Math" w:hAnsi="Cambria Math" w:cs="Calibri"/>
                        <w:sz w:val="18"/>
                        <w:szCs w:val="18"/>
                      </w:rPr>
                    </m:ctrlPr>
                  </m:sSubPr>
                  <m:e>
                    <m:r>
                      <m:rPr>
                        <m:sty m:val="p"/>
                      </m:rPr>
                      <w:rPr>
                        <w:rFonts w:ascii="Cambria Math" w:hAnsi="Cambria Math" w:cs="Calibri"/>
                        <w:sz w:val="18"/>
                        <w:szCs w:val="18"/>
                      </w:rPr>
                      <m:t>C</m:t>
                    </m:r>
                  </m:e>
                  <m:sub>
                    <m:r>
                      <m:rPr>
                        <m:sty m:val="p"/>
                      </m:rPr>
                      <w:rPr>
                        <w:rFonts w:ascii="Cambria Math" w:hAnsi="Cambria Math" w:cs="Calibri"/>
                        <w:sz w:val="18"/>
                        <w:szCs w:val="18"/>
                      </w:rPr>
                      <m:t>pollution</m:t>
                    </m:r>
                  </m:sub>
                </m:sSub>
                <m:r>
                  <m:rPr>
                    <m:sty m:val="p"/>
                  </m:rPr>
                  <w:rPr>
                    <w:rFonts w:ascii="Cambria Math" w:hAnsi="Cambria Math" w:cs="Calibri"/>
                    <w:sz w:val="18"/>
                    <w:szCs w:val="18"/>
                  </w:rPr>
                  <m:t>=</m:t>
                </m:r>
                <m:func>
                  <m:funcPr>
                    <m:ctrlPr>
                      <w:rPr>
                        <w:rFonts w:ascii="Cambria Math" w:hAnsi="Cambria Math" w:cs="Calibri"/>
                        <w:sz w:val="18"/>
                        <w:szCs w:val="18"/>
                      </w:rPr>
                    </m:ctrlPr>
                  </m:funcPr>
                  <m:fName>
                    <m:r>
                      <m:rPr>
                        <m:sty m:val="p"/>
                      </m:rPr>
                      <w:rPr>
                        <w:rFonts w:ascii="Cambria Math" w:hAnsi="Cambria Math" w:cs="Calibri"/>
                        <w:sz w:val="18"/>
                        <w:szCs w:val="18"/>
                      </w:rPr>
                      <m:t>min</m:t>
                    </m:r>
                  </m:fName>
                  <m:e>
                    <m:r>
                      <m:rPr>
                        <m:sty m:val="p"/>
                      </m:rPr>
                      <w:rPr>
                        <w:rFonts w:ascii="Cambria Math" w:hAnsi="Cambria Math" w:cs="Calibri"/>
                        <w:sz w:val="18"/>
                        <w:szCs w:val="18"/>
                      </w:rPr>
                      <m:t>(</m:t>
                    </m:r>
                    <m:sSub>
                      <m:sSubPr>
                        <m:ctrlPr>
                          <w:rPr>
                            <w:rFonts w:ascii="Cambria Math" w:hAnsi="Cambria Math" w:cs="Calibri"/>
                            <w:sz w:val="18"/>
                            <w:szCs w:val="18"/>
                          </w:rPr>
                        </m:ctrlPr>
                      </m:sSubPr>
                      <m:e>
                        <m:r>
                          <m:rPr>
                            <m:sty m:val="p"/>
                          </m:rPr>
                          <w:rPr>
                            <w:rFonts w:ascii="Cambria Math" w:hAnsi="Cambria Math" w:cs="Calibri"/>
                            <w:sz w:val="18"/>
                            <w:szCs w:val="18"/>
                          </w:rPr>
                          <m:t>Score</m:t>
                        </m:r>
                      </m:e>
                      <m:sub>
                        <m:r>
                          <m:rPr>
                            <m:sty m:val="p"/>
                          </m:rPr>
                          <w:rPr>
                            <w:rFonts w:ascii="Cambria Math" w:hAnsi="Cambria Math" w:cs="Calibri"/>
                            <w:sz w:val="18"/>
                            <w:szCs w:val="18"/>
                          </w:rPr>
                          <m:t>polluants  f(</m:t>
                        </m:r>
                        <m:sSub>
                          <m:sSubPr>
                            <m:ctrlPr>
                              <w:rPr>
                                <w:rFonts w:ascii="Cambria Math" w:hAnsi="Cambria Math" w:cs="Calibri"/>
                                <w:sz w:val="18"/>
                                <w:szCs w:val="18"/>
                              </w:rPr>
                            </m:ctrlPr>
                          </m:sSubPr>
                          <m:e>
                            <m:r>
                              <m:rPr>
                                <m:sty m:val="p"/>
                              </m:rPr>
                              <w:rPr>
                                <w:rFonts w:ascii="Cambria Math" w:hAnsi="Cambria Math" w:cs="Calibri"/>
                                <w:sz w:val="18"/>
                                <w:szCs w:val="18"/>
                              </w:rPr>
                              <m:t>VSN</m:t>
                            </m:r>
                          </m:e>
                          <m:sub>
                            <m:r>
                              <m:rPr>
                                <m:sty m:val="p"/>
                              </m:rPr>
                              <w:rPr>
                                <w:rFonts w:ascii="Cambria Math" w:hAnsi="Cambria Math" w:cs="Calibri"/>
                                <w:sz w:val="18"/>
                                <w:szCs w:val="18"/>
                              </w:rPr>
                              <m:t>ajustée</m:t>
                            </m:r>
                          </m:sub>
                        </m:sSub>
                        <m:r>
                          <m:rPr>
                            <m:sty m:val="p"/>
                          </m:rPr>
                          <w:rPr>
                            <w:rFonts w:ascii="Cambria Math" w:hAnsi="Cambria Math" w:cs="Calibri"/>
                            <w:sz w:val="18"/>
                            <w:szCs w:val="18"/>
                          </w:rPr>
                          <m:t>)</m:t>
                        </m:r>
                      </m:sub>
                    </m:sSub>
                  </m:e>
                </m:func>
                <m:r>
                  <m:rPr>
                    <m:sty m:val="p"/>
                  </m:rPr>
                  <w:rPr>
                    <w:rFonts w:ascii="Cambria Math" w:hAnsi="Cambria Math" w:cs="Calibri"/>
                    <w:sz w:val="18"/>
                    <w:szCs w:val="18"/>
                  </w:rPr>
                  <m:t>)</m:t>
                </m:r>
              </m:oMath>
            </m:oMathPara>
          </w:p>
        </w:tc>
        <w:tc>
          <w:tcPr>
            <w:tcW w:w="425" w:type="dxa"/>
            <w:tcBorders>
              <w:top w:val="dashSmallGap" w:sz="4" w:space="0" w:color="0E2841" w:themeColor="text2"/>
              <w:left w:val="nil"/>
              <w:bottom w:val="dashSmallGap" w:sz="4" w:space="0" w:color="0E2841" w:themeColor="text2"/>
              <w:right w:val="single" w:sz="12" w:space="0" w:color="auto"/>
            </w:tcBorders>
            <w:vAlign w:val="center"/>
          </w:tcPr>
          <w:p w14:paraId="2021BA73" w14:textId="77777777" w:rsidR="000A0208" w:rsidRPr="005F54C6" w:rsidRDefault="000A0208" w:rsidP="004306AE">
            <w:pPr>
              <w:tabs>
                <w:tab w:val="left" w:pos="496"/>
              </w:tabs>
              <w:jc w:val="center"/>
              <w:rPr>
                <w:rFonts w:eastAsia="Aptos" w:cs="Calibri"/>
                <w:sz w:val="16"/>
                <w:szCs w:val="16"/>
              </w:rPr>
            </w:pPr>
          </w:p>
        </w:tc>
      </w:tr>
      <w:tr w:rsidR="000A0208" w:rsidRPr="000829EE" w14:paraId="778F8A0C" w14:textId="77777777" w:rsidTr="004306AE">
        <w:trPr>
          <w:trHeight w:val="235"/>
        </w:trPr>
        <w:tc>
          <w:tcPr>
            <w:tcW w:w="8642" w:type="dxa"/>
            <w:gridSpan w:val="3"/>
            <w:tcBorders>
              <w:right w:val="nil"/>
            </w:tcBorders>
            <w:shd w:val="clear" w:color="auto" w:fill="0E2841" w:themeFill="text2"/>
            <w:vAlign w:val="center"/>
          </w:tcPr>
          <w:p w14:paraId="124A4558" w14:textId="77777777" w:rsidR="000A0208" w:rsidRPr="00A351CD" w:rsidRDefault="000A0208" w:rsidP="004306AE">
            <w:pPr>
              <w:tabs>
                <w:tab w:val="left" w:pos="496"/>
              </w:tabs>
              <w:jc w:val="left"/>
              <w:rPr>
                <w:rFonts w:ascii="Cambria Math" w:hAnsi="Cambria Math" w:cs="Calibri"/>
                <w:sz w:val="24"/>
              </w:rPr>
            </w:pPr>
            <w:r w:rsidRPr="00A351CD">
              <w:rPr>
                <w:rFonts w:ascii="Cambria Math" w:hAnsi="Cambria Math" w:cs="Calibri"/>
                <w:sz w:val="24"/>
              </w:rPr>
              <w:t>Potentiel d’accueil pour une végétation diversifiée</w:t>
            </w:r>
          </w:p>
        </w:tc>
        <w:tc>
          <w:tcPr>
            <w:tcW w:w="425" w:type="dxa"/>
            <w:tcBorders>
              <w:left w:val="nil"/>
              <w:right w:val="single" w:sz="12" w:space="0" w:color="auto"/>
            </w:tcBorders>
            <w:shd w:val="clear" w:color="auto" w:fill="0E2841" w:themeFill="text2"/>
            <w:vAlign w:val="center"/>
          </w:tcPr>
          <w:p w14:paraId="4652F50B" w14:textId="77777777" w:rsidR="000A0208" w:rsidRPr="005F54C6" w:rsidRDefault="000A0208" w:rsidP="004306AE">
            <w:pPr>
              <w:tabs>
                <w:tab w:val="left" w:pos="496"/>
              </w:tabs>
              <w:jc w:val="center"/>
              <w:rPr>
                <w:rFonts w:cs="Calibri"/>
                <w:sz w:val="16"/>
                <w:szCs w:val="16"/>
              </w:rPr>
            </w:pPr>
          </w:p>
        </w:tc>
      </w:tr>
      <w:tr w:rsidR="000A0208" w:rsidRPr="00A37B95" w14:paraId="16B15898" w14:textId="77777777" w:rsidTr="004306AE">
        <w:trPr>
          <w:trHeight w:val="300"/>
        </w:trPr>
        <w:tc>
          <w:tcPr>
            <w:tcW w:w="8642" w:type="dxa"/>
            <w:gridSpan w:val="3"/>
            <w:tcBorders>
              <w:right w:val="nil"/>
            </w:tcBorders>
            <w:shd w:val="clear" w:color="auto" w:fill="F9F9F9"/>
            <w:vAlign w:val="center"/>
          </w:tcPr>
          <w:p w14:paraId="58AFF381" w14:textId="77777777" w:rsidR="000A0208" w:rsidRPr="00A37B95" w:rsidRDefault="00AA1F57" w:rsidP="004306AE">
            <w:pPr>
              <w:tabs>
                <w:tab w:val="left" w:pos="496"/>
              </w:tabs>
              <w:jc w:val="left"/>
              <w:rPr>
                <w:rFonts w:ascii="Cambria Math" w:eastAsia="Aptos" w:hAnsi="Cambria Math" w:cs="Calibri"/>
                <w:b/>
                <w:bCs/>
                <w:color w:val="0E2841" w:themeColor="text2"/>
                <w:szCs w:val="22"/>
              </w:rPr>
            </w:pPr>
            <m:oMathPara>
              <m:oMathParaPr>
                <m:jc m:val="left"/>
              </m:oMathParaPr>
              <m:oMath>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Accueil</m:t>
                    </m:r>
                    <m:r>
                      <m:rPr>
                        <m:sty m:val="b"/>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vg</m:t>
                    </m:r>
                    <m:r>
                      <m:rPr>
                        <m:sty m:val="b"/>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div</m:t>
                    </m:r>
                  </m:sub>
                </m:sSub>
                <m:d>
                  <m:dPr>
                    <m:begChr m:val="["/>
                    <m:endChr m:val="]"/>
                    <m:ctrlPr>
                      <w:rPr>
                        <w:rFonts w:ascii="Cambria Math" w:hAnsi="Cambria Math" w:cs="Calibri"/>
                        <w:b/>
                        <w:color w:val="0E2841" w:themeColor="text2"/>
                        <w:szCs w:val="22"/>
                      </w:rPr>
                    </m:ctrlPr>
                  </m:dPr>
                  <m:e>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5</m:t>
                    </m:r>
                  </m:e>
                </m:d>
                <m:r>
                  <m:rPr>
                    <m:sty m:val="b"/>
                  </m:rPr>
                  <w:rPr>
                    <w:rFonts w:ascii="Cambria Math" w:hAnsi="Cambria Math" w:cs="Calibri"/>
                    <w:color w:val="0E2841" w:themeColor="text2"/>
                    <w:szCs w:val="22"/>
                  </w:rPr>
                  <m:t>=</m:t>
                </m:r>
                <m:sSub>
                  <m:sSubPr>
                    <m:ctrlPr>
                      <w:rPr>
                        <w:rFonts w:ascii="Cambria Math" w:eastAsia="Aptos" w:hAnsi="Cambria Math" w:cs="Calibri"/>
                        <w:b/>
                        <w:bCs/>
                        <w:iCs/>
                        <w:color w:val="0E2841" w:themeColor="text2"/>
                        <w:szCs w:val="22"/>
                      </w:rPr>
                    </m:ctrlPr>
                  </m:sSubPr>
                  <m:e>
                    <m:r>
                      <m:rPr>
                        <m:sty m:val="b"/>
                      </m:rPr>
                      <w:rPr>
                        <w:rFonts w:ascii="Cambria Math" w:eastAsia="Aptos" w:hAnsi="Cambria Math" w:cs="Calibri"/>
                        <w:color w:val="0E2841" w:themeColor="text2"/>
                        <w:szCs w:val="22"/>
                      </w:rPr>
                      <m:t>S</m:t>
                    </m:r>
                  </m:e>
                  <m:sub>
                    <m:r>
                      <m:rPr>
                        <m:sty m:val="b"/>
                      </m:rPr>
                      <w:rPr>
                        <w:rFonts w:ascii="Cambria Math" w:eastAsia="Aptos" w:hAnsi="Cambria Math" w:cs="Calibri"/>
                        <w:color w:val="0E2841" w:themeColor="text2"/>
                        <w:szCs w:val="22"/>
                      </w:rPr>
                      <m:t>diversit</m:t>
                    </m:r>
                    <m:r>
                      <m:rPr>
                        <m:sty m:val="b"/>
                      </m:rPr>
                      <w:rPr>
                        <w:rFonts w:ascii="Cambria Math" w:eastAsia="Aptos" w:hAnsi="Cambria Math" w:cs="Calibri"/>
                        <w:color w:val="0E2841" w:themeColor="text2"/>
                        <w:szCs w:val="22"/>
                      </w:rPr>
                      <m:t>é</m:t>
                    </m:r>
                  </m:sub>
                </m:sSub>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5</m:t>
                    </m:r>
                  </m:e>
                </m:d>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1</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C</m:t>
                    </m:r>
                  </m:e>
                  <m:sub>
                    <m:r>
                      <m:rPr>
                        <m:sty m:val="b"/>
                      </m:rPr>
                      <w:rPr>
                        <w:rFonts w:ascii="Cambria Math" w:hAnsi="Cambria Math" w:cs="Calibri"/>
                        <w:color w:val="0E2841" w:themeColor="text2"/>
                        <w:szCs w:val="22"/>
                      </w:rPr>
                      <m:t>contrainte</m:t>
                    </m:r>
                  </m:sub>
                </m:sSub>
                <m:r>
                  <m:rPr>
                    <m:sty m:val="b"/>
                  </m:rPr>
                  <w:rPr>
                    <w:rFonts w:ascii="Cambria Math" w:hAnsi="Cambria Math" w:cs="Calibri"/>
                    <w:color w:val="0E2841" w:themeColor="text2"/>
                    <w:szCs w:val="22"/>
                  </w:rPr>
                  <m:t xml:space="preserve"> </m:t>
                </m:r>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1</m:t>
                    </m:r>
                  </m:e>
                </m:d>
                <m:r>
                  <m:rPr>
                    <m:sty m:val="b"/>
                  </m:rPr>
                  <w:rPr>
                    <w:rFonts w:ascii="Cambria Math" w:hAnsi="Cambria Math" w:cs="Calibri"/>
                    <w:color w:val="0E2841" w:themeColor="text2"/>
                    <w:szCs w:val="22"/>
                  </w:rPr>
                  <m:t xml:space="preserve">) </m:t>
                </m:r>
              </m:oMath>
            </m:oMathPara>
          </w:p>
        </w:tc>
        <w:tc>
          <w:tcPr>
            <w:tcW w:w="425" w:type="dxa"/>
            <w:tcBorders>
              <w:left w:val="nil"/>
              <w:right w:val="single" w:sz="12" w:space="0" w:color="auto"/>
            </w:tcBorders>
            <w:shd w:val="clear" w:color="auto" w:fill="F9F9F9"/>
            <w:vAlign w:val="center"/>
          </w:tcPr>
          <w:p w14:paraId="711D9385" w14:textId="77777777" w:rsidR="000A0208" w:rsidRPr="005F54C6" w:rsidRDefault="000A0208" w:rsidP="004306AE">
            <w:pPr>
              <w:tabs>
                <w:tab w:val="left" w:pos="496"/>
              </w:tabs>
              <w:jc w:val="center"/>
              <w:rPr>
                <w:rFonts w:eastAsia="Aptos" w:cs="Calibri"/>
                <w:color w:val="0E2841" w:themeColor="text2"/>
                <w:sz w:val="16"/>
                <w:szCs w:val="16"/>
              </w:rPr>
            </w:pPr>
          </w:p>
        </w:tc>
      </w:tr>
      <w:tr w:rsidR="000A0208" w:rsidRPr="00F87970" w14:paraId="181C844D" w14:textId="77777777" w:rsidTr="004306AE">
        <w:trPr>
          <w:trHeight w:val="214"/>
        </w:trPr>
        <w:tc>
          <w:tcPr>
            <w:tcW w:w="1413" w:type="dxa"/>
            <w:vAlign w:val="center"/>
          </w:tcPr>
          <w:p w14:paraId="2CA07BB0" w14:textId="77777777" w:rsidR="000A0208" w:rsidRPr="00605A71" w:rsidRDefault="000A0208" w:rsidP="004306AE">
            <w:pPr>
              <w:tabs>
                <w:tab w:val="left" w:pos="496"/>
              </w:tabs>
              <w:jc w:val="left"/>
              <w:rPr>
                <w:rFonts w:ascii="Cambria Math" w:hAnsi="Cambria Math" w:cs="Calibri"/>
                <w:b/>
                <w:bCs/>
                <w:color w:val="0E2841" w:themeColor="text2"/>
                <w:sz w:val="20"/>
                <w:szCs w:val="20"/>
              </w:rPr>
            </w:pPr>
            <w:r w:rsidRPr="00605A71">
              <w:rPr>
                <w:rFonts w:ascii="Cambria Math" w:hAnsi="Cambria Math" w:cs="Calibri"/>
                <w:b/>
                <w:bCs/>
                <w:color w:val="0E2841" w:themeColor="text2"/>
                <w:sz w:val="20"/>
                <w:szCs w:val="20"/>
              </w:rPr>
              <w:t>Rétention</w:t>
            </w:r>
          </w:p>
        </w:tc>
        <w:tc>
          <w:tcPr>
            <w:tcW w:w="425" w:type="dxa"/>
            <w:tcBorders>
              <w:bottom w:val="dashSmallGap" w:sz="4" w:space="0" w:color="0E2841" w:themeColor="text2"/>
              <w:right w:val="nil"/>
            </w:tcBorders>
            <w:vAlign w:val="center"/>
          </w:tcPr>
          <w:p w14:paraId="23B5D8D2" w14:textId="77777777" w:rsidR="000A0208" w:rsidRPr="00FD5BE2"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124BA784" w14:textId="77777777" w:rsidR="000A0208" w:rsidRPr="0086079F" w:rsidRDefault="00AA1F57" w:rsidP="004306AE">
            <w:pPr>
              <w:tabs>
                <w:tab w:val="left" w:pos="496"/>
              </w:tabs>
              <w:jc w:val="left"/>
              <w:rPr>
                <w:rFonts w:ascii="Cambria Math" w:hAnsi="Cambria Math" w:cs="Calibri"/>
                <w:iCs/>
                <w:color w:val="0E2841" w:themeColor="text2"/>
                <w:sz w:val="18"/>
                <w:szCs w:val="18"/>
              </w:rPr>
            </w:pPr>
            <m:oMathPara>
              <m:oMathParaPr>
                <m:jc m:val="left"/>
              </m:oMathParaPr>
              <m:oMath>
                <m:sSub>
                  <m:sSubPr>
                    <m:ctrlPr>
                      <w:rPr>
                        <w:rFonts w:ascii="Cambria Math" w:hAnsi="Cambria Math" w:cs="Calibri"/>
                        <w:iCs/>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diversité</m:t>
                    </m:r>
                  </m:sub>
                </m:sSub>
                <m:r>
                  <m:rPr>
                    <m:sty m:val="p"/>
                  </m:rPr>
                  <w:rPr>
                    <w:rFonts w:ascii="Cambria Math" w:hAnsi="Cambria Math" w:cs="Calibri"/>
                    <w:sz w:val="18"/>
                    <w:szCs w:val="18"/>
                  </w:rPr>
                  <m:t>=</m:t>
                </m:r>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Score</m:t>
                    </m:r>
                  </m:e>
                  <m:sub>
                    <m:r>
                      <m:rPr>
                        <m:sty m:val="p"/>
                      </m:rPr>
                      <w:rPr>
                        <w:rFonts w:ascii="Cambria Math" w:eastAsia="Aptos" w:hAnsi="Cambria Math" w:cs="Calibri"/>
                        <w:sz w:val="18"/>
                        <w:szCs w:val="18"/>
                      </w:rPr>
                      <m:t>P</m:t>
                    </m:r>
                  </m:sub>
                </m:sSub>
              </m:oMath>
            </m:oMathPara>
          </w:p>
        </w:tc>
        <w:tc>
          <w:tcPr>
            <w:tcW w:w="425" w:type="dxa"/>
            <w:tcBorders>
              <w:left w:val="nil"/>
              <w:bottom w:val="dashSmallGap" w:sz="4" w:space="0" w:color="0E2841" w:themeColor="text2"/>
              <w:right w:val="single" w:sz="12" w:space="0" w:color="auto"/>
            </w:tcBorders>
            <w:vAlign w:val="center"/>
          </w:tcPr>
          <w:p w14:paraId="7B662168" w14:textId="77777777" w:rsidR="000A0208" w:rsidRPr="005F54C6" w:rsidRDefault="000A0208" w:rsidP="004306AE">
            <w:pPr>
              <w:tabs>
                <w:tab w:val="left" w:pos="496"/>
              </w:tabs>
              <w:jc w:val="center"/>
              <w:rPr>
                <w:rFonts w:eastAsia="Aptos" w:cs="Calibri"/>
                <w:iCs/>
                <w:sz w:val="16"/>
                <w:szCs w:val="16"/>
              </w:rPr>
            </w:pPr>
          </w:p>
        </w:tc>
      </w:tr>
      <w:tr w:rsidR="000A0208" w:rsidRPr="001F6A04" w14:paraId="275EB603" w14:textId="77777777" w:rsidTr="004306AE">
        <w:trPr>
          <w:trHeight w:val="257"/>
        </w:trPr>
        <w:tc>
          <w:tcPr>
            <w:tcW w:w="1413" w:type="dxa"/>
            <w:vAlign w:val="center"/>
          </w:tcPr>
          <w:p w14:paraId="190C38A5" w14:textId="77777777" w:rsidR="000A0208" w:rsidRPr="00605A71" w:rsidRDefault="000A0208" w:rsidP="004306AE">
            <w:pPr>
              <w:tabs>
                <w:tab w:val="left" w:pos="496"/>
              </w:tabs>
              <w:jc w:val="left"/>
              <w:rPr>
                <w:rFonts w:ascii="Cambria Math" w:hAnsi="Cambria Math" w:cs="Calibri"/>
                <w:b/>
                <w:bCs/>
                <w:color w:val="0E2841" w:themeColor="text2"/>
                <w:sz w:val="20"/>
                <w:szCs w:val="20"/>
              </w:rPr>
            </w:pPr>
            <w:r w:rsidRPr="00605A71">
              <w:rPr>
                <w:rFonts w:ascii="Cambria Math" w:hAnsi="Cambria Math" w:cs="Calibri"/>
                <w:b/>
                <w:bCs/>
                <w:color w:val="0E2841" w:themeColor="text2"/>
                <w:sz w:val="20"/>
                <w:szCs w:val="20"/>
              </w:rPr>
              <w:t>Contrainte</w:t>
            </w:r>
          </w:p>
        </w:tc>
        <w:tc>
          <w:tcPr>
            <w:tcW w:w="425" w:type="dxa"/>
            <w:tcBorders>
              <w:top w:val="dashSmallGap" w:sz="4" w:space="0" w:color="0E2841" w:themeColor="text2"/>
              <w:bottom w:val="dashSmallGap" w:sz="4" w:space="0" w:color="0E2841" w:themeColor="text2"/>
              <w:right w:val="nil"/>
            </w:tcBorders>
            <w:vAlign w:val="center"/>
          </w:tcPr>
          <w:p w14:paraId="04E5CE0A" w14:textId="77777777" w:rsidR="000A0208" w:rsidRPr="002448F6" w:rsidRDefault="000A0208" w:rsidP="004306AE">
            <w:pPr>
              <w:tabs>
                <w:tab w:val="left" w:pos="496"/>
              </w:tabs>
              <w:jc w:val="left"/>
              <w:rPr>
                <w:rFonts w:ascii="Cambria Math" w:hAnsi="Cambria Math" w:cs="Calibri"/>
                <w:color w:val="0E2841" w:themeColor="text2"/>
                <w:szCs w:val="22"/>
              </w:rPr>
            </w:pPr>
          </w:p>
        </w:tc>
        <w:tc>
          <w:tcPr>
            <w:tcW w:w="6804" w:type="dxa"/>
            <w:tcBorders>
              <w:top w:val="dashSmallGap" w:sz="4" w:space="0" w:color="0E2841" w:themeColor="text2"/>
              <w:left w:val="nil"/>
              <w:bottom w:val="dashSmallGap" w:sz="4" w:space="0" w:color="0E2841" w:themeColor="text2"/>
              <w:right w:val="nil"/>
            </w:tcBorders>
            <w:vAlign w:val="center"/>
          </w:tcPr>
          <w:p w14:paraId="7F1DFCAB" w14:textId="77777777" w:rsidR="000A0208" w:rsidRPr="001A3F44" w:rsidRDefault="00AA1F57" w:rsidP="004306AE">
            <w:pPr>
              <w:tabs>
                <w:tab w:val="left" w:pos="496"/>
              </w:tabs>
              <w:jc w:val="left"/>
              <w:rPr>
                <w:rFonts w:ascii="Cambria Math" w:hAnsi="Cambria Math" w:cs="Calibri"/>
                <w:color w:val="0E2841" w:themeColor="text2"/>
                <w:szCs w:val="22"/>
              </w:rPr>
            </w:pPr>
            <m:oMathPara>
              <m:oMathParaPr>
                <m:jc m:val="left"/>
              </m:oMathParaPr>
              <m:oMath>
                <m:sSub>
                  <m:sSubPr>
                    <m:ctrlPr>
                      <w:rPr>
                        <w:rFonts w:ascii="Cambria Math" w:eastAsia="Cambria Math" w:hAnsi="Cambria Math" w:cs="Calibri"/>
                        <w:sz w:val="18"/>
                        <w:szCs w:val="18"/>
                      </w:rPr>
                    </m:ctrlPr>
                  </m:sSubPr>
                  <m:e>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contrainte</m:t>
                        </m:r>
                      </m:sub>
                    </m:sSub>
                    <m:r>
                      <m:rPr>
                        <m:sty m:val="p"/>
                      </m:rPr>
                      <w:rPr>
                        <w:rFonts w:ascii="Cambria Math" w:eastAsia="Cambria Math" w:hAnsi="Cambria Math" w:cs="Calibri"/>
                        <w:sz w:val="18"/>
                        <w:szCs w:val="18"/>
                      </w:rPr>
                      <m:t xml:space="preserve"> = C</m:t>
                    </m:r>
                  </m:e>
                  <m:sub>
                    <m:r>
                      <m:rPr>
                        <m:sty m:val="p"/>
                      </m:rPr>
                      <w:rPr>
                        <w:rFonts w:ascii="Cambria Math" w:eastAsia="Cambria Math" w:hAnsi="Cambria Math" w:cs="Calibri"/>
                        <w:sz w:val="18"/>
                        <w:szCs w:val="18"/>
                      </w:rPr>
                      <m:t>EEE</m:t>
                    </m:r>
                  </m:sub>
                </m:sSub>
              </m:oMath>
            </m:oMathPara>
          </w:p>
        </w:tc>
        <w:tc>
          <w:tcPr>
            <w:tcW w:w="425" w:type="dxa"/>
            <w:tcBorders>
              <w:top w:val="dashSmallGap" w:sz="4" w:space="0" w:color="0E2841" w:themeColor="text2"/>
              <w:left w:val="nil"/>
              <w:bottom w:val="dashSmallGap" w:sz="4" w:space="0" w:color="0E2841" w:themeColor="text2"/>
              <w:right w:val="single" w:sz="12" w:space="0" w:color="auto"/>
            </w:tcBorders>
            <w:vAlign w:val="center"/>
          </w:tcPr>
          <w:p w14:paraId="3C731E50" w14:textId="77777777" w:rsidR="000A0208" w:rsidRPr="005F54C6" w:rsidRDefault="000A0208" w:rsidP="004306AE">
            <w:pPr>
              <w:tabs>
                <w:tab w:val="left" w:pos="496"/>
              </w:tabs>
              <w:jc w:val="center"/>
              <w:rPr>
                <w:rFonts w:eastAsia="Aptos" w:cs="Calibri"/>
                <w:sz w:val="16"/>
                <w:szCs w:val="16"/>
              </w:rPr>
            </w:pPr>
          </w:p>
        </w:tc>
      </w:tr>
      <w:tr w:rsidR="000A0208" w:rsidRPr="000829EE" w14:paraId="4425A5A9" w14:textId="77777777" w:rsidTr="004306AE">
        <w:trPr>
          <w:trHeight w:val="257"/>
        </w:trPr>
        <w:tc>
          <w:tcPr>
            <w:tcW w:w="8642" w:type="dxa"/>
            <w:gridSpan w:val="3"/>
            <w:tcBorders>
              <w:right w:val="nil"/>
            </w:tcBorders>
            <w:shd w:val="clear" w:color="auto" w:fill="0E2841" w:themeFill="text2"/>
            <w:vAlign w:val="center"/>
          </w:tcPr>
          <w:p w14:paraId="00DEC4F8" w14:textId="77777777" w:rsidR="000A0208" w:rsidRPr="00A351CD" w:rsidRDefault="000A0208" w:rsidP="004306AE">
            <w:pPr>
              <w:tabs>
                <w:tab w:val="left" w:pos="496"/>
              </w:tabs>
              <w:jc w:val="left"/>
              <w:rPr>
                <w:rFonts w:ascii="Cambria Math" w:hAnsi="Cambria Math" w:cs="Calibri"/>
                <w:sz w:val="24"/>
              </w:rPr>
            </w:pPr>
            <w:r w:rsidRPr="00A351CD">
              <w:rPr>
                <w:rFonts w:ascii="Cambria Math" w:hAnsi="Cambria Math" w:cs="Calibri"/>
                <w:sz w:val="24"/>
              </w:rPr>
              <w:t>Habitat pour la biodiversité du sol</w:t>
            </w:r>
          </w:p>
        </w:tc>
        <w:tc>
          <w:tcPr>
            <w:tcW w:w="425" w:type="dxa"/>
            <w:tcBorders>
              <w:left w:val="nil"/>
              <w:right w:val="single" w:sz="12" w:space="0" w:color="auto"/>
            </w:tcBorders>
            <w:shd w:val="clear" w:color="auto" w:fill="0E2841" w:themeFill="text2"/>
            <w:vAlign w:val="center"/>
          </w:tcPr>
          <w:p w14:paraId="7D370E1F" w14:textId="77777777" w:rsidR="000A0208" w:rsidRPr="005F54C6" w:rsidRDefault="000A0208" w:rsidP="004306AE">
            <w:pPr>
              <w:tabs>
                <w:tab w:val="left" w:pos="496"/>
              </w:tabs>
              <w:jc w:val="center"/>
              <w:rPr>
                <w:rFonts w:cs="Calibri"/>
                <w:sz w:val="16"/>
                <w:szCs w:val="16"/>
              </w:rPr>
            </w:pPr>
          </w:p>
        </w:tc>
      </w:tr>
      <w:tr w:rsidR="000A0208" w:rsidRPr="00A37B95" w14:paraId="53106515" w14:textId="77777777" w:rsidTr="004306AE">
        <w:trPr>
          <w:trHeight w:val="278"/>
        </w:trPr>
        <w:tc>
          <w:tcPr>
            <w:tcW w:w="8642" w:type="dxa"/>
            <w:gridSpan w:val="3"/>
            <w:tcBorders>
              <w:right w:val="nil"/>
            </w:tcBorders>
            <w:shd w:val="clear" w:color="auto" w:fill="F9F9F9"/>
            <w:vAlign w:val="center"/>
          </w:tcPr>
          <w:p w14:paraId="73512713" w14:textId="77777777" w:rsidR="000A0208" w:rsidRPr="00F96974" w:rsidRDefault="00AA1F57" w:rsidP="004306AE">
            <w:pPr>
              <w:tabs>
                <w:tab w:val="left" w:pos="496"/>
              </w:tabs>
              <w:jc w:val="left"/>
              <w:rPr>
                <w:rFonts w:ascii="Cambria Math" w:eastAsia="Aptos" w:hAnsi="Cambria Math" w:cs="Calibri"/>
                <w:b/>
                <w:color w:val="0E2841" w:themeColor="text2"/>
              </w:rPr>
            </w:pPr>
            <m:oMath>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Biodiversit</m:t>
                  </m:r>
                  <m:r>
                    <m:rPr>
                      <m:sty m:val="b"/>
                    </m:rPr>
                    <w:rPr>
                      <w:rFonts w:ascii="Cambria Math" w:hAnsi="Cambria Math" w:cs="Calibri"/>
                      <w:color w:val="0E2841" w:themeColor="text2"/>
                      <w:szCs w:val="22"/>
                    </w:rPr>
                    <m:t xml:space="preserve">é </m:t>
                  </m:r>
                  <m:r>
                    <m:rPr>
                      <m:sty m:val="b"/>
                    </m:rPr>
                    <w:rPr>
                      <w:rFonts w:ascii="Cambria Math" w:hAnsi="Cambria Math" w:cs="Calibri"/>
                      <w:color w:val="0E2841" w:themeColor="text2"/>
                      <w:szCs w:val="22"/>
                    </w:rPr>
                    <m:t>sol</m:t>
                  </m:r>
                </m:sub>
              </m:sSub>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5</m:t>
                  </m:r>
                </m:e>
              </m:d>
              <m:r>
                <m:rPr>
                  <m:sty m:val="b"/>
                </m:rPr>
                <w:rPr>
                  <w:rFonts w:ascii="Cambria Math" w:hAnsi="Cambria Math" w:cs="Calibri"/>
                  <w:color w:val="0E2841" w:themeColor="text2"/>
                  <w:szCs w:val="22"/>
                </w:rPr>
                <m:t>=</m:t>
              </m:r>
              <m:sSub>
                <m:sSubPr>
                  <m:ctrlPr>
                    <w:rPr>
                      <w:rFonts w:ascii="Cambria Math" w:eastAsia="Aptos" w:hAnsi="Cambria Math" w:cs="Calibri"/>
                      <w:b/>
                      <w:bCs/>
                      <w:iCs/>
                      <w:color w:val="0E2841" w:themeColor="text2"/>
                      <w:szCs w:val="22"/>
                    </w:rPr>
                  </m:ctrlPr>
                </m:sSubPr>
                <m:e>
                  <m:sSub>
                    <m:sSubPr>
                      <m:ctrlPr>
                        <w:rPr>
                          <w:rFonts w:ascii="Cambria Math" w:eastAsia="Aptos" w:hAnsi="Cambria Math" w:cs="Calibri"/>
                          <w:b/>
                          <w:bCs/>
                          <w:iCs/>
                          <w:color w:val="0E2841" w:themeColor="text2"/>
                          <w:szCs w:val="22"/>
                        </w:rPr>
                      </m:ctrlPr>
                    </m:sSubPr>
                    <m:e>
                      <m:r>
                        <m:rPr>
                          <m:sty m:val="b"/>
                        </m:rPr>
                        <w:rPr>
                          <w:rFonts w:ascii="Cambria Math" w:eastAsia="Aptos" w:hAnsi="Cambria Math" w:cs="Calibri"/>
                          <w:color w:val="0E2841" w:themeColor="text2"/>
                          <w:szCs w:val="22"/>
                        </w:rPr>
                        <m:t>S</m:t>
                      </m:r>
                    </m:e>
                    <m:sub>
                      <m:r>
                        <m:rPr>
                          <m:sty m:val="b"/>
                        </m:rPr>
                        <w:rPr>
                          <w:rFonts w:ascii="Cambria Math" w:eastAsia="Aptos" w:hAnsi="Cambria Math" w:cs="Calibri"/>
                          <w:color w:val="0E2841" w:themeColor="text2"/>
                          <w:szCs w:val="22"/>
                        </w:rPr>
                        <m:t>abondance</m:t>
                      </m:r>
                      <m:r>
                        <m:rPr>
                          <m:sty m:val="b"/>
                        </m:rPr>
                        <w:rPr>
                          <w:rFonts w:ascii="Cambria Math" w:eastAsia="Aptos" w:hAnsi="Cambria Math" w:cs="Calibri"/>
                          <w:color w:val="0E2841" w:themeColor="text2"/>
                          <w:szCs w:val="22"/>
                        </w:rPr>
                        <m:t xml:space="preserve"> </m:t>
                      </m:r>
                      <m:r>
                        <m:rPr>
                          <m:sty m:val="b"/>
                        </m:rPr>
                        <w:rPr>
                          <w:rFonts w:ascii="Cambria Math" w:eastAsia="Aptos" w:hAnsi="Cambria Math" w:cs="Calibri"/>
                          <w:color w:val="0E2841" w:themeColor="text2"/>
                          <w:szCs w:val="22"/>
                        </w:rPr>
                        <m:t>mic</m:t>
                      </m:r>
                    </m:sub>
                  </m:sSub>
                  <m:r>
                    <m:rPr>
                      <m:sty m:val="b"/>
                    </m:rPr>
                    <w:rPr>
                      <w:rFonts w:ascii="Cambria Math" w:eastAsia="Aptos" w:hAnsi="Cambria Math" w:cs="Calibri"/>
                      <w:color w:val="0E2841" w:themeColor="text2"/>
                      <w:szCs w:val="22"/>
                    </w:rPr>
                    <m:t>+</m:t>
                  </m:r>
                  <m:r>
                    <m:rPr>
                      <m:sty m:val="b"/>
                    </m:rPr>
                    <w:rPr>
                      <w:rFonts w:ascii="Cambria Math" w:eastAsia="Aptos" w:hAnsi="Cambria Math" w:cs="Calibri"/>
                      <w:color w:val="0E2841" w:themeColor="text2"/>
                      <w:szCs w:val="22"/>
                    </w:rPr>
                    <m:t>2</m:t>
                  </m:r>
                  <m:r>
                    <m:rPr>
                      <m:sty m:val="b"/>
                    </m:rPr>
                    <w:rPr>
                      <w:rFonts w:ascii="Cambria Math" w:eastAsia="Aptos" w:hAnsi="Cambria Math" w:cs="Calibri"/>
                      <w:color w:val="0E2841" w:themeColor="text2"/>
                      <w:szCs w:val="22"/>
                    </w:rPr>
                    <m:t>∙</m:t>
                  </m:r>
                  <m:r>
                    <m:rPr>
                      <m:sty m:val="b"/>
                    </m:rPr>
                    <w:rPr>
                      <w:rFonts w:ascii="Cambria Math" w:eastAsia="Aptos" w:hAnsi="Cambria Math" w:cs="Calibri"/>
                      <w:color w:val="0E2841" w:themeColor="text2"/>
                      <w:szCs w:val="22"/>
                    </w:rPr>
                    <m:t>S</m:t>
                  </m:r>
                </m:e>
                <m:sub>
                  <m:r>
                    <m:rPr>
                      <m:sty m:val="b"/>
                    </m:rPr>
                    <w:rPr>
                      <w:rFonts w:ascii="Cambria Math" w:eastAsia="Aptos" w:hAnsi="Cambria Math" w:cs="Calibri"/>
                      <w:color w:val="0E2841" w:themeColor="text2"/>
                      <w:szCs w:val="22"/>
                    </w:rPr>
                    <m:t>diversit</m:t>
                  </m:r>
                  <m:r>
                    <m:rPr>
                      <m:sty m:val="b"/>
                    </m:rPr>
                    <w:rPr>
                      <w:rFonts w:ascii="Cambria Math" w:eastAsia="Aptos" w:hAnsi="Cambria Math" w:cs="Calibri"/>
                      <w:color w:val="0E2841" w:themeColor="text2"/>
                      <w:szCs w:val="22"/>
                    </w:rPr>
                    <m:t xml:space="preserve">é </m:t>
                  </m:r>
                  <m:r>
                    <m:rPr>
                      <m:sty m:val="b"/>
                    </m:rPr>
                    <w:rPr>
                      <w:rFonts w:ascii="Cambria Math" w:eastAsia="Aptos" w:hAnsi="Cambria Math" w:cs="Calibri"/>
                      <w:color w:val="0E2841" w:themeColor="text2"/>
                      <w:szCs w:val="22"/>
                    </w:rPr>
                    <m:t>n</m:t>
                  </m:r>
                  <m:r>
                    <m:rPr>
                      <m:sty m:val="b"/>
                    </m:rPr>
                    <w:rPr>
                      <w:rFonts w:ascii="Cambria Math" w:eastAsia="Aptos" w:hAnsi="Cambria Math" w:cs="Calibri"/>
                      <w:color w:val="0E2841" w:themeColor="text2"/>
                      <w:szCs w:val="22"/>
                    </w:rPr>
                    <m:t>é</m:t>
                  </m:r>
                  <m:r>
                    <m:rPr>
                      <m:sty m:val="b"/>
                    </m:rPr>
                    <w:rPr>
                      <w:rFonts w:ascii="Cambria Math" w:eastAsia="Aptos" w:hAnsi="Cambria Math" w:cs="Calibri"/>
                      <w:color w:val="0E2841" w:themeColor="text2"/>
                      <w:szCs w:val="22"/>
                    </w:rPr>
                    <m:t>m</m:t>
                  </m:r>
                </m:sub>
              </m:sSub>
              <m:r>
                <m:rPr>
                  <m:sty m:val="b"/>
                </m:rPr>
                <w:rPr>
                  <w:rFonts w:ascii="Cambria Math" w:eastAsia="Aptos" w:hAnsi="Cambria Math" w:cs="Calibri"/>
                  <w:color w:val="0E2841" w:themeColor="text2"/>
                  <w:szCs w:val="22"/>
                </w:rPr>
                <m:t xml:space="preserve"> </m:t>
              </m:r>
            </m:oMath>
            <w:r w:rsidR="000A0208" w:rsidRPr="4023C0D8">
              <w:rPr>
                <w:rFonts w:ascii="Cambria Math" w:eastAsia="Aptos" w:hAnsi="Cambria Math" w:cs="Calibri"/>
                <w:b/>
                <w:color w:val="0E2841" w:themeColor="text2"/>
              </w:rPr>
              <w:t xml:space="preserve"> </w:t>
            </w:r>
          </w:p>
        </w:tc>
        <w:tc>
          <w:tcPr>
            <w:tcW w:w="425" w:type="dxa"/>
            <w:tcBorders>
              <w:left w:val="nil"/>
              <w:right w:val="single" w:sz="12" w:space="0" w:color="auto"/>
            </w:tcBorders>
            <w:shd w:val="clear" w:color="auto" w:fill="F9F9F9"/>
            <w:vAlign w:val="center"/>
          </w:tcPr>
          <w:p w14:paraId="0B54E636" w14:textId="77777777" w:rsidR="000A0208" w:rsidRPr="005F54C6" w:rsidRDefault="000A0208" w:rsidP="004306AE">
            <w:pPr>
              <w:tabs>
                <w:tab w:val="left" w:pos="496"/>
              </w:tabs>
              <w:jc w:val="center"/>
              <w:rPr>
                <w:rFonts w:eastAsia="Aptos" w:cs="Calibri"/>
                <w:iCs/>
                <w:color w:val="0E2841" w:themeColor="text2"/>
                <w:sz w:val="16"/>
                <w:szCs w:val="16"/>
              </w:rPr>
            </w:pPr>
          </w:p>
        </w:tc>
      </w:tr>
      <w:tr w:rsidR="000A0208" w:rsidRPr="0086079F" w14:paraId="2B25E141" w14:textId="77777777" w:rsidTr="004306AE">
        <w:trPr>
          <w:trHeight w:val="235"/>
        </w:trPr>
        <w:tc>
          <w:tcPr>
            <w:tcW w:w="1413" w:type="dxa"/>
            <w:vAlign w:val="center"/>
          </w:tcPr>
          <w:p w14:paraId="3702AAB3" w14:textId="77777777" w:rsidR="000A0208" w:rsidRPr="00605A71" w:rsidRDefault="000A0208" w:rsidP="004306AE">
            <w:pPr>
              <w:tabs>
                <w:tab w:val="left" w:pos="496"/>
              </w:tabs>
              <w:jc w:val="left"/>
              <w:rPr>
                <w:rFonts w:ascii="Cambria Math" w:hAnsi="Cambria Math" w:cs="Calibri"/>
                <w:b/>
                <w:bCs/>
                <w:color w:val="0E2841" w:themeColor="text2"/>
                <w:sz w:val="20"/>
                <w:szCs w:val="20"/>
              </w:rPr>
            </w:pPr>
            <w:r>
              <w:rPr>
                <w:rFonts w:ascii="Cambria Math" w:hAnsi="Cambria Math" w:cs="Calibri"/>
                <w:b/>
                <w:bCs/>
                <w:color w:val="0E2841" w:themeColor="text2"/>
                <w:sz w:val="20"/>
                <w:szCs w:val="20"/>
              </w:rPr>
              <w:t>Abondance</w:t>
            </w:r>
          </w:p>
        </w:tc>
        <w:tc>
          <w:tcPr>
            <w:tcW w:w="425" w:type="dxa"/>
            <w:tcBorders>
              <w:bottom w:val="dashSmallGap" w:sz="4" w:space="0" w:color="0E2841" w:themeColor="text2"/>
              <w:right w:val="nil"/>
            </w:tcBorders>
            <w:vAlign w:val="center"/>
          </w:tcPr>
          <w:p w14:paraId="7C5B6738" w14:textId="77777777" w:rsidR="000A0208" w:rsidRPr="00FD5BE2"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5993D983" w14:textId="77777777" w:rsidR="000A0208" w:rsidRPr="00112BFE" w:rsidRDefault="00AA1F57" w:rsidP="004306AE">
            <w:pPr>
              <w:tabs>
                <w:tab w:val="left" w:pos="496"/>
              </w:tabs>
              <w:jc w:val="left"/>
              <w:rPr>
                <w:rFonts w:ascii="Cambria Math" w:hAnsi="Cambria Math" w:cs="Calibri"/>
                <w:color w:val="0E2841" w:themeColor="text2"/>
                <w:sz w:val="18"/>
                <w:szCs w:val="18"/>
              </w:rPr>
            </w:pPr>
            <m:oMathPara>
              <m:oMathParaPr>
                <m:jc m:val="left"/>
              </m:oMathParaPr>
              <m:oMath>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abondance mic</m:t>
                    </m:r>
                  </m:sub>
                </m:sSub>
                <m:r>
                  <m:rPr>
                    <m:sty m:val="p"/>
                  </m:rPr>
                  <w:rPr>
                    <w:rFonts w:ascii="Cambria Math" w:hAnsi="Cambria Math" w:cs="Calibri"/>
                    <w:sz w:val="18"/>
                    <w:szCs w:val="18"/>
                  </w:rPr>
                  <m:t>=</m:t>
                </m:r>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μ (Score</m:t>
                    </m:r>
                  </m:e>
                  <m:sub>
                    <m:r>
                      <m:rPr>
                        <m:sty m:val="p"/>
                      </m:rPr>
                      <w:rPr>
                        <w:rFonts w:ascii="Cambria Math" w:eastAsia="Aptos" w:hAnsi="Cambria Math" w:cs="Calibri"/>
                        <w:sz w:val="18"/>
                        <w:szCs w:val="18"/>
                      </w:rPr>
                      <m:t>biomasse mic</m:t>
                    </m:r>
                  </m:sub>
                </m:sSub>
                <m:r>
                  <m:rPr>
                    <m:sty m:val="p"/>
                  </m:rPr>
                  <w:rPr>
                    <w:rFonts w:ascii="Cambria Math" w:eastAsia="Aptos" w:hAnsi="Cambria Math" w:cs="Calibri"/>
                    <w:sz w:val="18"/>
                    <w:szCs w:val="18"/>
                  </w:rPr>
                  <m:t xml:space="preserve"> ;</m:t>
                </m:r>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Score</m:t>
                    </m:r>
                  </m:e>
                  <m:sub>
                    <m:r>
                      <m:rPr>
                        <m:sty m:val="p"/>
                      </m:rPr>
                      <w:rPr>
                        <w:rFonts w:ascii="Cambria Math" w:eastAsia="Aptos" w:hAnsi="Cambria Math" w:cs="Calibri"/>
                        <w:sz w:val="18"/>
                        <w:szCs w:val="18"/>
                      </w:rPr>
                      <m:t>quotient mic</m:t>
                    </m:r>
                  </m:sub>
                </m:sSub>
                <m:r>
                  <w:rPr>
                    <w:rFonts w:ascii="Cambria Math" w:eastAsia="Aptos" w:hAnsi="Cambria Math" w:cs="Calibri"/>
                    <w:sz w:val="18"/>
                    <w:szCs w:val="18"/>
                  </w:rPr>
                  <m:t>)</m:t>
                </m:r>
              </m:oMath>
            </m:oMathPara>
          </w:p>
        </w:tc>
        <w:tc>
          <w:tcPr>
            <w:tcW w:w="425" w:type="dxa"/>
            <w:tcBorders>
              <w:left w:val="nil"/>
              <w:bottom w:val="dashSmallGap" w:sz="4" w:space="0" w:color="0E2841" w:themeColor="text2"/>
              <w:right w:val="single" w:sz="12" w:space="0" w:color="auto"/>
            </w:tcBorders>
            <w:vAlign w:val="center"/>
          </w:tcPr>
          <w:p w14:paraId="180C4E55" w14:textId="77777777" w:rsidR="000A0208" w:rsidRPr="005F54C6" w:rsidRDefault="000A0208" w:rsidP="004306AE">
            <w:pPr>
              <w:tabs>
                <w:tab w:val="left" w:pos="496"/>
              </w:tabs>
              <w:jc w:val="center"/>
              <w:rPr>
                <w:rFonts w:eastAsia="Aptos" w:cs="Calibri"/>
                <w:iCs/>
                <w:sz w:val="16"/>
                <w:szCs w:val="16"/>
              </w:rPr>
            </w:pPr>
          </w:p>
        </w:tc>
      </w:tr>
      <w:tr w:rsidR="000A0208" w:rsidRPr="0086079F" w14:paraId="01413EAB" w14:textId="77777777" w:rsidTr="004306AE">
        <w:trPr>
          <w:trHeight w:val="235"/>
        </w:trPr>
        <w:tc>
          <w:tcPr>
            <w:tcW w:w="1413" w:type="dxa"/>
            <w:vAlign w:val="center"/>
          </w:tcPr>
          <w:p w14:paraId="673F544D" w14:textId="77777777" w:rsidR="000A0208" w:rsidRPr="00605A71" w:rsidRDefault="000A0208" w:rsidP="004306AE">
            <w:pPr>
              <w:tabs>
                <w:tab w:val="left" w:pos="496"/>
              </w:tabs>
              <w:jc w:val="left"/>
              <w:rPr>
                <w:rFonts w:ascii="Cambria Math" w:hAnsi="Cambria Math" w:cs="Calibri"/>
                <w:b/>
                <w:bCs/>
                <w:color w:val="0E2841" w:themeColor="text2"/>
                <w:sz w:val="20"/>
                <w:szCs w:val="20"/>
              </w:rPr>
            </w:pPr>
            <w:r>
              <w:rPr>
                <w:rFonts w:ascii="Cambria Math" w:hAnsi="Cambria Math" w:cs="Calibri"/>
                <w:b/>
                <w:bCs/>
                <w:color w:val="0E2841" w:themeColor="text2"/>
                <w:sz w:val="20"/>
                <w:szCs w:val="20"/>
              </w:rPr>
              <w:t>Diversité</w:t>
            </w:r>
          </w:p>
        </w:tc>
        <w:tc>
          <w:tcPr>
            <w:tcW w:w="425" w:type="dxa"/>
            <w:tcBorders>
              <w:top w:val="dashSmallGap" w:sz="4" w:space="0" w:color="0E2841" w:themeColor="text2"/>
              <w:bottom w:val="dashSmallGap" w:sz="4" w:space="0" w:color="0E2841" w:themeColor="text2"/>
              <w:right w:val="nil"/>
            </w:tcBorders>
            <w:vAlign w:val="center"/>
          </w:tcPr>
          <w:p w14:paraId="0391F813" w14:textId="77777777" w:rsidR="000A0208" w:rsidRPr="002448F6" w:rsidRDefault="000A0208" w:rsidP="004306AE">
            <w:pPr>
              <w:tabs>
                <w:tab w:val="left" w:pos="496"/>
              </w:tabs>
              <w:jc w:val="left"/>
              <w:rPr>
                <w:rFonts w:ascii="Cambria Math" w:hAnsi="Cambria Math" w:cs="Calibri"/>
                <w:color w:val="0E2841" w:themeColor="text2"/>
                <w:szCs w:val="22"/>
              </w:rPr>
            </w:pPr>
          </w:p>
        </w:tc>
        <w:tc>
          <w:tcPr>
            <w:tcW w:w="6804" w:type="dxa"/>
            <w:tcBorders>
              <w:top w:val="dashSmallGap" w:sz="4" w:space="0" w:color="0E2841" w:themeColor="text2"/>
              <w:left w:val="nil"/>
              <w:bottom w:val="dashSmallGap" w:sz="4" w:space="0" w:color="0E2841" w:themeColor="text2"/>
              <w:right w:val="nil"/>
            </w:tcBorders>
            <w:vAlign w:val="center"/>
          </w:tcPr>
          <w:p w14:paraId="11E6AC2C" w14:textId="77777777" w:rsidR="000A0208" w:rsidRPr="00F87184" w:rsidRDefault="00AA1F57" w:rsidP="004306AE">
            <w:pPr>
              <w:tabs>
                <w:tab w:val="left" w:pos="496"/>
              </w:tabs>
              <w:jc w:val="left"/>
              <w:rPr>
                <w:rFonts w:ascii="Cambria Math" w:hAnsi="Cambria Math" w:cs="Calibri"/>
                <w:iCs/>
                <w:color w:val="0E2841" w:themeColor="text2"/>
                <w:szCs w:val="22"/>
              </w:rPr>
            </w:pPr>
            <m:oMathPara>
              <m:oMathParaPr>
                <m:jc m:val="left"/>
              </m:oMathParaPr>
              <m:oMath>
                <m:sSub>
                  <m:sSubPr>
                    <m:ctrlPr>
                      <w:rPr>
                        <w:rFonts w:ascii="Cambria Math" w:eastAsia="Cambria Math" w:hAnsi="Cambria Math" w:cs="Calibri"/>
                        <w:iCs/>
                        <w:sz w:val="18"/>
                        <w:szCs w:val="18"/>
                      </w:rPr>
                    </m:ctrlPr>
                  </m:sSubPr>
                  <m:e>
                    <m:sSub>
                      <m:sSubPr>
                        <m:ctrlPr>
                          <w:rPr>
                            <w:rFonts w:ascii="Cambria Math" w:eastAsia="Cambria Math" w:hAnsi="Cambria Math" w:cs="Calibri"/>
                            <w:iCs/>
                            <w:sz w:val="18"/>
                            <w:szCs w:val="18"/>
                          </w:rPr>
                        </m:ctrlPr>
                      </m:sSubPr>
                      <m:e>
                        <m:r>
                          <m:rPr>
                            <m:sty m:val="p"/>
                          </m:rPr>
                          <w:rPr>
                            <w:rFonts w:ascii="Cambria Math" w:eastAsia="Cambria Math" w:hAnsi="Cambria Math" w:cs="Calibri"/>
                            <w:sz w:val="18"/>
                            <w:szCs w:val="18"/>
                          </w:rPr>
                          <m:t>S</m:t>
                        </m:r>
                      </m:e>
                      <m:sub>
                        <m:r>
                          <m:rPr>
                            <m:sty m:val="p"/>
                          </m:rPr>
                          <w:rPr>
                            <w:rFonts w:ascii="Cambria Math" w:eastAsia="Cambria Math" w:hAnsi="Cambria Math" w:cs="Calibri"/>
                            <w:sz w:val="18"/>
                            <w:szCs w:val="18"/>
                          </w:rPr>
                          <m:t>diversité ném</m:t>
                        </m:r>
                      </m:sub>
                    </m:sSub>
                    <m:r>
                      <m:rPr>
                        <m:sty m:val="p"/>
                      </m:rPr>
                      <w:rPr>
                        <w:rFonts w:ascii="Cambria Math" w:eastAsia="Cambria Math" w:hAnsi="Cambria Math" w:cs="Calibri"/>
                        <w:sz w:val="18"/>
                        <w:szCs w:val="18"/>
                      </w:rPr>
                      <m:t xml:space="preserve"> = </m:t>
                    </m:r>
                    <m:r>
                      <m:rPr>
                        <m:sty m:val="p"/>
                      </m:rPr>
                      <w:rPr>
                        <w:rFonts w:ascii="Cambria Math" w:eastAsia="Aptos" w:hAnsi="Cambria Math" w:cs="Calibri"/>
                        <w:sz w:val="18"/>
                        <w:szCs w:val="18"/>
                      </w:rPr>
                      <m:t xml:space="preserve">μ </m:t>
                    </m:r>
                    <m:r>
                      <m:rPr>
                        <m:sty m:val="p"/>
                      </m:rPr>
                      <w:rPr>
                        <w:rFonts w:ascii="Cambria Math" w:eastAsia="Cambria Math" w:hAnsi="Cambria Math" w:cs="Calibri"/>
                        <w:sz w:val="18"/>
                        <w:szCs w:val="18"/>
                      </w:rPr>
                      <m:t>(Score</m:t>
                    </m:r>
                  </m:e>
                  <m:sub>
                    <m:r>
                      <m:rPr>
                        <m:sty m:val="p"/>
                      </m:rPr>
                      <w:rPr>
                        <w:rFonts w:ascii="Cambria Math" w:eastAsia="Cambria Math" w:hAnsi="Cambria Math" w:cs="Calibri"/>
                        <w:sz w:val="18"/>
                        <w:szCs w:val="18"/>
                      </w:rPr>
                      <m:t>ném Shannon</m:t>
                    </m:r>
                  </m:sub>
                </m:sSub>
                <m:r>
                  <m:rPr>
                    <m:sty m:val="p"/>
                  </m:rPr>
                  <w:rPr>
                    <w:rFonts w:ascii="Cambria Math" w:eastAsia="Cambria Math" w:hAnsi="Cambria Math" w:cs="Calibri"/>
                    <w:sz w:val="18"/>
                    <w:szCs w:val="18"/>
                  </w:rPr>
                  <m:t xml:space="preserve"> ; </m:t>
                </m:r>
                <m:sSub>
                  <m:sSubPr>
                    <m:ctrlPr>
                      <w:rPr>
                        <w:rFonts w:ascii="Cambria Math" w:eastAsia="Cambria Math" w:hAnsi="Cambria Math" w:cs="Calibri"/>
                        <w:iCs/>
                        <w:sz w:val="18"/>
                        <w:szCs w:val="18"/>
                      </w:rPr>
                    </m:ctrlPr>
                  </m:sSubPr>
                  <m:e>
                    <m:r>
                      <m:rPr>
                        <m:sty m:val="p"/>
                      </m:rPr>
                      <w:rPr>
                        <w:rFonts w:ascii="Cambria Math" w:eastAsia="Cambria Math" w:hAnsi="Cambria Math" w:cs="Calibri"/>
                        <w:sz w:val="18"/>
                        <w:szCs w:val="18"/>
                      </w:rPr>
                      <m:t>Score</m:t>
                    </m:r>
                  </m:e>
                  <m:sub>
                    <m:r>
                      <m:rPr>
                        <m:sty m:val="p"/>
                      </m:rPr>
                      <w:rPr>
                        <w:rFonts w:ascii="Cambria Math" w:eastAsia="Cambria Math" w:hAnsi="Cambria Math" w:cs="Calibri"/>
                        <w:sz w:val="18"/>
                        <w:szCs w:val="18"/>
                      </w:rPr>
                      <m:t>ném SI</m:t>
                    </m:r>
                  </m:sub>
                </m:sSub>
                <m:r>
                  <m:rPr>
                    <m:sty m:val="p"/>
                  </m:rPr>
                  <w:rPr>
                    <w:rFonts w:ascii="Cambria Math" w:eastAsia="Cambria Math" w:hAnsi="Cambria Math" w:cs="Calibri"/>
                    <w:sz w:val="18"/>
                    <w:szCs w:val="18"/>
                  </w:rPr>
                  <m:t>)</m:t>
                </m:r>
              </m:oMath>
            </m:oMathPara>
          </w:p>
        </w:tc>
        <w:tc>
          <w:tcPr>
            <w:tcW w:w="425" w:type="dxa"/>
            <w:tcBorders>
              <w:top w:val="dashSmallGap" w:sz="4" w:space="0" w:color="0E2841" w:themeColor="text2"/>
              <w:left w:val="nil"/>
              <w:bottom w:val="dashSmallGap" w:sz="4" w:space="0" w:color="0E2841" w:themeColor="text2"/>
              <w:right w:val="single" w:sz="12" w:space="0" w:color="auto"/>
            </w:tcBorders>
            <w:vAlign w:val="center"/>
          </w:tcPr>
          <w:p w14:paraId="5967E176" w14:textId="77777777" w:rsidR="000A0208" w:rsidRPr="005F54C6" w:rsidRDefault="000A0208" w:rsidP="004306AE">
            <w:pPr>
              <w:tabs>
                <w:tab w:val="left" w:pos="496"/>
              </w:tabs>
              <w:jc w:val="center"/>
              <w:rPr>
                <w:rFonts w:eastAsia="Aptos" w:cs="Calibri"/>
                <w:iCs/>
                <w:sz w:val="16"/>
                <w:szCs w:val="16"/>
              </w:rPr>
            </w:pPr>
          </w:p>
        </w:tc>
      </w:tr>
      <w:tr w:rsidR="000A0208" w:rsidRPr="000829EE" w14:paraId="44D6EEF2" w14:textId="77777777" w:rsidTr="004306AE">
        <w:trPr>
          <w:trHeight w:val="235"/>
        </w:trPr>
        <w:tc>
          <w:tcPr>
            <w:tcW w:w="8642" w:type="dxa"/>
            <w:gridSpan w:val="3"/>
            <w:tcBorders>
              <w:right w:val="nil"/>
            </w:tcBorders>
            <w:shd w:val="clear" w:color="auto" w:fill="0E2841" w:themeFill="text2"/>
            <w:vAlign w:val="center"/>
          </w:tcPr>
          <w:p w14:paraId="0DDC476E" w14:textId="77777777" w:rsidR="000A0208" w:rsidRPr="00A351CD" w:rsidRDefault="000A0208" w:rsidP="004306AE">
            <w:pPr>
              <w:tabs>
                <w:tab w:val="left" w:pos="496"/>
              </w:tabs>
              <w:jc w:val="left"/>
              <w:rPr>
                <w:rFonts w:ascii="Cambria Math" w:hAnsi="Cambria Math" w:cs="Calibri"/>
                <w:sz w:val="24"/>
              </w:rPr>
            </w:pPr>
            <w:r w:rsidRPr="00A351CD">
              <w:rPr>
                <w:rFonts w:ascii="Cambria Math" w:hAnsi="Cambria Math" w:cs="Calibri"/>
                <w:sz w:val="24"/>
              </w:rPr>
              <w:t>Stockage de carbone</w:t>
            </w:r>
          </w:p>
        </w:tc>
        <w:tc>
          <w:tcPr>
            <w:tcW w:w="425" w:type="dxa"/>
            <w:tcBorders>
              <w:left w:val="nil"/>
              <w:right w:val="single" w:sz="12" w:space="0" w:color="auto"/>
            </w:tcBorders>
            <w:shd w:val="clear" w:color="auto" w:fill="0E2841" w:themeFill="text2"/>
            <w:vAlign w:val="center"/>
          </w:tcPr>
          <w:p w14:paraId="56ACF8F0" w14:textId="77777777" w:rsidR="000A0208" w:rsidRPr="005F54C6" w:rsidRDefault="000A0208" w:rsidP="004306AE">
            <w:pPr>
              <w:tabs>
                <w:tab w:val="left" w:pos="496"/>
              </w:tabs>
              <w:jc w:val="center"/>
              <w:rPr>
                <w:rFonts w:cs="Calibri"/>
                <w:sz w:val="16"/>
                <w:szCs w:val="16"/>
              </w:rPr>
            </w:pPr>
          </w:p>
        </w:tc>
      </w:tr>
      <w:tr w:rsidR="000A0208" w:rsidRPr="00A37B95" w14:paraId="7DBF00C1" w14:textId="77777777" w:rsidTr="004306AE">
        <w:trPr>
          <w:trHeight w:val="278"/>
        </w:trPr>
        <w:tc>
          <w:tcPr>
            <w:tcW w:w="8642" w:type="dxa"/>
            <w:gridSpan w:val="3"/>
            <w:tcBorders>
              <w:right w:val="nil"/>
            </w:tcBorders>
            <w:shd w:val="clear" w:color="auto" w:fill="F9F9F9"/>
            <w:vAlign w:val="center"/>
          </w:tcPr>
          <w:p w14:paraId="04999901" w14:textId="77777777" w:rsidR="000A0208" w:rsidRPr="00A37B95" w:rsidRDefault="00AA1F57" w:rsidP="004306AE">
            <w:pPr>
              <w:tabs>
                <w:tab w:val="left" w:pos="496"/>
              </w:tabs>
              <w:jc w:val="left"/>
              <w:rPr>
                <w:rFonts w:ascii="Cambria Math" w:eastAsia="Aptos" w:hAnsi="Cambria Math" w:cs="Calibri"/>
                <w:b/>
                <w:bCs/>
                <w:color w:val="0E2841" w:themeColor="text2"/>
                <w:szCs w:val="22"/>
              </w:rPr>
            </w:pPr>
            <m:oMathPara>
              <m:oMathParaPr>
                <m:jc m:val="left"/>
              </m:oMathParaPr>
              <m:oMath>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Stockage</m:t>
                    </m:r>
                    <m:r>
                      <m:rPr>
                        <m:sty m:val="b"/>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de</m:t>
                    </m:r>
                    <m:r>
                      <m:rPr>
                        <m:sty m:val="b"/>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C</m:t>
                    </m:r>
                  </m:sub>
                </m:sSub>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0</m:t>
                </m:r>
                <m:r>
                  <m:rPr>
                    <m:sty m:val="b"/>
                  </m:rPr>
                  <w:rPr>
                    <w:rFonts w:ascii="Cambria Math" w:hAnsi="Cambria Math" w:cs="Calibri"/>
                    <w:color w:val="0E2841" w:themeColor="text2"/>
                    <w:szCs w:val="22"/>
                  </w:rPr>
                  <m:t>;</m:t>
                </m:r>
                <m:r>
                  <m:rPr>
                    <m:sty m:val="b"/>
                  </m:rPr>
                  <w:rPr>
                    <w:rFonts w:ascii="Cambria Math" w:hAnsi="Cambria Math" w:cs="Calibri"/>
                    <w:color w:val="0E2841" w:themeColor="text2"/>
                    <w:szCs w:val="22"/>
                  </w:rPr>
                  <m:t>5</m:t>
                </m:r>
                <m:r>
                  <m:rPr>
                    <m:sty m:val="b"/>
                  </m:rPr>
                  <w:rPr>
                    <w:rFonts w:ascii="Cambria Math" w:hAnsi="Cambria Math" w:cs="Calibri"/>
                    <w:color w:val="0E2841" w:themeColor="text2"/>
                    <w:szCs w:val="22"/>
                  </w:rPr>
                  <m:t>]=</m:t>
                </m:r>
                <m:sSub>
                  <m:sSubPr>
                    <m:ctrlPr>
                      <w:rPr>
                        <w:rFonts w:ascii="Cambria Math" w:eastAsia="Aptos" w:hAnsi="Cambria Math" w:cs="Calibri"/>
                        <w:b/>
                        <w:bCs/>
                        <w:iCs/>
                        <w:color w:val="0E2841" w:themeColor="text2"/>
                        <w:szCs w:val="22"/>
                      </w:rPr>
                    </m:ctrlPr>
                  </m:sSubPr>
                  <m:e>
                    <m:r>
                      <m:rPr>
                        <m:sty m:val="b"/>
                      </m:rPr>
                      <w:rPr>
                        <w:rFonts w:ascii="Cambria Math" w:eastAsia="Aptos" w:hAnsi="Cambria Math" w:cs="Calibri"/>
                        <w:color w:val="0E2841" w:themeColor="text2"/>
                        <w:szCs w:val="22"/>
                      </w:rPr>
                      <m:t>S</m:t>
                    </m:r>
                  </m:e>
                  <m:sub>
                    <m:r>
                      <m:rPr>
                        <m:sty m:val="b"/>
                      </m:rPr>
                      <w:rPr>
                        <w:rFonts w:ascii="Cambria Math" w:eastAsia="Aptos" w:hAnsi="Cambria Math" w:cs="Calibri"/>
                        <w:color w:val="0E2841" w:themeColor="text2"/>
                        <w:szCs w:val="22"/>
                      </w:rPr>
                      <m:t>stockage</m:t>
                    </m:r>
                  </m:sub>
                </m:sSub>
              </m:oMath>
            </m:oMathPara>
          </w:p>
        </w:tc>
        <w:tc>
          <w:tcPr>
            <w:tcW w:w="425" w:type="dxa"/>
            <w:tcBorders>
              <w:left w:val="nil"/>
              <w:right w:val="single" w:sz="12" w:space="0" w:color="auto"/>
            </w:tcBorders>
            <w:shd w:val="clear" w:color="auto" w:fill="F9F9F9"/>
            <w:vAlign w:val="center"/>
          </w:tcPr>
          <w:p w14:paraId="138F5BBC" w14:textId="77777777" w:rsidR="000A0208" w:rsidRPr="005F54C6" w:rsidRDefault="000A0208" w:rsidP="004306AE">
            <w:pPr>
              <w:tabs>
                <w:tab w:val="left" w:pos="496"/>
              </w:tabs>
              <w:jc w:val="center"/>
              <w:rPr>
                <w:rFonts w:eastAsia="Aptos" w:cs="Calibri"/>
                <w:color w:val="0E2841" w:themeColor="text2"/>
                <w:sz w:val="16"/>
                <w:szCs w:val="16"/>
              </w:rPr>
            </w:pPr>
          </w:p>
        </w:tc>
      </w:tr>
      <w:tr w:rsidR="000A0208" w:rsidRPr="0086079F" w14:paraId="75898400" w14:textId="77777777" w:rsidTr="004306AE">
        <w:trPr>
          <w:trHeight w:val="257"/>
        </w:trPr>
        <w:tc>
          <w:tcPr>
            <w:tcW w:w="1413" w:type="dxa"/>
            <w:vAlign w:val="center"/>
          </w:tcPr>
          <w:p w14:paraId="238CD491" w14:textId="77777777" w:rsidR="000A0208" w:rsidRPr="00605A71" w:rsidRDefault="000A0208" w:rsidP="004306AE">
            <w:pPr>
              <w:tabs>
                <w:tab w:val="left" w:pos="496"/>
              </w:tabs>
              <w:jc w:val="left"/>
              <w:rPr>
                <w:rFonts w:ascii="Cambria Math" w:hAnsi="Cambria Math" w:cs="Calibri"/>
                <w:b/>
                <w:bCs/>
                <w:color w:val="0E2841" w:themeColor="text2"/>
                <w:sz w:val="20"/>
                <w:szCs w:val="20"/>
              </w:rPr>
            </w:pPr>
            <w:r>
              <w:rPr>
                <w:rFonts w:ascii="Cambria Math" w:hAnsi="Cambria Math" w:cs="Calibri"/>
                <w:b/>
                <w:bCs/>
                <w:color w:val="0E2841" w:themeColor="text2"/>
                <w:sz w:val="20"/>
                <w:szCs w:val="20"/>
              </w:rPr>
              <w:t>Stockage</w:t>
            </w:r>
          </w:p>
        </w:tc>
        <w:tc>
          <w:tcPr>
            <w:tcW w:w="425" w:type="dxa"/>
            <w:tcBorders>
              <w:bottom w:val="single" w:sz="4" w:space="0" w:color="auto"/>
              <w:right w:val="nil"/>
            </w:tcBorders>
            <w:vAlign w:val="center"/>
          </w:tcPr>
          <w:p w14:paraId="6CC37A3E" w14:textId="77777777" w:rsidR="000A0208" w:rsidRPr="00FD5BE2"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single" w:sz="4" w:space="0" w:color="auto"/>
              <w:right w:val="nil"/>
            </w:tcBorders>
            <w:vAlign w:val="center"/>
          </w:tcPr>
          <w:p w14:paraId="223585E0" w14:textId="77777777" w:rsidR="000A0208" w:rsidRPr="00FA0F8D" w:rsidRDefault="00AA1F57" w:rsidP="004306AE">
            <w:pPr>
              <w:tabs>
                <w:tab w:val="left" w:pos="496"/>
              </w:tabs>
              <w:jc w:val="left"/>
              <w:rPr>
                <w:rFonts w:ascii="Cambria Math" w:hAnsi="Cambria Math" w:cs="Calibri"/>
                <w:color w:val="0E2841" w:themeColor="text2"/>
                <w:sz w:val="18"/>
                <w:szCs w:val="18"/>
              </w:rPr>
            </w:pPr>
            <m:oMathPara>
              <m:oMath>
                <m:sSub>
                  <m:sSubPr>
                    <m:ctrlPr>
                      <w:rPr>
                        <w:rFonts w:ascii="Cambria Math" w:hAnsi="Cambria Math" w:cs="Calibri"/>
                        <w:iCs/>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stockage</m:t>
                    </m:r>
                  </m:sub>
                </m:sSub>
                <m:r>
                  <m:rPr>
                    <m:sty m:val="p"/>
                  </m:rPr>
                  <w:rPr>
                    <w:rFonts w:ascii="Cambria Math" w:hAnsi="Cambria Math" w:cs="Calibri"/>
                    <w:sz w:val="18"/>
                    <w:szCs w:val="18"/>
                  </w:rPr>
                  <m:t>=</m:t>
                </m:r>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μ (Score</m:t>
                    </m:r>
                  </m:e>
                  <m:sub>
                    <m:r>
                      <m:rPr>
                        <m:sty m:val="p"/>
                      </m:rPr>
                      <w:rPr>
                        <w:rFonts w:ascii="Cambria Math" w:eastAsia="Aptos" w:hAnsi="Cambria Math" w:cs="Calibri"/>
                        <w:sz w:val="18"/>
                        <w:szCs w:val="18"/>
                      </w:rPr>
                      <m:t>stock C</m:t>
                    </m:r>
                  </m:sub>
                </m:sSub>
                <m:r>
                  <m:rPr>
                    <m:sty m:val="p"/>
                  </m:rPr>
                  <w:rPr>
                    <w:rFonts w:ascii="Cambria Math" w:eastAsia="Aptos" w:hAnsi="Cambria Math" w:cs="Calibri"/>
                    <w:sz w:val="18"/>
                    <w:szCs w:val="18"/>
                  </w:rPr>
                  <m:t xml:space="preserve"> ; </m:t>
                </m:r>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Score</m:t>
                    </m:r>
                  </m:e>
                  <m:sub>
                    <m:f>
                      <m:fPr>
                        <m:ctrlPr>
                          <w:rPr>
                            <w:rFonts w:ascii="Cambria Math" w:eastAsia="Aptos" w:hAnsi="Cambria Math" w:cs="Calibri"/>
                            <w:iCs/>
                            <w:sz w:val="18"/>
                            <w:szCs w:val="18"/>
                          </w:rPr>
                        </m:ctrlPr>
                      </m:fPr>
                      <m:num>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C</m:t>
                            </m:r>
                          </m:e>
                          <m:sub>
                            <m:r>
                              <m:rPr>
                                <m:sty m:val="p"/>
                              </m:rPr>
                              <w:rPr>
                                <w:rFonts w:ascii="Cambria Math" w:eastAsia="Aptos" w:hAnsi="Cambria Math" w:cs="Calibri"/>
                                <w:sz w:val="18"/>
                                <w:szCs w:val="18"/>
                              </w:rPr>
                              <m:t>org</m:t>
                            </m:r>
                          </m:sub>
                        </m:sSub>
                      </m:num>
                      <m:den>
                        <m:r>
                          <m:rPr>
                            <m:sty m:val="p"/>
                          </m:rPr>
                          <w:rPr>
                            <w:rFonts w:ascii="Cambria Math" w:eastAsia="Aptos" w:hAnsi="Cambria Math" w:cs="Calibri"/>
                            <w:sz w:val="18"/>
                            <w:szCs w:val="18"/>
                          </w:rPr>
                          <m:t>argile</m:t>
                        </m:r>
                      </m:den>
                    </m:f>
                  </m:sub>
                </m:sSub>
                <m:r>
                  <m:rPr>
                    <m:sty m:val="p"/>
                  </m:rPr>
                  <w:rPr>
                    <w:rFonts w:ascii="Cambria Math" w:eastAsia="Aptos" w:hAnsi="Cambria Math" w:cs="Calibri"/>
                    <w:sz w:val="18"/>
                    <w:szCs w:val="18"/>
                  </w:rPr>
                  <m:t>)</m:t>
                </m:r>
              </m:oMath>
            </m:oMathPara>
          </w:p>
        </w:tc>
        <w:tc>
          <w:tcPr>
            <w:tcW w:w="425" w:type="dxa"/>
            <w:tcBorders>
              <w:left w:val="nil"/>
              <w:bottom w:val="single" w:sz="4" w:space="0" w:color="auto"/>
              <w:right w:val="single" w:sz="12" w:space="0" w:color="auto"/>
            </w:tcBorders>
            <w:vAlign w:val="center"/>
          </w:tcPr>
          <w:p w14:paraId="7A5DA4D5" w14:textId="77777777" w:rsidR="000A0208" w:rsidRPr="005F54C6" w:rsidRDefault="000A0208" w:rsidP="004306AE">
            <w:pPr>
              <w:tabs>
                <w:tab w:val="left" w:pos="496"/>
              </w:tabs>
              <w:jc w:val="center"/>
              <w:rPr>
                <w:rFonts w:eastAsia="Aptos" w:cs="Calibri"/>
                <w:sz w:val="16"/>
                <w:szCs w:val="16"/>
              </w:rPr>
            </w:pPr>
          </w:p>
        </w:tc>
      </w:tr>
    </w:tbl>
    <w:p w14:paraId="3799E152" w14:textId="77777777" w:rsidR="000A0208" w:rsidRDefault="000A0208" w:rsidP="000A0208"/>
    <w:p w14:paraId="2565E13B" w14:textId="77777777" w:rsidR="000A0208" w:rsidRPr="006F6F00" w:rsidRDefault="000A0208" w:rsidP="000A0208">
      <w:pPr>
        <w:rPr>
          <w:rFonts w:ascii="Cambria Math" w:hAnsi="Cambria Math"/>
        </w:rPr>
      </w:pPr>
      <w:r w:rsidRPr="006F6F00">
        <w:rPr>
          <w:rFonts w:ascii="Cambria Math" w:hAnsi="Cambria Math"/>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1395"/>
        <w:gridCol w:w="7675"/>
      </w:tblGrid>
      <w:tr w:rsidR="000A0208" w:rsidRPr="00AE6299" w14:paraId="73BDE85D" w14:textId="77777777" w:rsidTr="0051081A">
        <w:trPr>
          <w:trHeight w:val="347"/>
        </w:trPr>
        <w:tc>
          <w:tcPr>
            <w:tcW w:w="1302" w:type="dxa"/>
            <w:vAlign w:val="center"/>
          </w:tcPr>
          <w:p w14:paraId="507E5120" w14:textId="77777777" w:rsidR="000A0208" w:rsidRPr="0051081A" w:rsidRDefault="00AA1F57" w:rsidP="004306AE">
            <w:pPr>
              <w:jc w:val="left"/>
              <w:rPr>
                <w:rFonts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SE</m:t>
                    </m:r>
                  </m:sub>
                </m:sSub>
              </m:oMath>
            </m:oMathPara>
          </w:p>
        </w:tc>
        <w:tc>
          <w:tcPr>
            <w:tcW w:w="7768" w:type="dxa"/>
            <w:vAlign w:val="center"/>
          </w:tcPr>
          <w:p w14:paraId="18FB1769" w14:textId="77777777" w:rsidR="000A0208" w:rsidRPr="0051081A" w:rsidRDefault="000A0208" w:rsidP="004306AE">
            <w:pPr>
              <w:jc w:val="left"/>
              <w:rPr>
                <w:rFonts w:cs="Calibri"/>
                <w:sz w:val="20"/>
                <w:szCs w:val="20"/>
              </w:rPr>
            </w:pPr>
            <w:r w:rsidRPr="0051081A">
              <w:rPr>
                <w:rFonts w:eastAsiaTheme="minorEastAsia" w:cs="Calibri"/>
                <w:sz w:val="20"/>
                <w:szCs w:val="20"/>
              </w:rPr>
              <w:t xml:space="preserve">Le score de service écosystémique (ex : </w:t>
            </w:r>
            <m:oMath>
              <m:sSub>
                <m:sSubPr>
                  <m:ctrlPr>
                    <w:rPr>
                      <w:rFonts w:ascii="Cambria Math" w:hAnsi="Cambria Math" w:cs="Calibri"/>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Production</m:t>
                  </m:r>
                </m:sub>
              </m:sSub>
            </m:oMath>
            <w:r w:rsidRPr="0051081A">
              <w:rPr>
                <w:rFonts w:eastAsiaTheme="minorEastAsia" w:cs="Calibri"/>
                <w:sz w:val="20"/>
                <w:szCs w:val="20"/>
              </w:rPr>
              <w:t>) [0 ;5] ;</w:t>
            </w:r>
          </w:p>
        </w:tc>
      </w:tr>
      <w:tr w:rsidR="000A0208" w:rsidRPr="00AE6299" w14:paraId="7196A912" w14:textId="77777777" w:rsidTr="004306AE">
        <w:trPr>
          <w:trHeight w:val="340"/>
        </w:trPr>
        <w:tc>
          <w:tcPr>
            <w:tcW w:w="1302" w:type="dxa"/>
            <w:vAlign w:val="center"/>
          </w:tcPr>
          <w:p w14:paraId="57883417" w14:textId="77777777" w:rsidR="000A0208" w:rsidRPr="0051081A" w:rsidRDefault="00AA1F57" w:rsidP="004306AE">
            <w:pPr>
              <w:jc w:val="left"/>
              <w:rPr>
                <w:rFonts w:eastAsiaTheme="minorEastAsia" w:cs="Calibri"/>
                <w:sz w:val="20"/>
                <w:szCs w:val="20"/>
              </w:rPr>
            </w:pPr>
            <m:oMathPara>
              <m:oMathParaPr>
                <m:jc m:val="left"/>
              </m:oMathParaPr>
              <m:oMath>
                <m:sSub>
                  <m:sSubPr>
                    <m:ctrlPr>
                      <w:rPr>
                        <w:rFonts w:ascii="Cambria Math" w:eastAsiaTheme="minorEastAsia" w:hAnsi="Cambria Math" w:cs="Calibri"/>
                        <w:sz w:val="20"/>
                        <w:szCs w:val="20"/>
                      </w:rPr>
                    </m:ctrlPr>
                  </m:sSubPr>
                  <m:e>
                    <m:r>
                      <m:rPr>
                        <m:sty m:val="p"/>
                      </m:rPr>
                      <w:rPr>
                        <w:rFonts w:ascii="Cambria Math" w:eastAsiaTheme="minorEastAsia" w:hAnsi="Cambria Math" w:cs="Calibri"/>
                        <w:sz w:val="20"/>
                        <w:szCs w:val="20"/>
                      </w:rPr>
                      <m:t>S</m:t>
                    </m:r>
                  </m:e>
                  <m:sub>
                    <m:r>
                      <m:rPr>
                        <m:sty m:val="p"/>
                      </m:rPr>
                      <w:rPr>
                        <w:rFonts w:ascii="Cambria Math" w:eastAsiaTheme="minorEastAsia" w:hAnsi="Cambria Math" w:cs="Calibri"/>
                        <w:sz w:val="20"/>
                        <w:szCs w:val="20"/>
                      </w:rPr>
                      <m:t>fonction</m:t>
                    </m:r>
                  </m:sub>
                </m:sSub>
              </m:oMath>
            </m:oMathPara>
          </w:p>
        </w:tc>
        <w:tc>
          <w:tcPr>
            <w:tcW w:w="7768" w:type="dxa"/>
            <w:vAlign w:val="center"/>
          </w:tcPr>
          <w:p w14:paraId="1F433D62" w14:textId="764C34F5" w:rsidR="000A0208" w:rsidRPr="0051081A" w:rsidRDefault="000A0208" w:rsidP="004306AE">
            <w:pPr>
              <w:jc w:val="left"/>
              <w:rPr>
                <w:rFonts w:eastAsiaTheme="minorEastAsia" w:cs="Calibri"/>
                <w:sz w:val="20"/>
                <w:szCs w:val="20"/>
              </w:rPr>
            </w:pPr>
            <w:r w:rsidRPr="0051081A">
              <w:rPr>
                <w:rFonts w:eastAsiaTheme="minorEastAsia" w:cs="Calibri"/>
                <w:sz w:val="20"/>
                <w:szCs w:val="20"/>
              </w:rPr>
              <w:t xml:space="preserve">Le score de fonction (ex : </w:t>
            </w:r>
            <m:oMath>
              <m:sSub>
                <m:sSubPr>
                  <m:ctrlPr>
                    <w:rPr>
                      <w:rFonts w:ascii="Cambria Math" w:hAnsi="Cambria Math" w:cs="Calibri"/>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fourniture en nutriments</m:t>
                  </m:r>
                </m:sub>
              </m:sSub>
            </m:oMath>
            <w:r w:rsidRPr="0051081A">
              <w:rPr>
                <w:rFonts w:eastAsiaTheme="minorEastAsia" w:cs="Calibri"/>
                <w:sz w:val="20"/>
                <w:szCs w:val="20"/>
              </w:rPr>
              <w:t>) [0 ;5] ;</w:t>
            </w:r>
          </w:p>
        </w:tc>
      </w:tr>
      <w:tr w:rsidR="000A0208" w:rsidRPr="00AE6299" w14:paraId="0C69B656" w14:textId="77777777" w:rsidTr="0051081A">
        <w:trPr>
          <w:trHeight w:val="447"/>
        </w:trPr>
        <w:tc>
          <w:tcPr>
            <w:tcW w:w="1302" w:type="dxa"/>
            <w:vAlign w:val="center"/>
          </w:tcPr>
          <w:p w14:paraId="3BE11AE4" w14:textId="77777777" w:rsidR="000A0208" w:rsidRPr="0051081A" w:rsidRDefault="00AA1F57" w:rsidP="004306AE">
            <w:pPr>
              <w:jc w:val="left"/>
              <w:rPr>
                <w:rFonts w:eastAsiaTheme="minorEastAsia" w:cs="Calibri"/>
                <w:sz w:val="20"/>
                <w:szCs w:val="20"/>
              </w:rPr>
            </w:pPr>
            <m:oMathPara>
              <m:oMathParaPr>
                <m:jc m:val="left"/>
              </m:oMathParaPr>
              <m:oMath>
                <m:sSub>
                  <m:sSubPr>
                    <m:ctrlPr>
                      <w:rPr>
                        <w:rFonts w:ascii="Cambria Math" w:eastAsiaTheme="minorEastAsia" w:hAnsi="Cambria Math" w:cs="Calibri"/>
                        <w:sz w:val="20"/>
                        <w:szCs w:val="20"/>
                      </w:rPr>
                    </m:ctrlPr>
                  </m:sSubPr>
                  <m:e>
                    <m:r>
                      <m:rPr>
                        <m:sty m:val="p"/>
                      </m:rPr>
                      <w:rPr>
                        <w:rFonts w:ascii="Cambria Math" w:eastAsiaTheme="minorEastAsia" w:hAnsi="Cambria Math" w:cs="Calibri"/>
                        <w:sz w:val="20"/>
                        <w:szCs w:val="20"/>
                      </w:rPr>
                      <m:t>C</m:t>
                    </m:r>
                  </m:e>
                  <m:sub>
                    <m:r>
                      <m:rPr>
                        <m:sty m:val="p"/>
                      </m:rPr>
                      <w:rPr>
                        <w:rFonts w:ascii="Cambria Math" w:eastAsiaTheme="minorEastAsia" w:hAnsi="Cambria Math" w:cs="Calibri"/>
                        <w:sz w:val="20"/>
                        <w:szCs w:val="20"/>
                      </w:rPr>
                      <m:t>contrainte</m:t>
                    </m:r>
                  </m:sub>
                </m:sSub>
              </m:oMath>
            </m:oMathPara>
          </w:p>
        </w:tc>
        <w:tc>
          <w:tcPr>
            <w:tcW w:w="7768" w:type="dxa"/>
            <w:vAlign w:val="center"/>
          </w:tcPr>
          <w:p w14:paraId="45D16057" w14:textId="77777777" w:rsidR="000A0208" w:rsidRPr="0051081A" w:rsidRDefault="000A0208" w:rsidP="004306AE">
            <w:pPr>
              <w:jc w:val="left"/>
              <w:rPr>
                <w:rFonts w:eastAsiaTheme="minorEastAsia" w:cs="Calibri"/>
                <w:sz w:val="20"/>
                <w:szCs w:val="20"/>
              </w:rPr>
            </w:pPr>
            <w:r w:rsidRPr="0051081A">
              <w:rPr>
                <w:rFonts w:eastAsiaTheme="minorEastAsia" w:cs="Calibri"/>
                <w:sz w:val="20"/>
                <w:szCs w:val="20"/>
              </w:rPr>
              <w:t xml:space="preserve">Le coefficient de contrainte [0 ;1], lié à </w:t>
            </w:r>
            <m:oMath>
              <m:sSub>
                <m:sSubPr>
                  <m:ctrlPr>
                    <w:rPr>
                      <w:rFonts w:ascii="Cambria Math" w:hAnsi="Cambria Math" w:cs="Calibri"/>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pollution</m:t>
                  </m:r>
                </m:sub>
              </m:sSub>
            </m:oMath>
            <w:r w:rsidRPr="0051081A">
              <w:rPr>
                <w:rFonts w:eastAsiaTheme="minorEastAsia" w:cs="Calibri"/>
                <w:sz w:val="20"/>
                <w:szCs w:val="20"/>
              </w:rPr>
              <w:t xml:space="preserve"> (coefficient de pollution) et à </w:t>
            </w:r>
            <m:oMath>
              <m:sSub>
                <m:sSubPr>
                  <m:ctrlPr>
                    <w:rPr>
                      <w:rFonts w:ascii="Cambria Math" w:eastAsia="Cambria Math" w:hAnsi="Cambria Math" w:cs="Calibri"/>
                      <w:sz w:val="20"/>
                      <w:szCs w:val="20"/>
                    </w:rPr>
                  </m:ctrlPr>
                </m:sSubPr>
                <m:e>
                  <m:r>
                    <m:rPr>
                      <m:sty m:val="p"/>
                    </m:rPr>
                    <w:rPr>
                      <w:rFonts w:ascii="Cambria Math" w:eastAsia="Cambria Math" w:hAnsi="Cambria Math" w:cs="Calibri"/>
                      <w:sz w:val="20"/>
                      <w:szCs w:val="20"/>
                    </w:rPr>
                    <m:t>C</m:t>
                  </m:r>
                </m:e>
                <m:sub>
                  <m:r>
                    <m:rPr>
                      <m:sty m:val="p"/>
                    </m:rPr>
                    <w:rPr>
                      <w:rFonts w:ascii="Cambria Math" w:eastAsia="Cambria Math" w:hAnsi="Cambria Math" w:cs="Calibri"/>
                      <w:sz w:val="20"/>
                      <w:szCs w:val="20"/>
                    </w:rPr>
                    <m:t>EEE</m:t>
                  </m:r>
                </m:sub>
              </m:sSub>
              <m:r>
                <w:rPr>
                  <w:rFonts w:ascii="Cambria Math" w:eastAsia="Cambria Math" w:hAnsi="Cambria Math" w:cs="Calibri"/>
                  <w:sz w:val="20"/>
                  <w:szCs w:val="20"/>
                </w:rPr>
                <m:t xml:space="preserve"> </m:t>
              </m:r>
            </m:oMath>
            <w:r w:rsidRPr="0051081A">
              <w:rPr>
                <w:rFonts w:eastAsiaTheme="minorEastAsia" w:cs="Calibri"/>
                <w:sz w:val="20"/>
                <w:szCs w:val="20"/>
              </w:rPr>
              <w:t>(coefficient EEE) ;</w:t>
            </w:r>
          </w:p>
        </w:tc>
      </w:tr>
      <w:tr w:rsidR="000A0208" w:rsidRPr="00AE6299" w14:paraId="62BA4957" w14:textId="77777777" w:rsidTr="0051081A">
        <w:trPr>
          <w:trHeight w:val="343"/>
        </w:trPr>
        <w:tc>
          <w:tcPr>
            <w:tcW w:w="1302" w:type="dxa"/>
            <w:vAlign w:val="center"/>
          </w:tcPr>
          <w:p w14:paraId="4E84B4B8" w14:textId="68A50269" w:rsidR="000A0208" w:rsidRPr="0051081A" w:rsidRDefault="00AA1F57" w:rsidP="004306AE">
            <w:pPr>
              <w:jc w:val="left"/>
              <w:rPr>
                <w:rFonts w:eastAsia="Times New Roman" w:cs="Calibri"/>
                <w:sz w:val="20"/>
                <w:szCs w:val="20"/>
              </w:rPr>
            </w:pPr>
            <m:oMathPara>
              <m:oMath>
                <m:sSub>
                  <m:sSubPr>
                    <m:ctrlPr>
                      <w:rPr>
                        <w:rFonts w:ascii="Cambria Math" w:eastAsiaTheme="minorEastAsia" w:hAnsi="Cambria Math" w:cs="Calibri"/>
                        <w:sz w:val="20"/>
                        <w:szCs w:val="20"/>
                      </w:rPr>
                    </m:ctrlPr>
                  </m:sSubPr>
                  <m:e>
                    <m:r>
                      <m:rPr>
                        <m:sty m:val="p"/>
                      </m:rPr>
                      <w:rPr>
                        <w:rFonts w:ascii="Cambria Math" w:eastAsiaTheme="minorEastAsia" w:hAnsi="Cambria Math" w:cs="Calibri"/>
                        <w:sz w:val="20"/>
                        <w:szCs w:val="20"/>
                      </w:rPr>
                      <m:t>Score</m:t>
                    </m:r>
                  </m:e>
                  <m:sub>
                    <m:r>
                      <m:rPr>
                        <m:sty m:val="p"/>
                      </m:rPr>
                      <w:rPr>
                        <w:rFonts w:ascii="Cambria Math" w:eastAsiaTheme="minorEastAsia" w:hAnsi="Cambria Math" w:cs="Calibri"/>
                        <w:sz w:val="20"/>
                        <w:szCs w:val="20"/>
                      </w:rPr>
                      <m:t>indicateur</m:t>
                    </m:r>
                  </m:sub>
                </m:sSub>
              </m:oMath>
            </m:oMathPara>
          </w:p>
        </w:tc>
        <w:tc>
          <w:tcPr>
            <w:tcW w:w="7768" w:type="dxa"/>
            <w:vAlign w:val="center"/>
          </w:tcPr>
          <w:p w14:paraId="5415C884" w14:textId="363A30DF" w:rsidR="000A0208" w:rsidRPr="0051081A" w:rsidRDefault="000A0208" w:rsidP="004306AE">
            <w:pPr>
              <w:jc w:val="left"/>
              <w:rPr>
                <w:rFonts w:eastAsiaTheme="minorEastAsia" w:cs="Calibri"/>
                <w:sz w:val="20"/>
                <w:szCs w:val="20"/>
              </w:rPr>
            </w:pPr>
            <w:r w:rsidRPr="0051081A">
              <w:rPr>
                <w:rFonts w:eastAsiaTheme="minorEastAsia" w:cs="Calibri"/>
                <w:sz w:val="20"/>
                <w:szCs w:val="20"/>
              </w:rPr>
              <w:t xml:space="preserve">Le score </w:t>
            </w:r>
            <w:r w:rsidR="7CD1F15C" w:rsidRPr="0051081A">
              <w:rPr>
                <w:rFonts w:eastAsiaTheme="minorEastAsia" w:cs="Calibri"/>
                <w:sz w:val="20"/>
                <w:szCs w:val="20"/>
              </w:rPr>
              <w:t>d</w:t>
            </w:r>
            <w:r w:rsidR="008D7AFF" w:rsidRPr="0051081A">
              <w:rPr>
                <w:rFonts w:eastAsiaTheme="minorEastAsia" w:cs="Calibri"/>
                <w:sz w:val="20"/>
                <w:szCs w:val="20"/>
              </w:rPr>
              <w:t>e l</w:t>
            </w:r>
            <w:r w:rsidR="7CD1F15C" w:rsidRPr="0051081A">
              <w:rPr>
                <w:rFonts w:eastAsiaTheme="minorEastAsia" w:cs="Calibri"/>
                <w:sz w:val="20"/>
                <w:szCs w:val="20"/>
              </w:rPr>
              <w:t>’indicateur</w:t>
            </w:r>
            <w:r w:rsidRPr="0051081A">
              <w:rPr>
                <w:rFonts w:eastAsiaTheme="minorEastAsia" w:cs="Calibri"/>
                <w:sz w:val="20"/>
                <w:szCs w:val="20"/>
              </w:rPr>
              <w:t xml:space="preserve"> (ex : </w:t>
            </w:r>
            <m:oMath>
              <m:sSub>
                <m:sSubPr>
                  <m:ctrlPr>
                    <w:rPr>
                      <w:rFonts w:ascii="Cambria Math" w:hAnsi="Cambria Math" w:cs="Calibri"/>
                      <w:sz w:val="20"/>
                      <w:szCs w:val="20"/>
                    </w:rPr>
                  </m:ctrlPr>
                </m:sSubPr>
                <m:e>
                  <m:r>
                    <m:rPr>
                      <m:sty m:val="p"/>
                    </m:rPr>
                    <w:rPr>
                      <w:rFonts w:ascii="Cambria Math" w:hAnsi="Cambria Math" w:cs="Calibri"/>
                      <w:sz w:val="20"/>
                      <w:szCs w:val="20"/>
                    </w:rPr>
                    <m:t>Score</m:t>
                  </m:r>
                </m:e>
                <m:sub>
                  <m:r>
                    <m:rPr>
                      <m:sty m:val="p"/>
                    </m:rPr>
                    <w:rPr>
                      <w:rFonts w:ascii="Cambria Math" w:hAnsi="Cambria Math" w:cs="Calibri"/>
                      <w:sz w:val="20"/>
                      <w:szCs w:val="20"/>
                    </w:rPr>
                    <m:t>pH</m:t>
                  </m:r>
                </m:sub>
              </m:sSub>
            </m:oMath>
            <w:r w:rsidRPr="0051081A">
              <w:rPr>
                <w:rFonts w:eastAsiaTheme="minorEastAsia" w:cs="Calibri"/>
                <w:sz w:val="20"/>
                <w:szCs w:val="20"/>
              </w:rPr>
              <w:t>) [0 ;5] ;</w:t>
            </w:r>
          </w:p>
        </w:tc>
      </w:tr>
      <w:tr w:rsidR="000A0208" w:rsidRPr="00AE6299" w14:paraId="0FFE635A" w14:textId="77777777" w:rsidTr="004306AE">
        <w:trPr>
          <w:trHeight w:val="340"/>
        </w:trPr>
        <w:tc>
          <w:tcPr>
            <w:tcW w:w="1302" w:type="dxa"/>
            <w:vAlign w:val="center"/>
          </w:tcPr>
          <w:p w14:paraId="1F9C8332" w14:textId="77777777" w:rsidR="000A0208" w:rsidRPr="0051081A" w:rsidRDefault="00AA1F57" w:rsidP="004306AE">
            <w:pPr>
              <w:jc w:val="left"/>
              <w:rPr>
                <w:rFonts w:eastAsiaTheme="minorEastAsia" w:cs="Calibri"/>
                <w:sz w:val="20"/>
                <w:szCs w:val="20"/>
              </w:rPr>
            </w:pPr>
            <m:oMathPara>
              <m:oMathParaPr>
                <m:jc m:val="left"/>
              </m:oMathParaPr>
              <m:oMath>
                <m:sSub>
                  <m:sSubPr>
                    <m:ctrlPr>
                      <w:rPr>
                        <w:rFonts w:ascii="Cambria Math" w:eastAsiaTheme="minorEastAsia" w:hAnsi="Cambria Math" w:cs="Calibri"/>
                        <w:sz w:val="20"/>
                        <w:szCs w:val="20"/>
                      </w:rPr>
                    </m:ctrlPr>
                  </m:sSubPr>
                  <m:e>
                    <m:r>
                      <m:rPr>
                        <m:sty m:val="p"/>
                      </m:rPr>
                      <w:rPr>
                        <w:rFonts w:ascii="Cambria Math" w:eastAsiaTheme="minorEastAsia" w:hAnsi="Cambria Math" w:cs="Calibri"/>
                        <w:sz w:val="20"/>
                        <w:szCs w:val="20"/>
                      </w:rPr>
                      <m:t>C</m:t>
                    </m:r>
                  </m:e>
                  <m:sub>
                    <m:r>
                      <m:rPr>
                        <m:sty m:val="p"/>
                      </m:rPr>
                      <w:rPr>
                        <w:rFonts w:ascii="Cambria Math" w:eastAsiaTheme="minorEastAsia" w:hAnsi="Cambria Math" w:cs="Calibri"/>
                        <w:sz w:val="20"/>
                        <w:szCs w:val="20"/>
                      </w:rPr>
                      <m:t>sol utile</m:t>
                    </m:r>
                  </m:sub>
                </m:sSub>
              </m:oMath>
            </m:oMathPara>
          </w:p>
        </w:tc>
        <w:tc>
          <w:tcPr>
            <w:tcW w:w="7768" w:type="dxa"/>
            <w:vAlign w:val="center"/>
          </w:tcPr>
          <w:p w14:paraId="5261E0EA" w14:textId="77777777" w:rsidR="000A0208" w:rsidRPr="0051081A" w:rsidRDefault="000A0208" w:rsidP="004306AE">
            <w:pPr>
              <w:jc w:val="left"/>
              <w:rPr>
                <w:rFonts w:eastAsiaTheme="minorEastAsia" w:cs="Calibri"/>
                <w:sz w:val="20"/>
                <w:szCs w:val="20"/>
              </w:rPr>
            </w:pPr>
            <w:r w:rsidRPr="0051081A">
              <w:rPr>
                <w:rFonts w:eastAsiaTheme="minorEastAsia" w:cs="Calibri"/>
                <w:sz w:val="20"/>
                <w:szCs w:val="20"/>
              </w:rPr>
              <w:t>Le coefficient de sol utile [0 ;1].</w:t>
            </w:r>
          </w:p>
        </w:tc>
      </w:tr>
    </w:tbl>
    <w:p w14:paraId="2D362E37" w14:textId="77777777" w:rsidR="000A0208" w:rsidRDefault="000A0208" w:rsidP="000A0208">
      <w:pPr>
        <w:rPr>
          <w:rFonts w:eastAsiaTheme="minorEastAsia"/>
          <w:sz w:val="18"/>
          <w:szCs w:val="18"/>
        </w:rPr>
      </w:pPr>
    </w:p>
    <w:p w14:paraId="1297C881" w14:textId="77777777" w:rsidR="000A0208" w:rsidRDefault="000A0208" w:rsidP="000A0208">
      <w:r>
        <w:br w:type="page"/>
      </w:r>
    </w:p>
    <w:p w14:paraId="7638E800" w14:textId="462514E2" w:rsidR="000D59CF" w:rsidRDefault="000D59CF">
      <w:pPr>
        <w:pStyle w:val="Titre2"/>
        <w:numPr>
          <w:ilvl w:val="1"/>
          <w:numId w:val="12"/>
        </w:numPr>
      </w:pPr>
      <w:bookmarkStart w:id="158" w:name="_Toc230267152"/>
      <w:bookmarkStart w:id="159" w:name="_Ref232206789"/>
      <w:bookmarkStart w:id="160" w:name="_Toc241478132"/>
      <w:r>
        <w:lastRenderedPageBreak/>
        <w:t>Agrégation en score IQSW-pro global</w:t>
      </w:r>
      <w:bookmarkEnd w:id="158"/>
      <w:bookmarkEnd w:id="159"/>
      <w:bookmarkEnd w:id="160"/>
    </w:p>
    <w:p w14:paraId="54C715C1" w14:textId="57D5707B" w:rsidR="0031708A" w:rsidRDefault="0031708A" w:rsidP="0031708A">
      <w:r>
        <w:t xml:space="preserve">La dernière étape du calcul des scores IQSW-pro est l’agrégation des scores de services écosystémiques en un score IQSW-pro unique par usage. Bien qu’un tel indice </w:t>
      </w:r>
      <w:r w:rsidR="027E90A7">
        <w:t>global</w:t>
      </w:r>
      <w:r>
        <w:t xml:space="preserve"> </w:t>
      </w:r>
      <w:r w:rsidR="65816218">
        <w:t>n’a</w:t>
      </w:r>
      <w:r w:rsidR="1465C819">
        <w:t>it</w:t>
      </w:r>
      <w:r w:rsidR="65816218">
        <w:t xml:space="preserve"> pas </w:t>
      </w:r>
      <w:r w:rsidR="11ECDFC6">
        <w:t xml:space="preserve">de </w:t>
      </w:r>
      <w:r>
        <w:t>sens pédologique (</w:t>
      </w:r>
      <w:r w:rsidR="00D244E2">
        <w:t xml:space="preserve">voir </w:t>
      </w:r>
      <w:r>
        <w:t>partie</w:t>
      </w:r>
      <w:r w:rsidR="00D244E2">
        <w:t xml:space="preserve"> </w:t>
      </w:r>
      <w:r w:rsidR="00D244E2">
        <w:fldChar w:fldCharType="begin"/>
      </w:r>
      <w:r w:rsidR="00D244E2">
        <w:instrText xml:space="preserve"> REF _Ref233110970 \r \h </w:instrText>
      </w:r>
      <w:r w:rsidR="00D244E2">
        <w:fldChar w:fldCharType="separate"/>
      </w:r>
      <w:r w:rsidR="001A7BE1">
        <w:t>4.1.1</w:t>
      </w:r>
      <w:r w:rsidR="00D244E2">
        <w:fldChar w:fldCharType="end"/>
      </w:r>
      <w:r>
        <w:t xml:space="preserve">), </w:t>
      </w:r>
      <w:r w:rsidR="64D4DBCF">
        <w:t>il</w:t>
      </w:r>
      <w:r>
        <w:t xml:space="preserve"> présente un </w:t>
      </w:r>
      <w:r w:rsidR="76C5362C">
        <w:t>intérêt</w:t>
      </w:r>
      <w:r>
        <w:t xml:space="preserve"> opérationnel non-négligeable pour répondre aux besoins du secteur de l’aménagement du territoire.</w:t>
      </w:r>
    </w:p>
    <w:p w14:paraId="5F9791F4" w14:textId="110E79FE" w:rsidR="0031708A" w:rsidRPr="0031708A" w:rsidRDefault="4D0AE0EE" w:rsidP="0031708A">
      <w:r>
        <w:t>C</w:t>
      </w:r>
      <w:r w:rsidR="0031708A">
        <w:t xml:space="preserve">ette étape implique une hiérarchisation des services écosystémiques via une pondération des scores de </w:t>
      </w:r>
      <w:r w:rsidR="00D91119">
        <w:t>service écosystémique</w:t>
      </w:r>
      <w:r w:rsidR="406A25C8">
        <w:t xml:space="preserve"> pour un usage donné</w:t>
      </w:r>
      <w:r w:rsidR="0031708A">
        <w:t>.</w:t>
      </w:r>
      <w:r w:rsidR="37CF0E85">
        <w:t xml:space="preserve"> La pondération est établie sur base des priorités des parties prenantes telles qu’elles ont été identifiées dans la phase de consultation des secteurs.</w:t>
      </w:r>
      <w:r w:rsidR="0031708A">
        <w:t xml:space="preserve"> </w:t>
      </w:r>
      <w:r w:rsidR="3BFE7A9A">
        <w:t>L’IQSW-pro global correspond</w:t>
      </w:r>
      <w:r w:rsidR="3435F5D3">
        <w:t>, en pratique,</w:t>
      </w:r>
      <w:r w:rsidR="11FB0385">
        <w:t xml:space="preserve"> à la capacité du sol à rencontrer les </w:t>
      </w:r>
      <w:r w:rsidR="00D91119">
        <w:t xml:space="preserve">services </w:t>
      </w:r>
      <w:r w:rsidR="11FB0385">
        <w:t>jugés prioritaires pour l’usage considéré.</w:t>
      </w:r>
      <w:r w:rsidR="0031708A">
        <w:t xml:space="preserve">  </w:t>
      </w:r>
    </w:p>
    <w:p w14:paraId="0C8E5FFD" w14:textId="1E5349AC" w:rsidR="0031708A" w:rsidRDefault="0031708A">
      <w:pPr>
        <w:pStyle w:val="Titre3"/>
        <w:numPr>
          <w:ilvl w:val="2"/>
          <w:numId w:val="12"/>
        </w:numPr>
      </w:pPr>
      <w:bookmarkStart w:id="161" w:name="_Toc241478133"/>
      <w:r>
        <w:t>Délimitation des usages</w:t>
      </w:r>
      <w:bookmarkEnd w:id="161"/>
    </w:p>
    <w:p w14:paraId="641AAE58" w14:textId="77777777" w:rsidR="001D4E19" w:rsidRDefault="001D4E19" w:rsidP="001D4E19">
      <w:r>
        <w:t>La définition d’un score IQSW-global par usage implique une délimitation des catégories d’usages en adéquation avec la réflexion sur la qualité du sol. En effet, il faut adopter une catégorisation en lien avec les objectifs opérationnels des gestionnaires concernant les zones « perméables » (non-scellées), les zones imperméables sortant du cadre d’évaluation de l’outil.</w:t>
      </w:r>
    </w:p>
    <w:p w14:paraId="0609FD79" w14:textId="332816DF" w:rsidR="002F0F27" w:rsidRDefault="001D4E19" w:rsidP="001D4E19">
      <w:r>
        <w:t xml:space="preserve">Ainsi, des grandes « catégories d’usages IQSW » ont été définies, représentatives des scénarios type d’utilisation d’une zone perméable. La table de correspondance entre cette délimitation d’usage et les usages de droit (Plan de Secteur) et les usages de fait (tels que définis par le Décret sols) est présentée en Annexe </w:t>
      </w:r>
      <w:r w:rsidR="00177953">
        <w:t>3</w:t>
      </w:r>
      <w:r w:rsidR="001A26A7">
        <w:t xml:space="preserve"> – Tables de correspondance des usages</w:t>
      </w:r>
      <w:r>
        <w:t xml:space="preserve">. </w:t>
      </w:r>
      <w:r w:rsidR="005F6CC0">
        <w:t xml:space="preserve">Les </w:t>
      </w:r>
      <w:r w:rsidR="009477F3">
        <w:t>catégories d’usages</w:t>
      </w:r>
      <w:r w:rsidR="002F0F27">
        <w:t xml:space="preserve"> IQSW</w:t>
      </w:r>
      <w:r w:rsidR="005F6CC0">
        <w:t xml:space="preserve"> sont délimitées de la façon suivante :</w:t>
      </w:r>
    </w:p>
    <w:p w14:paraId="226391AF" w14:textId="0632FD7F" w:rsidR="002F0F27" w:rsidRDefault="002F0F27">
      <w:pPr>
        <w:pStyle w:val="Paragraphedeliste"/>
        <w:numPr>
          <w:ilvl w:val="0"/>
          <w:numId w:val="25"/>
        </w:numPr>
      </w:pPr>
      <w:r w:rsidRPr="003E3888">
        <w:rPr>
          <w:b/>
          <w:bCs/>
        </w:rPr>
        <w:t>Zone naturelle</w:t>
      </w:r>
      <w:r w:rsidR="0061532D">
        <w:t> :</w:t>
      </w:r>
      <w:r w:rsidR="00FA7A9E">
        <w:t xml:space="preserve"> </w:t>
      </w:r>
      <w:r w:rsidR="00DF010C">
        <w:t>zone dont l’objectif premier est la préservation de la biodiversité</w:t>
      </w:r>
      <w:r w:rsidR="005451A5">
        <w:t>, par exemple</w:t>
      </w:r>
      <w:r w:rsidR="00E338D5">
        <w:t xml:space="preserve"> les forêts naturelles, </w:t>
      </w:r>
      <w:r w:rsidR="005451A5">
        <w:t xml:space="preserve">les </w:t>
      </w:r>
      <w:r w:rsidR="00E338D5">
        <w:t xml:space="preserve">zones humides, </w:t>
      </w:r>
      <w:r w:rsidR="005451A5">
        <w:t xml:space="preserve">les </w:t>
      </w:r>
      <w:r w:rsidR="00E338D5">
        <w:t>prairies naturelles etc.</w:t>
      </w:r>
      <w:r w:rsidR="00584CA2">
        <w:t> ;</w:t>
      </w:r>
    </w:p>
    <w:p w14:paraId="017B4E4F" w14:textId="2F0DFEC2" w:rsidR="002F0F27" w:rsidRDefault="002F0F27">
      <w:pPr>
        <w:pStyle w:val="Paragraphedeliste"/>
        <w:numPr>
          <w:ilvl w:val="0"/>
          <w:numId w:val="25"/>
        </w:numPr>
      </w:pPr>
      <w:r w:rsidRPr="48222D96">
        <w:rPr>
          <w:b/>
          <w:bCs/>
        </w:rPr>
        <w:t>Zone cultivée</w:t>
      </w:r>
      <w:r w:rsidR="0061532D">
        <w:t xml:space="preserve"> : zone </w:t>
      </w:r>
      <w:r w:rsidR="6883112A">
        <w:t xml:space="preserve">exploitée </w:t>
      </w:r>
      <w:r w:rsidR="00DE28F1">
        <w:t xml:space="preserve">à des fins </w:t>
      </w:r>
      <w:r w:rsidR="228B0521">
        <w:t>de production de</w:t>
      </w:r>
      <w:r w:rsidR="00DE28F1">
        <w:t xml:space="preserve"> biomasse</w:t>
      </w:r>
      <w:r w:rsidR="4AE1425E">
        <w:t>,</w:t>
      </w:r>
      <w:r w:rsidR="009B5835">
        <w:t xml:space="preserve"> </w:t>
      </w:r>
      <w:r w:rsidR="33A95BBE">
        <w:t>alimentaire ou non</w:t>
      </w:r>
      <w:r w:rsidR="1E557537">
        <w:t xml:space="preserve"> (ex</w:t>
      </w:r>
      <w:r w:rsidR="16CDB09A">
        <w:t>.</w:t>
      </w:r>
      <w:r w:rsidR="1E557537">
        <w:t xml:space="preserve"> </w:t>
      </w:r>
      <w:r w:rsidR="00DE28F1">
        <w:t xml:space="preserve">les champs, les vergers, les aires de maraîchage, </w:t>
      </w:r>
      <w:r w:rsidR="003E3888">
        <w:t>etc.</w:t>
      </w:r>
      <w:r w:rsidR="2F9B8F8F">
        <w:t>), à l’exception des potagers</w:t>
      </w:r>
      <w:r w:rsidR="00584CA2">
        <w:t> ;</w:t>
      </w:r>
    </w:p>
    <w:p w14:paraId="509581F5" w14:textId="6B06A253" w:rsidR="002F0F27" w:rsidRDefault="002F0F27">
      <w:pPr>
        <w:pStyle w:val="Paragraphedeliste"/>
        <w:numPr>
          <w:ilvl w:val="0"/>
          <w:numId w:val="25"/>
        </w:numPr>
      </w:pPr>
      <w:r w:rsidRPr="48222D96">
        <w:rPr>
          <w:b/>
          <w:bCs/>
        </w:rPr>
        <w:t>Prairie</w:t>
      </w:r>
      <w:r w:rsidR="003E3888">
        <w:t xml:space="preserve"> : prairies permanentes ou temporaires, </w:t>
      </w:r>
      <w:r w:rsidR="00584CA2">
        <w:t>dont l’usage est principalement agricole (pâturage, fourrage</w:t>
      </w:r>
      <w:r w:rsidR="6292BB69">
        <w:t>,</w:t>
      </w:r>
      <w:r w:rsidR="00584CA2">
        <w:t xml:space="preserve"> etc.)</w:t>
      </w:r>
      <w:r w:rsidR="2485788D">
        <w:t>, par opposition aux prairies naturelles</w:t>
      </w:r>
      <w:r w:rsidR="00584CA2">
        <w:t> ;</w:t>
      </w:r>
    </w:p>
    <w:p w14:paraId="57179EFC" w14:textId="3368203B" w:rsidR="002F0F27" w:rsidRDefault="002F0F27">
      <w:pPr>
        <w:pStyle w:val="Paragraphedeliste"/>
        <w:numPr>
          <w:ilvl w:val="0"/>
          <w:numId w:val="25"/>
        </w:numPr>
      </w:pPr>
      <w:r w:rsidRPr="009B5835">
        <w:rPr>
          <w:b/>
          <w:bCs/>
        </w:rPr>
        <w:t>Forêt productive</w:t>
      </w:r>
      <w:r w:rsidR="00584CA2">
        <w:t xml:space="preserve"> : </w:t>
      </w:r>
      <w:r w:rsidR="00430704">
        <w:t>peuplement forestier à visée de production de biomasse</w:t>
      </w:r>
      <w:r w:rsidR="009B5835">
        <w:t xml:space="preserve"> (se distingue d’une forêt naturelle) ;</w:t>
      </w:r>
    </w:p>
    <w:p w14:paraId="46941F1F" w14:textId="1EBAF61E" w:rsidR="002F0F27" w:rsidRDefault="002F0F27">
      <w:pPr>
        <w:pStyle w:val="Paragraphedeliste"/>
        <w:numPr>
          <w:ilvl w:val="0"/>
          <w:numId w:val="25"/>
        </w:numPr>
      </w:pPr>
      <w:r w:rsidRPr="00732E14">
        <w:rPr>
          <w:b/>
          <w:bCs/>
        </w:rPr>
        <w:t>Potager</w:t>
      </w:r>
      <w:r w:rsidR="009B5835">
        <w:t> : zone cultivée à des fins alimentaires dont les produits sont destinés à la consommation personnelle</w:t>
      </w:r>
      <w:r w:rsidR="00732E14">
        <w:t xml:space="preserve"> (usage</w:t>
      </w:r>
      <w:r w:rsidR="00F10968">
        <w:t>s</w:t>
      </w:r>
      <w:r w:rsidR="00732E14">
        <w:t xml:space="preserve"> de type III</w:t>
      </w:r>
      <w:r w:rsidR="00CC726A">
        <w:t xml:space="preserve"> Résidentiel au sens du Décret sols</w:t>
      </w:r>
      <w:r w:rsidR="00732E14">
        <w:t>) ;</w:t>
      </w:r>
    </w:p>
    <w:p w14:paraId="5834FB23" w14:textId="79A5B508" w:rsidR="002B7BD1" w:rsidRDefault="002B7BD1" w:rsidP="002B7BD1">
      <w:pPr>
        <w:pStyle w:val="Paragraphedeliste"/>
        <w:numPr>
          <w:ilvl w:val="0"/>
          <w:numId w:val="25"/>
        </w:numPr>
      </w:pPr>
      <w:r>
        <w:rPr>
          <w:b/>
          <w:bCs/>
        </w:rPr>
        <w:t xml:space="preserve">Résidentiel (hors potager) </w:t>
      </w:r>
      <w:r>
        <w:t>: toute zone correspondant à un usage</w:t>
      </w:r>
      <w:r w:rsidR="002F21B9">
        <w:t xml:space="preserve"> de</w:t>
      </w:r>
      <w:r>
        <w:t xml:space="preserve"> type III au sens du Décret sols (notamment les zones d’habitat et espaces verts), à l’exception des potagers qui constituent une catégorie à part en raison des valeurs de risque employées (consommation de fruits et légumes impliquée) ;</w:t>
      </w:r>
    </w:p>
    <w:p w14:paraId="039340AA" w14:textId="687E810C" w:rsidR="002B7BD1" w:rsidRDefault="002B7BD1" w:rsidP="002B7BD1">
      <w:pPr>
        <w:pStyle w:val="Paragraphedeliste"/>
        <w:numPr>
          <w:ilvl w:val="0"/>
          <w:numId w:val="25"/>
        </w:numPr>
        <w:rPr>
          <w:b/>
          <w:bCs/>
        </w:rPr>
      </w:pPr>
      <w:r w:rsidRPr="006C167E">
        <w:rPr>
          <w:b/>
          <w:bCs/>
        </w:rPr>
        <w:t>Récréatif / commercial</w:t>
      </w:r>
      <w:r>
        <w:rPr>
          <w:b/>
          <w:bCs/>
        </w:rPr>
        <w:t> </w:t>
      </w:r>
      <w:r>
        <w:t xml:space="preserve">: toute zone correspondant à un usage </w:t>
      </w:r>
      <w:r w:rsidR="00F0118A">
        <w:t xml:space="preserve">de </w:t>
      </w:r>
      <w:r>
        <w:t>type IV au sens du Décret sols (notamment les zones de loisirs et de parcs, zone d’activité économique, de services publics et communautaires etc.) ;</w:t>
      </w:r>
    </w:p>
    <w:p w14:paraId="43247028" w14:textId="614C00C8" w:rsidR="002B7BD1" w:rsidRPr="00D77238" w:rsidRDefault="002B7BD1" w:rsidP="002B7BD1">
      <w:pPr>
        <w:pStyle w:val="Paragraphedeliste"/>
        <w:numPr>
          <w:ilvl w:val="0"/>
          <w:numId w:val="25"/>
        </w:numPr>
        <w:rPr>
          <w:b/>
          <w:bCs/>
        </w:rPr>
      </w:pPr>
      <w:r w:rsidRPr="006C167E">
        <w:rPr>
          <w:b/>
          <w:bCs/>
        </w:rPr>
        <w:t>Industriel</w:t>
      </w:r>
      <w:r>
        <w:rPr>
          <w:b/>
          <w:bCs/>
        </w:rPr>
        <w:t xml:space="preserve"> </w:t>
      </w:r>
      <w:r>
        <w:t>: toute zone correspondant à un usage</w:t>
      </w:r>
      <w:r w:rsidR="00F0118A">
        <w:t xml:space="preserve"> de</w:t>
      </w:r>
      <w:r>
        <w:t xml:space="preserve"> type V au sens du Décret sols (notamment les zones d’activités économiques à caractère industriel).</w:t>
      </w:r>
    </w:p>
    <w:p w14:paraId="70314522" w14:textId="2BBE4B57" w:rsidR="00C22238" w:rsidRDefault="316C7CA9" w:rsidP="000D59CF">
      <w:r>
        <w:lastRenderedPageBreak/>
        <w:t>Pour c</w:t>
      </w:r>
      <w:r w:rsidR="00F4574C">
        <w:t>haque</w:t>
      </w:r>
      <w:r w:rsidR="00692FCD">
        <w:t xml:space="preserve"> catégorie d’usage</w:t>
      </w:r>
      <w:r w:rsidR="00F4574C">
        <w:t xml:space="preserve"> </w:t>
      </w:r>
      <w:r w:rsidR="6BF49A18">
        <w:t xml:space="preserve">un score global est calculé sur </w:t>
      </w:r>
      <w:r w:rsidR="5F94E03A">
        <w:t xml:space="preserve">base des scores </w:t>
      </w:r>
      <w:r w:rsidR="73A099B3">
        <w:t xml:space="preserve">des </w:t>
      </w:r>
      <w:r w:rsidR="00D91119">
        <w:t>service écosystémique</w:t>
      </w:r>
      <w:r w:rsidR="5F94E03A">
        <w:t xml:space="preserve"> </w:t>
      </w:r>
      <w:r w:rsidR="5EAC7A6D">
        <w:t>et de</w:t>
      </w:r>
      <w:r w:rsidR="00692FCD">
        <w:t xml:space="preserve"> coefficient</w:t>
      </w:r>
      <w:r w:rsidR="308A2496">
        <w:t>s</w:t>
      </w:r>
      <w:r w:rsidR="00692FCD">
        <w:t xml:space="preserve"> de pondération associé</w:t>
      </w:r>
      <w:r w:rsidR="4D6D04C3">
        <w:t>s</w:t>
      </w:r>
      <w:r w:rsidR="00692FCD">
        <w:t xml:space="preserve"> à chaque </w:t>
      </w:r>
      <w:r w:rsidR="00D91119">
        <w:t xml:space="preserve">service </w:t>
      </w:r>
      <w:r w:rsidR="00692FCD">
        <w:t>en fonction de son importance pour l’usage considéré.</w:t>
      </w:r>
    </w:p>
    <w:p w14:paraId="71B2D1CE" w14:textId="69F7A6E4" w:rsidR="0031708A" w:rsidRDefault="0031708A">
      <w:pPr>
        <w:pStyle w:val="Titre3"/>
        <w:numPr>
          <w:ilvl w:val="2"/>
          <w:numId w:val="12"/>
        </w:numPr>
      </w:pPr>
      <w:bookmarkStart w:id="162" w:name="_Toc241478134"/>
      <w:r>
        <w:t xml:space="preserve">Pondération des </w:t>
      </w:r>
      <w:r w:rsidR="00D91119">
        <w:t>services</w:t>
      </w:r>
      <w:r>
        <w:t xml:space="preserve"> </w:t>
      </w:r>
      <w:r w:rsidR="00AC3D26">
        <w:t>dans l’usage</w:t>
      </w:r>
      <w:bookmarkEnd w:id="162"/>
    </w:p>
    <w:p w14:paraId="36C91E3F" w14:textId="77777777" w:rsidR="00CD166D" w:rsidRDefault="000D59CF" w:rsidP="000D59CF">
      <w:r>
        <w:t>La définition des coefficients de pondération</w:t>
      </w:r>
      <w:r w:rsidR="000760C6">
        <w:t xml:space="preserve"> </w:t>
      </w:r>
      <w:r w:rsidR="00CD166D">
        <w:t>se base sur la logique suivante :</w:t>
      </w:r>
    </w:p>
    <w:p w14:paraId="1DBA26B4" w14:textId="489C370B" w:rsidR="00E47416" w:rsidRDefault="00CD166D">
      <w:pPr>
        <w:pStyle w:val="Paragraphedeliste"/>
        <w:numPr>
          <w:ilvl w:val="0"/>
          <w:numId w:val="13"/>
        </w:numPr>
      </w:pPr>
      <w:r>
        <w:t xml:space="preserve">Identification du (des) </w:t>
      </w:r>
      <w:r w:rsidR="00D91119">
        <w:t>service(s)</w:t>
      </w:r>
      <w:r>
        <w:t xml:space="preserve"> prioritaire(s)</w:t>
      </w:r>
      <w:r w:rsidR="00E47416">
        <w:t xml:space="preserve"> </w:t>
      </w:r>
      <w:r w:rsidR="00D55802">
        <w:t xml:space="preserve">: chaque usage </w:t>
      </w:r>
      <w:r w:rsidR="00FF4395">
        <w:t xml:space="preserve">est lié </w:t>
      </w:r>
      <w:r w:rsidR="006C3031">
        <w:t xml:space="preserve">à un service écosystémique </w:t>
      </w:r>
      <w:r w:rsidR="7F9F41EA">
        <w:t>jugé</w:t>
      </w:r>
      <w:r w:rsidR="006C3031">
        <w:t xml:space="preserve"> prioritaire</w:t>
      </w:r>
      <w:r w:rsidR="00632F11">
        <w:t> </w:t>
      </w:r>
      <w:r w:rsidR="0F12E871">
        <w:t xml:space="preserve">pour l’usage </w:t>
      </w:r>
      <w:r w:rsidR="00E47416">
        <w:t xml:space="preserve">(par exemple, le </w:t>
      </w:r>
      <w:r w:rsidR="00D91119">
        <w:t>service</w:t>
      </w:r>
      <w:r w:rsidR="00E47416">
        <w:t xml:space="preserve"> </w:t>
      </w:r>
      <w:r w:rsidR="00E47416" w:rsidRPr="00E47416">
        <w:rPr>
          <w:i/>
          <w:iCs/>
        </w:rPr>
        <w:t>Production – cultures</w:t>
      </w:r>
      <w:r w:rsidR="00E47416">
        <w:t xml:space="preserve"> pour l’usage </w:t>
      </w:r>
      <w:r w:rsidR="00E47416" w:rsidRPr="00E47416">
        <w:rPr>
          <w:i/>
          <w:iCs/>
        </w:rPr>
        <w:t>Zone cultivée</w:t>
      </w:r>
      <w:r w:rsidR="00E47416">
        <w:t>) ;</w:t>
      </w:r>
    </w:p>
    <w:p w14:paraId="6EBEA324" w14:textId="0DC3959D" w:rsidR="00CD166D" w:rsidRDefault="00E47416">
      <w:pPr>
        <w:pStyle w:val="Paragraphedeliste"/>
        <w:numPr>
          <w:ilvl w:val="0"/>
          <w:numId w:val="13"/>
        </w:numPr>
      </w:pPr>
      <w:r>
        <w:t xml:space="preserve">Valorisation de </w:t>
      </w:r>
      <w:r w:rsidR="00632F11">
        <w:t>services conjoints</w:t>
      </w:r>
      <w:r>
        <w:t> :</w:t>
      </w:r>
      <w:r w:rsidR="00632F11">
        <w:t xml:space="preserve"> des </w:t>
      </w:r>
      <w:r w:rsidR="00D91119">
        <w:t>services</w:t>
      </w:r>
      <w:r w:rsidR="00632F11">
        <w:t xml:space="preserve"> </w:t>
      </w:r>
      <w:r w:rsidR="63E6F0A6">
        <w:t>secondaires</w:t>
      </w:r>
      <w:r w:rsidR="7EADA462">
        <w:t>,</w:t>
      </w:r>
      <w:r w:rsidR="00632F11">
        <w:t xml:space="preserve"> </w:t>
      </w:r>
      <w:r w:rsidR="007E519F">
        <w:t xml:space="preserve">mais </w:t>
      </w:r>
      <w:r w:rsidR="2FD8F08E">
        <w:t>néanmoins</w:t>
      </w:r>
      <w:r w:rsidR="007E519F">
        <w:t xml:space="preserve"> importants à considérer </w:t>
      </w:r>
      <w:r w:rsidR="4ABE1865">
        <w:t>pour l’usage considéré</w:t>
      </w:r>
      <w:r w:rsidR="6303BFAC">
        <w:t>,</w:t>
      </w:r>
      <w:r w:rsidR="4ABE1865">
        <w:t xml:space="preserve"> </w:t>
      </w:r>
      <w:r w:rsidR="007E519F">
        <w:t>sont</w:t>
      </w:r>
      <w:r w:rsidR="00632F11">
        <w:t xml:space="preserve"> </w:t>
      </w:r>
      <w:r>
        <w:t>pris en compte avec une pondération moindre. Par exemple, le stockage de carbone</w:t>
      </w:r>
      <w:r w:rsidR="00307ED0">
        <w:t xml:space="preserve"> est pris en compte avec une pondération moindre dans chaque usage car, bien que </w:t>
      </w:r>
      <w:r w:rsidR="6DE6F4D2">
        <w:t xml:space="preserve">ce stockage </w:t>
      </w:r>
      <w:r w:rsidR="4B886A7A">
        <w:t xml:space="preserve">dans le sol </w:t>
      </w:r>
      <w:r w:rsidR="6DE6F4D2">
        <w:t xml:space="preserve">ne soit la finalité première </w:t>
      </w:r>
      <w:r w:rsidR="00A8610E">
        <w:t xml:space="preserve">d’aucun </w:t>
      </w:r>
      <w:r w:rsidR="00D91119">
        <w:t>service</w:t>
      </w:r>
      <w:r w:rsidR="00244C00">
        <w:t xml:space="preserve"> (outre les effets positifs de la matière organique inclus </w:t>
      </w:r>
      <w:r w:rsidR="002A3B09">
        <w:t xml:space="preserve">directement dans les </w:t>
      </w:r>
      <w:r w:rsidR="00D91119">
        <w:t>services</w:t>
      </w:r>
      <w:r w:rsidR="002A3B09">
        <w:t xml:space="preserve"> considérés)</w:t>
      </w:r>
      <w:r w:rsidR="00A8610E">
        <w:t xml:space="preserve">, </w:t>
      </w:r>
      <w:r w:rsidR="386CC7F3">
        <w:t xml:space="preserve">il présente un </w:t>
      </w:r>
      <w:r w:rsidR="00AA541B">
        <w:t xml:space="preserve">levier d’action </w:t>
      </w:r>
      <w:r w:rsidR="6820E52E">
        <w:t>majeur</w:t>
      </w:r>
      <w:r w:rsidR="00AA541B">
        <w:t xml:space="preserve"> pour </w:t>
      </w:r>
      <w:r w:rsidR="00E302C6">
        <w:t>mitiger les effets du changement climatique</w:t>
      </w:r>
      <w:r w:rsidR="7D77E066">
        <w:t xml:space="preserve"> et est, à ce titre, un </w:t>
      </w:r>
      <w:r w:rsidR="00D91119">
        <w:t>service</w:t>
      </w:r>
      <w:r w:rsidR="7D77E066">
        <w:t xml:space="preserve"> secondaire important pour chaque usage</w:t>
      </w:r>
      <w:r w:rsidR="002A3B09">
        <w:t> ;</w:t>
      </w:r>
    </w:p>
    <w:p w14:paraId="35EAB40C" w14:textId="21510D7C" w:rsidR="0073563B" w:rsidRDefault="00CD166D">
      <w:pPr>
        <w:pStyle w:val="Paragraphedeliste"/>
        <w:numPr>
          <w:ilvl w:val="0"/>
          <w:numId w:val="13"/>
        </w:numPr>
      </w:pPr>
      <w:r>
        <w:t>Mise en cohérence avec</w:t>
      </w:r>
      <w:r w:rsidR="000D59CF">
        <w:t xml:space="preserve"> l’avis d’experts : lors des séances de consultation des parties prenantes, un exercice de priorisation des services écosystémiques en fonction de l’usage du sol avait été proposé. L’analyse des conclusions a permis </w:t>
      </w:r>
      <w:r w:rsidR="0073563B">
        <w:t>d’alimenter la réflexion autour de la construction de</w:t>
      </w:r>
      <w:r w:rsidR="000D59CF">
        <w:t xml:space="preserve"> </w:t>
      </w:r>
      <w:r w:rsidR="00663B0E">
        <w:t>la</w:t>
      </w:r>
      <w:r w:rsidR="000D59CF">
        <w:t xml:space="preserve"> table de pondération</w:t>
      </w:r>
      <w:r w:rsidR="0073563B">
        <w:t>.</w:t>
      </w:r>
    </w:p>
    <w:p w14:paraId="2FFB2FD4" w14:textId="68E7F70B" w:rsidR="009F0B21" w:rsidRDefault="0073563B" w:rsidP="0073563B">
      <w:r>
        <w:t>Le</w:t>
      </w:r>
      <w:r w:rsidR="00A25DF2">
        <w:t xml:space="preserve"> </w:t>
      </w:r>
      <w:r w:rsidR="004156AD" w:rsidRPr="004156AD">
        <w:fldChar w:fldCharType="begin"/>
      </w:r>
      <w:r w:rsidR="004156AD" w:rsidRPr="004156AD">
        <w:instrText xml:space="preserve"> REF _Ref241076627 \h  \* MERGEFORMAT </w:instrText>
      </w:r>
      <w:r w:rsidR="004156AD" w:rsidRPr="004156AD">
        <w:fldChar w:fldCharType="separate"/>
      </w:r>
      <w:r w:rsidR="003D7F8A" w:rsidRPr="00AB2F27">
        <w:t xml:space="preserve">Tableau </w:t>
      </w:r>
      <w:r w:rsidR="003D7F8A" w:rsidRPr="003D7F8A">
        <w:rPr>
          <w:noProof/>
        </w:rPr>
        <w:t>5</w:t>
      </w:r>
      <w:r w:rsidR="004156AD" w:rsidRPr="004156AD">
        <w:fldChar w:fldCharType="end"/>
      </w:r>
      <w:r w:rsidR="004156AD" w:rsidRPr="004156AD">
        <w:t xml:space="preserve"> </w:t>
      </w:r>
      <w:r w:rsidR="00A25DF2" w:rsidRPr="004156AD">
        <w:t>reprend</w:t>
      </w:r>
      <w:r w:rsidR="00A25DF2">
        <w:t>, pour une série de « catégories d’usage IQSW »</w:t>
      </w:r>
      <w:r w:rsidR="00C443D1">
        <w:t xml:space="preserve">, un coefficient de pondération associé à chaque </w:t>
      </w:r>
      <w:r w:rsidR="00D91119">
        <w:t>service écosystémique</w:t>
      </w:r>
      <w:r w:rsidR="00C443D1">
        <w:t xml:space="preserve"> en fonction de son importance pour</w:t>
      </w:r>
      <w:r w:rsidR="00D758CF">
        <w:t xml:space="preserve"> l’usage considéré. </w:t>
      </w:r>
    </w:p>
    <w:p w14:paraId="50979F94" w14:textId="77777777" w:rsidR="00101C82" w:rsidRDefault="00101C82" w:rsidP="000D59CF"/>
    <w:p w14:paraId="6E0C17CE" w14:textId="59C2C3AD" w:rsidR="00101C82" w:rsidRDefault="00101C82" w:rsidP="000D59CF">
      <w:pPr>
        <w:sectPr w:rsidR="00101C82" w:rsidSect="009B5F57">
          <w:headerReference w:type="even" r:id="rId28"/>
          <w:headerReference w:type="default" r:id="rId29"/>
          <w:footerReference w:type="even" r:id="rId30"/>
          <w:footerReference w:type="default" r:id="rId31"/>
          <w:headerReference w:type="first" r:id="rId32"/>
          <w:footerReference w:type="first" r:id="rId33"/>
          <w:pgSz w:w="11906" w:h="16838"/>
          <w:pgMar w:top="1418" w:right="1418" w:bottom="1418" w:left="1418" w:header="709" w:footer="709" w:gutter="0"/>
          <w:pgNumType w:chapStyle="1"/>
          <w:cols w:space="708"/>
          <w:titlePg/>
          <w:docGrid w:linePitch="360"/>
        </w:sectPr>
      </w:pPr>
    </w:p>
    <w:p w14:paraId="3B738621" w14:textId="77777777" w:rsidR="005154CC" w:rsidRDefault="005154CC" w:rsidP="000D59CF"/>
    <w:p w14:paraId="2AA98F56" w14:textId="651B842D" w:rsidR="00AB2F27" w:rsidRPr="00AB2F27" w:rsidRDefault="00AB2F27" w:rsidP="00AB2F27">
      <w:pPr>
        <w:pStyle w:val="Lgende"/>
        <w:keepNext/>
        <w:jc w:val="center"/>
        <w:rPr>
          <w:i w:val="0"/>
          <w:iCs w:val="0"/>
        </w:rPr>
      </w:pPr>
      <w:bookmarkStart w:id="163" w:name="_Ref241076627"/>
      <w:r w:rsidRPr="00AB2F27">
        <w:rPr>
          <w:i w:val="0"/>
          <w:iCs w:val="0"/>
        </w:rPr>
        <w:t xml:space="preserve">Tableau </w:t>
      </w:r>
      <w:r w:rsidRPr="00AB2F27">
        <w:rPr>
          <w:i w:val="0"/>
          <w:iCs w:val="0"/>
        </w:rPr>
        <w:fldChar w:fldCharType="begin"/>
      </w:r>
      <w:r w:rsidRPr="00AB2F27">
        <w:rPr>
          <w:i w:val="0"/>
          <w:iCs w:val="0"/>
        </w:rPr>
        <w:instrText xml:space="preserve"> SEQ Tableau \* ARABIC </w:instrText>
      </w:r>
      <w:r w:rsidRPr="00AB2F27">
        <w:rPr>
          <w:i w:val="0"/>
          <w:iCs w:val="0"/>
        </w:rPr>
        <w:fldChar w:fldCharType="separate"/>
      </w:r>
      <w:r w:rsidR="003D7F8A">
        <w:rPr>
          <w:i w:val="0"/>
          <w:iCs w:val="0"/>
          <w:noProof/>
        </w:rPr>
        <w:t>5</w:t>
      </w:r>
      <w:r w:rsidRPr="00AB2F27">
        <w:rPr>
          <w:i w:val="0"/>
          <w:iCs w:val="0"/>
        </w:rPr>
        <w:fldChar w:fldCharType="end"/>
      </w:r>
      <w:bookmarkEnd w:id="163"/>
      <w:r w:rsidRPr="00AB2F27">
        <w:rPr>
          <w:i w:val="0"/>
          <w:iCs w:val="0"/>
        </w:rPr>
        <w:t xml:space="preserve"> : Pondération des services écosystémiques dans un usage donné pour le calcul du score IQSW-pro. Les catégories d’usage IQSW-pro sont mises en parallèle avec les usages de droit (Plan de Secteur) et les usages de fait (tels que définis par le Décret sols</w:t>
      </w:r>
      <w:r w:rsidR="004156AD">
        <w:rPr>
          <w:i w:val="0"/>
          <w:iCs w:val="0"/>
        </w:rPr>
        <w:t xml:space="preserve">) dans une table de correspondance présentée en Annexe </w:t>
      </w:r>
      <w:r w:rsidR="00177953">
        <w:rPr>
          <w:i w:val="0"/>
          <w:iCs w:val="0"/>
        </w:rPr>
        <w:t>3</w:t>
      </w:r>
      <w:r w:rsidR="004156AD">
        <w:rPr>
          <w:i w:val="0"/>
          <w:iCs w:val="0"/>
        </w:rPr>
        <w:t>.</w:t>
      </w:r>
    </w:p>
    <w:tbl>
      <w:tblPr>
        <w:tblStyle w:val="Grilledutableau"/>
        <w:tblW w:w="13619" w:type="dxa"/>
        <w:jc w:val="center"/>
        <w:tblLayout w:type="fixed"/>
        <w:tblLook w:val="04A0" w:firstRow="1" w:lastRow="0" w:firstColumn="1" w:lastColumn="0" w:noHBand="0" w:noVBand="1"/>
      </w:tblPr>
      <w:tblGrid>
        <w:gridCol w:w="704"/>
        <w:gridCol w:w="2268"/>
        <w:gridCol w:w="851"/>
        <w:gridCol w:w="860"/>
        <w:gridCol w:w="846"/>
        <w:gridCol w:w="719"/>
        <w:gridCol w:w="992"/>
        <w:gridCol w:w="982"/>
        <w:gridCol w:w="1145"/>
        <w:gridCol w:w="1134"/>
        <w:gridCol w:w="992"/>
        <w:gridCol w:w="992"/>
        <w:gridCol w:w="1134"/>
      </w:tblGrid>
      <w:tr w:rsidR="00DE3299" w:rsidRPr="00A7716E" w14:paraId="6738806F" w14:textId="77777777" w:rsidTr="00F90FA1">
        <w:trPr>
          <w:cantSplit/>
          <w:trHeight w:val="380"/>
          <w:jc w:val="center"/>
        </w:trPr>
        <w:tc>
          <w:tcPr>
            <w:tcW w:w="70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textDirection w:val="btLr"/>
            <w:vAlign w:val="center"/>
          </w:tcPr>
          <w:p w14:paraId="01442847" w14:textId="77777777" w:rsidR="00DE3299" w:rsidRPr="00A7716E" w:rsidRDefault="00DE3299" w:rsidP="00F90FA1">
            <w:pPr>
              <w:ind w:left="113" w:right="113"/>
              <w:jc w:val="center"/>
              <w:rPr>
                <w:rFonts w:cs="Calibri"/>
                <w:sz w:val="18"/>
                <w:szCs w:val="18"/>
              </w:rPr>
            </w:pPr>
            <w:r w:rsidRPr="00A7716E">
              <w:rPr>
                <w:rFonts w:cs="Calibri"/>
                <w:sz w:val="18"/>
                <w:szCs w:val="18"/>
              </w:rPr>
              <w:t>Type</w:t>
            </w:r>
          </w:p>
        </w:tc>
        <w:tc>
          <w:tcPr>
            <w:tcW w:w="226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EC9E723" w14:textId="77777777" w:rsidR="00DE3299" w:rsidRPr="00A7716E" w:rsidRDefault="00DE3299" w:rsidP="00F90FA1">
            <w:pPr>
              <w:jc w:val="left"/>
              <w:rPr>
                <w:rFonts w:cs="Calibri"/>
                <w:sz w:val="18"/>
                <w:szCs w:val="18"/>
              </w:rPr>
            </w:pPr>
            <w:r w:rsidRPr="00A7716E">
              <w:rPr>
                <w:rFonts w:cs="Calibri"/>
                <w:sz w:val="18"/>
                <w:szCs w:val="18"/>
              </w:rPr>
              <w:t>Catégorie d'usage IQSW</w:t>
            </w:r>
          </w:p>
        </w:tc>
        <w:tc>
          <w:tcPr>
            <w:tcW w:w="327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2B4FE2A" w14:textId="77777777" w:rsidR="00DE3299" w:rsidRPr="00A7716E" w:rsidRDefault="00DE3299" w:rsidP="00F90FA1">
            <w:pPr>
              <w:jc w:val="center"/>
              <w:rPr>
                <w:rFonts w:cs="Calibri"/>
                <w:sz w:val="18"/>
                <w:szCs w:val="18"/>
              </w:rPr>
            </w:pPr>
            <w:r>
              <w:rPr>
                <w:rFonts w:cs="Calibri"/>
                <w:sz w:val="18"/>
                <w:szCs w:val="18"/>
              </w:rPr>
              <w:t>Production</w:t>
            </w:r>
          </w:p>
        </w:tc>
        <w:tc>
          <w:tcPr>
            <w:tcW w:w="99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44874512" w14:textId="77777777" w:rsidR="00DE3299" w:rsidRPr="00A7716E" w:rsidRDefault="00DE3299" w:rsidP="00F90FA1">
            <w:pPr>
              <w:jc w:val="center"/>
              <w:rPr>
                <w:rFonts w:cs="Calibri"/>
                <w:sz w:val="18"/>
                <w:szCs w:val="18"/>
              </w:rPr>
            </w:pPr>
            <w:r w:rsidRPr="00A7716E">
              <w:rPr>
                <w:rFonts w:cs="Calibri"/>
                <w:sz w:val="18"/>
                <w:szCs w:val="18"/>
              </w:rPr>
              <w:t>Infiltration</w:t>
            </w:r>
          </w:p>
        </w:tc>
        <w:tc>
          <w:tcPr>
            <w:tcW w:w="9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1471A164" w14:textId="77777777" w:rsidR="00DE3299" w:rsidRPr="00A7716E" w:rsidRDefault="00DE3299" w:rsidP="00F90FA1">
            <w:pPr>
              <w:jc w:val="center"/>
              <w:rPr>
                <w:rFonts w:cs="Calibri"/>
                <w:sz w:val="18"/>
                <w:szCs w:val="18"/>
              </w:rPr>
            </w:pPr>
            <w:r w:rsidRPr="00A7716E">
              <w:rPr>
                <w:rFonts w:cs="Calibri"/>
                <w:sz w:val="18"/>
                <w:szCs w:val="18"/>
              </w:rPr>
              <w:t>Protection nappes</w:t>
            </w:r>
          </w:p>
        </w:tc>
        <w:tc>
          <w:tcPr>
            <w:tcW w:w="114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66492D07" w14:textId="77777777" w:rsidR="00DE3299" w:rsidRPr="00A7716E" w:rsidRDefault="00DE3299" w:rsidP="00F90FA1">
            <w:pPr>
              <w:jc w:val="center"/>
              <w:rPr>
                <w:rFonts w:cs="Calibri"/>
                <w:sz w:val="18"/>
                <w:szCs w:val="18"/>
              </w:rPr>
            </w:pPr>
            <w:r w:rsidRPr="00A7716E">
              <w:rPr>
                <w:rFonts w:cs="Calibri"/>
                <w:sz w:val="18"/>
                <w:szCs w:val="18"/>
              </w:rPr>
              <w:t>Biodiversité du sol</w:t>
            </w:r>
          </w:p>
        </w:tc>
        <w:tc>
          <w:tcPr>
            <w:tcW w:w="113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0514C1F" w14:textId="77777777" w:rsidR="00DE3299" w:rsidRPr="00A7716E" w:rsidRDefault="00DE3299" w:rsidP="00F90FA1">
            <w:pPr>
              <w:jc w:val="center"/>
              <w:rPr>
                <w:rFonts w:cs="Calibri"/>
                <w:sz w:val="18"/>
                <w:szCs w:val="18"/>
              </w:rPr>
            </w:pPr>
            <w:r w:rsidRPr="00A7716E">
              <w:rPr>
                <w:rFonts w:cs="Calibri"/>
                <w:sz w:val="18"/>
                <w:szCs w:val="18"/>
              </w:rPr>
              <w:t>Biodiversité végétale</w:t>
            </w:r>
          </w:p>
        </w:tc>
        <w:tc>
          <w:tcPr>
            <w:tcW w:w="99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69E20E49" w14:textId="77777777" w:rsidR="00DE3299" w:rsidRPr="00A7716E" w:rsidRDefault="00DE3299" w:rsidP="00F90FA1">
            <w:pPr>
              <w:jc w:val="center"/>
              <w:rPr>
                <w:rFonts w:cs="Calibri"/>
                <w:sz w:val="18"/>
                <w:szCs w:val="18"/>
              </w:rPr>
            </w:pPr>
            <w:r w:rsidRPr="00A7716E">
              <w:rPr>
                <w:rFonts w:cs="Calibri"/>
                <w:sz w:val="18"/>
                <w:szCs w:val="18"/>
              </w:rPr>
              <w:t>Stockage carbone</w:t>
            </w:r>
          </w:p>
        </w:tc>
        <w:tc>
          <w:tcPr>
            <w:tcW w:w="99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04AFC3C" w14:textId="77777777" w:rsidR="00DE3299" w:rsidRPr="00A7716E" w:rsidRDefault="00DE3299" w:rsidP="00F90FA1">
            <w:pPr>
              <w:jc w:val="center"/>
              <w:rPr>
                <w:rFonts w:cs="Calibri"/>
                <w:sz w:val="18"/>
                <w:szCs w:val="18"/>
              </w:rPr>
            </w:pPr>
            <w:r w:rsidRPr="00A7716E">
              <w:rPr>
                <w:rFonts w:cs="Calibri"/>
                <w:sz w:val="18"/>
                <w:szCs w:val="18"/>
              </w:rPr>
              <w:t>Support activités humaines (scellé)</w:t>
            </w:r>
          </w:p>
        </w:tc>
        <w:tc>
          <w:tcPr>
            <w:tcW w:w="113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77BB4AFB" w14:textId="77777777" w:rsidR="00DE3299" w:rsidRDefault="00DE3299" w:rsidP="00F90FA1">
            <w:pPr>
              <w:jc w:val="center"/>
              <w:rPr>
                <w:rFonts w:cs="Calibri"/>
                <w:sz w:val="18"/>
                <w:szCs w:val="18"/>
              </w:rPr>
            </w:pPr>
            <w:r>
              <w:rPr>
                <w:rFonts w:cs="Calibri"/>
                <w:sz w:val="18"/>
                <w:szCs w:val="18"/>
              </w:rPr>
              <w:t>P</w:t>
            </w:r>
            <w:r w:rsidRPr="00A7716E">
              <w:rPr>
                <w:rFonts w:cs="Calibri"/>
                <w:sz w:val="18"/>
                <w:szCs w:val="18"/>
              </w:rPr>
              <w:t>atrimoine</w:t>
            </w:r>
          </w:p>
        </w:tc>
      </w:tr>
      <w:tr w:rsidR="00DE3299" w:rsidRPr="00A7716E" w14:paraId="16921CD5" w14:textId="77777777" w:rsidTr="00F90FA1">
        <w:trPr>
          <w:cantSplit/>
          <w:trHeight w:val="413"/>
          <w:jc w:val="center"/>
        </w:trPr>
        <w:tc>
          <w:tcPr>
            <w:tcW w:w="704" w:type="dxa"/>
            <w:vMerge/>
            <w:tcBorders>
              <w:left w:val="single" w:sz="4" w:space="0" w:color="FFFFFF" w:themeColor="background1"/>
              <w:bottom w:val="single" w:sz="4" w:space="0" w:color="auto"/>
              <w:right w:val="single" w:sz="4" w:space="0" w:color="FFFFFF" w:themeColor="background1"/>
            </w:tcBorders>
            <w:shd w:val="clear" w:color="auto" w:fill="0E2841" w:themeFill="text2"/>
            <w:textDirection w:val="btLr"/>
            <w:vAlign w:val="center"/>
          </w:tcPr>
          <w:p w14:paraId="7DA408E6" w14:textId="77777777" w:rsidR="00DE3299" w:rsidRPr="00A7716E" w:rsidRDefault="00DE3299" w:rsidP="00F90FA1">
            <w:pPr>
              <w:ind w:left="113" w:right="113"/>
              <w:jc w:val="center"/>
              <w:rPr>
                <w:rFonts w:cs="Calibri"/>
                <w:sz w:val="18"/>
                <w:szCs w:val="18"/>
              </w:rPr>
            </w:pPr>
          </w:p>
        </w:tc>
        <w:tc>
          <w:tcPr>
            <w:tcW w:w="2268"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18F652F2" w14:textId="77777777" w:rsidR="00DE3299" w:rsidRPr="00A7716E" w:rsidRDefault="00DE3299" w:rsidP="00F90FA1">
            <w:pPr>
              <w:jc w:val="left"/>
              <w:rPr>
                <w:rFonts w:cs="Calibri"/>
                <w:sz w:val="18"/>
                <w:szCs w:val="18"/>
              </w:rPr>
            </w:pPr>
          </w:p>
        </w:tc>
        <w:tc>
          <w:tcPr>
            <w:tcW w:w="85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3CD8DD43" w14:textId="77777777" w:rsidR="00DE3299" w:rsidRPr="00A7716E" w:rsidRDefault="00DE3299" w:rsidP="00F90FA1">
            <w:pPr>
              <w:jc w:val="center"/>
              <w:rPr>
                <w:rFonts w:cs="Calibri"/>
                <w:sz w:val="18"/>
                <w:szCs w:val="18"/>
              </w:rPr>
            </w:pPr>
            <w:r>
              <w:rPr>
                <w:rFonts w:cs="Calibri"/>
                <w:sz w:val="18"/>
                <w:szCs w:val="18"/>
              </w:rPr>
              <w:t>C</w:t>
            </w:r>
            <w:r w:rsidRPr="00A7716E">
              <w:rPr>
                <w:rFonts w:cs="Calibri"/>
                <w:sz w:val="18"/>
                <w:szCs w:val="18"/>
              </w:rPr>
              <w:t>ultures</w:t>
            </w:r>
          </w:p>
        </w:tc>
        <w:tc>
          <w:tcPr>
            <w:tcW w:w="86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66AD3AE4" w14:textId="77777777" w:rsidR="00DE3299" w:rsidRPr="00A7716E" w:rsidRDefault="00DE3299" w:rsidP="00F90FA1">
            <w:pPr>
              <w:jc w:val="center"/>
              <w:rPr>
                <w:rFonts w:cs="Calibri"/>
                <w:sz w:val="18"/>
                <w:szCs w:val="18"/>
              </w:rPr>
            </w:pPr>
            <w:r>
              <w:rPr>
                <w:rFonts w:cs="Calibri"/>
                <w:sz w:val="18"/>
                <w:szCs w:val="18"/>
              </w:rPr>
              <w:t>P</w:t>
            </w:r>
            <w:r w:rsidRPr="00A7716E">
              <w:rPr>
                <w:rFonts w:cs="Calibri"/>
                <w:sz w:val="18"/>
                <w:szCs w:val="18"/>
              </w:rPr>
              <w:t>rairies</w:t>
            </w:r>
          </w:p>
        </w:tc>
        <w:tc>
          <w:tcPr>
            <w:tcW w:w="84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1EB917B8" w14:textId="77777777" w:rsidR="00DE3299" w:rsidRPr="00A7716E" w:rsidRDefault="00DE3299" w:rsidP="00F90FA1">
            <w:pPr>
              <w:jc w:val="center"/>
              <w:rPr>
                <w:rFonts w:cs="Calibri"/>
                <w:sz w:val="18"/>
                <w:szCs w:val="18"/>
              </w:rPr>
            </w:pPr>
            <w:r>
              <w:rPr>
                <w:rFonts w:cs="Calibri"/>
                <w:sz w:val="18"/>
                <w:szCs w:val="18"/>
              </w:rPr>
              <w:t>E</w:t>
            </w:r>
            <w:r w:rsidRPr="00A7716E">
              <w:rPr>
                <w:rFonts w:cs="Calibri"/>
                <w:sz w:val="18"/>
                <w:szCs w:val="18"/>
              </w:rPr>
              <w:t>spaces verts</w:t>
            </w:r>
          </w:p>
        </w:tc>
        <w:tc>
          <w:tcPr>
            <w:tcW w:w="71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3DCFADFC" w14:textId="77777777" w:rsidR="00DE3299" w:rsidRPr="00A7716E" w:rsidRDefault="00DE3299" w:rsidP="00F90FA1">
            <w:pPr>
              <w:jc w:val="center"/>
              <w:rPr>
                <w:rFonts w:cs="Calibri"/>
                <w:sz w:val="18"/>
                <w:szCs w:val="18"/>
              </w:rPr>
            </w:pPr>
            <w:r>
              <w:rPr>
                <w:rFonts w:cs="Calibri"/>
                <w:sz w:val="18"/>
                <w:szCs w:val="18"/>
              </w:rPr>
              <w:t>F</w:t>
            </w:r>
            <w:r w:rsidRPr="00A7716E">
              <w:rPr>
                <w:rFonts w:cs="Calibri"/>
                <w:sz w:val="18"/>
                <w:szCs w:val="18"/>
              </w:rPr>
              <w:t>orêts</w:t>
            </w:r>
          </w:p>
        </w:tc>
        <w:tc>
          <w:tcPr>
            <w:tcW w:w="99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6352629A" w14:textId="77777777" w:rsidR="00DE3299" w:rsidRPr="00A7716E" w:rsidRDefault="00DE3299" w:rsidP="00F90FA1">
            <w:pPr>
              <w:jc w:val="center"/>
              <w:rPr>
                <w:rFonts w:cs="Calibri"/>
                <w:sz w:val="18"/>
                <w:szCs w:val="18"/>
              </w:rPr>
            </w:pPr>
          </w:p>
        </w:tc>
        <w:tc>
          <w:tcPr>
            <w:tcW w:w="98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6A9DA7C7" w14:textId="77777777" w:rsidR="00DE3299" w:rsidRPr="00A7716E" w:rsidRDefault="00DE3299" w:rsidP="00F90FA1">
            <w:pPr>
              <w:jc w:val="center"/>
              <w:rPr>
                <w:rFonts w:cs="Calibri"/>
                <w:sz w:val="18"/>
                <w:szCs w:val="18"/>
              </w:rPr>
            </w:pPr>
          </w:p>
        </w:tc>
        <w:tc>
          <w:tcPr>
            <w:tcW w:w="1145"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3D3A6478" w14:textId="77777777" w:rsidR="00DE3299" w:rsidRPr="00A7716E" w:rsidRDefault="00DE3299" w:rsidP="00F90FA1">
            <w:pPr>
              <w:jc w:val="center"/>
              <w:rPr>
                <w:rFonts w:cs="Calibri"/>
                <w:sz w:val="18"/>
                <w:szCs w:val="18"/>
              </w:rPr>
            </w:pPr>
          </w:p>
        </w:tc>
        <w:tc>
          <w:tcPr>
            <w:tcW w:w="1134"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042D2E02" w14:textId="77777777" w:rsidR="00DE3299" w:rsidRPr="00A7716E" w:rsidRDefault="00DE3299" w:rsidP="00F90FA1">
            <w:pPr>
              <w:jc w:val="center"/>
              <w:rPr>
                <w:rFonts w:cs="Calibri"/>
                <w:sz w:val="18"/>
                <w:szCs w:val="18"/>
              </w:rPr>
            </w:pPr>
          </w:p>
        </w:tc>
        <w:tc>
          <w:tcPr>
            <w:tcW w:w="99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44AB11B" w14:textId="77777777" w:rsidR="00DE3299" w:rsidRPr="00A7716E" w:rsidRDefault="00DE3299" w:rsidP="00F90FA1">
            <w:pPr>
              <w:jc w:val="center"/>
              <w:rPr>
                <w:rFonts w:cs="Calibri"/>
                <w:sz w:val="18"/>
                <w:szCs w:val="18"/>
              </w:rPr>
            </w:pPr>
          </w:p>
        </w:tc>
        <w:tc>
          <w:tcPr>
            <w:tcW w:w="99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079435B" w14:textId="77777777" w:rsidR="00DE3299" w:rsidRPr="00A7716E" w:rsidRDefault="00DE3299" w:rsidP="00F90FA1">
            <w:pPr>
              <w:jc w:val="center"/>
              <w:rPr>
                <w:rFonts w:cs="Calibri"/>
                <w:sz w:val="18"/>
                <w:szCs w:val="18"/>
              </w:rPr>
            </w:pPr>
          </w:p>
        </w:tc>
        <w:tc>
          <w:tcPr>
            <w:tcW w:w="1134"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719DF23" w14:textId="77777777" w:rsidR="00DE3299" w:rsidRPr="00A7716E" w:rsidRDefault="00DE3299" w:rsidP="00F90FA1">
            <w:pPr>
              <w:jc w:val="center"/>
              <w:rPr>
                <w:rFonts w:cs="Calibri"/>
                <w:sz w:val="18"/>
                <w:szCs w:val="18"/>
              </w:rPr>
            </w:pPr>
          </w:p>
        </w:tc>
      </w:tr>
      <w:tr w:rsidR="00DE3299" w:rsidRPr="00A7716E" w14:paraId="147A7897" w14:textId="77777777" w:rsidTr="00F90FA1">
        <w:trPr>
          <w:cantSplit/>
          <w:trHeight w:val="340"/>
          <w:jc w:val="center"/>
        </w:trPr>
        <w:tc>
          <w:tcPr>
            <w:tcW w:w="704" w:type="dxa"/>
            <w:tcBorders>
              <w:top w:val="single" w:sz="4" w:space="0" w:color="auto"/>
            </w:tcBorders>
            <w:vAlign w:val="center"/>
          </w:tcPr>
          <w:p w14:paraId="7E68C60E" w14:textId="77777777" w:rsidR="00DE3299" w:rsidRPr="00A7716E" w:rsidRDefault="00DE3299" w:rsidP="00F90FA1">
            <w:pPr>
              <w:ind w:left="113" w:right="113"/>
              <w:jc w:val="center"/>
              <w:rPr>
                <w:rFonts w:cs="Calibri"/>
                <w:sz w:val="18"/>
                <w:szCs w:val="18"/>
              </w:rPr>
            </w:pPr>
            <w:r>
              <w:rPr>
                <w:rFonts w:cs="Calibri"/>
                <w:sz w:val="18"/>
                <w:szCs w:val="18"/>
              </w:rPr>
              <w:t>I</w:t>
            </w:r>
          </w:p>
        </w:tc>
        <w:tc>
          <w:tcPr>
            <w:tcW w:w="2268" w:type="dxa"/>
            <w:tcBorders>
              <w:top w:val="single" w:sz="4" w:space="0" w:color="auto"/>
              <w:left w:val="single" w:sz="4" w:space="0" w:color="auto"/>
              <w:bottom w:val="single" w:sz="4" w:space="0" w:color="auto"/>
              <w:right w:val="single" w:sz="4" w:space="0" w:color="auto"/>
            </w:tcBorders>
            <w:vAlign w:val="center"/>
          </w:tcPr>
          <w:p w14:paraId="14830D83" w14:textId="77777777" w:rsidR="00DE3299" w:rsidRPr="00A7716E" w:rsidRDefault="00DE3299" w:rsidP="00F90FA1">
            <w:pPr>
              <w:jc w:val="left"/>
              <w:rPr>
                <w:rFonts w:cs="Calibri"/>
                <w:sz w:val="18"/>
                <w:szCs w:val="18"/>
              </w:rPr>
            </w:pPr>
            <w:r w:rsidRPr="00A7716E">
              <w:rPr>
                <w:rFonts w:cs="Calibri"/>
                <w:sz w:val="18"/>
                <w:szCs w:val="18"/>
              </w:rPr>
              <w:t>Zone naturelle</w:t>
            </w:r>
          </w:p>
        </w:tc>
        <w:tc>
          <w:tcPr>
            <w:tcW w:w="851" w:type="dxa"/>
            <w:tcBorders>
              <w:top w:val="single" w:sz="4" w:space="0" w:color="auto"/>
            </w:tcBorders>
            <w:vAlign w:val="center"/>
          </w:tcPr>
          <w:p w14:paraId="02AA08F9" w14:textId="77777777" w:rsidR="00DE3299" w:rsidRDefault="00DE3299" w:rsidP="00F90FA1">
            <w:pPr>
              <w:jc w:val="center"/>
              <w:rPr>
                <w:rFonts w:cs="Calibri"/>
                <w:sz w:val="18"/>
                <w:szCs w:val="18"/>
              </w:rPr>
            </w:pPr>
            <w:r w:rsidRPr="00A7716E">
              <w:rPr>
                <w:rFonts w:cs="Calibri"/>
                <w:sz w:val="18"/>
                <w:szCs w:val="18"/>
              </w:rPr>
              <w:t>0</w:t>
            </w:r>
          </w:p>
        </w:tc>
        <w:tc>
          <w:tcPr>
            <w:tcW w:w="860" w:type="dxa"/>
            <w:tcBorders>
              <w:top w:val="single" w:sz="4" w:space="0" w:color="auto"/>
            </w:tcBorders>
            <w:vAlign w:val="center"/>
          </w:tcPr>
          <w:p w14:paraId="5026FCA4" w14:textId="77777777" w:rsidR="00DE3299" w:rsidRDefault="00DE3299" w:rsidP="00F90FA1">
            <w:pPr>
              <w:jc w:val="center"/>
              <w:rPr>
                <w:rFonts w:cs="Calibri"/>
                <w:sz w:val="18"/>
                <w:szCs w:val="18"/>
              </w:rPr>
            </w:pPr>
            <w:r w:rsidRPr="00A7716E">
              <w:rPr>
                <w:rFonts w:cs="Calibri"/>
                <w:sz w:val="18"/>
                <w:szCs w:val="18"/>
              </w:rPr>
              <w:t>0</w:t>
            </w:r>
          </w:p>
        </w:tc>
        <w:tc>
          <w:tcPr>
            <w:tcW w:w="846" w:type="dxa"/>
            <w:tcBorders>
              <w:top w:val="single" w:sz="4" w:space="0" w:color="auto"/>
            </w:tcBorders>
            <w:vAlign w:val="center"/>
          </w:tcPr>
          <w:p w14:paraId="02B704AA" w14:textId="77777777" w:rsidR="00DE3299" w:rsidRDefault="00DE3299" w:rsidP="00F90FA1">
            <w:pPr>
              <w:jc w:val="center"/>
              <w:rPr>
                <w:rFonts w:cs="Calibri"/>
                <w:sz w:val="18"/>
                <w:szCs w:val="18"/>
              </w:rPr>
            </w:pPr>
            <w:r w:rsidRPr="00A7716E">
              <w:rPr>
                <w:rFonts w:cs="Calibri"/>
                <w:sz w:val="18"/>
                <w:szCs w:val="18"/>
              </w:rPr>
              <w:t>0</w:t>
            </w:r>
          </w:p>
        </w:tc>
        <w:tc>
          <w:tcPr>
            <w:tcW w:w="719" w:type="dxa"/>
            <w:tcBorders>
              <w:top w:val="single" w:sz="4" w:space="0" w:color="auto"/>
            </w:tcBorders>
            <w:vAlign w:val="center"/>
          </w:tcPr>
          <w:p w14:paraId="423A9326" w14:textId="77777777" w:rsidR="00DE3299" w:rsidRDefault="00DE3299" w:rsidP="00F90FA1">
            <w:pPr>
              <w:jc w:val="center"/>
              <w:rPr>
                <w:rFonts w:cs="Calibri"/>
                <w:sz w:val="18"/>
                <w:szCs w:val="18"/>
              </w:rPr>
            </w:pPr>
            <w:r w:rsidRPr="00A7716E">
              <w:rPr>
                <w:rFonts w:cs="Calibri"/>
                <w:sz w:val="18"/>
                <w:szCs w:val="18"/>
              </w:rPr>
              <w:t>0</w:t>
            </w:r>
          </w:p>
        </w:tc>
        <w:tc>
          <w:tcPr>
            <w:tcW w:w="992" w:type="dxa"/>
            <w:tcBorders>
              <w:top w:val="single" w:sz="4" w:space="0" w:color="auto"/>
            </w:tcBorders>
            <w:shd w:val="clear" w:color="auto" w:fill="A5C9EB" w:themeFill="text2" w:themeFillTint="40"/>
            <w:vAlign w:val="center"/>
          </w:tcPr>
          <w:p w14:paraId="5C2BE4C8" w14:textId="77777777" w:rsidR="00DE3299" w:rsidRPr="00A7716E" w:rsidRDefault="00DE3299" w:rsidP="00F90FA1">
            <w:pPr>
              <w:jc w:val="center"/>
              <w:rPr>
                <w:rFonts w:cs="Calibri"/>
                <w:sz w:val="18"/>
                <w:szCs w:val="18"/>
              </w:rPr>
            </w:pPr>
            <w:r w:rsidRPr="00A7716E">
              <w:rPr>
                <w:rFonts w:cs="Calibri"/>
                <w:sz w:val="18"/>
                <w:szCs w:val="18"/>
              </w:rPr>
              <w:t>2</w:t>
            </w:r>
          </w:p>
        </w:tc>
        <w:tc>
          <w:tcPr>
            <w:tcW w:w="982" w:type="dxa"/>
            <w:tcBorders>
              <w:top w:val="single" w:sz="4" w:space="0" w:color="auto"/>
            </w:tcBorders>
            <w:shd w:val="clear" w:color="auto" w:fill="DAE9F7" w:themeFill="text2" w:themeFillTint="1A"/>
            <w:vAlign w:val="center"/>
          </w:tcPr>
          <w:p w14:paraId="1AF4C48B" w14:textId="77777777" w:rsidR="00DE3299" w:rsidRPr="00A7716E" w:rsidRDefault="00DE3299" w:rsidP="00F90FA1">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tcBorders>
              <w:top w:val="single" w:sz="4" w:space="0" w:color="auto"/>
            </w:tcBorders>
            <w:shd w:val="clear" w:color="auto" w:fill="4C94D8" w:themeFill="text2" w:themeFillTint="80"/>
            <w:vAlign w:val="center"/>
          </w:tcPr>
          <w:p w14:paraId="3B24D3F3" w14:textId="77777777" w:rsidR="00DE3299" w:rsidRPr="00A7716E" w:rsidRDefault="00DE3299" w:rsidP="00F90FA1">
            <w:pPr>
              <w:jc w:val="center"/>
              <w:rPr>
                <w:rFonts w:cs="Calibri"/>
                <w:sz w:val="18"/>
                <w:szCs w:val="18"/>
              </w:rPr>
            </w:pPr>
            <w:r w:rsidRPr="00A7716E">
              <w:rPr>
                <w:rFonts w:cs="Calibri"/>
                <w:sz w:val="18"/>
                <w:szCs w:val="18"/>
              </w:rPr>
              <w:t>4</w:t>
            </w:r>
          </w:p>
        </w:tc>
        <w:tc>
          <w:tcPr>
            <w:tcW w:w="1134" w:type="dxa"/>
            <w:tcBorders>
              <w:top w:val="single" w:sz="4" w:space="0" w:color="auto"/>
            </w:tcBorders>
            <w:shd w:val="clear" w:color="auto" w:fill="4C94D8" w:themeFill="text2" w:themeFillTint="80"/>
            <w:vAlign w:val="center"/>
          </w:tcPr>
          <w:p w14:paraId="0EE3E7BF" w14:textId="77777777" w:rsidR="00DE3299" w:rsidRPr="00A7716E" w:rsidRDefault="00DE3299" w:rsidP="00F90FA1">
            <w:pPr>
              <w:jc w:val="center"/>
              <w:rPr>
                <w:rFonts w:cs="Calibri"/>
                <w:sz w:val="18"/>
                <w:szCs w:val="18"/>
              </w:rPr>
            </w:pPr>
            <w:r w:rsidRPr="00A7716E">
              <w:rPr>
                <w:rFonts w:cs="Calibri"/>
                <w:sz w:val="18"/>
                <w:szCs w:val="18"/>
              </w:rPr>
              <w:t>4</w:t>
            </w:r>
          </w:p>
        </w:tc>
        <w:tc>
          <w:tcPr>
            <w:tcW w:w="992" w:type="dxa"/>
            <w:tcBorders>
              <w:top w:val="single" w:sz="4" w:space="0" w:color="auto"/>
            </w:tcBorders>
            <w:shd w:val="clear" w:color="auto" w:fill="A5C9EB" w:themeFill="text2" w:themeFillTint="40"/>
            <w:vAlign w:val="center"/>
          </w:tcPr>
          <w:p w14:paraId="583E5564" w14:textId="77777777" w:rsidR="00DE3299" w:rsidRPr="00A7716E" w:rsidRDefault="00DE3299" w:rsidP="00F90FA1">
            <w:pPr>
              <w:jc w:val="center"/>
              <w:rPr>
                <w:rFonts w:cs="Calibri"/>
                <w:sz w:val="18"/>
                <w:szCs w:val="18"/>
              </w:rPr>
            </w:pPr>
            <w:r w:rsidRPr="00A7716E">
              <w:rPr>
                <w:rFonts w:cs="Calibri"/>
                <w:sz w:val="18"/>
                <w:szCs w:val="18"/>
              </w:rPr>
              <w:t>2</w:t>
            </w:r>
          </w:p>
        </w:tc>
        <w:tc>
          <w:tcPr>
            <w:tcW w:w="992" w:type="dxa"/>
            <w:tcBorders>
              <w:top w:val="single" w:sz="4" w:space="0" w:color="auto"/>
            </w:tcBorders>
            <w:vAlign w:val="center"/>
          </w:tcPr>
          <w:p w14:paraId="6A5EB059" w14:textId="77777777" w:rsidR="00DE3299" w:rsidRPr="00A7716E" w:rsidRDefault="00DE3299" w:rsidP="00F90FA1">
            <w:pPr>
              <w:jc w:val="center"/>
              <w:rPr>
                <w:rFonts w:cs="Calibri"/>
                <w:sz w:val="18"/>
                <w:szCs w:val="18"/>
              </w:rPr>
            </w:pPr>
            <w:r w:rsidRPr="00A7716E">
              <w:rPr>
                <w:rFonts w:cs="Calibri"/>
                <w:sz w:val="18"/>
                <w:szCs w:val="18"/>
              </w:rPr>
              <w:t>0</w:t>
            </w:r>
          </w:p>
        </w:tc>
        <w:tc>
          <w:tcPr>
            <w:tcW w:w="1134" w:type="dxa"/>
            <w:tcBorders>
              <w:top w:val="single" w:sz="4" w:space="0" w:color="auto"/>
            </w:tcBorders>
            <w:vAlign w:val="center"/>
          </w:tcPr>
          <w:p w14:paraId="4DA02A10" w14:textId="77777777" w:rsidR="00DE3299" w:rsidRPr="00A7716E" w:rsidRDefault="00DE3299" w:rsidP="00F90FA1">
            <w:pPr>
              <w:jc w:val="center"/>
              <w:rPr>
                <w:rFonts w:cs="Calibri"/>
                <w:sz w:val="18"/>
                <w:szCs w:val="18"/>
              </w:rPr>
            </w:pPr>
            <w:r w:rsidRPr="00A7716E">
              <w:rPr>
                <w:rFonts w:cs="Calibri"/>
                <w:sz w:val="18"/>
                <w:szCs w:val="18"/>
              </w:rPr>
              <w:t>0</w:t>
            </w:r>
          </w:p>
        </w:tc>
      </w:tr>
      <w:tr w:rsidR="00DE3299" w:rsidRPr="00A7716E" w14:paraId="258BACFA" w14:textId="77777777" w:rsidTr="00F90FA1">
        <w:trPr>
          <w:cantSplit/>
          <w:trHeight w:val="340"/>
          <w:jc w:val="center"/>
        </w:trPr>
        <w:tc>
          <w:tcPr>
            <w:tcW w:w="704" w:type="dxa"/>
            <w:vAlign w:val="center"/>
          </w:tcPr>
          <w:p w14:paraId="3970E4FD" w14:textId="77777777" w:rsidR="00DE3299" w:rsidRPr="00A7716E" w:rsidRDefault="00DE3299" w:rsidP="00F90FA1">
            <w:pPr>
              <w:ind w:left="113" w:right="113"/>
              <w:jc w:val="center"/>
              <w:rPr>
                <w:rFonts w:cs="Calibri"/>
                <w:sz w:val="18"/>
                <w:szCs w:val="18"/>
              </w:rPr>
            </w:pPr>
            <w:r>
              <w:rPr>
                <w:rFonts w:cs="Calibri"/>
                <w:sz w:val="18"/>
                <w:szCs w:val="18"/>
              </w:rPr>
              <w:t>II</w:t>
            </w:r>
          </w:p>
        </w:tc>
        <w:tc>
          <w:tcPr>
            <w:tcW w:w="2268" w:type="dxa"/>
            <w:tcBorders>
              <w:top w:val="single" w:sz="4" w:space="0" w:color="auto"/>
              <w:left w:val="single" w:sz="4" w:space="0" w:color="auto"/>
              <w:bottom w:val="single" w:sz="4" w:space="0" w:color="auto"/>
              <w:right w:val="single" w:sz="4" w:space="0" w:color="auto"/>
            </w:tcBorders>
            <w:vAlign w:val="center"/>
          </w:tcPr>
          <w:p w14:paraId="3B0D973A" w14:textId="77777777" w:rsidR="00DE3299" w:rsidRPr="00A7716E" w:rsidRDefault="00DE3299" w:rsidP="00F90FA1">
            <w:pPr>
              <w:jc w:val="left"/>
              <w:rPr>
                <w:rFonts w:cs="Calibri"/>
                <w:sz w:val="18"/>
                <w:szCs w:val="18"/>
              </w:rPr>
            </w:pPr>
            <w:r w:rsidRPr="00A7716E">
              <w:rPr>
                <w:rFonts w:cs="Calibri"/>
                <w:sz w:val="18"/>
                <w:szCs w:val="18"/>
              </w:rPr>
              <w:t>Zone cultivée</w:t>
            </w:r>
          </w:p>
        </w:tc>
        <w:tc>
          <w:tcPr>
            <w:tcW w:w="851" w:type="dxa"/>
            <w:shd w:val="clear" w:color="auto" w:fill="4C94D8" w:themeFill="text2" w:themeFillTint="80"/>
            <w:vAlign w:val="center"/>
          </w:tcPr>
          <w:p w14:paraId="136F5355" w14:textId="77777777" w:rsidR="00DE3299" w:rsidRDefault="00DE3299" w:rsidP="00F90FA1">
            <w:pPr>
              <w:jc w:val="center"/>
              <w:rPr>
                <w:rFonts w:cs="Calibri"/>
                <w:sz w:val="18"/>
                <w:szCs w:val="18"/>
              </w:rPr>
            </w:pPr>
            <w:r w:rsidRPr="00A7716E">
              <w:rPr>
                <w:rFonts w:cs="Calibri"/>
                <w:sz w:val="18"/>
                <w:szCs w:val="18"/>
              </w:rPr>
              <w:t>4</w:t>
            </w:r>
          </w:p>
        </w:tc>
        <w:tc>
          <w:tcPr>
            <w:tcW w:w="860" w:type="dxa"/>
            <w:vAlign w:val="center"/>
          </w:tcPr>
          <w:p w14:paraId="30DC8D64" w14:textId="77777777" w:rsidR="00DE3299" w:rsidRDefault="00DE3299" w:rsidP="00F90FA1">
            <w:pPr>
              <w:jc w:val="center"/>
              <w:rPr>
                <w:rFonts w:cs="Calibri"/>
                <w:sz w:val="18"/>
                <w:szCs w:val="18"/>
              </w:rPr>
            </w:pPr>
            <w:r w:rsidRPr="00A7716E">
              <w:rPr>
                <w:rFonts w:cs="Calibri"/>
                <w:sz w:val="18"/>
                <w:szCs w:val="18"/>
              </w:rPr>
              <w:t>0</w:t>
            </w:r>
          </w:p>
        </w:tc>
        <w:tc>
          <w:tcPr>
            <w:tcW w:w="846" w:type="dxa"/>
            <w:vAlign w:val="center"/>
          </w:tcPr>
          <w:p w14:paraId="182900EF" w14:textId="77777777" w:rsidR="00DE3299" w:rsidRDefault="00DE3299" w:rsidP="00F90FA1">
            <w:pPr>
              <w:jc w:val="center"/>
              <w:rPr>
                <w:rFonts w:cs="Calibri"/>
                <w:sz w:val="18"/>
                <w:szCs w:val="18"/>
              </w:rPr>
            </w:pPr>
            <w:r w:rsidRPr="00A7716E">
              <w:rPr>
                <w:rFonts w:cs="Calibri"/>
                <w:sz w:val="18"/>
                <w:szCs w:val="18"/>
              </w:rPr>
              <w:t>0</w:t>
            </w:r>
          </w:p>
        </w:tc>
        <w:tc>
          <w:tcPr>
            <w:tcW w:w="719" w:type="dxa"/>
            <w:vAlign w:val="center"/>
          </w:tcPr>
          <w:p w14:paraId="78158EDD" w14:textId="77777777" w:rsidR="00DE3299" w:rsidRDefault="00DE3299" w:rsidP="00F90FA1">
            <w:pPr>
              <w:jc w:val="center"/>
              <w:rPr>
                <w:rFonts w:cs="Calibri"/>
                <w:sz w:val="18"/>
                <w:szCs w:val="18"/>
              </w:rPr>
            </w:pPr>
            <w:r w:rsidRPr="00A7716E">
              <w:rPr>
                <w:rFonts w:cs="Calibri"/>
                <w:sz w:val="18"/>
                <w:szCs w:val="18"/>
              </w:rPr>
              <w:t>0</w:t>
            </w:r>
          </w:p>
        </w:tc>
        <w:tc>
          <w:tcPr>
            <w:tcW w:w="992" w:type="dxa"/>
            <w:shd w:val="clear" w:color="auto" w:fill="A5C9EB" w:themeFill="text2" w:themeFillTint="40"/>
            <w:vAlign w:val="center"/>
          </w:tcPr>
          <w:p w14:paraId="6E169D68" w14:textId="77777777" w:rsidR="00DE3299" w:rsidRPr="00A7716E" w:rsidRDefault="00DE3299" w:rsidP="00F90FA1">
            <w:pPr>
              <w:jc w:val="center"/>
              <w:rPr>
                <w:rFonts w:cs="Calibri"/>
                <w:sz w:val="18"/>
                <w:szCs w:val="18"/>
              </w:rPr>
            </w:pPr>
            <w:r w:rsidRPr="00A7716E">
              <w:rPr>
                <w:rFonts w:cs="Calibri"/>
                <w:sz w:val="18"/>
                <w:szCs w:val="18"/>
              </w:rPr>
              <w:t>2</w:t>
            </w:r>
          </w:p>
        </w:tc>
        <w:tc>
          <w:tcPr>
            <w:tcW w:w="982" w:type="dxa"/>
            <w:shd w:val="clear" w:color="auto" w:fill="DAE9F7" w:themeFill="text2" w:themeFillTint="1A"/>
            <w:vAlign w:val="center"/>
          </w:tcPr>
          <w:p w14:paraId="74A198FD" w14:textId="77777777" w:rsidR="00DE3299" w:rsidRPr="00A7716E" w:rsidRDefault="00DE3299" w:rsidP="00F90FA1">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767705A3" w14:textId="77777777" w:rsidR="00DE3299" w:rsidRPr="00A7716E" w:rsidRDefault="00DE3299" w:rsidP="00F90FA1">
            <w:pPr>
              <w:jc w:val="center"/>
              <w:rPr>
                <w:rFonts w:cs="Calibri"/>
                <w:sz w:val="18"/>
                <w:szCs w:val="18"/>
              </w:rPr>
            </w:pPr>
            <w:r w:rsidRPr="00A7716E">
              <w:rPr>
                <w:rFonts w:cs="Calibri"/>
                <w:sz w:val="18"/>
                <w:szCs w:val="18"/>
              </w:rPr>
              <w:t>1</w:t>
            </w:r>
          </w:p>
        </w:tc>
        <w:tc>
          <w:tcPr>
            <w:tcW w:w="1134" w:type="dxa"/>
            <w:vAlign w:val="center"/>
          </w:tcPr>
          <w:p w14:paraId="4F20356D" w14:textId="77777777" w:rsidR="00DE3299" w:rsidRPr="00A7716E" w:rsidRDefault="00DE3299" w:rsidP="00F90FA1">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21AE7024" w14:textId="77777777" w:rsidR="00DE3299" w:rsidRPr="00A7716E" w:rsidRDefault="00DE3299" w:rsidP="00F90FA1">
            <w:pPr>
              <w:jc w:val="center"/>
              <w:rPr>
                <w:rFonts w:cs="Calibri"/>
                <w:sz w:val="18"/>
                <w:szCs w:val="18"/>
              </w:rPr>
            </w:pPr>
            <w:r w:rsidRPr="00A7716E">
              <w:rPr>
                <w:rFonts w:cs="Calibri"/>
                <w:sz w:val="18"/>
                <w:szCs w:val="18"/>
              </w:rPr>
              <w:t>1</w:t>
            </w:r>
          </w:p>
        </w:tc>
        <w:tc>
          <w:tcPr>
            <w:tcW w:w="992" w:type="dxa"/>
            <w:vAlign w:val="center"/>
          </w:tcPr>
          <w:p w14:paraId="3C10CAE1" w14:textId="77777777" w:rsidR="00DE3299" w:rsidRPr="00A7716E" w:rsidRDefault="00DE3299" w:rsidP="00F90FA1">
            <w:pPr>
              <w:jc w:val="center"/>
              <w:rPr>
                <w:rFonts w:cs="Calibri"/>
                <w:sz w:val="18"/>
                <w:szCs w:val="18"/>
              </w:rPr>
            </w:pPr>
            <w:r w:rsidRPr="00A7716E">
              <w:rPr>
                <w:rFonts w:cs="Calibri"/>
                <w:sz w:val="18"/>
                <w:szCs w:val="18"/>
              </w:rPr>
              <w:t>0</w:t>
            </w:r>
          </w:p>
        </w:tc>
        <w:tc>
          <w:tcPr>
            <w:tcW w:w="1134" w:type="dxa"/>
            <w:vAlign w:val="center"/>
          </w:tcPr>
          <w:p w14:paraId="6B43DD3F" w14:textId="77777777" w:rsidR="00DE3299" w:rsidRPr="00A7716E" w:rsidRDefault="00DE3299" w:rsidP="00F90FA1">
            <w:pPr>
              <w:jc w:val="center"/>
              <w:rPr>
                <w:rFonts w:cs="Calibri"/>
                <w:sz w:val="18"/>
                <w:szCs w:val="18"/>
              </w:rPr>
            </w:pPr>
            <w:r w:rsidRPr="00A7716E">
              <w:rPr>
                <w:rFonts w:cs="Calibri"/>
                <w:sz w:val="18"/>
                <w:szCs w:val="18"/>
              </w:rPr>
              <w:t>0</w:t>
            </w:r>
          </w:p>
        </w:tc>
      </w:tr>
      <w:tr w:rsidR="00DE3299" w:rsidRPr="00A7716E" w14:paraId="31DE3555" w14:textId="77777777" w:rsidTr="00F90FA1">
        <w:trPr>
          <w:cantSplit/>
          <w:trHeight w:val="340"/>
          <w:jc w:val="center"/>
        </w:trPr>
        <w:tc>
          <w:tcPr>
            <w:tcW w:w="704" w:type="dxa"/>
            <w:vAlign w:val="center"/>
          </w:tcPr>
          <w:p w14:paraId="7A77CCA8" w14:textId="77777777" w:rsidR="00DE3299" w:rsidRPr="00A7716E" w:rsidRDefault="00DE3299" w:rsidP="00F90FA1">
            <w:pPr>
              <w:ind w:left="113" w:right="113"/>
              <w:jc w:val="center"/>
              <w:rPr>
                <w:rFonts w:cs="Calibri"/>
                <w:sz w:val="18"/>
                <w:szCs w:val="18"/>
              </w:rPr>
            </w:pPr>
            <w:r>
              <w:rPr>
                <w:rFonts w:cs="Calibri"/>
                <w:sz w:val="18"/>
                <w:szCs w:val="18"/>
              </w:rPr>
              <w:t>II</w:t>
            </w:r>
          </w:p>
        </w:tc>
        <w:tc>
          <w:tcPr>
            <w:tcW w:w="2268" w:type="dxa"/>
            <w:tcBorders>
              <w:top w:val="single" w:sz="4" w:space="0" w:color="auto"/>
              <w:left w:val="single" w:sz="4" w:space="0" w:color="auto"/>
              <w:bottom w:val="single" w:sz="4" w:space="0" w:color="auto"/>
              <w:right w:val="single" w:sz="4" w:space="0" w:color="auto"/>
            </w:tcBorders>
            <w:vAlign w:val="center"/>
          </w:tcPr>
          <w:p w14:paraId="60F34111" w14:textId="77777777" w:rsidR="00DE3299" w:rsidRPr="00A7716E" w:rsidRDefault="00DE3299" w:rsidP="00F90FA1">
            <w:pPr>
              <w:jc w:val="left"/>
              <w:rPr>
                <w:rFonts w:cs="Calibri"/>
                <w:sz w:val="18"/>
                <w:szCs w:val="18"/>
              </w:rPr>
            </w:pPr>
            <w:r w:rsidRPr="00A7716E">
              <w:rPr>
                <w:rFonts w:cs="Calibri"/>
                <w:sz w:val="18"/>
                <w:szCs w:val="18"/>
              </w:rPr>
              <w:t>Prairie</w:t>
            </w:r>
          </w:p>
        </w:tc>
        <w:tc>
          <w:tcPr>
            <w:tcW w:w="851" w:type="dxa"/>
            <w:vAlign w:val="center"/>
          </w:tcPr>
          <w:p w14:paraId="6F1402B6" w14:textId="77777777" w:rsidR="00DE3299" w:rsidRDefault="00DE3299" w:rsidP="00F90FA1">
            <w:pPr>
              <w:jc w:val="center"/>
              <w:rPr>
                <w:rFonts w:cs="Calibri"/>
                <w:sz w:val="18"/>
                <w:szCs w:val="18"/>
              </w:rPr>
            </w:pPr>
            <w:r w:rsidRPr="00A7716E">
              <w:rPr>
                <w:rFonts w:cs="Calibri"/>
                <w:sz w:val="18"/>
                <w:szCs w:val="18"/>
              </w:rPr>
              <w:t>0</w:t>
            </w:r>
          </w:p>
        </w:tc>
        <w:tc>
          <w:tcPr>
            <w:tcW w:w="860" w:type="dxa"/>
            <w:shd w:val="clear" w:color="auto" w:fill="4C94D8" w:themeFill="text2" w:themeFillTint="80"/>
            <w:vAlign w:val="center"/>
          </w:tcPr>
          <w:p w14:paraId="6DB902A4" w14:textId="77777777" w:rsidR="00DE3299" w:rsidRDefault="00DE3299" w:rsidP="00F90FA1">
            <w:pPr>
              <w:jc w:val="center"/>
              <w:rPr>
                <w:rFonts w:cs="Calibri"/>
                <w:sz w:val="18"/>
                <w:szCs w:val="18"/>
              </w:rPr>
            </w:pPr>
            <w:r w:rsidRPr="00A7716E">
              <w:rPr>
                <w:rFonts w:cs="Calibri"/>
                <w:sz w:val="18"/>
                <w:szCs w:val="18"/>
              </w:rPr>
              <w:t>4</w:t>
            </w:r>
          </w:p>
        </w:tc>
        <w:tc>
          <w:tcPr>
            <w:tcW w:w="846" w:type="dxa"/>
            <w:vAlign w:val="center"/>
          </w:tcPr>
          <w:p w14:paraId="6DA73799" w14:textId="77777777" w:rsidR="00DE3299" w:rsidRDefault="00DE3299" w:rsidP="00F90FA1">
            <w:pPr>
              <w:jc w:val="center"/>
              <w:rPr>
                <w:rFonts w:cs="Calibri"/>
                <w:sz w:val="18"/>
                <w:szCs w:val="18"/>
              </w:rPr>
            </w:pPr>
            <w:r w:rsidRPr="00A7716E">
              <w:rPr>
                <w:rFonts w:cs="Calibri"/>
                <w:sz w:val="18"/>
                <w:szCs w:val="18"/>
              </w:rPr>
              <w:t>0</w:t>
            </w:r>
          </w:p>
        </w:tc>
        <w:tc>
          <w:tcPr>
            <w:tcW w:w="719" w:type="dxa"/>
            <w:vAlign w:val="center"/>
          </w:tcPr>
          <w:p w14:paraId="430CE9AF" w14:textId="77777777" w:rsidR="00DE3299" w:rsidRDefault="00DE3299" w:rsidP="00F90FA1">
            <w:pPr>
              <w:jc w:val="center"/>
              <w:rPr>
                <w:rFonts w:cs="Calibri"/>
                <w:sz w:val="18"/>
                <w:szCs w:val="18"/>
              </w:rPr>
            </w:pPr>
            <w:r w:rsidRPr="00A7716E">
              <w:rPr>
                <w:rFonts w:cs="Calibri"/>
                <w:sz w:val="18"/>
                <w:szCs w:val="18"/>
              </w:rPr>
              <w:t>0</w:t>
            </w:r>
          </w:p>
        </w:tc>
        <w:tc>
          <w:tcPr>
            <w:tcW w:w="992" w:type="dxa"/>
            <w:shd w:val="clear" w:color="auto" w:fill="A5C9EB" w:themeFill="text2" w:themeFillTint="40"/>
            <w:vAlign w:val="center"/>
          </w:tcPr>
          <w:p w14:paraId="616DB736" w14:textId="77777777" w:rsidR="00DE3299" w:rsidRPr="00A7716E" w:rsidRDefault="00DE3299" w:rsidP="00F90FA1">
            <w:pPr>
              <w:jc w:val="center"/>
              <w:rPr>
                <w:rFonts w:cs="Calibri"/>
                <w:sz w:val="18"/>
                <w:szCs w:val="18"/>
              </w:rPr>
            </w:pPr>
            <w:r w:rsidRPr="00A7716E">
              <w:rPr>
                <w:rFonts w:cs="Calibri"/>
                <w:sz w:val="18"/>
                <w:szCs w:val="18"/>
              </w:rPr>
              <w:t>2</w:t>
            </w:r>
          </w:p>
        </w:tc>
        <w:tc>
          <w:tcPr>
            <w:tcW w:w="982" w:type="dxa"/>
            <w:shd w:val="clear" w:color="auto" w:fill="DAE9F7" w:themeFill="text2" w:themeFillTint="1A"/>
            <w:vAlign w:val="center"/>
          </w:tcPr>
          <w:p w14:paraId="491A8E40" w14:textId="77777777" w:rsidR="00DE3299" w:rsidRPr="00A7716E" w:rsidRDefault="00DE3299" w:rsidP="00F90FA1">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1ACFFBDA" w14:textId="77777777" w:rsidR="00DE3299" w:rsidRPr="00A7716E" w:rsidRDefault="00DE3299" w:rsidP="00F90FA1">
            <w:pPr>
              <w:jc w:val="center"/>
              <w:rPr>
                <w:rFonts w:cs="Calibri"/>
                <w:sz w:val="18"/>
                <w:szCs w:val="18"/>
              </w:rPr>
            </w:pPr>
            <w:r w:rsidRPr="00A7716E">
              <w:rPr>
                <w:rFonts w:cs="Calibri"/>
                <w:sz w:val="18"/>
                <w:szCs w:val="18"/>
              </w:rPr>
              <w:t>1</w:t>
            </w:r>
          </w:p>
        </w:tc>
        <w:tc>
          <w:tcPr>
            <w:tcW w:w="1134" w:type="dxa"/>
            <w:vAlign w:val="center"/>
          </w:tcPr>
          <w:p w14:paraId="37FDA26D" w14:textId="77777777" w:rsidR="00DE3299" w:rsidRPr="00A7716E" w:rsidRDefault="00DE3299" w:rsidP="00F90FA1">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184D0D56" w14:textId="77777777" w:rsidR="00DE3299" w:rsidRPr="00A7716E" w:rsidRDefault="00DE3299" w:rsidP="00F90FA1">
            <w:pPr>
              <w:jc w:val="center"/>
              <w:rPr>
                <w:rFonts w:cs="Calibri"/>
                <w:sz w:val="18"/>
                <w:szCs w:val="18"/>
              </w:rPr>
            </w:pPr>
            <w:r w:rsidRPr="00A7716E">
              <w:rPr>
                <w:rFonts w:cs="Calibri"/>
                <w:sz w:val="18"/>
                <w:szCs w:val="18"/>
              </w:rPr>
              <w:t>1</w:t>
            </w:r>
          </w:p>
        </w:tc>
        <w:tc>
          <w:tcPr>
            <w:tcW w:w="992" w:type="dxa"/>
            <w:vAlign w:val="center"/>
          </w:tcPr>
          <w:p w14:paraId="5F0558A2" w14:textId="77777777" w:rsidR="00DE3299" w:rsidRPr="00A7716E" w:rsidRDefault="00DE3299" w:rsidP="00F90FA1">
            <w:pPr>
              <w:jc w:val="center"/>
              <w:rPr>
                <w:rFonts w:cs="Calibri"/>
                <w:sz w:val="18"/>
                <w:szCs w:val="18"/>
              </w:rPr>
            </w:pPr>
            <w:r w:rsidRPr="00A7716E">
              <w:rPr>
                <w:rFonts w:cs="Calibri"/>
                <w:sz w:val="18"/>
                <w:szCs w:val="18"/>
              </w:rPr>
              <w:t>0</w:t>
            </w:r>
          </w:p>
        </w:tc>
        <w:tc>
          <w:tcPr>
            <w:tcW w:w="1134" w:type="dxa"/>
            <w:vAlign w:val="center"/>
          </w:tcPr>
          <w:p w14:paraId="6B262820" w14:textId="77777777" w:rsidR="00DE3299" w:rsidRPr="00A7716E" w:rsidRDefault="00DE3299" w:rsidP="00F90FA1">
            <w:pPr>
              <w:jc w:val="center"/>
              <w:rPr>
                <w:rFonts w:cs="Calibri"/>
                <w:sz w:val="18"/>
                <w:szCs w:val="18"/>
              </w:rPr>
            </w:pPr>
            <w:r w:rsidRPr="00A7716E">
              <w:rPr>
                <w:rFonts w:cs="Calibri"/>
                <w:sz w:val="18"/>
                <w:szCs w:val="18"/>
              </w:rPr>
              <w:t>0</w:t>
            </w:r>
          </w:p>
        </w:tc>
      </w:tr>
      <w:tr w:rsidR="00DE3299" w:rsidRPr="00A7716E" w14:paraId="47A3B6AF" w14:textId="77777777" w:rsidTr="00F90FA1">
        <w:trPr>
          <w:cantSplit/>
          <w:trHeight w:val="340"/>
          <w:jc w:val="center"/>
        </w:trPr>
        <w:tc>
          <w:tcPr>
            <w:tcW w:w="704" w:type="dxa"/>
            <w:vAlign w:val="center"/>
          </w:tcPr>
          <w:p w14:paraId="34B0D253" w14:textId="77777777" w:rsidR="00DE3299" w:rsidRPr="00A7716E" w:rsidRDefault="00DE3299" w:rsidP="00F90FA1">
            <w:pPr>
              <w:ind w:left="113" w:right="113"/>
              <w:jc w:val="center"/>
              <w:rPr>
                <w:rFonts w:cs="Calibri"/>
                <w:sz w:val="18"/>
                <w:szCs w:val="18"/>
              </w:rPr>
            </w:pPr>
            <w:r>
              <w:rPr>
                <w:rFonts w:cs="Calibri"/>
                <w:sz w:val="18"/>
                <w:szCs w:val="18"/>
              </w:rPr>
              <w:t>II</w:t>
            </w:r>
          </w:p>
        </w:tc>
        <w:tc>
          <w:tcPr>
            <w:tcW w:w="2268" w:type="dxa"/>
            <w:tcBorders>
              <w:top w:val="single" w:sz="4" w:space="0" w:color="auto"/>
              <w:left w:val="single" w:sz="4" w:space="0" w:color="auto"/>
              <w:bottom w:val="single" w:sz="4" w:space="0" w:color="auto"/>
              <w:right w:val="single" w:sz="4" w:space="0" w:color="auto"/>
            </w:tcBorders>
            <w:vAlign w:val="center"/>
          </w:tcPr>
          <w:p w14:paraId="7E8188D3" w14:textId="77777777" w:rsidR="00DE3299" w:rsidRPr="00A7716E" w:rsidRDefault="00DE3299" w:rsidP="00F90FA1">
            <w:pPr>
              <w:jc w:val="left"/>
              <w:rPr>
                <w:rFonts w:cs="Calibri"/>
                <w:sz w:val="18"/>
                <w:szCs w:val="18"/>
              </w:rPr>
            </w:pPr>
            <w:r w:rsidRPr="00A7716E">
              <w:rPr>
                <w:rFonts w:cs="Calibri"/>
                <w:sz w:val="18"/>
                <w:szCs w:val="18"/>
              </w:rPr>
              <w:t>Forêt productive</w:t>
            </w:r>
          </w:p>
        </w:tc>
        <w:tc>
          <w:tcPr>
            <w:tcW w:w="851" w:type="dxa"/>
            <w:vAlign w:val="center"/>
          </w:tcPr>
          <w:p w14:paraId="4A6AFC37" w14:textId="77777777" w:rsidR="00DE3299" w:rsidRDefault="00DE3299" w:rsidP="00F90FA1">
            <w:pPr>
              <w:jc w:val="center"/>
              <w:rPr>
                <w:rFonts w:cs="Calibri"/>
                <w:sz w:val="18"/>
                <w:szCs w:val="18"/>
              </w:rPr>
            </w:pPr>
            <w:r w:rsidRPr="00A7716E">
              <w:rPr>
                <w:rFonts w:cs="Calibri"/>
                <w:sz w:val="18"/>
                <w:szCs w:val="18"/>
              </w:rPr>
              <w:t>0</w:t>
            </w:r>
          </w:p>
        </w:tc>
        <w:tc>
          <w:tcPr>
            <w:tcW w:w="860" w:type="dxa"/>
            <w:vAlign w:val="center"/>
          </w:tcPr>
          <w:p w14:paraId="055AA3AC" w14:textId="77777777" w:rsidR="00DE3299" w:rsidRDefault="00DE3299" w:rsidP="00F90FA1">
            <w:pPr>
              <w:jc w:val="center"/>
              <w:rPr>
                <w:rFonts w:cs="Calibri"/>
                <w:sz w:val="18"/>
                <w:szCs w:val="18"/>
              </w:rPr>
            </w:pPr>
            <w:r w:rsidRPr="00A7716E">
              <w:rPr>
                <w:rFonts w:cs="Calibri"/>
                <w:sz w:val="18"/>
                <w:szCs w:val="18"/>
              </w:rPr>
              <w:t>0</w:t>
            </w:r>
          </w:p>
        </w:tc>
        <w:tc>
          <w:tcPr>
            <w:tcW w:w="846" w:type="dxa"/>
            <w:vAlign w:val="center"/>
          </w:tcPr>
          <w:p w14:paraId="0145C139" w14:textId="77777777" w:rsidR="00DE3299" w:rsidRDefault="00DE3299" w:rsidP="00F90FA1">
            <w:pPr>
              <w:jc w:val="center"/>
              <w:rPr>
                <w:rFonts w:cs="Calibri"/>
                <w:sz w:val="18"/>
                <w:szCs w:val="18"/>
              </w:rPr>
            </w:pPr>
            <w:r w:rsidRPr="00A7716E">
              <w:rPr>
                <w:rFonts w:cs="Calibri"/>
                <w:sz w:val="18"/>
                <w:szCs w:val="18"/>
              </w:rPr>
              <w:t>0</w:t>
            </w:r>
          </w:p>
        </w:tc>
        <w:tc>
          <w:tcPr>
            <w:tcW w:w="719" w:type="dxa"/>
            <w:shd w:val="clear" w:color="auto" w:fill="4C94D8" w:themeFill="text2" w:themeFillTint="80"/>
            <w:vAlign w:val="center"/>
          </w:tcPr>
          <w:p w14:paraId="6C1262F9" w14:textId="77777777" w:rsidR="00DE3299" w:rsidRDefault="00DE3299" w:rsidP="00F90FA1">
            <w:pPr>
              <w:jc w:val="center"/>
              <w:rPr>
                <w:rFonts w:cs="Calibri"/>
                <w:sz w:val="18"/>
                <w:szCs w:val="18"/>
              </w:rPr>
            </w:pPr>
            <w:r w:rsidRPr="00A7716E">
              <w:rPr>
                <w:rFonts w:cs="Calibri"/>
                <w:sz w:val="18"/>
                <w:szCs w:val="18"/>
              </w:rPr>
              <w:t>4</w:t>
            </w:r>
          </w:p>
        </w:tc>
        <w:tc>
          <w:tcPr>
            <w:tcW w:w="992" w:type="dxa"/>
            <w:shd w:val="clear" w:color="auto" w:fill="A5C9EB" w:themeFill="text2" w:themeFillTint="40"/>
            <w:vAlign w:val="center"/>
          </w:tcPr>
          <w:p w14:paraId="186BDE4D" w14:textId="77777777" w:rsidR="00DE3299" w:rsidRPr="00A7716E" w:rsidRDefault="00DE3299" w:rsidP="00F90FA1">
            <w:pPr>
              <w:jc w:val="center"/>
              <w:rPr>
                <w:rFonts w:cs="Calibri"/>
                <w:sz w:val="18"/>
                <w:szCs w:val="18"/>
              </w:rPr>
            </w:pPr>
            <w:r w:rsidRPr="00A7716E">
              <w:rPr>
                <w:rFonts w:cs="Calibri"/>
                <w:sz w:val="18"/>
                <w:szCs w:val="18"/>
              </w:rPr>
              <w:t>2</w:t>
            </w:r>
          </w:p>
        </w:tc>
        <w:tc>
          <w:tcPr>
            <w:tcW w:w="982" w:type="dxa"/>
            <w:shd w:val="clear" w:color="auto" w:fill="DAE9F7" w:themeFill="text2" w:themeFillTint="1A"/>
            <w:vAlign w:val="center"/>
          </w:tcPr>
          <w:p w14:paraId="7D3BE7F1" w14:textId="77777777" w:rsidR="00DE3299" w:rsidRPr="00A7716E" w:rsidRDefault="00DE3299" w:rsidP="00F90FA1">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7E3DFCB0" w14:textId="77777777" w:rsidR="00DE3299" w:rsidRPr="00A7716E" w:rsidRDefault="00DE3299" w:rsidP="00F90FA1">
            <w:pPr>
              <w:jc w:val="center"/>
              <w:rPr>
                <w:rFonts w:cs="Calibri"/>
                <w:sz w:val="18"/>
                <w:szCs w:val="18"/>
              </w:rPr>
            </w:pPr>
            <w:r w:rsidRPr="00A7716E">
              <w:rPr>
                <w:rFonts w:cs="Calibri"/>
                <w:sz w:val="18"/>
                <w:szCs w:val="18"/>
              </w:rPr>
              <w:t>1</w:t>
            </w:r>
          </w:p>
        </w:tc>
        <w:tc>
          <w:tcPr>
            <w:tcW w:w="1134" w:type="dxa"/>
            <w:vAlign w:val="center"/>
          </w:tcPr>
          <w:p w14:paraId="2B13DAC2" w14:textId="77777777" w:rsidR="00DE3299" w:rsidRPr="00A7716E" w:rsidRDefault="00DE3299" w:rsidP="00F90FA1">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33BC10D4" w14:textId="77777777" w:rsidR="00DE3299" w:rsidRPr="00A7716E" w:rsidRDefault="00DE3299" w:rsidP="00F90FA1">
            <w:pPr>
              <w:jc w:val="center"/>
              <w:rPr>
                <w:rFonts w:cs="Calibri"/>
                <w:sz w:val="18"/>
                <w:szCs w:val="18"/>
              </w:rPr>
            </w:pPr>
            <w:r w:rsidRPr="00A7716E">
              <w:rPr>
                <w:rFonts w:cs="Calibri"/>
                <w:sz w:val="18"/>
                <w:szCs w:val="18"/>
              </w:rPr>
              <w:t>1</w:t>
            </w:r>
          </w:p>
        </w:tc>
        <w:tc>
          <w:tcPr>
            <w:tcW w:w="992" w:type="dxa"/>
            <w:vAlign w:val="center"/>
          </w:tcPr>
          <w:p w14:paraId="50DE7260" w14:textId="77777777" w:rsidR="00DE3299" w:rsidRPr="00A7716E" w:rsidRDefault="00DE3299" w:rsidP="00F90FA1">
            <w:pPr>
              <w:jc w:val="center"/>
              <w:rPr>
                <w:rFonts w:cs="Calibri"/>
                <w:sz w:val="18"/>
                <w:szCs w:val="18"/>
              </w:rPr>
            </w:pPr>
            <w:r w:rsidRPr="00A7716E">
              <w:rPr>
                <w:rFonts w:cs="Calibri"/>
                <w:sz w:val="18"/>
                <w:szCs w:val="18"/>
              </w:rPr>
              <w:t>0</w:t>
            </w:r>
          </w:p>
        </w:tc>
        <w:tc>
          <w:tcPr>
            <w:tcW w:w="1134" w:type="dxa"/>
            <w:vAlign w:val="center"/>
          </w:tcPr>
          <w:p w14:paraId="00D6B328" w14:textId="77777777" w:rsidR="00DE3299" w:rsidRPr="00A7716E" w:rsidRDefault="00DE3299" w:rsidP="00F90FA1">
            <w:pPr>
              <w:jc w:val="center"/>
              <w:rPr>
                <w:rFonts w:cs="Calibri"/>
                <w:sz w:val="18"/>
                <w:szCs w:val="18"/>
              </w:rPr>
            </w:pPr>
            <w:r w:rsidRPr="00A7716E">
              <w:rPr>
                <w:rFonts w:cs="Calibri"/>
                <w:sz w:val="18"/>
                <w:szCs w:val="18"/>
              </w:rPr>
              <w:t>0</w:t>
            </w:r>
          </w:p>
        </w:tc>
      </w:tr>
      <w:tr w:rsidR="00DE3299" w:rsidRPr="00A7716E" w14:paraId="14638E75" w14:textId="77777777" w:rsidTr="00F90FA1">
        <w:trPr>
          <w:cantSplit/>
          <w:trHeight w:val="340"/>
          <w:jc w:val="center"/>
        </w:trPr>
        <w:tc>
          <w:tcPr>
            <w:tcW w:w="704" w:type="dxa"/>
            <w:vAlign w:val="center"/>
          </w:tcPr>
          <w:p w14:paraId="6EA43768" w14:textId="77777777" w:rsidR="00DE3299" w:rsidRPr="00A7716E" w:rsidRDefault="00DE3299" w:rsidP="00F90FA1">
            <w:pPr>
              <w:ind w:left="113" w:right="113"/>
              <w:jc w:val="center"/>
              <w:rPr>
                <w:rFonts w:cs="Calibri"/>
                <w:sz w:val="18"/>
                <w:szCs w:val="18"/>
              </w:rPr>
            </w:pPr>
            <w:r>
              <w:rPr>
                <w:rFonts w:cs="Calibri"/>
                <w:sz w:val="18"/>
                <w:szCs w:val="18"/>
              </w:rPr>
              <w:t>III</w:t>
            </w:r>
          </w:p>
        </w:tc>
        <w:tc>
          <w:tcPr>
            <w:tcW w:w="2268" w:type="dxa"/>
            <w:tcBorders>
              <w:top w:val="single" w:sz="4" w:space="0" w:color="auto"/>
              <w:left w:val="single" w:sz="4" w:space="0" w:color="auto"/>
              <w:bottom w:val="single" w:sz="4" w:space="0" w:color="auto"/>
              <w:right w:val="single" w:sz="4" w:space="0" w:color="auto"/>
            </w:tcBorders>
            <w:vAlign w:val="center"/>
          </w:tcPr>
          <w:p w14:paraId="2CEE824D" w14:textId="77777777" w:rsidR="00DE3299" w:rsidRPr="00A7716E" w:rsidRDefault="00DE3299" w:rsidP="00F90FA1">
            <w:pPr>
              <w:jc w:val="left"/>
              <w:rPr>
                <w:rFonts w:cs="Calibri"/>
                <w:sz w:val="18"/>
                <w:szCs w:val="18"/>
              </w:rPr>
            </w:pPr>
            <w:r w:rsidRPr="00A7716E">
              <w:rPr>
                <w:rFonts w:cs="Calibri"/>
                <w:sz w:val="18"/>
                <w:szCs w:val="18"/>
              </w:rPr>
              <w:t>Potager</w:t>
            </w:r>
          </w:p>
        </w:tc>
        <w:tc>
          <w:tcPr>
            <w:tcW w:w="851" w:type="dxa"/>
            <w:shd w:val="clear" w:color="auto" w:fill="4C94D8" w:themeFill="text2" w:themeFillTint="80"/>
            <w:vAlign w:val="center"/>
          </w:tcPr>
          <w:p w14:paraId="55097EA4" w14:textId="77777777" w:rsidR="00DE3299" w:rsidRDefault="00DE3299" w:rsidP="00F90FA1">
            <w:pPr>
              <w:jc w:val="center"/>
              <w:rPr>
                <w:rFonts w:cs="Calibri"/>
                <w:sz w:val="18"/>
                <w:szCs w:val="18"/>
              </w:rPr>
            </w:pPr>
            <w:r w:rsidRPr="00A7716E">
              <w:rPr>
                <w:rFonts w:cs="Calibri"/>
                <w:sz w:val="18"/>
                <w:szCs w:val="18"/>
              </w:rPr>
              <w:t>4</w:t>
            </w:r>
          </w:p>
        </w:tc>
        <w:tc>
          <w:tcPr>
            <w:tcW w:w="860" w:type="dxa"/>
            <w:vAlign w:val="center"/>
          </w:tcPr>
          <w:p w14:paraId="684C3C08" w14:textId="77777777" w:rsidR="00DE3299" w:rsidRDefault="00DE3299" w:rsidP="00F90FA1">
            <w:pPr>
              <w:jc w:val="center"/>
              <w:rPr>
                <w:rFonts w:cs="Calibri"/>
                <w:sz w:val="18"/>
                <w:szCs w:val="18"/>
              </w:rPr>
            </w:pPr>
            <w:r w:rsidRPr="00A7716E">
              <w:rPr>
                <w:rFonts w:cs="Calibri"/>
                <w:sz w:val="18"/>
                <w:szCs w:val="18"/>
              </w:rPr>
              <w:t>0</w:t>
            </w:r>
          </w:p>
        </w:tc>
        <w:tc>
          <w:tcPr>
            <w:tcW w:w="846" w:type="dxa"/>
            <w:vAlign w:val="center"/>
          </w:tcPr>
          <w:p w14:paraId="4FA7F2AB" w14:textId="77777777" w:rsidR="00DE3299" w:rsidRDefault="00DE3299" w:rsidP="00F90FA1">
            <w:pPr>
              <w:jc w:val="center"/>
              <w:rPr>
                <w:rFonts w:cs="Calibri"/>
                <w:sz w:val="18"/>
                <w:szCs w:val="18"/>
              </w:rPr>
            </w:pPr>
            <w:r w:rsidRPr="00A7716E">
              <w:rPr>
                <w:rFonts w:cs="Calibri"/>
                <w:sz w:val="18"/>
                <w:szCs w:val="18"/>
              </w:rPr>
              <w:t>0</w:t>
            </w:r>
          </w:p>
        </w:tc>
        <w:tc>
          <w:tcPr>
            <w:tcW w:w="719" w:type="dxa"/>
            <w:vAlign w:val="center"/>
          </w:tcPr>
          <w:p w14:paraId="79157C4F" w14:textId="77777777" w:rsidR="00DE3299" w:rsidRDefault="00DE3299" w:rsidP="00F90FA1">
            <w:pPr>
              <w:jc w:val="center"/>
              <w:rPr>
                <w:rFonts w:cs="Calibri"/>
                <w:sz w:val="18"/>
                <w:szCs w:val="18"/>
              </w:rPr>
            </w:pPr>
            <w:r w:rsidRPr="00A7716E">
              <w:rPr>
                <w:rFonts w:cs="Calibri"/>
                <w:sz w:val="18"/>
                <w:szCs w:val="18"/>
              </w:rPr>
              <w:t>0</w:t>
            </w:r>
          </w:p>
        </w:tc>
        <w:tc>
          <w:tcPr>
            <w:tcW w:w="992" w:type="dxa"/>
            <w:shd w:val="clear" w:color="auto" w:fill="A5C9EB" w:themeFill="text2" w:themeFillTint="40"/>
            <w:vAlign w:val="center"/>
          </w:tcPr>
          <w:p w14:paraId="484EDC02" w14:textId="77777777" w:rsidR="00DE3299" w:rsidRPr="00A7716E" w:rsidRDefault="00DE3299" w:rsidP="00F90FA1">
            <w:pPr>
              <w:jc w:val="center"/>
              <w:rPr>
                <w:rFonts w:cs="Calibri"/>
                <w:sz w:val="18"/>
                <w:szCs w:val="18"/>
              </w:rPr>
            </w:pPr>
            <w:r w:rsidRPr="00A7716E">
              <w:rPr>
                <w:rFonts w:cs="Calibri"/>
                <w:sz w:val="18"/>
                <w:szCs w:val="18"/>
              </w:rPr>
              <w:t>2</w:t>
            </w:r>
          </w:p>
        </w:tc>
        <w:tc>
          <w:tcPr>
            <w:tcW w:w="982" w:type="dxa"/>
            <w:shd w:val="clear" w:color="auto" w:fill="DAE9F7" w:themeFill="text2" w:themeFillTint="1A"/>
            <w:vAlign w:val="center"/>
          </w:tcPr>
          <w:p w14:paraId="145B1591" w14:textId="77777777" w:rsidR="00DE3299" w:rsidRPr="00A7716E" w:rsidRDefault="00DE3299" w:rsidP="00F90FA1">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0557112E" w14:textId="77777777" w:rsidR="00DE3299" w:rsidRPr="00A7716E" w:rsidRDefault="00DE3299" w:rsidP="00F90FA1">
            <w:pPr>
              <w:jc w:val="center"/>
              <w:rPr>
                <w:rFonts w:cs="Calibri"/>
                <w:sz w:val="18"/>
                <w:szCs w:val="18"/>
              </w:rPr>
            </w:pPr>
            <w:r w:rsidRPr="00A7716E">
              <w:rPr>
                <w:rFonts w:cs="Calibri"/>
                <w:sz w:val="18"/>
                <w:szCs w:val="18"/>
              </w:rPr>
              <w:t>1</w:t>
            </w:r>
          </w:p>
        </w:tc>
        <w:tc>
          <w:tcPr>
            <w:tcW w:w="1134" w:type="dxa"/>
            <w:vAlign w:val="center"/>
          </w:tcPr>
          <w:p w14:paraId="783AB958" w14:textId="77777777" w:rsidR="00DE3299" w:rsidRPr="00A7716E" w:rsidRDefault="00DE3299" w:rsidP="00F90FA1">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7FE5688A" w14:textId="77777777" w:rsidR="00DE3299" w:rsidRPr="00A7716E" w:rsidRDefault="00DE3299" w:rsidP="00F90FA1">
            <w:pPr>
              <w:jc w:val="center"/>
              <w:rPr>
                <w:rFonts w:cs="Calibri"/>
                <w:sz w:val="18"/>
                <w:szCs w:val="18"/>
              </w:rPr>
            </w:pPr>
            <w:r w:rsidRPr="00A7716E">
              <w:rPr>
                <w:rFonts w:cs="Calibri"/>
                <w:sz w:val="18"/>
                <w:szCs w:val="18"/>
              </w:rPr>
              <w:t>1</w:t>
            </w:r>
          </w:p>
        </w:tc>
        <w:tc>
          <w:tcPr>
            <w:tcW w:w="992" w:type="dxa"/>
            <w:vAlign w:val="center"/>
          </w:tcPr>
          <w:p w14:paraId="1EE874D7" w14:textId="77777777" w:rsidR="00DE3299" w:rsidRPr="00A7716E" w:rsidRDefault="00DE3299" w:rsidP="00F90FA1">
            <w:pPr>
              <w:jc w:val="center"/>
              <w:rPr>
                <w:rFonts w:cs="Calibri"/>
                <w:sz w:val="18"/>
                <w:szCs w:val="18"/>
              </w:rPr>
            </w:pPr>
            <w:r w:rsidRPr="00A7716E">
              <w:rPr>
                <w:rFonts w:cs="Calibri"/>
                <w:sz w:val="18"/>
                <w:szCs w:val="18"/>
              </w:rPr>
              <w:t>0</w:t>
            </w:r>
          </w:p>
        </w:tc>
        <w:tc>
          <w:tcPr>
            <w:tcW w:w="1134" w:type="dxa"/>
            <w:vAlign w:val="center"/>
          </w:tcPr>
          <w:p w14:paraId="56D71593" w14:textId="77777777" w:rsidR="00DE3299" w:rsidRPr="00A7716E" w:rsidRDefault="00DE3299" w:rsidP="00F90FA1">
            <w:pPr>
              <w:jc w:val="center"/>
              <w:rPr>
                <w:rFonts w:cs="Calibri"/>
                <w:sz w:val="18"/>
                <w:szCs w:val="18"/>
              </w:rPr>
            </w:pPr>
            <w:r w:rsidRPr="00A7716E">
              <w:rPr>
                <w:rFonts w:cs="Calibri"/>
                <w:sz w:val="18"/>
                <w:szCs w:val="18"/>
              </w:rPr>
              <w:t>0</w:t>
            </w:r>
          </w:p>
        </w:tc>
      </w:tr>
      <w:tr w:rsidR="00DE3299" w:rsidRPr="00A7716E" w14:paraId="2E66DF54" w14:textId="77777777" w:rsidTr="00F90FA1">
        <w:trPr>
          <w:cantSplit/>
          <w:trHeight w:val="340"/>
          <w:jc w:val="center"/>
        </w:trPr>
        <w:tc>
          <w:tcPr>
            <w:tcW w:w="704" w:type="dxa"/>
            <w:vAlign w:val="center"/>
          </w:tcPr>
          <w:p w14:paraId="4A5CE11D" w14:textId="77777777" w:rsidR="00DE3299" w:rsidRPr="00A7716E" w:rsidRDefault="00DE3299" w:rsidP="00F90FA1">
            <w:pPr>
              <w:ind w:left="113" w:right="113"/>
              <w:jc w:val="center"/>
              <w:rPr>
                <w:rFonts w:cs="Calibri"/>
                <w:sz w:val="18"/>
                <w:szCs w:val="18"/>
              </w:rPr>
            </w:pPr>
            <w:r>
              <w:rPr>
                <w:rFonts w:cs="Calibri"/>
                <w:sz w:val="18"/>
                <w:szCs w:val="18"/>
              </w:rPr>
              <w:t>III</w:t>
            </w:r>
          </w:p>
        </w:tc>
        <w:tc>
          <w:tcPr>
            <w:tcW w:w="2268" w:type="dxa"/>
            <w:tcBorders>
              <w:top w:val="single" w:sz="4" w:space="0" w:color="auto"/>
              <w:left w:val="single" w:sz="4" w:space="0" w:color="auto"/>
              <w:bottom w:val="single" w:sz="4" w:space="0" w:color="auto"/>
              <w:right w:val="single" w:sz="4" w:space="0" w:color="auto"/>
            </w:tcBorders>
            <w:vAlign w:val="center"/>
          </w:tcPr>
          <w:p w14:paraId="683501BB" w14:textId="77777777" w:rsidR="00DE3299" w:rsidRPr="00A7716E" w:rsidRDefault="00DE3299" w:rsidP="00F90FA1">
            <w:pPr>
              <w:jc w:val="left"/>
              <w:rPr>
                <w:rFonts w:cs="Calibri"/>
                <w:sz w:val="18"/>
                <w:szCs w:val="18"/>
              </w:rPr>
            </w:pPr>
            <w:r>
              <w:rPr>
                <w:rFonts w:cs="Calibri"/>
                <w:sz w:val="18"/>
                <w:szCs w:val="18"/>
              </w:rPr>
              <w:t>Résidentiel (hors potager)</w:t>
            </w:r>
          </w:p>
        </w:tc>
        <w:tc>
          <w:tcPr>
            <w:tcW w:w="851" w:type="dxa"/>
            <w:vAlign w:val="center"/>
          </w:tcPr>
          <w:p w14:paraId="549047DC" w14:textId="77777777" w:rsidR="00DE3299" w:rsidRDefault="00DE3299" w:rsidP="00F90FA1">
            <w:pPr>
              <w:jc w:val="center"/>
              <w:rPr>
                <w:rFonts w:cs="Calibri"/>
                <w:sz w:val="18"/>
                <w:szCs w:val="18"/>
              </w:rPr>
            </w:pPr>
            <w:r w:rsidRPr="00A7716E">
              <w:rPr>
                <w:rFonts w:cs="Calibri"/>
                <w:sz w:val="18"/>
                <w:szCs w:val="18"/>
              </w:rPr>
              <w:t>0</w:t>
            </w:r>
          </w:p>
        </w:tc>
        <w:tc>
          <w:tcPr>
            <w:tcW w:w="860" w:type="dxa"/>
            <w:vAlign w:val="center"/>
          </w:tcPr>
          <w:p w14:paraId="3E21B676" w14:textId="77777777" w:rsidR="00DE3299" w:rsidRDefault="00DE3299" w:rsidP="00F90FA1">
            <w:pPr>
              <w:jc w:val="center"/>
              <w:rPr>
                <w:rFonts w:cs="Calibri"/>
                <w:sz w:val="18"/>
                <w:szCs w:val="18"/>
              </w:rPr>
            </w:pPr>
            <w:r w:rsidRPr="00A7716E">
              <w:rPr>
                <w:rFonts w:cs="Calibri"/>
                <w:sz w:val="18"/>
                <w:szCs w:val="18"/>
              </w:rPr>
              <w:t>0</w:t>
            </w:r>
          </w:p>
        </w:tc>
        <w:tc>
          <w:tcPr>
            <w:tcW w:w="846" w:type="dxa"/>
            <w:shd w:val="clear" w:color="auto" w:fill="4C94D8" w:themeFill="text2" w:themeFillTint="80"/>
            <w:vAlign w:val="center"/>
          </w:tcPr>
          <w:p w14:paraId="2E61AA28" w14:textId="77777777" w:rsidR="00DE3299" w:rsidRDefault="00DE3299" w:rsidP="00F90FA1">
            <w:pPr>
              <w:jc w:val="center"/>
              <w:rPr>
                <w:rFonts w:cs="Calibri"/>
                <w:sz w:val="18"/>
                <w:szCs w:val="18"/>
              </w:rPr>
            </w:pPr>
            <w:r w:rsidRPr="00A7716E">
              <w:rPr>
                <w:rFonts w:cs="Calibri"/>
                <w:sz w:val="18"/>
                <w:szCs w:val="18"/>
              </w:rPr>
              <w:t>4</w:t>
            </w:r>
          </w:p>
        </w:tc>
        <w:tc>
          <w:tcPr>
            <w:tcW w:w="719" w:type="dxa"/>
            <w:vAlign w:val="center"/>
          </w:tcPr>
          <w:p w14:paraId="73C97979" w14:textId="77777777" w:rsidR="00DE3299" w:rsidRDefault="00DE3299" w:rsidP="00F90FA1">
            <w:pPr>
              <w:jc w:val="center"/>
              <w:rPr>
                <w:rFonts w:cs="Calibri"/>
                <w:sz w:val="18"/>
                <w:szCs w:val="18"/>
              </w:rPr>
            </w:pPr>
            <w:r w:rsidRPr="00A7716E">
              <w:rPr>
                <w:rFonts w:cs="Calibri"/>
                <w:sz w:val="18"/>
                <w:szCs w:val="18"/>
              </w:rPr>
              <w:t>0</w:t>
            </w:r>
          </w:p>
        </w:tc>
        <w:tc>
          <w:tcPr>
            <w:tcW w:w="992" w:type="dxa"/>
            <w:shd w:val="clear" w:color="auto" w:fill="4C94D8" w:themeFill="text2" w:themeFillTint="80"/>
            <w:vAlign w:val="center"/>
          </w:tcPr>
          <w:p w14:paraId="134618F6" w14:textId="77777777" w:rsidR="00DE3299" w:rsidRPr="00A7716E" w:rsidRDefault="00DE3299" w:rsidP="00F90FA1">
            <w:pPr>
              <w:jc w:val="center"/>
              <w:rPr>
                <w:rFonts w:cs="Calibri"/>
                <w:sz w:val="18"/>
                <w:szCs w:val="18"/>
              </w:rPr>
            </w:pPr>
            <w:r w:rsidRPr="00A7716E">
              <w:rPr>
                <w:rFonts w:cs="Calibri"/>
                <w:sz w:val="18"/>
                <w:szCs w:val="18"/>
              </w:rPr>
              <w:t>4</w:t>
            </w:r>
          </w:p>
        </w:tc>
        <w:tc>
          <w:tcPr>
            <w:tcW w:w="982" w:type="dxa"/>
            <w:shd w:val="clear" w:color="auto" w:fill="DAE9F7" w:themeFill="text2" w:themeFillTint="1A"/>
            <w:vAlign w:val="center"/>
          </w:tcPr>
          <w:p w14:paraId="03384E8B" w14:textId="77777777" w:rsidR="00DE3299" w:rsidRPr="00A7716E" w:rsidRDefault="00DE3299" w:rsidP="00F90FA1">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2229CE50" w14:textId="77777777" w:rsidR="00DE3299" w:rsidRPr="00A7716E" w:rsidRDefault="00DE3299" w:rsidP="00F90FA1">
            <w:pPr>
              <w:jc w:val="center"/>
              <w:rPr>
                <w:rFonts w:cs="Calibri"/>
                <w:sz w:val="18"/>
                <w:szCs w:val="18"/>
              </w:rPr>
            </w:pPr>
            <w:r w:rsidRPr="00A7716E">
              <w:rPr>
                <w:rFonts w:cs="Calibri"/>
                <w:sz w:val="18"/>
                <w:szCs w:val="18"/>
              </w:rPr>
              <w:t>1</w:t>
            </w:r>
          </w:p>
        </w:tc>
        <w:tc>
          <w:tcPr>
            <w:tcW w:w="1134" w:type="dxa"/>
            <w:vAlign w:val="center"/>
          </w:tcPr>
          <w:p w14:paraId="38DCA629" w14:textId="77777777" w:rsidR="00DE3299" w:rsidRPr="00A7716E" w:rsidRDefault="00DE3299" w:rsidP="00F90FA1">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03DF4E3C" w14:textId="77777777" w:rsidR="00DE3299" w:rsidRPr="00A7716E" w:rsidRDefault="00DE3299" w:rsidP="00F90FA1">
            <w:pPr>
              <w:jc w:val="center"/>
              <w:rPr>
                <w:rFonts w:cs="Calibri"/>
                <w:sz w:val="18"/>
                <w:szCs w:val="18"/>
              </w:rPr>
            </w:pPr>
            <w:r w:rsidRPr="00A7716E">
              <w:rPr>
                <w:rFonts w:cs="Calibri"/>
                <w:sz w:val="18"/>
                <w:szCs w:val="18"/>
              </w:rPr>
              <w:t>1</w:t>
            </w:r>
          </w:p>
        </w:tc>
        <w:tc>
          <w:tcPr>
            <w:tcW w:w="992" w:type="dxa"/>
            <w:vAlign w:val="center"/>
          </w:tcPr>
          <w:p w14:paraId="28C91762" w14:textId="77777777" w:rsidR="00DE3299" w:rsidRPr="00A7716E" w:rsidRDefault="00DE3299" w:rsidP="00F90FA1">
            <w:pPr>
              <w:jc w:val="center"/>
              <w:rPr>
                <w:rFonts w:cs="Calibri"/>
                <w:sz w:val="18"/>
                <w:szCs w:val="18"/>
              </w:rPr>
            </w:pPr>
            <w:r w:rsidRPr="00A7716E">
              <w:rPr>
                <w:rFonts w:cs="Calibri"/>
                <w:sz w:val="18"/>
                <w:szCs w:val="18"/>
              </w:rPr>
              <w:t>0</w:t>
            </w:r>
          </w:p>
        </w:tc>
        <w:tc>
          <w:tcPr>
            <w:tcW w:w="1134" w:type="dxa"/>
            <w:vAlign w:val="center"/>
          </w:tcPr>
          <w:p w14:paraId="4592DE4C" w14:textId="77777777" w:rsidR="00DE3299" w:rsidRPr="00A7716E" w:rsidRDefault="00DE3299" w:rsidP="00F90FA1">
            <w:pPr>
              <w:jc w:val="center"/>
              <w:rPr>
                <w:rFonts w:cs="Calibri"/>
                <w:sz w:val="18"/>
                <w:szCs w:val="18"/>
              </w:rPr>
            </w:pPr>
            <w:r w:rsidRPr="00A7716E">
              <w:rPr>
                <w:rFonts w:cs="Calibri"/>
                <w:sz w:val="18"/>
                <w:szCs w:val="18"/>
              </w:rPr>
              <w:t>0</w:t>
            </w:r>
          </w:p>
        </w:tc>
      </w:tr>
      <w:tr w:rsidR="00DE3299" w:rsidRPr="00A7716E" w14:paraId="4BE465A8" w14:textId="77777777" w:rsidTr="00F90FA1">
        <w:trPr>
          <w:cantSplit/>
          <w:trHeight w:val="340"/>
          <w:jc w:val="center"/>
        </w:trPr>
        <w:tc>
          <w:tcPr>
            <w:tcW w:w="704" w:type="dxa"/>
            <w:vAlign w:val="center"/>
          </w:tcPr>
          <w:p w14:paraId="3B926B90" w14:textId="77777777" w:rsidR="00DE3299" w:rsidRPr="00A7716E" w:rsidRDefault="00DE3299" w:rsidP="00F90FA1">
            <w:pPr>
              <w:ind w:left="113" w:right="113"/>
              <w:jc w:val="center"/>
              <w:rPr>
                <w:rFonts w:cs="Calibri"/>
                <w:sz w:val="18"/>
                <w:szCs w:val="18"/>
              </w:rPr>
            </w:pPr>
            <w:r>
              <w:rPr>
                <w:rFonts w:cs="Calibri"/>
                <w:sz w:val="18"/>
                <w:szCs w:val="18"/>
              </w:rPr>
              <w:t>IV</w:t>
            </w:r>
          </w:p>
        </w:tc>
        <w:tc>
          <w:tcPr>
            <w:tcW w:w="2268" w:type="dxa"/>
            <w:tcBorders>
              <w:top w:val="single" w:sz="4" w:space="0" w:color="auto"/>
              <w:left w:val="single" w:sz="4" w:space="0" w:color="auto"/>
              <w:bottom w:val="single" w:sz="4" w:space="0" w:color="auto"/>
              <w:right w:val="single" w:sz="4" w:space="0" w:color="auto"/>
            </w:tcBorders>
            <w:vAlign w:val="center"/>
          </w:tcPr>
          <w:p w14:paraId="7B35492D" w14:textId="77777777" w:rsidR="00DE3299" w:rsidRPr="00A7716E" w:rsidRDefault="00DE3299" w:rsidP="00F90FA1">
            <w:pPr>
              <w:jc w:val="left"/>
              <w:rPr>
                <w:rFonts w:cs="Calibri"/>
                <w:sz w:val="18"/>
                <w:szCs w:val="18"/>
              </w:rPr>
            </w:pPr>
            <w:r>
              <w:rPr>
                <w:rFonts w:cs="Calibri"/>
                <w:sz w:val="18"/>
                <w:szCs w:val="18"/>
              </w:rPr>
              <w:t>Récréatif / commercial</w:t>
            </w:r>
          </w:p>
        </w:tc>
        <w:tc>
          <w:tcPr>
            <w:tcW w:w="851" w:type="dxa"/>
            <w:vAlign w:val="center"/>
          </w:tcPr>
          <w:p w14:paraId="464549B2" w14:textId="77777777" w:rsidR="00DE3299" w:rsidRDefault="00DE3299" w:rsidP="00F90FA1">
            <w:pPr>
              <w:jc w:val="center"/>
              <w:rPr>
                <w:rFonts w:cs="Calibri"/>
                <w:sz w:val="18"/>
                <w:szCs w:val="18"/>
              </w:rPr>
            </w:pPr>
            <w:r w:rsidRPr="00A7716E">
              <w:rPr>
                <w:rFonts w:cs="Calibri"/>
                <w:sz w:val="18"/>
                <w:szCs w:val="18"/>
              </w:rPr>
              <w:t>0</w:t>
            </w:r>
          </w:p>
        </w:tc>
        <w:tc>
          <w:tcPr>
            <w:tcW w:w="860" w:type="dxa"/>
            <w:vAlign w:val="center"/>
          </w:tcPr>
          <w:p w14:paraId="6B28FF5D" w14:textId="77777777" w:rsidR="00DE3299" w:rsidRDefault="00DE3299" w:rsidP="00F90FA1">
            <w:pPr>
              <w:jc w:val="center"/>
              <w:rPr>
                <w:rFonts w:cs="Calibri"/>
                <w:sz w:val="18"/>
                <w:szCs w:val="18"/>
              </w:rPr>
            </w:pPr>
            <w:r w:rsidRPr="00A7716E">
              <w:rPr>
                <w:rFonts w:cs="Calibri"/>
                <w:sz w:val="18"/>
                <w:szCs w:val="18"/>
              </w:rPr>
              <w:t>0</w:t>
            </w:r>
          </w:p>
        </w:tc>
        <w:tc>
          <w:tcPr>
            <w:tcW w:w="846" w:type="dxa"/>
            <w:shd w:val="clear" w:color="auto" w:fill="4C94D8" w:themeFill="text2" w:themeFillTint="80"/>
            <w:vAlign w:val="center"/>
          </w:tcPr>
          <w:p w14:paraId="1ED97A7D" w14:textId="77777777" w:rsidR="00DE3299" w:rsidRDefault="00DE3299" w:rsidP="00F90FA1">
            <w:pPr>
              <w:jc w:val="center"/>
              <w:rPr>
                <w:rFonts w:cs="Calibri"/>
                <w:sz w:val="18"/>
                <w:szCs w:val="18"/>
              </w:rPr>
            </w:pPr>
            <w:r w:rsidRPr="00A7716E">
              <w:rPr>
                <w:rFonts w:cs="Calibri"/>
                <w:sz w:val="18"/>
                <w:szCs w:val="18"/>
              </w:rPr>
              <w:t>4</w:t>
            </w:r>
          </w:p>
        </w:tc>
        <w:tc>
          <w:tcPr>
            <w:tcW w:w="719" w:type="dxa"/>
            <w:vAlign w:val="center"/>
          </w:tcPr>
          <w:p w14:paraId="183CCFE0" w14:textId="77777777" w:rsidR="00DE3299" w:rsidRDefault="00DE3299" w:rsidP="00F90FA1">
            <w:pPr>
              <w:jc w:val="center"/>
              <w:rPr>
                <w:rFonts w:cs="Calibri"/>
                <w:sz w:val="18"/>
                <w:szCs w:val="18"/>
              </w:rPr>
            </w:pPr>
            <w:r w:rsidRPr="00A7716E">
              <w:rPr>
                <w:rFonts w:cs="Calibri"/>
                <w:sz w:val="18"/>
                <w:szCs w:val="18"/>
              </w:rPr>
              <w:t>0</w:t>
            </w:r>
          </w:p>
        </w:tc>
        <w:tc>
          <w:tcPr>
            <w:tcW w:w="992" w:type="dxa"/>
            <w:shd w:val="clear" w:color="auto" w:fill="4C94D8" w:themeFill="text2" w:themeFillTint="80"/>
            <w:vAlign w:val="center"/>
          </w:tcPr>
          <w:p w14:paraId="6FFF7C45" w14:textId="77777777" w:rsidR="00DE3299" w:rsidRPr="00A7716E" w:rsidRDefault="00DE3299" w:rsidP="00F90FA1">
            <w:pPr>
              <w:jc w:val="center"/>
              <w:rPr>
                <w:rFonts w:cs="Calibri"/>
                <w:sz w:val="18"/>
                <w:szCs w:val="18"/>
              </w:rPr>
            </w:pPr>
            <w:r w:rsidRPr="00A7716E">
              <w:rPr>
                <w:rFonts w:cs="Calibri"/>
                <w:sz w:val="18"/>
                <w:szCs w:val="18"/>
              </w:rPr>
              <w:t>4</w:t>
            </w:r>
          </w:p>
        </w:tc>
        <w:tc>
          <w:tcPr>
            <w:tcW w:w="982" w:type="dxa"/>
            <w:shd w:val="clear" w:color="auto" w:fill="DAE9F7" w:themeFill="text2" w:themeFillTint="1A"/>
            <w:vAlign w:val="center"/>
          </w:tcPr>
          <w:p w14:paraId="374F503D" w14:textId="77777777" w:rsidR="00DE3299" w:rsidRPr="00A7716E" w:rsidRDefault="00DE3299" w:rsidP="00F90FA1">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78C600A9" w14:textId="77777777" w:rsidR="00DE3299" w:rsidRPr="00A7716E" w:rsidRDefault="00DE3299" w:rsidP="00F90FA1">
            <w:pPr>
              <w:jc w:val="center"/>
              <w:rPr>
                <w:rFonts w:cs="Calibri"/>
                <w:sz w:val="18"/>
                <w:szCs w:val="18"/>
              </w:rPr>
            </w:pPr>
            <w:r w:rsidRPr="00A7716E">
              <w:rPr>
                <w:rFonts w:cs="Calibri"/>
                <w:sz w:val="18"/>
                <w:szCs w:val="18"/>
              </w:rPr>
              <w:t>1</w:t>
            </w:r>
          </w:p>
        </w:tc>
        <w:tc>
          <w:tcPr>
            <w:tcW w:w="1134" w:type="dxa"/>
            <w:vAlign w:val="center"/>
          </w:tcPr>
          <w:p w14:paraId="5F143EB1" w14:textId="77777777" w:rsidR="00DE3299" w:rsidRPr="00A7716E" w:rsidRDefault="00DE3299" w:rsidP="00F90FA1">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26B5EA56" w14:textId="77777777" w:rsidR="00DE3299" w:rsidRPr="00A7716E" w:rsidRDefault="00DE3299" w:rsidP="00F90FA1">
            <w:pPr>
              <w:jc w:val="center"/>
              <w:rPr>
                <w:rFonts w:cs="Calibri"/>
                <w:sz w:val="18"/>
                <w:szCs w:val="18"/>
              </w:rPr>
            </w:pPr>
            <w:r w:rsidRPr="00A7716E">
              <w:rPr>
                <w:rFonts w:cs="Calibri"/>
                <w:sz w:val="18"/>
                <w:szCs w:val="18"/>
              </w:rPr>
              <w:t>1</w:t>
            </w:r>
          </w:p>
        </w:tc>
        <w:tc>
          <w:tcPr>
            <w:tcW w:w="992" w:type="dxa"/>
            <w:vAlign w:val="center"/>
          </w:tcPr>
          <w:p w14:paraId="2BEBBD82" w14:textId="77777777" w:rsidR="00DE3299" w:rsidRPr="00A7716E" w:rsidRDefault="00DE3299" w:rsidP="00F90FA1">
            <w:pPr>
              <w:jc w:val="center"/>
              <w:rPr>
                <w:rFonts w:cs="Calibri"/>
                <w:sz w:val="18"/>
                <w:szCs w:val="18"/>
              </w:rPr>
            </w:pPr>
            <w:r w:rsidRPr="00A7716E">
              <w:rPr>
                <w:rFonts w:cs="Calibri"/>
                <w:sz w:val="18"/>
                <w:szCs w:val="18"/>
              </w:rPr>
              <w:t>0</w:t>
            </w:r>
          </w:p>
        </w:tc>
        <w:tc>
          <w:tcPr>
            <w:tcW w:w="1134" w:type="dxa"/>
            <w:vAlign w:val="center"/>
          </w:tcPr>
          <w:p w14:paraId="0DD1FD05" w14:textId="77777777" w:rsidR="00DE3299" w:rsidRPr="00A7716E" w:rsidRDefault="00DE3299" w:rsidP="00F90FA1">
            <w:pPr>
              <w:jc w:val="center"/>
              <w:rPr>
                <w:rFonts w:cs="Calibri"/>
                <w:sz w:val="18"/>
                <w:szCs w:val="18"/>
              </w:rPr>
            </w:pPr>
            <w:r w:rsidRPr="00A7716E">
              <w:rPr>
                <w:rFonts w:cs="Calibri"/>
                <w:sz w:val="18"/>
                <w:szCs w:val="18"/>
              </w:rPr>
              <w:t>0</w:t>
            </w:r>
          </w:p>
        </w:tc>
      </w:tr>
      <w:tr w:rsidR="00DE3299" w:rsidRPr="00A7716E" w14:paraId="467E78D8" w14:textId="77777777" w:rsidTr="00F90FA1">
        <w:trPr>
          <w:cantSplit/>
          <w:trHeight w:val="340"/>
          <w:jc w:val="center"/>
        </w:trPr>
        <w:tc>
          <w:tcPr>
            <w:tcW w:w="704" w:type="dxa"/>
            <w:vAlign w:val="center"/>
          </w:tcPr>
          <w:p w14:paraId="141CCAC1" w14:textId="77777777" w:rsidR="00DE3299" w:rsidRPr="00A7716E" w:rsidRDefault="00DE3299" w:rsidP="00F90FA1">
            <w:pPr>
              <w:ind w:left="113" w:right="113"/>
              <w:jc w:val="center"/>
              <w:rPr>
                <w:rFonts w:cs="Calibri"/>
                <w:sz w:val="18"/>
                <w:szCs w:val="18"/>
              </w:rPr>
            </w:pPr>
            <w:r>
              <w:rPr>
                <w:rFonts w:cs="Calibri"/>
                <w:sz w:val="18"/>
                <w:szCs w:val="18"/>
              </w:rPr>
              <w:t>V</w:t>
            </w:r>
          </w:p>
        </w:tc>
        <w:tc>
          <w:tcPr>
            <w:tcW w:w="2268" w:type="dxa"/>
            <w:tcBorders>
              <w:top w:val="single" w:sz="4" w:space="0" w:color="auto"/>
              <w:left w:val="single" w:sz="4" w:space="0" w:color="auto"/>
              <w:bottom w:val="single" w:sz="4" w:space="0" w:color="auto"/>
              <w:right w:val="single" w:sz="4" w:space="0" w:color="auto"/>
            </w:tcBorders>
            <w:vAlign w:val="center"/>
          </w:tcPr>
          <w:p w14:paraId="2F9B1718" w14:textId="77777777" w:rsidR="00DE3299" w:rsidRPr="00A7716E" w:rsidRDefault="00DE3299" w:rsidP="00F90FA1">
            <w:pPr>
              <w:jc w:val="left"/>
              <w:rPr>
                <w:rFonts w:cs="Calibri"/>
                <w:sz w:val="18"/>
                <w:szCs w:val="18"/>
              </w:rPr>
            </w:pPr>
            <w:r>
              <w:rPr>
                <w:rFonts w:cs="Calibri"/>
                <w:sz w:val="18"/>
                <w:szCs w:val="18"/>
              </w:rPr>
              <w:t>Industriel</w:t>
            </w:r>
          </w:p>
        </w:tc>
        <w:tc>
          <w:tcPr>
            <w:tcW w:w="851" w:type="dxa"/>
            <w:vAlign w:val="center"/>
          </w:tcPr>
          <w:p w14:paraId="6BD1CA69" w14:textId="77777777" w:rsidR="00DE3299" w:rsidRDefault="00DE3299" w:rsidP="00F90FA1">
            <w:pPr>
              <w:jc w:val="center"/>
              <w:rPr>
                <w:rFonts w:cs="Calibri"/>
                <w:sz w:val="18"/>
                <w:szCs w:val="18"/>
              </w:rPr>
            </w:pPr>
            <w:r w:rsidRPr="00A7716E">
              <w:rPr>
                <w:rFonts w:cs="Calibri"/>
                <w:sz w:val="18"/>
                <w:szCs w:val="18"/>
              </w:rPr>
              <w:t>0</w:t>
            </w:r>
          </w:p>
        </w:tc>
        <w:tc>
          <w:tcPr>
            <w:tcW w:w="860" w:type="dxa"/>
            <w:vAlign w:val="center"/>
          </w:tcPr>
          <w:p w14:paraId="6A4EFE0D" w14:textId="77777777" w:rsidR="00DE3299" w:rsidRDefault="00DE3299" w:rsidP="00F90FA1">
            <w:pPr>
              <w:jc w:val="center"/>
              <w:rPr>
                <w:rFonts w:cs="Calibri"/>
                <w:sz w:val="18"/>
                <w:szCs w:val="18"/>
              </w:rPr>
            </w:pPr>
            <w:r w:rsidRPr="00A7716E">
              <w:rPr>
                <w:rFonts w:cs="Calibri"/>
                <w:sz w:val="18"/>
                <w:szCs w:val="18"/>
              </w:rPr>
              <w:t>0</w:t>
            </w:r>
          </w:p>
        </w:tc>
        <w:tc>
          <w:tcPr>
            <w:tcW w:w="846" w:type="dxa"/>
            <w:shd w:val="clear" w:color="auto" w:fill="A5C9EB" w:themeFill="text2" w:themeFillTint="40"/>
            <w:vAlign w:val="center"/>
          </w:tcPr>
          <w:p w14:paraId="737525BE" w14:textId="77777777" w:rsidR="00DE3299" w:rsidRDefault="00DE3299" w:rsidP="00F90FA1">
            <w:pPr>
              <w:jc w:val="center"/>
              <w:rPr>
                <w:rFonts w:cs="Calibri"/>
                <w:sz w:val="18"/>
                <w:szCs w:val="18"/>
              </w:rPr>
            </w:pPr>
            <w:r w:rsidRPr="00A7716E">
              <w:rPr>
                <w:rFonts w:cs="Calibri"/>
                <w:sz w:val="18"/>
                <w:szCs w:val="18"/>
              </w:rPr>
              <w:t>2</w:t>
            </w:r>
          </w:p>
        </w:tc>
        <w:tc>
          <w:tcPr>
            <w:tcW w:w="719" w:type="dxa"/>
            <w:vAlign w:val="center"/>
          </w:tcPr>
          <w:p w14:paraId="7035CEE0" w14:textId="77777777" w:rsidR="00DE3299" w:rsidRDefault="00DE3299" w:rsidP="00F90FA1">
            <w:pPr>
              <w:jc w:val="center"/>
              <w:rPr>
                <w:rFonts w:cs="Calibri"/>
                <w:sz w:val="18"/>
                <w:szCs w:val="18"/>
              </w:rPr>
            </w:pPr>
            <w:r w:rsidRPr="00A7716E">
              <w:rPr>
                <w:rFonts w:cs="Calibri"/>
                <w:sz w:val="18"/>
                <w:szCs w:val="18"/>
              </w:rPr>
              <w:t>0</w:t>
            </w:r>
          </w:p>
        </w:tc>
        <w:tc>
          <w:tcPr>
            <w:tcW w:w="992" w:type="dxa"/>
            <w:shd w:val="clear" w:color="auto" w:fill="4C94D8" w:themeFill="text2" w:themeFillTint="80"/>
            <w:vAlign w:val="center"/>
          </w:tcPr>
          <w:p w14:paraId="5B4E5418" w14:textId="77777777" w:rsidR="00DE3299" w:rsidRPr="00A7716E" w:rsidRDefault="00DE3299" w:rsidP="00F90FA1">
            <w:pPr>
              <w:jc w:val="center"/>
              <w:rPr>
                <w:rFonts w:cs="Calibri"/>
                <w:sz w:val="18"/>
                <w:szCs w:val="18"/>
              </w:rPr>
            </w:pPr>
            <w:r w:rsidRPr="00A7716E">
              <w:rPr>
                <w:rFonts w:cs="Calibri"/>
                <w:sz w:val="18"/>
                <w:szCs w:val="18"/>
              </w:rPr>
              <w:t>4</w:t>
            </w:r>
          </w:p>
        </w:tc>
        <w:tc>
          <w:tcPr>
            <w:tcW w:w="982" w:type="dxa"/>
            <w:shd w:val="clear" w:color="auto" w:fill="DAE9F7" w:themeFill="text2" w:themeFillTint="1A"/>
            <w:vAlign w:val="center"/>
          </w:tcPr>
          <w:p w14:paraId="66FD0C23" w14:textId="77777777" w:rsidR="00DE3299" w:rsidRPr="00A7716E" w:rsidRDefault="00DE3299" w:rsidP="00F90FA1">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14C77861" w14:textId="77777777" w:rsidR="00DE3299" w:rsidRPr="00A7716E" w:rsidRDefault="00DE3299" w:rsidP="00F90FA1">
            <w:pPr>
              <w:jc w:val="center"/>
              <w:rPr>
                <w:rFonts w:cs="Calibri"/>
                <w:sz w:val="18"/>
                <w:szCs w:val="18"/>
              </w:rPr>
            </w:pPr>
            <w:r w:rsidRPr="00A7716E">
              <w:rPr>
                <w:rFonts w:cs="Calibri"/>
                <w:sz w:val="18"/>
                <w:szCs w:val="18"/>
              </w:rPr>
              <w:t>1</w:t>
            </w:r>
          </w:p>
        </w:tc>
        <w:tc>
          <w:tcPr>
            <w:tcW w:w="1134" w:type="dxa"/>
            <w:shd w:val="clear" w:color="auto" w:fill="A5C9EB" w:themeFill="text2" w:themeFillTint="40"/>
            <w:vAlign w:val="center"/>
          </w:tcPr>
          <w:p w14:paraId="4361D6AA" w14:textId="77777777" w:rsidR="00DE3299" w:rsidRPr="00A7716E" w:rsidRDefault="00DE3299" w:rsidP="00F90FA1">
            <w:pPr>
              <w:jc w:val="center"/>
              <w:rPr>
                <w:rFonts w:cs="Calibri"/>
                <w:sz w:val="18"/>
                <w:szCs w:val="18"/>
              </w:rPr>
            </w:pPr>
            <w:r w:rsidRPr="00A7716E">
              <w:rPr>
                <w:rFonts w:cs="Calibri"/>
                <w:sz w:val="18"/>
                <w:szCs w:val="18"/>
              </w:rPr>
              <w:t>2</w:t>
            </w:r>
          </w:p>
        </w:tc>
        <w:tc>
          <w:tcPr>
            <w:tcW w:w="992" w:type="dxa"/>
            <w:shd w:val="clear" w:color="auto" w:fill="DAE9F7" w:themeFill="text2" w:themeFillTint="1A"/>
            <w:vAlign w:val="center"/>
          </w:tcPr>
          <w:p w14:paraId="1B74FECB" w14:textId="77777777" w:rsidR="00DE3299" w:rsidRPr="00A7716E" w:rsidRDefault="00DE3299" w:rsidP="00F90FA1">
            <w:pPr>
              <w:jc w:val="center"/>
              <w:rPr>
                <w:rFonts w:cs="Calibri"/>
                <w:sz w:val="18"/>
                <w:szCs w:val="18"/>
              </w:rPr>
            </w:pPr>
            <w:r w:rsidRPr="00A7716E">
              <w:rPr>
                <w:rFonts w:cs="Calibri"/>
                <w:sz w:val="18"/>
                <w:szCs w:val="18"/>
              </w:rPr>
              <w:t>1</w:t>
            </w:r>
          </w:p>
        </w:tc>
        <w:tc>
          <w:tcPr>
            <w:tcW w:w="992" w:type="dxa"/>
            <w:vAlign w:val="center"/>
          </w:tcPr>
          <w:p w14:paraId="725F6CB6" w14:textId="77777777" w:rsidR="00DE3299" w:rsidRPr="00A7716E" w:rsidRDefault="00DE3299" w:rsidP="00F90FA1">
            <w:pPr>
              <w:jc w:val="center"/>
              <w:rPr>
                <w:rFonts w:cs="Calibri"/>
                <w:sz w:val="18"/>
                <w:szCs w:val="18"/>
              </w:rPr>
            </w:pPr>
            <w:r w:rsidRPr="00A7716E">
              <w:rPr>
                <w:rFonts w:cs="Calibri"/>
                <w:sz w:val="18"/>
                <w:szCs w:val="18"/>
              </w:rPr>
              <w:t>0</w:t>
            </w:r>
          </w:p>
        </w:tc>
        <w:tc>
          <w:tcPr>
            <w:tcW w:w="1134" w:type="dxa"/>
            <w:vAlign w:val="center"/>
          </w:tcPr>
          <w:p w14:paraId="51DA8072" w14:textId="77777777" w:rsidR="00DE3299" w:rsidRPr="00A7716E" w:rsidRDefault="00DE3299" w:rsidP="00F90FA1">
            <w:pPr>
              <w:jc w:val="center"/>
              <w:rPr>
                <w:rFonts w:cs="Calibri"/>
                <w:sz w:val="18"/>
                <w:szCs w:val="18"/>
              </w:rPr>
            </w:pPr>
            <w:r w:rsidRPr="00A7716E">
              <w:rPr>
                <w:rFonts w:cs="Calibri"/>
                <w:sz w:val="18"/>
                <w:szCs w:val="18"/>
              </w:rPr>
              <w:t>0</w:t>
            </w:r>
          </w:p>
        </w:tc>
      </w:tr>
    </w:tbl>
    <w:p w14:paraId="677C7EA5" w14:textId="77777777" w:rsidR="00DE5FB1" w:rsidRDefault="00DE5FB1" w:rsidP="000D59CF"/>
    <w:p w14:paraId="3BB50DCC" w14:textId="77777777" w:rsidR="00DE5FB1" w:rsidRDefault="00DE5FB1" w:rsidP="000D59CF"/>
    <w:p w14:paraId="7BE8F68F" w14:textId="77777777" w:rsidR="005154CC" w:rsidRDefault="005154CC" w:rsidP="002B35A6">
      <w:pPr>
        <w:jc w:val="left"/>
        <w:rPr>
          <w:highlight w:val="yellow"/>
        </w:rPr>
        <w:sectPr w:rsidR="005154CC" w:rsidSect="005154CC">
          <w:pgSz w:w="16838" w:h="11906" w:orient="landscape"/>
          <w:pgMar w:top="1418" w:right="1418" w:bottom="1418" w:left="1418" w:header="709" w:footer="709" w:gutter="0"/>
          <w:pgNumType w:chapStyle="1"/>
          <w:cols w:space="708"/>
          <w:titlePg/>
          <w:docGrid w:linePitch="360"/>
        </w:sectPr>
      </w:pPr>
    </w:p>
    <w:p w14:paraId="4AEBC229" w14:textId="5564B0BC" w:rsidR="0078751C" w:rsidRDefault="0082641C">
      <w:pPr>
        <w:pStyle w:val="Titre2"/>
        <w:numPr>
          <w:ilvl w:val="1"/>
          <w:numId w:val="12"/>
        </w:numPr>
      </w:pPr>
      <w:bookmarkStart w:id="164" w:name="_Toc230267115"/>
      <w:bookmarkStart w:id="165" w:name="_Ref232206867"/>
      <w:bookmarkStart w:id="166" w:name="_Toc241478135"/>
      <w:r>
        <w:lastRenderedPageBreak/>
        <w:t>Intégration dans les évaluations environnementales</w:t>
      </w:r>
      <w:bookmarkEnd w:id="166"/>
    </w:p>
    <w:p w14:paraId="1525CACE" w14:textId="77777777" w:rsidR="00087DF7" w:rsidRDefault="00087DF7">
      <w:pPr>
        <w:pStyle w:val="Titre3"/>
        <w:numPr>
          <w:ilvl w:val="2"/>
          <w:numId w:val="12"/>
        </w:numPr>
      </w:pPr>
      <w:bookmarkStart w:id="167" w:name="_Ref232541945"/>
      <w:bookmarkStart w:id="168" w:name="_Toc233387896"/>
      <w:bookmarkStart w:id="169" w:name="_Toc241478136"/>
      <w:r>
        <w:t>Exemples d’implémentations concrètes (à l’étranger)</w:t>
      </w:r>
      <w:bookmarkEnd w:id="167"/>
      <w:bookmarkEnd w:id="168"/>
      <w:bookmarkEnd w:id="169"/>
    </w:p>
    <w:p w14:paraId="65E1EC4B" w14:textId="77777777" w:rsidR="00087DF7" w:rsidRDefault="00087DF7" w:rsidP="00087DF7">
      <w:r>
        <w:t>Plusieurs projets pilotes d’intégration de la qualité des sols dans les projets d’aménagement via des outils d’aide à la décision, existent. Citons, par exemple, la Région de Bruxelles-Capitale, la Région Morges en Suisse, la Ville de Stuttgart et le Land de Hesse en Allemagne, la Ville de Salzbourg en Autriche et la Ville d’Amsterdam aux Pays-Bas.</w:t>
      </w:r>
    </w:p>
    <w:p w14:paraId="2732E093" w14:textId="44998D89" w:rsidR="00087DF7" w:rsidRDefault="00087DF7" w:rsidP="00087DF7">
      <w:r>
        <w:t xml:space="preserve">La région de Bruxelles-Capitale propose, à travers son ambitieuse stratégie Good Soil </w:t>
      </w:r>
      <w:r>
        <w:fldChar w:fldCharType="begin"/>
      </w:r>
      <w:r w:rsidR="00432908">
        <w:instrText xml:space="preserve"> ADDIN ZOTERO_ITEM CSL_CITATION {"citationID":"EhV8JwDm","properties":{"formattedCitation":"(Bruxelles Environnement, 2024)","plainCitation":"(Bruxelles Environnement, 2024)","noteIndex":0},"citationItems":[{"id":615,"uris":["http://zotero.org/groups/5684833/items/HNRXXQPH"],"itemData":{"id":615,"type":"report","title":"Stratégie Good Soil - Vers une gestion intégrée et durable des sols bruxellois","URL":"https://alfresco.environnement.brussels/share/s/vVqIl4nASkOJwrgNEQ5irQ","author":[{"family":"Bruxelles Environnement","given":""}],"accessed":{"date-parts":[["2026",6,17]]},"issued":{"date-parts":[["2024"]]}}}],"schema":"https://github.com/citation-style-language/schema/raw/master/csl-citation.json"} </w:instrText>
      </w:r>
      <w:r>
        <w:fldChar w:fldCharType="separate"/>
      </w:r>
      <w:r w:rsidR="00432908" w:rsidRPr="00432908">
        <w:rPr>
          <w:rFonts w:cs="Calibri"/>
        </w:rPr>
        <w:t>(Bruxelles Environnement, 2024)</w:t>
      </w:r>
      <w:r>
        <w:fldChar w:fldCharType="end"/>
      </w:r>
      <w:r>
        <w:t>, de placer la gestion durable des sols au cœur de l’aménagement du territoire et ce, dès la conception de projet. Pour ce faire, la Région s’appuie sur son Indice de Qualité des Sols Bruxellois (IQSB). Cet outil se distingue des autres exemples par le fait qu’il se base uniquement sur des mesures directes de la qualité du sol et non des estimations sur base cartographique. La Ville d’Amsterdam, avec son outil BGI (</w:t>
      </w:r>
      <w:r w:rsidRPr="008637AD">
        <w:t>Bodemgezondheidsindex</w:t>
      </w:r>
      <w:r>
        <w:t>), propose également la mesure de paramètres sol pour évaluer son adéquation avec différents usages de sol axés « urbains » et propose des mesures de gestion pour améliorer un sol diagnostiqué comme étant en mauvaise santé.</w:t>
      </w:r>
    </w:p>
    <w:p w14:paraId="65DE2D62" w14:textId="77777777" w:rsidR="00087DF7" w:rsidRDefault="00087DF7" w:rsidP="00087DF7">
      <w:r>
        <w:t>Certaines régions vont plus loin dans l’interprétation du diagnostic sol, en extrapolant le résultat de qualité du sol (estimé sur base cartographique, ou éventuellement déduit de mesures de terrain) en indices surfaciques, ce qui permet d’avoir une vision très concrète de l’impact de projet d’aménagement. La région Morges a développé trois outils interactifs destinés aux acteurs de l’aménagement du territoire et de la construction</w:t>
      </w:r>
      <w:r w:rsidRPr="00E26B8A">
        <w:rPr>
          <w:rStyle w:val="Appelnotedebasdep"/>
        </w:rPr>
        <w:footnoteReference w:id="12"/>
      </w:r>
      <w:r>
        <w:t> : (1) un outil cartographique qui prédit, sur base des données disponibles, la capacité du sol à remplir les fonctions prioritaires pour le gestionnaire ; (2) un outil d’ajustement qui permet d’ajuster les données d’entrée sur base de mesures directes ; (3) un outil de simulation permettant de quantifier l’impact des projets sur le bilan des fonctions à l’échelle du site, via l’établissement d’un « contingent de consommation » qui permet d’introduire la notion de quota d’utilisation des sols. Ces outils sont actuellement mis en application dans le cadre de divers projets pilotes régionaux.</w:t>
      </w:r>
    </w:p>
    <w:p w14:paraId="177FFB78" w14:textId="1C15085B" w:rsidR="00087DF7" w:rsidRDefault="00087DF7" w:rsidP="00087DF7">
      <w:r>
        <w:t xml:space="preserve">Dans le Land allemand de Hesse, pour tout projet dont l’ampleur dépasse 1 ha, un outil impose de dimensionner les compensations de la dégradation du sol sur les fonctions du sol </w:t>
      </w:r>
      <w:r>
        <w:fldChar w:fldCharType="begin"/>
      </w:r>
      <w:r w:rsidR="00432908">
        <w:instrText xml:space="preserve"> ADDIN ZOTERO_ITEM CSL_CITATION {"citationID":"yux2Egsx","properties":{"formattedCitation":"(Miller et al., 2023)","plainCitation":"(Miller et al., 2023)","noteIndex":0},"citationItems":[{"id":613,"uris":["http://zotero.org/groups/5684833/items/PJE26W7V"],"itemData":{"id":613,"type":"book","ISBN":"978-3-89531-619-7","publisher":"Umwelt und Geologie Böden und Bodenschutz in Hessen, Heft 16","title":"Kompensation des Schutzguts Boden in Planungs- und Genehmigungsverfahren - Arbeitshilfe zur Ermittlung des Kompensationsbedarfs für das Schutzgut Boden in Hessen und Rheinland-Pfalz","URL":"https://www.hlnug.de/themen/boden/vorsorge/bodenschutz-in-der-planung/kompensation-schutzgut-boden","author":[{"family":"Miller","given":"Ricarda"},{"family":"Busch","given":"Johanna"},{"family":"Friedrich","given":"Klaus"},{"family":"Fritzsch","given":"Dagmar"},{"family":"Goldschmitt","given":"Michael"},{"family":"Handke","given":"Kevin"},{"family":"Pflanz","given":"Dorthe"},{"family":"Sauer","given":"Stephan"},{"family":"Vorderbrügge","given":"Thomas"}],"accessed":{"date-parts":[["2026",6,17]]},"issued":{"date-parts":[["2023"]]}}}],"schema":"https://github.com/citation-style-language/schema/raw/master/csl-citation.json"} </w:instrText>
      </w:r>
      <w:r>
        <w:fldChar w:fldCharType="separate"/>
      </w:r>
      <w:r w:rsidR="00432908" w:rsidRPr="00432908">
        <w:rPr>
          <w:rFonts w:cs="Calibri"/>
        </w:rPr>
        <w:t>(Miller et al., 2023)</w:t>
      </w:r>
      <w:r>
        <w:fldChar w:fldCharType="end"/>
      </w:r>
      <w:r>
        <w:t xml:space="preserve">. Le calcul se fait à l’échelle de la fonction individuelle (pas d’agrégation), sur base de données d’entrée cartographiques et si besoin, de mesures de terrain. Il s’agit de faire le bilan des fonctions perdues à l’étape de la planification, puis de mettre en place des mesures de compensation pour ces mêmes fonctions. L’outil prend en compte l’état actuel, les interventions et les mesures d’atténuation prévues (ex : installation de toitures végétalisées, réduction des déplacements sur chantier etc.). La ville de Salzbourg, en Autriche, met également en place un système de compensation basé sur le diagnostic de la qualité du sol via la norme </w:t>
      </w:r>
      <w:r w:rsidRPr="00BB59E3">
        <w:t>ÖNORM</w:t>
      </w:r>
      <w:r>
        <w:t>.</w:t>
      </w:r>
    </w:p>
    <w:p w14:paraId="23DEEF88" w14:textId="77777777" w:rsidR="00087DF7" w:rsidRDefault="00087DF7" w:rsidP="00087DF7">
      <w:r w:rsidRPr="009D078B">
        <w:t>Le programme de protection des sols de Stuttgart (BOKS)</w:t>
      </w:r>
      <w:r>
        <w:t xml:space="preserve"> est probablement l’exemple le plus abouti en termes d’intégration de la qualité des sols dans les politiques d’aménagement. Ce programme, adopté en 2006, impose l’évaluation des projets d’aménagement à l’aide d’un indice de sol pour baliser des objectifs de préservation des sols fonctionnels. L’indice de sol (BX) est calculé en multipliant un niveau de qualité du sol (indice de qualité global, déduit sur base d’une prédiction cartographique de </w:t>
      </w:r>
      <w:r>
        <w:lastRenderedPageBreak/>
        <w:t>l’accomplissement des diverses fonctions) par la surface de la zone considérée. Ce programme, en fixant un objectif chiffré de 1000 BX maximum pouvant être sacrifiés à l’échelle de la ville, a favorisé une utilisation parcimonieuse du sol sur les dernières décennies.</w:t>
      </w:r>
    </w:p>
    <w:p w14:paraId="3A97EC14" w14:textId="77777777" w:rsidR="00087DF7" w:rsidRDefault="00087DF7" w:rsidP="00087DF7"/>
    <w:p w14:paraId="71489387" w14:textId="77777777" w:rsidR="00087DF7" w:rsidRDefault="00087DF7" w:rsidP="00087DF7">
      <w:r>
        <w:t>Ces exemples permettent de constater qu’il est possible de traduire un diagnostic de sol en actions concrètes.</w:t>
      </w:r>
    </w:p>
    <w:p w14:paraId="0850A133" w14:textId="65061CF3" w:rsidR="00087DF7" w:rsidRDefault="00816F11">
      <w:pPr>
        <w:pStyle w:val="Titre3"/>
        <w:numPr>
          <w:ilvl w:val="2"/>
          <w:numId w:val="12"/>
        </w:numPr>
        <w:rPr>
          <w:lang w:val="fr-FR"/>
        </w:rPr>
      </w:pPr>
      <w:bookmarkStart w:id="170" w:name="_Toc233387897"/>
      <w:bookmarkStart w:id="171" w:name="_Toc241478137"/>
      <w:r>
        <w:rPr>
          <w:lang w:val="fr-FR"/>
        </w:rPr>
        <w:t>Transposition</w:t>
      </w:r>
      <w:r w:rsidR="00087DF7">
        <w:rPr>
          <w:lang w:val="fr-FR"/>
        </w:rPr>
        <w:t xml:space="preserve"> au contexte wallon</w:t>
      </w:r>
      <w:bookmarkEnd w:id="170"/>
      <w:bookmarkEnd w:id="171"/>
    </w:p>
    <w:p w14:paraId="0BA5C15B" w14:textId="56880132" w:rsidR="00905EEC" w:rsidRDefault="00905EEC" w:rsidP="00905EEC">
      <w:pPr>
        <w:pStyle w:val="Titre4"/>
        <w:numPr>
          <w:ilvl w:val="3"/>
          <w:numId w:val="12"/>
        </w:numPr>
        <w:rPr>
          <w:lang w:val="fr-FR"/>
        </w:rPr>
      </w:pPr>
      <w:r>
        <w:rPr>
          <w:lang w:val="fr-FR"/>
        </w:rPr>
        <w:t>Définitions utiles</w:t>
      </w:r>
    </w:p>
    <w:p w14:paraId="0FFDEDEB" w14:textId="587FB5F5" w:rsidR="00905EEC" w:rsidRDefault="00905EEC" w:rsidP="00905EEC">
      <w:pPr>
        <w:rPr>
          <w:lang w:val="fr-FR"/>
        </w:rPr>
      </w:pPr>
      <w:r>
        <w:rPr>
          <w:lang w:val="fr-FR"/>
        </w:rPr>
        <w:t>En Wallonie, les évaluations environnementales peuvent prendre plusieurs formes :</w:t>
      </w:r>
    </w:p>
    <w:p w14:paraId="2BD2CAD6" w14:textId="056A21B6" w:rsidR="00905EEC" w:rsidRDefault="00B53F00" w:rsidP="00905EEC">
      <w:pPr>
        <w:pStyle w:val="Paragraphedeliste"/>
        <w:numPr>
          <w:ilvl w:val="0"/>
          <w:numId w:val="13"/>
        </w:numPr>
        <w:rPr>
          <w:lang w:val="fr-FR"/>
        </w:rPr>
      </w:pPr>
      <w:r w:rsidRPr="00B53F00">
        <w:rPr>
          <w:lang w:val="fr-FR"/>
        </w:rPr>
        <w:t>Un rapport d’incidences sur l'environnement (RIE) concerne les plans et programmes. Il s’agit d’un document qui analyse les effets d’un projet sur son environnement avant qu’une autorisation (souvent un permis d’urbanisme ou un permis unique) ne soit délivrée. Il fait partie des outils d’évaluation environnementale prévus par le Code du Développement Territorial (CoDT).</w:t>
      </w:r>
    </w:p>
    <w:p w14:paraId="77714454" w14:textId="1FE35895" w:rsidR="00B53F00" w:rsidRDefault="00076B81" w:rsidP="00905EEC">
      <w:pPr>
        <w:pStyle w:val="Paragraphedeliste"/>
        <w:numPr>
          <w:ilvl w:val="0"/>
          <w:numId w:val="13"/>
        </w:numPr>
        <w:rPr>
          <w:lang w:val="fr-FR"/>
        </w:rPr>
      </w:pPr>
      <w:r>
        <w:rPr>
          <w:lang w:val="fr-FR"/>
        </w:rPr>
        <w:t>Une</w:t>
      </w:r>
      <w:r w:rsidR="00A6332C" w:rsidRPr="00A6332C">
        <w:rPr>
          <w:lang w:val="fr-FR"/>
        </w:rPr>
        <w:t xml:space="preserve"> notice d’évaluation des incidences sur l’environnement (NEIE) est un document réglementaire requis pour la plupart des projets soumis à un permis d’environnement, permis d’urbanisme ou permis unique, lorsque les impacts environnementaux sont jugés limités ou maîtrisables.</w:t>
      </w:r>
    </w:p>
    <w:p w14:paraId="03394488" w14:textId="58899200" w:rsidR="001866A4" w:rsidRPr="00905EEC" w:rsidRDefault="00076B81" w:rsidP="00905EEC">
      <w:pPr>
        <w:pStyle w:val="Paragraphedeliste"/>
        <w:numPr>
          <w:ilvl w:val="0"/>
          <w:numId w:val="13"/>
        </w:numPr>
        <w:rPr>
          <w:lang w:val="fr-FR"/>
        </w:rPr>
      </w:pPr>
      <w:r>
        <w:rPr>
          <w:lang w:val="fr-FR"/>
        </w:rPr>
        <w:t>Une étude</w:t>
      </w:r>
      <w:r w:rsidR="001866A4" w:rsidRPr="001866A4">
        <w:rPr>
          <w:lang w:val="fr-FR"/>
        </w:rPr>
        <w:t xml:space="preserve"> d’incidences sur l’environnement (EIE) est une analyse approfondie exigée pour les projets susceptibles d’avoir des incidences significatives sur l’environnement et le cadre de vie.</w:t>
      </w:r>
    </w:p>
    <w:p w14:paraId="70397E0E" w14:textId="6FD8007A" w:rsidR="00905EEC" w:rsidRPr="00905EEC" w:rsidRDefault="00905EEC" w:rsidP="00905EEC">
      <w:pPr>
        <w:pStyle w:val="Titre4"/>
        <w:numPr>
          <w:ilvl w:val="3"/>
          <w:numId w:val="12"/>
        </w:numPr>
        <w:rPr>
          <w:lang w:val="fr-FR"/>
        </w:rPr>
      </w:pPr>
      <w:r>
        <w:rPr>
          <w:lang w:val="fr-FR"/>
        </w:rPr>
        <w:t>Potentiel de mise en application</w:t>
      </w:r>
    </w:p>
    <w:p w14:paraId="1844DE72" w14:textId="77777777" w:rsidR="00087DF7" w:rsidRDefault="00087DF7" w:rsidP="00087DF7">
      <w:pPr>
        <w:rPr>
          <w:lang w:val="fr-FR"/>
        </w:rPr>
      </w:pPr>
      <w:r w:rsidRPr="7A1EAC66">
        <w:rPr>
          <w:lang w:val="fr-FR"/>
        </w:rPr>
        <w:t xml:space="preserve">En </w:t>
      </w:r>
      <w:r>
        <w:rPr>
          <w:lang w:val="fr-FR"/>
        </w:rPr>
        <w:t>R</w:t>
      </w:r>
      <w:r w:rsidRPr="7A1EAC66">
        <w:rPr>
          <w:lang w:val="fr-FR"/>
        </w:rPr>
        <w:t>égion wallonne, l’intégration de la qualité des sols pourrait s’envisager à plusieurs niveaux. Citons, de manière non-exhaustive, les exemples suivants :</w:t>
      </w:r>
    </w:p>
    <w:p w14:paraId="251688BE" w14:textId="77777777" w:rsidR="00087DF7" w:rsidRDefault="00087DF7">
      <w:pPr>
        <w:pStyle w:val="Paragraphedeliste"/>
        <w:numPr>
          <w:ilvl w:val="0"/>
          <w:numId w:val="29"/>
        </w:numPr>
        <w:rPr>
          <w:lang w:val="fr-FR"/>
        </w:rPr>
      </w:pPr>
      <w:r w:rsidRPr="385A9812">
        <w:rPr>
          <w:lang w:val="fr-FR"/>
        </w:rPr>
        <w:t xml:space="preserve">Dans le cadre d’une révision du plan de secteur :  </w:t>
      </w:r>
    </w:p>
    <w:p w14:paraId="6C88A5E1" w14:textId="77777777" w:rsidR="00087DF7" w:rsidRDefault="00087DF7">
      <w:pPr>
        <w:pStyle w:val="Paragraphedeliste"/>
        <w:numPr>
          <w:ilvl w:val="1"/>
          <w:numId w:val="29"/>
        </w:numPr>
        <w:rPr>
          <w:lang w:val="fr-FR"/>
        </w:rPr>
      </w:pPr>
      <w:r>
        <w:rPr>
          <w:lang w:val="fr-FR"/>
        </w:rPr>
        <w:t>P</w:t>
      </w:r>
      <w:r w:rsidRPr="7A1EAC66">
        <w:rPr>
          <w:lang w:val="fr-FR"/>
        </w:rPr>
        <w:t>our vérifier l’adéquation entre les affectations projetées et les niveaux actuels et potentiels de qualité du sol</w:t>
      </w:r>
      <w:r>
        <w:rPr>
          <w:lang w:val="fr-FR"/>
        </w:rPr>
        <w:t> ;</w:t>
      </w:r>
    </w:p>
    <w:p w14:paraId="5150A62B" w14:textId="77777777" w:rsidR="00087DF7" w:rsidRDefault="00087DF7">
      <w:pPr>
        <w:pStyle w:val="Paragraphedeliste"/>
        <w:numPr>
          <w:ilvl w:val="1"/>
          <w:numId w:val="29"/>
        </w:numPr>
        <w:rPr>
          <w:lang w:val="fr-FR"/>
        </w:rPr>
      </w:pPr>
      <w:r w:rsidRPr="385A9812">
        <w:rPr>
          <w:lang w:val="fr-FR"/>
        </w:rPr>
        <w:t>Pour prendre en compte la qualité et le potentiel du sol dans la révision du plan de secteur</w:t>
      </w:r>
      <w:r>
        <w:rPr>
          <w:lang w:val="fr-FR"/>
        </w:rPr>
        <w:t> ;</w:t>
      </w:r>
    </w:p>
    <w:p w14:paraId="1E039C29" w14:textId="77777777" w:rsidR="00087DF7" w:rsidRDefault="00087DF7">
      <w:pPr>
        <w:pStyle w:val="Paragraphedeliste"/>
        <w:numPr>
          <w:ilvl w:val="1"/>
          <w:numId w:val="29"/>
        </w:numPr>
        <w:rPr>
          <w:lang w:val="fr-FR"/>
        </w:rPr>
      </w:pPr>
      <w:r w:rsidRPr="385A9812">
        <w:rPr>
          <w:lang w:val="fr-FR"/>
        </w:rPr>
        <w:t>Pour évaluer l’impact de ces changements sur le sol et, le cas échéant, objectiver des mesures de compensation ;</w:t>
      </w:r>
    </w:p>
    <w:p w14:paraId="0B8A90E3" w14:textId="77777777" w:rsidR="00087DF7" w:rsidRDefault="00087DF7">
      <w:pPr>
        <w:pStyle w:val="Paragraphedeliste"/>
        <w:numPr>
          <w:ilvl w:val="0"/>
          <w:numId w:val="29"/>
        </w:numPr>
        <w:rPr>
          <w:lang w:val="fr-FR"/>
        </w:rPr>
      </w:pPr>
      <w:r w:rsidRPr="385A9812">
        <w:rPr>
          <w:lang w:val="fr-FR"/>
        </w:rPr>
        <w:t>Dans le cadre de projets, qu’ils soient immobiliers, d’infrastructures ou agricoles, pour :</w:t>
      </w:r>
    </w:p>
    <w:p w14:paraId="5DE50C96" w14:textId="77777777" w:rsidR="00087DF7" w:rsidRDefault="00087DF7">
      <w:pPr>
        <w:pStyle w:val="Paragraphedeliste"/>
        <w:numPr>
          <w:ilvl w:val="1"/>
          <w:numId w:val="29"/>
        </w:numPr>
        <w:rPr>
          <w:lang w:val="fr-FR"/>
        </w:rPr>
      </w:pPr>
      <w:r>
        <w:rPr>
          <w:lang w:val="fr-FR"/>
        </w:rPr>
        <w:t>P</w:t>
      </w:r>
      <w:r w:rsidRPr="7A1EAC66">
        <w:rPr>
          <w:lang w:val="fr-FR"/>
        </w:rPr>
        <w:t>our vérifier l’adéquation entre l’usage projeté et le niveau actuel de qualité du sol,</w:t>
      </w:r>
    </w:p>
    <w:p w14:paraId="3720B235" w14:textId="77777777" w:rsidR="00087DF7" w:rsidRDefault="00087DF7">
      <w:pPr>
        <w:pStyle w:val="Paragraphedeliste"/>
        <w:numPr>
          <w:ilvl w:val="1"/>
          <w:numId w:val="29"/>
        </w:numPr>
        <w:rPr>
          <w:lang w:val="fr-FR"/>
        </w:rPr>
      </w:pPr>
      <w:r w:rsidRPr="7A1EAC66">
        <w:rPr>
          <w:lang w:val="fr-FR"/>
        </w:rPr>
        <w:t>Pour prendre en compte la qualité et le potentiel du sol dans un projet de construction,</w:t>
      </w:r>
    </w:p>
    <w:p w14:paraId="7C615B50" w14:textId="77777777" w:rsidR="00087DF7" w:rsidRDefault="00087DF7">
      <w:pPr>
        <w:pStyle w:val="Paragraphedeliste"/>
        <w:numPr>
          <w:ilvl w:val="1"/>
          <w:numId w:val="29"/>
        </w:numPr>
        <w:rPr>
          <w:lang w:val="fr-FR"/>
        </w:rPr>
      </w:pPr>
      <w:r w:rsidRPr="7A1EAC66">
        <w:rPr>
          <w:lang w:val="fr-FR"/>
        </w:rPr>
        <w:t>Pour évaluer l’impact du projet sur le sol et, le cas échéant, objectiver des mesures de compensation ;</w:t>
      </w:r>
    </w:p>
    <w:p w14:paraId="3DF917E1" w14:textId="77777777" w:rsidR="00087DF7" w:rsidRPr="00E22B49" w:rsidRDefault="00087DF7">
      <w:pPr>
        <w:pStyle w:val="Paragraphedeliste"/>
        <w:numPr>
          <w:ilvl w:val="0"/>
          <w:numId w:val="29"/>
        </w:numPr>
        <w:rPr>
          <w:lang w:val="fr-FR"/>
        </w:rPr>
      </w:pPr>
      <w:r w:rsidRPr="7A1EAC66">
        <w:rPr>
          <w:lang w:val="fr-FR"/>
        </w:rPr>
        <w:t xml:space="preserve">Dans le cas de reconstitution de sol, par exemple </w:t>
      </w:r>
      <w:r>
        <w:rPr>
          <w:lang w:val="fr-FR"/>
        </w:rPr>
        <w:t>un</w:t>
      </w:r>
      <w:r w:rsidRPr="7A1EAC66">
        <w:rPr>
          <w:lang w:val="fr-FR"/>
        </w:rPr>
        <w:t xml:space="preserve"> remblaiement d’une carrière</w:t>
      </w:r>
      <w:r>
        <w:rPr>
          <w:lang w:val="fr-FR"/>
        </w:rPr>
        <w:t>,</w:t>
      </w:r>
      <w:r w:rsidRPr="7A1EAC66">
        <w:rPr>
          <w:lang w:val="fr-FR"/>
        </w:rPr>
        <w:t xml:space="preserve"> </w:t>
      </w:r>
      <w:r>
        <w:rPr>
          <w:lang w:val="fr-FR"/>
        </w:rPr>
        <w:t>p</w:t>
      </w:r>
      <w:r w:rsidRPr="00E22B49">
        <w:rPr>
          <w:lang w:val="fr-FR"/>
        </w:rPr>
        <w:t xml:space="preserve">our définir et objectiver des objectifs d’atteinte de </w:t>
      </w:r>
      <w:r>
        <w:rPr>
          <w:lang w:val="fr-FR"/>
        </w:rPr>
        <w:t>service écosystémique ;</w:t>
      </w:r>
    </w:p>
    <w:p w14:paraId="1815EA7B" w14:textId="77777777" w:rsidR="00087DF7" w:rsidRDefault="00087DF7">
      <w:pPr>
        <w:pStyle w:val="Paragraphedeliste"/>
        <w:numPr>
          <w:ilvl w:val="0"/>
          <w:numId w:val="29"/>
        </w:numPr>
        <w:rPr>
          <w:lang w:val="fr-FR"/>
        </w:rPr>
      </w:pPr>
      <w:r w:rsidRPr="7A1EAC66">
        <w:rPr>
          <w:lang w:val="fr-FR"/>
        </w:rPr>
        <w:t>Pour orienter les pratiques vers une meilleure préservation des sols dans les chantiers de terrassement, de construction... ;</w:t>
      </w:r>
    </w:p>
    <w:p w14:paraId="1BD13F10" w14:textId="77777777" w:rsidR="00087DF7" w:rsidRPr="002D4614" w:rsidRDefault="00087DF7">
      <w:pPr>
        <w:pStyle w:val="Paragraphedeliste"/>
        <w:numPr>
          <w:ilvl w:val="0"/>
          <w:numId w:val="29"/>
        </w:numPr>
        <w:rPr>
          <w:lang w:val="fr-FR"/>
        </w:rPr>
      </w:pPr>
      <w:r w:rsidRPr="7A1EAC66">
        <w:rPr>
          <w:lang w:val="fr-FR"/>
        </w:rPr>
        <w:t xml:space="preserve">En tant qu’outil de </w:t>
      </w:r>
      <w:r>
        <w:rPr>
          <w:lang w:val="fr-FR"/>
        </w:rPr>
        <w:t>suivi et de surveillance</w:t>
      </w:r>
      <w:r w:rsidRPr="7A1EAC66">
        <w:rPr>
          <w:lang w:val="fr-FR"/>
        </w:rPr>
        <w:t>.</w:t>
      </w:r>
    </w:p>
    <w:p w14:paraId="77B2A5E5" w14:textId="6D52EB95" w:rsidR="00460EEE" w:rsidRDefault="00087DF7" w:rsidP="00087DF7">
      <w:r w:rsidRPr="00954EBB">
        <w:t xml:space="preserve">Dans tous les cas, l’idéal est d’intégrer la prise en compte de la qualité du sol </w:t>
      </w:r>
      <w:r w:rsidRPr="00EF3430">
        <w:t>le plus en amont possible</w:t>
      </w:r>
      <w:r w:rsidRPr="00954EBB">
        <w:t xml:space="preserve">, avant que le projet soit figé. En effet, c’est à l’étape de la planification/conception d’un projet que l’outil </w:t>
      </w:r>
      <w:r w:rsidRPr="00954EBB">
        <w:lastRenderedPageBreak/>
        <w:t>peut avoir le plus de portée, en identifiant les zones de meilleure qualité à préserver et en orientant l’usage en fonction du sol.</w:t>
      </w:r>
      <w:r w:rsidRPr="7A1EAC66">
        <w:rPr>
          <w:b/>
          <w:bCs/>
        </w:rPr>
        <w:t xml:space="preserve"> </w:t>
      </w:r>
      <w:hyperlink r:id="rId34" w:history="1"/>
      <w:r>
        <w:t>L’IQSW-pro peut également être utilisé au stade de l’évaluation des incidences environnementales d’un projet</w:t>
      </w:r>
      <w:r w:rsidR="00460EEE">
        <w:t>.</w:t>
      </w:r>
      <w:r>
        <w:t xml:space="preserve"> (dans le cadre des RIE, EIE et NEIE). Dans ce cadre, l’IQSW-pro permet d’objectiver les pertes en service écosystémique engendrées par un projet et, le cas échéant, de donner une base objective pour dimensionner les mesures compensatoires</w:t>
      </w:r>
      <w:r w:rsidRPr="004D51EA">
        <w:t>.</w:t>
      </w:r>
    </w:p>
    <w:p w14:paraId="456CFC23" w14:textId="5546CDDB" w:rsidR="00087DF7" w:rsidRDefault="00087DF7" w:rsidP="00087DF7">
      <w:pPr>
        <w:rPr>
          <w:noProof/>
        </w:rPr>
      </w:pPr>
      <w:r w:rsidRPr="004D51EA">
        <w:t xml:space="preserve">Les figures suivantes précisent le contexte temporel dans lequel le diagnostic IQSW-pro pourrait s’insérer dans le cadre des plans et programmes, avec l’exemple concret d’une révision du plan de secteur </w:t>
      </w:r>
      <w:r w:rsidRPr="009C2041">
        <w:t>(</w:t>
      </w:r>
      <w:r w:rsidRPr="009C2041">
        <w:fldChar w:fldCharType="begin"/>
      </w:r>
      <w:r w:rsidRPr="009C2041">
        <w:instrText xml:space="preserve"> REF _Ref233375809 \h  \* MERGEFORMAT </w:instrText>
      </w:r>
      <w:r w:rsidRPr="009C2041">
        <w:fldChar w:fldCharType="separate"/>
      </w:r>
      <w:r w:rsidR="001C792E" w:rsidRPr="00282B2E">
        <w:t xml:space="preserve">Figure </w:t>
      </w:r>
      <w:r w:rsidR="001C792E">
        <w:rPr>
          <w:noProof/>
        </w:rPr>
        <w:t>8</w:t>
      </w:r>
      <w:r w:rsidRPr="009C2041">
        <w:fldChar w:fldCharType="end"/>
      </w:r>
      <w:r w:rsidRPr="009C2041">
        <w:t>), et</w:t>
      </w:r>
      <w:r w:rsidRPr="004D51EA">
        <w:t xml:space="preserve"> dans le cadre des projets (</w:t>
      </w:r>
      <w:r w:rsidRPr="009C2041">
        <w:fldChar w:fldCharType="begin"/>
      </w:r>
      <w:r w:rsidRPr="009C2041">
        <w:instrText xml:space="preserve"> REF _Ref233375840 \h  \* MERGEFORMAT </w:instrText>
      </w:r>
      <w:r w:rsidRPr="009C2041">
        <w:fldChar w:fldCharType="separate"/>
      </w:r>
      <w:r w:rsidR="001C792E" w:rsidRPr="000E5B02">
        <w:t xml:space="preserve">Figure </w:t>
      </w:r>
      <w:r w:rsidR="001C792E">
        <w:rPr>
          <w:noProof/>
        </w:rPr>
        <w:t>9</w:t>
      </w:r>
      <w:r w:rsidRPr="009C2041">
        <w:fldChar w:fldCharType="end"/>
      </w:r>
      <w:r w:rsidRPr="004D51EA">
        <w:t>).</w:t>
      </w:r>
      <w:r w:rsidRPr="004D51EA">
        <w:rPr>
          <w:noProof/>
        </w:rPr>
        <w:t xml:space="preserve"> L’étape du plan est</w:t>
      </w:r>
      <w:r>
        <w:rPr>
          <w:noProof/>
        </w:rPr>
        <w:t xml:space="preserve"> parfois (pas nécessairement) réalisée en amont de l’étape projet.</w:t>
      </w:r>
    </w:p>
    <w:p w14:paraId="0111B4D1" w14:textId="77777777" w:rsidR="00087DF7" w:rsidRDefault="00087DF7" w:rsidP="00087DF7">
      <w:pPr>
        <w:keepNext/>
      </w:pPr>
      <w:r>
        <w:rPr>
          <w:noProof/>
        </w:rPr>
        <w:drawing>
          <wp:inline distT="0" distB="0" distL="0" distR="0" wp14:anchorId="33F63951" wp14:editId="0801A7B4">
            <wp:extent cx="5759450" cy="1140460"/>
            <wp:effectExtent l="0" t="0" r="0" b="0"/>
            <wp:docPr id="11645000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00011" name="Image 116450001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9450" cy="1140460"/>
                    </a:xfrm>
                    <a:prstGeom prst="rect">
                      <a:avLst/>
                    </a:prstGeom>
                  </pic:spPr>
                </pic:pic>
              </a:graphicData>
            </a:graphic>
          </wp:inline>
        </w:drawing>
      </w:r>
    </w:p>
    <w:p w14:paraId="1F527132" w14:textId="6EABEBC8" w:rsidR="00087DF7" w:rsidRPr="00282B2E" w:rsidRDefault="00087DF7" w:rsidP="00087DF7">
      <w:pPr>
        <w:pStyle w:val="Lgende"/>
        <w:jc w:val="center"/>
        <w:rPr>
          <w:i w:val="0"/>
          <w:iCs w:val="0"/>
        </w:rPr>
      </w:pPr>
      <w:bookmarkStart w:id="172" w:name="_Ref233375809"/>
      <w:bookmarkStart w:id="173" w:name="_Toc241229823"/>
      <w:r w:rsidRPr="00282B2E">
        <w:rPr>
          <w:i w:val="0"/>
          <w:iCs w:val="0"/>
        </w:rPr>
        <w:t xml:space="preserve">Figure </w:t>
      </w:r>
      <w:r w:rsidRPr="00282B2E">
        <w:rPr>
          <w:i w:val="0"/>
          <w:iCs w:val="0"/>
        </w:rPr>
        <w:fldChar w:fldCharType="begin"/>
      </w:r>
      <w:r w:rsidRPr="00282B2E">
        <w:rPr>
          <w:i w:val="0"/>
          <w:iCs w:val="0"/>
        </w:rPr>
        <w:instrText xml:space="preserve"> SEQ Figure \* ARABIC </w:instrText>
      </w:r>
      <w:r w:rsidRPr="00282B2E">
        <w:rPr>
          <w:i w:val="0"/>
          <w:iCs w:val="0"/>
        </w:rPr>
        <w:fldChar w:fldCharType="separate"/>
      </w:r>
      <w:r w:rsidR="000E1D98">
        <w:rPr>
          <w:i w:val="0"/>
          <w:iCs w:val="0"/>
          <w:noProof/>
        </w:rPr>
        <w:t>8</w:t>
      </w:r>
      <w:r w:rsidRPr="00282B2E">
        <w:rPr>
          <w:i w:val="0"/>
          <w:iCs w:val="0"/>
        </w:rPr>
        <w:fldChar w:fldCharType="end"/>
      </w:r>
      <w:bookmarkEnd w:id="172"/>
      <w:r w:rsidRPr="00282B2E">
        <w:rPr>
          <w:i w:val="0"/>
          <w:iCs w:val="0"/>
        </w:rPr>
        <w:t xml:space="preserve"> : Temporalité des études type "plans et programme</w:t>
      </w:r>
      <w:r w:rsidRPr="00282B2E">
        <w:rPr>
          <w:i w:val="0"/>
          <w:iCs w:val="0"/>
          <w:noProof/>
        </w:rPr>
        <w:t>s"</w:t>
      </w:r>
      <w:r>
        <w:rPr>
          <w:i w:val="0"/>
          <w:iCs w:val="0"/>
          <w:noProof/>
        </w:rPr>
        <w:t xml:space="preserve"> et proposition d’intégration d’un diagnostic IQSW.</w:t>
      </w:r>
      <w:bookmarkEnd w:id="173"/>
    </w:p>
    <w:p w14:paraId="38CD58A4" w14:textId="77777777" w:rsidR="00087DF7" w:rsidRDefault="00087DF7" w:rsidP="00087DF7"/>
    <w:p w14:paraId="38CE69E0" w14:textId="77777777" w:rsidR="00087DF7" w:rsidRDefault="00087DF7" w:rsidP="00087DF7">
      <w:pPr>
        <w:keepNext/>
      </w:pPr>
      <w:r>
        <w:rPr>
          <w:noProof/>
        </w:rPr>
        <w:drawing>
          <wp:inline distT="0" distB="0" distL="0" distR="0" wp14:anchorId="428B5E9C" wp14:editId="77B965AE">
            <wp:extent cx="5759450" cy="1438275"/>
            <wp:effectExtent l="0" t="0" r="0" b="0"/>
            <wp:docPr id="9636136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13623" name="Image 96361362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59450" cy="1438275"/>
                    </a:xfrm>
                    <a:prstGeom prst="rect">
                      <a:avLst/>
                    </a:prstGeom>
                  </pic:spPr>
                </pic:pic>
              </a:graphicData>
            </a:graphic>
          </wp:inline>
        </w:drawing>
      </w:r>
    </w:p>
    <w:p w14:paraId="61C093E2" w14:textId="615AA4B9" w:rsidR="00087DF7" w:rsidRPr="000E5B02" w:rsidRDefault="00087DF7" w:rsidP="00087DF7">
      <w:pPr>
        <w:pStyle w:val="Lgende"/>
        <w:jc w:val="center"/>
        <w:rPr>
          <w:i w:val="0"/>
          <w:iCs w:val="0"/>
        </w:rPr>
      </w:pPr>
      <w:bookmarkStart w:id="174" w:name="_Ref233375840"/>
      <w:bookmarkStart w:id="175" w:name="_Toc241229824"/>
      <w:r w:rsidRPr="000E5B02">
        <w:rPr>
          <w:i w:val="0"/>
          <w:iCs w:val="0"/>
        </w:rPr>
        <w:t xml:space="preserve">Figure </w:t>
      </w:r>
      <w:r w:rsidRPr="000E5B02">
        <w:rPr>
          <w:i w:val="0"/>
          <w:iCs w:val="0"/>
        </w:rPr>
        <w:fldChar w:fldCharType="begin"/>
      </w:r>
      <w:r w:rsidRPr="000E5B02">
        <w:rPr>
          <w:i w:val="0"/>
          <w:iCs w:val="0"/>
        </w:rPr>
        <w:instrText xml:space="preserve"> SEQ Figure \* ARABIC </w:instrText>
      </w:r>
      <w:r w:rsidRPr="000E5B02">
        <w:rPr>
          <w:i w:val="0"/>
          <w:iCs w:val="0"/>
        </w:rPr>
        <w:fldChar w:fldCharType="separate"/>
      </w:r>
      <w:r w:rsidR="000E1D98">
        <w:rPr>
          <w:i w:val="0"/>
          <w:iCs w:val="0"/>
          <w:noProof/>
        </w:rPr>
        <w:t>9</w:t>
      </w:r>
      <w:r w:rsidRPr="000E5B02">
        <w:rPr>
          <w:i w:val="0"/>
          <w:iCs w:val="0"/>
        </w:rPr>
        <w:fldChar w:fldCharType="end"/>
      </w:r>
      <w:bookmarkEnd w:id="174"/>
      <w:r w:rsidRPr="000E5B02">
        <w:rPr>
          <w:i w:val="0"/>
          <w:iCs w:val="0"/>
        </w:rPr>
        <w:t xml:space="preserve"> : Temporalité des études type "</w:t>
      </w:r>
      <w:r>
        <w:rPr>
          <w:i w:val="0"/>
          <w:iCs w:val="0"/>
        </w:rPr>
        <w:t>projet</w:t>
      </w:r>
      <w:r w:rsidRPr="000E5B02">
        <w:rPr>
          <w:i w:val="0"/>
          <w:iCs w:val="0"/>
        </w:rPr>
        <w:t>" et proposition d’intégration d’un diagnostic IQSW.</w:t>
      </w:r>
      <w:bookmarkEnd w:id="175"/>
    </w:p>
    <w:p w14:paraId="439AB1F0" w14:textId="77777777" w:rsidR="001C7379" w:rsidRDefault="001C7379" w:rsidP="0082641C"/>
    <w:p w14:paraId="40B07BD6" w14:textId="0B75DC8D" w:rsidR="0082641C" w:rsidRDefault="001C7379">
      <w:pPr>
        <w:pStyle w:val="Titre2"/>
        <w:numPr>
          <w:ilvl w:val="1"/>
          <w:numId w:val="12"/>
        </w:numPr>
      </w:pPr>
      <w:bookmarkStart w:id="176" w:name="_Toc241478138"/>
      <w:r w:rsidRPr="001C7379">
        <w:t>Évaluation d’impact dans le cas des études sur projet</w:t>
      </w:r>
      <w:bookmarkEnd w:id="176"/>
    </w:p>
    <w:p w14:paraId="30545B18" w14:textId="0B84AF2E" w:rsidR="004737BB" w:rsidRPr="004737BB" w:rsidRDefault="001F35D1" w:rsidP="004737BB">
      <w:r>
        <w:t>La méthodologie développée ci-après permet de quantifier concrètement l’impact d’un projet sur les services écosystémiques du sol, et sa qualité / santé de manière générale</w:t>
      </w:r>
      <w:r w:rsidR="00C3143A">
        <w:t xml:space="preserve">, en calculant le bilan du projet en termes de « capital sol », </w:t>
      </w:r>
      <w:r w:rsidR="008E6D18">
        <w:t>c’est-à-dire une extrapolation surfacique des scores calculés.</w:t>
      </w:r>
    </w:p>
    <w:p w14:paraId="5A9BE6E0" w14:textId="77777777" w:rsidR="006E08A0" w:rsidRPr="00AA4A80" w:rsidRDefault="006E08A0">
      <w:pPr>
        <w:pStyle w:val="Titre3"/>
        <w:numPr>
          <w:ilvl w:val="2"/>
          <w:numId w:val="12"/>
        </w:numPr>
      </w:pPr>
      <w:bookmarkStart w:id="177" w:name="_Toc233387905"/>
      <w:bookmarkStart w:id="178" w:name="_Toc241478139"/>
      <w:r>
        <w:t>Bilan avant-après projet</w:t>
      </w:r>
      <w:bookmarkEnd w:id="177"/>
      <w:bookmarkEnd w:id="178"/>
    </w:p>
    <w:p w14:paraId="29F4F71E" w14:textId="77777777" w:rsidR="006E08A0" w:rsidRPr="00E87D7A" w:rsidRDefault="006E08A0" w:rsidP="006E08A0">
      <w:r>
        <w:fldChar w:fldCharType="begin"/>
      </w:r>
      <w:r>
        <w:instrText xml:space="preserve"> REF _Ref232541945 \r \h </w:instrText>
      </w:r>
      <w:r>
        <w:fldChar w:fldCharType="separate"/>
      </w:r>
      <w:r>
        <w:fldChar w:fldCharType="end"/>
      </w:r>
      <w:r>
        <w:t xml:space="preserve">L’objectivation de l’impact d’un projet sur les services écosystémiques du sol nécessite une prise en compte combinée des surfaces et des fonctionnalités du sol. À l’instar de ce que prévoient plusieurs projets pilote hors Région wallonne, l’outil IQSW-pro propose de faire un bilan des surfaces « gagnées » ou « perdues » par le projet, et de multiplier ce bilan par le score IQSW-pro calculé (ou estimé) pour déduire un « capital sol » (exprimé en score de qualité du sol </w:t>
      </w:r>
      <w:r>
        <w:rPr>
          <w:rFonts w:cs="Calibri"/>
        </w:rPr>
        <w:t xml:space="preserve">· </w:t>
      </w:r>
      <w:r>
        <w:t xml:space="preserve">unité de surface). Il est ensuite possible de calculer, pour un projet donné, un </w:t>
      </w:r>
      <m:oMath>
        <m:r>
          <m:rPr>
            <m:sty m:val="p"/>
          </m:rPr>
          <w:rPr>
            <w:rFonts w:ascii="Cambria Math" w:hAnsi="Cambria Math" w:cs="Calibri"/>
          </w:rPr>
          <m:t>∆Capital sol</m:t>
        </m:r>
      </m:oMath>
      <w:r>
        <w:rPr>
          <w:rFonts w:eastAsiaTheme="minorEastAsia"/>
        </w:rPr>
        <w:t xml:space="preserve"> (éq. 1) établissant le bilan du projet</w:t>
      </w:r>
      <w: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14:paraId="2AA54C00" w14:textId="77777777" w:rsidTr="005F19A0">
        <w:trPr>
          <w:trHeight w:val="647"/>
        </w:trPr>
        <w:tc>
          <w:tcPr>
            <w:tcW w:w="8642" w:type="dxa"/>
            <w:vAlign w:val="center"/>
          </w:tcPr>
          <w:p w14:paraId="35B90846" w14:textId="77777777" w:rsidR="006E08A0" w:rsidRPr="006C2A22" w:rsidRDefault="006E08A0" w:rsidP="005F19A0">
            <w:pPr>
              <w:jc w:val="center"/>
              <w:rPr>
                <w:rFonts w:cs="Calibri"/>
                <w:iCs/>
              </w:rPr>
            </w:pPr>
            <m:oMathPara>
              <m:oMath>
                <m:r>
                  <m:rPr>
                    <m:sty m:val="p"/>
                  </m:rPr>
                  <w:rPr>
                    <w:rFonts w:ascii="Cambria Math" w:hAnsi="Cambria Math" w:cs="Calibri"/>
                  </w:rPr>
                  <w:lastRenderedPageBreak/>
                  <m:t xml:space="preserve">∆Capital sol= </m:t>
                </m:r>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projeté</m:t>
                    </m:r>
                  </m:sub>
                </m:sSub>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actuel</m:t>
                    </m:r>
                  </m:sub>
                </m:sSub>
              </m:oMath>
            </m:oMathPara>
          </w:p>
        </w:tc>
        <w:tc>
          <w:tcPr>
            <w:tcW w:w="418" w:type="dxa"/>
            <w:vAlign w:val="center"/>
          </w:tcPr>
          <w:p w14:paraId="167F3F1F" w14:textId="77777777" w:rsidR="006E08A0" w:rsidRDefault="006E08A0" w:rsidP="005F19A0">
            <w:pPr>
              <w:jc w:val="center"/>
            </w:pPr>
            <w:r>
              <w:t>(1)</w:t>
            </w:r>
          </w:p>
        </w:tc>
      </w:tr>
    </w:tbl>
    <w:p w14:paraId="22615745" w14:textId="77777777" w:rsidR="006E08A0" w:rsidRPr="0051081A" w:rsidRDefault="006E08A0" w:rsidP="006E08A0">
      <w:pPr>
        <w:rPr>
          <w:rFonts w:cs="Calibri"/>
          <w:sz w:val="20"/>
          <w:szCs w:val="20"/>
        </w:rPr>
      </w:pPr>
      <w:r w:rsidRPr="0051081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51081A" w14:paraId="18B9AE13" w14:textId="77777777" w:rsidTr="005F19A0">
        <w:trPr>
          <w:trHeight w:val="227"/>
        </w:trPr>
        <w:tc>
          <w:tcPr>
            <w:tcW w:w="2193" w:type="dxa"/>
          </w:tcPr>
          <w:p w14:paraId="0B5DBF8C" w14:textId="77777777" w:rsidR="006E08A0" w:rsidRPr="0051081A" w:rsidRDefault="00AA1F57" w:rsidP="005F19A0">
            <w:pPr>
              <w:jc w:val="left"/>
              <w:rPr>
                <w:rFont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projeté</m:t>
                    </m:r>
                  </m:sub>
                </m:sSub>
              </m:oMath>
            </m:oMathPara>
          </w:p>
        </w:tc>
        <w:tc>
          <w:tcPr>
            <w:tcW w:w="6877" w:type="dxa"/>
          </w:tcPr>
          <w:p w14:paraId="268A0A4B" w14:textId="77777777" w:rsidR="006E08A0" w:rsidRPr="0051081A" w:rsidRDefault="006E08A0" w:rsidP="005F19A0">
            <w:pPr>
              <w:jc w:val="left"/>
              <w:rPr>
                <w:rFonts w:cs="Calibri"/>
                <w:iCs/>
                <w:sz w:val="20"/>
                <w:szCs w:val="20"/>
              </w:rPr>
            </w:pPr>
            <w:r w:rsidRPr="0051081A">
              <w:rPr>
                <w:rFonts w:eastAsiaTheme="minorEastAsia" w:cs="Calibri"/>
                <w:iCs/>
                <w:sz w:val="20"/>
                <w:szCs w:val="20"/>
              </w:rPr>
              <w:t>Le capital sol projeté, simulé dans la situation post-projet en incluant l’ensemble des pertes et des gains de services écosystémiques liés au projet, à l’échelle du site (score · m²) ;</w:t>
            </w:r>
          </w:p>
        </w:tc>
      </w:tr>
      <w:tr w:rsidR="006E08A0" w:rsidRPr="0051081A" w14:paraId="1AB6FB3A" w14:textId="77777777" w:rsidTr="005F19A0">
        <w:trPr>
          <w:trHeight w:val="227"/>
        </w:trPr>
        <w:tc>
          <w:tcPr>
            <w:tcW w:w="2193" w:type="dxa"/>
          </w:tcPr>
          <w:p w14:paraId="2657C5AD"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actuel</m:t>
                    </m:r>
                  </m:sub>
                </m:sSub>
              </m:oMath>
            </m:oMathPara>
          </w:p>
        </w:tc>
        <w:tc>
          <w:tcPr>
            <w:tcW w:w="6877" w:type="dxa"/>
          </w:tcPr>
          <w:p w14:paraId="10474F39"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capital sol actuel, calculé en situation existante à l’échelle du site (pré-projet) (score · m²).</w:t>
            </w:r>
          </w:p>
        </w:tc>
      </w:tr>
    </w:tbl>
    <w:p w14:paraId="78D0986A" w14:textId="77777777" w:rsidR="006E08A0" w:rsidRDefault="006E08A0" w:rsidP="006E08A0"/>
    <w:p w14:paraId="75740B1F" w14:textId="77777777" w:rsidR="006E08A0" w:rsidRDefault="006E08A0" w:rsidP="006E08A0">
      <w:r>
        <w:t>Cette méthodologie consiste donc à inventorier les impacts du projet d’un point de vue quantitatif (bilan des surfaces perdues ou gagnées) mais également d’un point de vue qualitatif / fonctionnel (bilan en termes de niveaux des services perdus ou gagnés).</w:t>
      </w:r>
    </w:p>
    <w:p w14:paraId="7FDBA4C3" w14:textId="77777777" w:rsidR="006E08A0" w:rsidRPr="00A81101" w:rsidRDefault="006E08A0">
      <w:pPr>
        <w:pStyle w:val="Titre3"/>
        <w:numPr>
          <w:ilvl w:val="2"/>
          <w:numId w:val="12"/>
        </w:numPr>
      </w:pPr>
      <w:bookmarkStart w:id="179" w:name="_Toc233387906"/>
      <w:bookmarkStart w:id="180" w:name="_Toc241478140"/>
      <w:r w:rsidRPr="00A81101">
        <w:t>Zonage du site</w:t>
      </w:r>
      <w:bookmarkEnd w:id="179"/>
      <w:bookmarkEnd w:id="180"/>
      <w:r w:rsidRPr="00A81101">
        <w:t xml:space="preserve"> </w:t>
      </w:r>
    </w:p>
    <w:p w14:paraId="284CBA76" w14:textId="77777777" w:rsidR="006E08A0" w:rsidRPr="0057744C" w:rsidRDefault="006E08A0" w:rsidP="006E08A0">
      <w:r>
        <w:t>Pour calculer les impacts du projet, la première étape consiste à superposer les zones d’étendue du projet avec les zones homogènes, ce qui permet d’obtenir un découpage en zones z</w:t>
      </w:r>
      <w:r w:rsidRPr="0057744C">
        <w:rPr>
          <w:vertAlign w:val="subscript"/>
        </w:rPr>
        <w:t>p</w:t>
      </w:r>
      <w:r>
        <w:t xml:space="preserve"> « zone homogène </w:t>
      </w:r>
      <w:r>
        <w:rPr>
          <w:rFonts w:cs="Calibri"/>
        </w:rPr>
        <w:t>·</w:t>
      </w:r>
      <w:r>
        <w:t xml:space="preserve"> projet ». Par exemple, une zone homogène A peut être découpée en 2 sous-zones par le projet : une fraction de la zone A est attribuée à une zone de parc (aménagement 1), l’autre est destinée à de la construction (aménagement 2). On obtient donc deux zones z</w:t>
      </w:r>
      <w:r w:rsidRPr="0057744C">
        <w:rPr>
          <w:vertAlign w:val="subscript"/>
        </w:rPr>
        <w:t>p</w:t>
      </w:r>
      <w:r>
        <w:t xml:space="preserve"> : A</w:t>
      </w:r>
      <w:r w:rsidRPr="0057744C">
        <w:rPr>
          <w:vertAlign w:val="subscript"/>
        </w:rPr>
        <w:t>1</w:t>
      </w:r>
      <w:r>
        <w:t xml:space="preserve"> et A</w:t>
      </w:r>
      <w:r w:rsidRPr="0057744C">
        <w:rPr>
          <w:vertAlign w:val="subscript"/>
        </w:rPr>
        <w:t>2</w:t>
      </w:r>
      <w:r>
        <w:t>.</w:t>
      </w:r>
    </w:p>
    <w:p w14:paraId="229A10D1" w14:textId="77777777" w:rsidR="006E08A0" w:rsidRPr="00A81101" w:rsidRDefault="006E08A0">
      <w:pPr>
        <w:pStyle w:val="Titre3"/>
        <w:numPr>
          <w:ilvl w:val="2"/>
          <w:numId w:val="12"/>
        </w:numPr>
      </w:pPr>
      <w:bookmarkStart w:id="181" w:name="_Ref233368180"/>
      <w:bookmarkStart w:id="182" w:name="_Toc233387907"/>
      <w:bookmarkStart w:id="183" w:name="_Toc241478141"/>
      <w:r w:rsidRPr="00A81101">
        <w:t>Évaluation du capital sol actuel (pré-projet)</w:t>
      </w:r>
      <w:bookmarkEnd w:id="181"/>
      <w:bookmarkEnd w:id="182"/>
      <w:bookmarkEnd w:id="183"/>
    </w:p>
    <w:p w14:paraId="0B83F480" w14:textId="77777777" w:rsidR="006E08A0" w:rsidRPr="007D2DC4" w:rsidRDefault="006E08A0" w:rsidP="006E08A0">
      <w:r>
        <w:t>Le capital sol actuel peut s’évaluer en sommant le capital sol actuel de chacune des zones z</w:t>
      </w:r>
      <w:r w:rsidRPr="0057744C">
        <w:rPr>
          <w:vertAlign w:val="subscript"/>
        </w:rPr>
        <w:t>p</w:t>
      </w:r>
      <w:r>
        <w:t xml:space="preserve"> (éq. 2).</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14:paraId="1F13E2C3" w14:textId="77777777" w:rsidTr="005F19A0">
        <w:trPr>
          <w:trHeight w:val="647"/>
        </w:trPr>
        <w:tc>
          <w:tcPr>
            <w:tcW w:w="8642" w:type="dxa"/>
            <w:vAlign w:val="center"/>
          </w:tcPr>
          <w:p w14:paraId="60478C6B" w14:textId="77777777" w:rsidR="006E08A0" w:rsidRPr="00D7535B" w:rsidRDefault="006E08A0" w:rsidP="005F19A0">
            <w:pPr>
              <w:pStyle w:val="Paragraphedeliste"/>
              <w:jc w:val="center"/>
              <w:rPr>
                <w:rFonts w:cs="Calibri"/>
                <w:iCs/>
              </w:rPr>
            </w:pPr>
            <m:oMathPara>
              <m:oMath>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actuel</m:t>
                    </m:r>
                  </m:sub>
                </m:sSub>
                <m:r>
                  <m:rPr>
                    <m:sty m:val="p"/>
                  </m:rPr>
                  <w:rPr>
                    <w:rFonts w:ascii="Cambria Math" w:hAnsi="Cambria Math" w:cs="Calibri"/>
                  </w:rPr>
                  <m:t xml:space="preserve">= </m:t>
                </m:r>
                <m:nary>
                  <m:naryPr>
                    <m:chr m:val="∑"/>
                    <m:limLoc m:val="undOvr"/>
                    <m:supHide m:val="1"/>
                    <m:ctrlPr>
                      <w:rPr>
                        <w:rFonts w:ascii="Cambria Math" w:hAnsi="Cambria Math" w:cs="Calibri"/>
                        <w:iCs/>
                      </w:rPr>
                    </m:ctrlPr>
                  </m:naryPr>
                  <m:sub>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sub>
                  <m:sup/>
                  <m:e>
                    <m:r>
                      <m:rPr>
                        <m:sty m:val="p"/>
                      </m:rPr>
                      <w:rPr>
                        <w:rFonts w:ascii="Cambria Math" w:hAnsi="Cambria Math" w:cs="Calibri"/>
                      </w:rPr>
                      <m:t>A(</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e>
                </m:nary>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actuel</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m:oMathPara>
          </w:p>
        </w:tc>
        <w:tc>
          <w:tcPr>
            <w:tcW w:w="418" w:type="dxa"/>
            <w:vAlign w:val="center"/>
          </w:tcPr>
          <w:p w14:paraId="33E2CE5F" w14:textId="77777777" w:rsidR="006E08A0" w:rsidRDefault="006E08A0" w:rsidP="005F19A0">
            <w:pPr>
              <w:jc w:val="center"/>
            </w:pPr>
            <w:r>
              <w:t>(2)</w:t>
            </w:r>
          </w:p>
        </w:tc>
      </w:tr>
    </w:tbl>
    <w:p w14:paraId="58EF1AEB" w14:textId="77777777" w:rsidR="006E08A0" w:rsidRPr="0051081A" w:rsidRDefault="006E08A0" w:rsidP="006E08A0">
      <w:pPr>
        <w:rPr>
          <w:rFonts w:cs="Calibri"/>
          <w:sz w:val="20"/>
          <w:szCs w:val="20"/>
        </w:rPr>
      </w:pPr>
      <w:r w:rsidRPr="0051081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51081A" w14:paraId="5B84CAF1" w14:textId="77777777" w:rsidTr="005F19A0">
        <w:trPr>
          <w:trHeight w:val="427"/>
        </w:trPr>
        <w:tc>
          <w:tcPr>
            <w:tcW w:w="2193" w:type="dxa"/>
          </w:tcPr>
          <w:p w14:paraId="67E89F88"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actuel</m:t>
                    </m:r>
                  </m:sub>
                </m:sSub>
              </m:oMath>
            </m:oMathPara>
          </w:p>
        </w:tc>
        <w:tc>
          <w:tcPr>
            <w:tcW w:w="6879" w:type="dxa"/>
          </w:tcPr>
          <w:p w14:paraId="623D0F67"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capital sol actuel (score · m²) ;</w:t>
            </w:r>
          </w:p>
        </w:tc>
      </w:tr>
      <w:tr w:rsidR="006E08A0" w:rsidRPr="0051081A" w14:paraId="1BABE0A2" w14:textId="77777777" w:rsidTr="005F19A0">
        <w:trPr>
          <w:trHeight w:val="227"/>
        </w:trPr>
        <w:tc>
          <w:tcPr>
            <w:tcW w:w="2193" w:type="dxa"/>
          </w:tcPr>
          <w:p w14:paraId="106A684E" w14:textId="77777777" w:rsidR="006E08A0" w:rsidRPr="0051081A" w:rsidRDefault="006E08A0" w:rsidP="005F19A0">
            <w:pPr>
              <w:jc w:val="left"/>
              <w:rPr>
                <w:rFonts w:cs="Calibri"/>
                <w:iCs/>
                <w:sz w:val="20"/>
                <w:szCs w:val="20"/>
              </w:rPr>
            </w:pPr>
            <m:oMathPara>
              <m:oMathParaPr>
                <m:jc m:val="left"/>
              </m:oMathParaPr>
              <m:oMath>
                <m:r>
                  <m:rPr>
                    <m:sty m:val="p"/>
                  </m:rPr>
                  <w:rPr>
                    <w:rFonts w:ascii="Cambria Math" w:hAnsi="Cambria Math" w:cs="Calibri"/>
                    <w:sz w:val="20"/>
                    <w:szCs w:val="20"/>
                  </w:rPr>
                  <m:t>A(</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5D302943" w14:textId="77777777" w:rsidR="006E08A0" w:rsidRPr="0051081A" w:rsidRDefault="006E08A0" w:rsidP="005F19A0">
            <w:pPr>
              <w:jc w:val="left"/>
              <w:rPr>
                <w:rFonts w:cs="Calibri"/>
                <w:iCs/>
                <w:sz w:val="20"/>
                <w:szCs w:val="20"/>
              </w:rPr>
            </w:pPr>
            <w:r w:rsidRPr="0051081A">
              <w:rPr>
                <w:rFonts w:eastAsiaTheme="minorEastAsia" w:cs="Calibri"/>
                <w:iCs/>
                <w:sz w:val="20"/>
                <w:szCs w:val="20"/>
              </w:rPr>
              <w:t>L’aire totale concernée par l’aménagement p au sein de la zone homogène z (m²) ;</w:t>
            </w:r>
          </w:p>
        </w:tc>
      </w:tr>
      <w:tr w:rsidR="006E08A0" w:rsidRPr="0051081A" w14:paraId="16EC28F8" w14:textId="77777777" w:rsidTr="005F19A0">
        <w:trPr>
          <w:trHeight w:val="227"/>
        </w:trPr>
        <w:tc>
          <w:tcPr>
            <w:tcW w:w="2193" w:type="dxa"/>
          </w:tcPr>
          <w:p w14:paraId="2BD572E8"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actuel</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36A5EFC5"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score actuel de qualité du sol de la zone z</w:t>
            </w:r>
            <w:r w:rsidRPr="0051081A">
              <w:rPr>
                <w:rFonts w:eastAsiaTheme="minorEastAsia" w:cs="Calibri"/>
                <w:iCs/>
                <w:sz w:val="20"/>
                <w:szCs w:val="20"/>
                <w:vertAlign w:val="subscript"/>
              </w:rPr>
              <w:t xml:space="preserve">p </w:t>
            </w:r>
            <w:r w:rsidRPr="0051081A">
              <w:rPr>
                <w:rFonts w:eastAsiaTheme="minorEastAsia" w:cs="Calibri"/>
                <w:iCs/>
                <w:sz w:val="20"/>
                <w:szCs w:val="20"/>
              </w:rPr>
              <w:t>(score [0 ;5]).</w:t>
            </w:r>
          </w:p>
        </w:tc>
      </w:tr>
    </w:tbl>
    <w:p w14:paraId="7CEC61BF" w14:textId="77777777" w:rsidR="006E08A0" w:rsidRPr="00BA6ABC" w:rsidRDefault="006E08A0" w:rsidP="006E08A0"/>
    <w:p w14:paraId="136ECA4F" w14:textId="77777777" w:rsidR="006E08A0" w:rsidRDefault="006E08A0">
      <w:pPr>
        <w:pStyle w:val="Titre3"/>
        <w:numPr>
          <w:ilvl w:val="2"/>
          <w:numId w:val="12"/>
        </w:numPr>
      </w:pPr>
      <w:bookmarkStart w:id="184" w:name="_Ref233369460"/>
      <w:bookmarkStart w:id="185" w:name="_Toc233387908"/>
      <w:bookmarkStart w:id="186" w:name="_Toc241478142"/>
      <w:r w:rsidRPr="00907882">
        <w:t xml:space="preserve">Évaluation du capital sol </w:t>
      </w:r>
      <w:r>
        <w:t>projeté</w:t>
      </w:r>
      <w:r w:rsidRPr="00907882">
        <w:t xml:space="preserve"> (p</w:t>
      </w:r>
      <w:r>
        <w:t>ost</w:t>
      </w:r>
      <w:r w:rsidRPr="00907882">
        <w:t>-projet)</w:t>
      </w:r>
      <w:bookmarkEnd w:id="184"/>
      <w:bookmarkEnd w:id="185"/>
      <w:bookmarkEnd w:id="186"/>
    </w:p>
    <w:p w14:paraId="1C53FE29" w14:textId="77777777" w:rsidR="006E08A0" w:rsidRPr="007D2DC4" w:rsidRDefault="006E08A0" w:rsidP="006E08A0">
      <w:r>
        <w:t>De la même manière que le capital sol actuel, le capital sol projeté peut s’évaluer en sommant le capital sol projeté de chacune des zones z</w:t>
      </w:r>
      <w:r w:rsidRPr="00DF135A">
        <w:rPr>
          <w:vertAlign w:val="subscript"/>
        </w:rPr>
        <w:t>p</w:t>
      </w:r>
      <w:r>
        <w:t xml:space="preserve"> (éq. 3).</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14:paraId="50F63124" w14:textId="77777777" w:rsidTr="005F19A0">
        <w:trPr>
          <w:trHeight w:val="647"/>
        </w:trPr>
        <w:tc>
          <w:tcPr>
            <w:tcW w:w="8642" w:type="dxa"/>
            <w:vAlign w:val="center"/>
          </w:tcPr>
          <w:p w14:paraId="5D4A2CFB" w14:textId="77777777" w:rsidR="006E08A0" w:rsidRPr="00A94A93" w:rsidRDefault="006E08A0" w:rsidP="005F19A0">
            <w:pPr>
              <w:pStyle w:val="Paragraphedeliste"/>
              <w:jc w:val="center"/>
              <w:rPr>
                <w:rFonts w:cs="Calibri"/>
                <w:iCs/>
              </w:rPr>
            </w:pPr>
            <m:oMathPara>
              <m:oMath>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projeté</m:t>
                    </m:r>
                  </m:sub>
                </m:sSub>
                <m:r>
                  <m:rPr>
                    <m:sty m:val="p"/>
                  </m:rPr>
                  <w:rPr>
                    <w:rFonts w:ascii="Cambria Math" w:hAnsi="Cambria Math" w:cs="Calibri"/>
                  </w:rPr>
                  <m:t xml:space="preserve">= </m:t>
                </m:r>
                <m:nary>
                  <m:naryPr>
                    <m:chr m:val="∑"/>
                    <m:limLoc m:val="undOvr"/>
                    <m:supHide m:val="1"/>
                    <m:ctrlPr>
                      <w:rPr>
                        <w:rFonts w:ascii="Cambria Math" w:hAnsi="Cambria Math" w:cs="Calibri"/>
                        <w:iCs/>
                      </w:rPr>
                    </m:ctrlPr>
                  </m:naryPr>
                  <m:sub>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sub>
                  <m:sup/>
                  <m:e>
                    <m:r>
                      <m:rPr>
                        <m:sty m:val="p"/>
                      </m:rPr>
                      <w:rPr>
                        <w:rFonts w:ascii="Cambria Math" w:hAnsi="Cambria Math" w:cs="Calibri"/>
                      </w:rPr>
                      <m:t>A(</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e>
                </m:nary>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m:oMathPara>
          </w:p>
        </w:tc>
        <w:tc>
          <w:tcPr>
            <w:tcW w:w="418" w:type="dxa"/>
            <w:vAlign w:val="center"/>
          </w:tcPr>
          <w:p w14:paraId="01AC7AF8" w14:textId="77777777" w:rsidR="006E08A0" w:rsidRDefault="006E08A0" w:rsidP="005F19A0">
            <w:pPr>
              <w:jc w:val="center"/>
            </w:pPr>
            <w:r>
              <w:t>(3)</w:t>
            </w:r>
          </w:p>
        </w:tc>
      </w:tr>
    </w:tbl>
    <w:p w14:paraId="0FC82300" w14:textId="77777777" w:rsidR="006E08A0" w:rsidRPr="0051081A" w:rsidRDefault="006E08A0" w:rsidP="006E08A0">
      <w:pPr>
        <w:rPr>
          <w:rFonts w:cs="Calibri"/>
          <w:sz w:val="20"/>
          <w:szCs w:val="20"/>
        </w:rPr>
      </w:pPr>
      <w:r w:rsidRPr="0051081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51081A" w14:paraId="7B578A13" w14:textId="77777777" w:rsidTr="005F19A0">
        <w:trPr>
          <w:trHeight w:val="519"/>
        </w:trPr>
        <w:tc>
          <w:tcPr>
            <w:tcW w:w="2193" w:type="dxa"/>
          </w:tcPr>
          <w:p w14:paraId="0BF37738"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projeté</m:t>
                    </m:r>
                  </m:sub>
                </m:sSub>
              </m:oMath>
            </m:oMathPara>
          </w:p>
        </w:tc>
        <w:tc>
          <w:tcPr>
            <w:tcW w:w="6879" w:type="dxa"/>
          </w:tcPr>
          <w:p w14:paraId="16314602"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capital sol projeté (score · m²) ;</w:t>
            </w:r>
          </w:p>
        </w:tc>
      </w:tr>
      <w:tr w:rsidR="006E08A0" w:rsidRPr="0051081A" w14:paraId="1CC14DCA" w14:textId="77777777" w:rsidTr="005F19A0">
        <w:trPr>
          <w:trHeight w:val="227"/>
        </w:trPr>
        <w:tc>
          <w:tcPr>
            <w:tcW w:w="2193" w:type="dxa"/>
          </w:tcPr>
          <w:p w14:paraId="6858E273" w14:textId="77777777" w:rsidR="006E08A0" w:rsidRPr="0051081A" w:rsidRDefault="006E08A0" w:rsidP="005F19A0">
            <w:pPr>
              <w:jc w:val="left"/>
              <w:rPr>
                <w:rFonts w:cs="Calibri"/>
                <w:iCs/>
                <w:sz w:val="20"/>
                <w:szCs w:val="20"/>
              </w:rPr>
            </w:pPr>
            <m:oMathPara>
              <m:oMathParaPr>
                <m:jc m:val="left"/>
              </m:oMathParaPr>
              <m:oMath>
                <m:r>
                  <m:rPr>
                    <m:sty m:val="p"/>
                  </m:rPr>
                  <w:rPr>
                    <w:rFonts w:ascii="Cambria Math" w:hAnsi="Cambria Math" w:cs="Calibri"/>
                    <w:sz w:val="20"/>
                    <w:szCs w:val="20"/>
                  </w:rPr>
                  <m:t>A(</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34F4572E" w14:textId="77777777" w:rsidR="006E08A0" w:rsidRPr="0051081A" w:rsidRDefault="006E08A0" w:rsidP="005F19A0">
            <w:pPr>
              <w:jc w:val="left"/>
              <w:rPr>
                <w:rFonts w:cs="Calibri"/>
                <w:iCs/>
                <w:sz w:val="20"/>
                <w:szCs w:val="20"/>
              </w:rPr>
            </w:pPr>
            <w:r w:rsidRPr="0051081A">
              <w:rPr>
                <w:rFonts w:eastAsiaTheme="minorEastAsia" w:cs="Calibri"/>
                <w:iCs/>
                <w:sz w:val="20"/>
                <w:szCs w:val="20"/>
              </w:rPr>
              <w:t>L’aire totale de la zone concernée par l’aménagement p au sein de la zone homogène z (m²) ;</w:t>
            </w:r>
          </w:p>
        </w:tc>
      </w:tr>
      <w:tr w:rsidR="006E08A0" w:rsidRPr="0051081A" w14:paraId="5953F385" w14:textId="77777777" w:rsidTr="005F19A0">
        <w:trPr>
          <w:trHeight w:val="227"/>
        </w:trPr>
        <w:tc>
          <w:tcPr>
            <w:tcW w:w="2193" w:type="dxa"/>
          </w:tcPr>
          <w:p w14:paraId="3ED1FC33"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projeté</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18C504C0"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score projeté de qualité du sol de la zone z</w:t>
            </w:r>
            <w:r w:rsidRPr="0051081A">
              <w:rPr>
                <w:rFonts w:eastAsiaTheme="minorEastAsia" w:cs="Calibri"/>
                <w:iCs/>
                <w:sz w:val="20"/>
                <w:szCs w:val="20"/>
                <w:vertAlign w:val="subscript"/>
              </w:rPr>
              <w:t xml:space="preserve">p </w:t>
            </w:r>
            <w:r w:rsidRPr="0051081A">
              <w:rPr>
                <w:rFonts w:eastAsiaTheme="minorEastAsia" w:cs="Calibri"/>
                <w:iCs/>
                <w:sz w:val="20"/>
                <w:szCs w:val="20"/>
              </w:rPr>
              <w:t>(score [0 ;5]).</w:t>
            </w:r>
          </w:p>
        </w:tc>
      </w:tr>
    </w:tbl>
    <w:p w14:paraId="04B210E2" w14:textId="77777777" w:rsidR="006E08A0" w:rsidRPr="00DF135A" w:rsidRDefault="006E08A0" w:rsidP="006E08A0">
      <w:pPr>
        <w:rPr>
          <w:rFonts w:eastAsiaTheme="majorEastAsia" w:cstheme="majorBidi"/>
          <w:color w:val="9BA823"/>
          <w:sz w:val="32"/>
          <w:szCs w:val="32"/>
        </w:rPr>
      </w:pPr>
    </w:p>
    <w:p w14:paraId="3E3E603B" w14:textId="77777777" w:rsidR="006E08A0" w:rsidRPr="00D925F7" w:rsidRDefault="006E08A0" w:rsidP="006E08A0">
      <w:r>
        <w:t xml:space="preserve">Le score de qualité du sol projeté </w:t>
      </w:r>
      <m:oMath>
        <m:sSub>
          <m:sSubPr>
            <m:ctrlPr>
              <w:rPr>
                <w:rFonts w:ascii="Cambria Math" w:hAnsi="Cambria Math" w:cs="Calibri"/>
                <w:iCs/>
              </w:rPr>
            </m:ctrlPr>
          </m:sSubPr>
          <m:e>
            <m:r>
              <m:rPr>
                <m:sty m:val="p"/>
              </m:rPr>
              <w:rPr>
                <w:rFonts w:ascii="Cambria Math" w:hAnsi="Cambria Math" w:cs="Calibri"/>
              </w:rPr>
              <m:t>S</m:t>
            </m:r>
          </m:e>
          <m:sub>
            <m:r>
              <m:rPr>
                <m:sty m:val="p"/>
              </m:rPr>
              <w:rPr>
                <w:rFonts w:ascii="Cambria Math" w:hAnsi="Cambria Math" w:cs="Calibri"/>
              </w:rPr>
              <m:t>IQSW 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w:r>
        <w:t>, par définition, ne peut pas être calculé sur base de mesures directes. Celui-ci doit donc être estimé sur base (1) d’hypothèses de degrés de dégradation, dans le cas d’une perte de services écosystémiques, ou sur base (2) d’objectifs d’amélioration, dans le cas d’un gain de services.</w:t>
      </w:r>
    </w:p>
    <w:p w14:paraId="79FE7EC3" w14:textId="77777777" w:rsidR="006E08A0" w:rsidRDefault="006E08A0">
      <w:pPr>
        <w:pStyle w:val="Titre3"/>
        <w:numPr>
          <w:ilvl w:val="2"/>
          <w:numId w:val="12"/>
        </w:numPr>
      </w:pPr>
      <w:bookmarkStart w:id="187" w:name="_Toc233387909"/>
      <w:bookmarkStart w:id="188" w:name="_Toc241478143"/>
      <w:r>
        <w:t>Perte de services écosystémiques</w:t>
      </w:r>
      <w:bookmarkEnd w:id="187"/>
      <w:bookmarkEnd w:id="188"/>
    </w:p>
    <w:p w14:paraId="3351FC0C" w14:textId="77777777" w:rsidR="006E08A0" w:rsidRPr="00A81101" w:rsidRDefault="006E08A0">
      <w:pPr>
        <w:pStyle w:val="Titre4"/>
        <w:numPr>
          <w:ilvl w:val="3"/>
          <w:numId w:val="12"/>
        </w:numPr>
      </w:pPr>
      <w:r w:rsidRPr="00A81101">
        <w:t>Imperméabilisation</w:t>
      </w:r>
    </w:p>
    <w:p w14:paraId="6B3F1FEA" w14:textId="77777777" w:rsidR="006E08A0" w:rsidRPr="007D2DC4" w:rsidRDefault="006E08A0" w:rsidP="006E08A0">
      <w:r>
        <w:t>Le scénario classique de perte de services écosystémiques est l’imperméabilisation d’une zone, ou l’excavation du sol. Dans ce cas, on considère une perte sèche de service par rapport à la situation existante. Le score projeté de qualité du sol se calcule comme suit (éq. 4).</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14:paraId="6CF35CEF" w14:textId="77777777" w:rsidTr="005F19A0">
        <w:trPr>
          <w:trHeight w:val="647"/>
        </w:trPr>
        <w:tc>
          <w:tcPr>
            <w:tcW w:w="8642" w:type="dxa"/>
            <w:vAlign w:val="center"/>
          </w:tcPr>
          <w:p w14:paraId="6FB83FC1" w14:textId="77777777" w:rsidR="006E08A0" w:rsidRPr="00A94A93" w:rsidRDefault="006E08A0" w:rsidP="005F19A0">
            <w:pPr>
              <w:pStyle w:val="Paragraphedeliste"/>
              <w:jc w:val="center"/>
              <w:rPr>
                <w:rFonts w:cs="Calibri"/>
                <w:iCs/>
              </w:rPr>
            </w:pPr>
            <m:oMathPara>
              <m:oMath>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actuel</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)∙(1- </m:t>
                </m:r>
                <m:sSub>
                  <m:sSubPr>
                    <m:ctrlPr>
                      <w:rPr>
                        <w:rFonts w:ascii="Cambria Math" w:hAnsi="Cambria Math" w:cs="Calibri"/>
                        <w:iCs/>
                      </w:rPr>
                    </m:ctrlPr>
                  </m:sSubPr>
                  <m:e>
                    <m:r>
                      <m:rPr>
                        <m:sty m:val="p"/>
                      </m:rPr>
                      <w:rPr>
                        <w:rFonts w:ascii="Cambria Math" w:hAnsi="Cambria Math" w:cs="Calibri"/>
                      </w:rPr>
                      <m:t>C</m:t>
                    </m:r>
                  </m:e>
                  <m:sub>
                    <m:r>
                      <m:rPr>
                        <m:sty m:val="p"/>
                      </m:rPr>
                      <w:rPr>
                        <w:rFonts w:ascii="Cambria Math" w:hAnsi="Cambria Math" w:cs="Calibri"/>
                      </w:rPr>
                      <m:t>i</m:t>
                    </m:r>
                  </m:sub>
                </m:sSub>
                <m:r>
                  <m:rPr>
                    <m:sty m:val="p"/>
                  </m:rPr>
                  <w:rPr>
                    <w:rFonts w:ascii="Cambria Math" w:hAnsi="Cambria Math" w:cs="Calibri"/>
                  </w:rPr>
                  <m:t>)</m:t>
                </m:r>
              </m:oMath>
            </m:oMathPara>
          </w:p>
        </w:tc>
        <w:tc>
          <w:tcPr>
            <w:tcW w:w="418" w:type="dxa"/>
            <w:vAlign w:val="center"/>
          </w:tcPr>
          <w:p w14:paraId="0A72B0C0" w14:textId="77777777" w:rsidR="006E08A0" w:rsidRDefault="006E08A0" w:rsidP="005F19A0">
            <w:pPr>
              <w:jc w:val="center"/>
            </w:pPr>
            <w:r>
              <w:t>(4)</w:t>
            </w:r>
          </w:p>
        </w:tc>
      </w:tr>
    </w:tbl>
    <w:p w14:paraId="4F413CF3" w14:textId="77777777" w:rsidR="006E08A0" w:rsidRPr="0051081A" w:rsidRDefault="006E08A0" w:rsidP="006E08A0">
      <w:pPr>
        <w:rPr>
          <w:rFonts w:cs="Calibri"/>
          <w:sz w:val="20"/>
          <w:szCs w:val="20"/>
        </w:rPr>
      </w:pPr>
      <w:r w:rsidRPr="0051081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51081A" w14:paraId="54266851" w14:textId="77777777" w:rsidTr="005F19A0">
        <w:trPr>
          <w:trHeight w:val="519"/>
        </w:trPr>
        <w:tc>
          <w:tcPr>
            <w:tcW w:w="2193" w:type="dxa"/>
          </w:tcPr>
          <w:p w14:paraId="14CC277F"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projeté</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7713F838"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score projeté de qualité du sol de la zone z</w:t>
            </w:r>
            <w:r w:rsidRPr="0051081A">
              <w:rPr>
                <w:rFonts w:eastAsiaTheme="minorEastAsia" w:cs="Calibri"/>
                <w:iCs/>
                <w:sz w:val="20"/>
                <w:szCs w:val="20"/>
                <w:vertAlign w:val="subscript"/>
              </w:rPr>
              <w:t xml:space="preserve">p </w:t>
            </w:r>
            <w:r w:rsidRPr="0051081A">
              <w:rPr>
                <w:rFonts w:eastAsiaTheme="minorEastAsia" w:cs="Calibri"/>
                <w:iCs/>
                <w:sz w:val="20"/>
                <w:szCs w:val="20"/>
              </w:rPr>
              <w:t>(score [0 ;5]) ;</w:t>
            </w:r>
          </w:p>
        </w:tc>
      </w:tr>
      <w:tr w:rsidR="006E08A0" w:rsidRPr="0051081A" w14:paraId="3768DD7B" w14:textId="77777777" w:rsidTr="005F19A0">
        <w:trPr>
          <w:trHeight w:val="227"/>
        </w:trPr>
        <w:tc>
          <w:tcPr>
            <w:tcW w:w="2193" w:type="dxa"/>
          </w:tcPr>
          <w:p w14:paraId="607CBB86" w14:textId="77777777" w:rsidR="006E08A0" w:rsidRPr="0051081A" w:rsidRDefault="00AA1F57" w:rsidP="005F19A0">
            <w:pPr>
              <w:jc w:val="left"/>
              <w:rPr>
                <w:rFont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actuel</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2C32E430" w14:textId="77777777" w:rsidR="006E08A0" w:rsidRPr="0051081A" w:rsidRDefault="006E08A0" w:rsidP="005F19A0">
            <w:pPr>
              <w:jc w:val="left"/>
              <w:rPr>
                <w:rFonts w:cs="Calibri"/>
                <w:iCs/>
                <w:sz w:val="20"/>
                <w:szCs w:val="20"/>
              </w:rPr>
            </w:pPr>
            <w:r w:rsidRPr="0051081A">
              <w:rPr>
                <w:rFonts w:eastAsiaTheme="minorEastAsia" w:cs="Calibri"/>
                <w:iCs/>
                <w:sz w:val="20"/>
                <w:szCs w:val="20"/>
              </w:rPr>
              <w:t>Le score actuel de qualité du sol de la zone z</w:t>
            </w:r>
            <w:r w:rsidRPr="0051081A">
              <w:rPr>
                <w:rFonts w:eastAsiaTheme="minorEastAsia" w:cs="Calibri"/>
                <w:iCs/>
                <w:sz w:val="20"/>
                <w:szCs w:val="20"/>
                <w:vertAlign w:val="subscript"/>
              </w:rPr>
              <w:t xml:space="preserve">p </w:t>
            </w:r>
            <w:r w:rsidRPr="0051081A">
              <w:rPr>
                <w:rFonts w:eastAsiaTheme="minorEastAsia" w:cs="Calibri"/>
                <w:iCs/>
                <w:sz w:val="20"/>
                <w:szCs w:val="20"/>
              </w:rPr>
              <w:t>(score [0 ;5]) ;</w:t>
            </w:r>
          </w:p>
        </w:tc>
      </w:tr>
      <w:tr w:rsidR="006E08A0" w:rsidRPr="0051081A" w14:paraId="66068B1E" w14:textId="77777777" w:rsidTr="005F19A0">
        <w:trPr>
          <w:trHeight w:val="227"/>
        </w:trPr>
        <w:tc>
          <w:tcPr>
            <w:tcW w:w="2193" w:type="dxa"/>
          </w:tcPr>
          <w:p w14:paraId="4D057B91"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i</m:t>
                    </m:r>
                  </m:sub>
                </m:sSub>
              </m:oMath>
            </m:oMathPara>
          </w:p>
        </w:tc>
        <w:tc>
          <w:tcPr>
            <w:tcW w:w="6879" w:type="dxa"/>
          </w:tcPr>
          <w:p w14:paraId="6662593E" w14:textId="77777777" w:rsidR="006E08A0" w:rsidRPr="0051081A" w:rsidRDefault="006E08A0" w:rsidP="005F19A0">
            <w:pPr>
              <w:jc w:val="left"/>
              <w:rPr>
                <w:rFonts w:eastAsiaTheme="minorEastAsia" w:cs="Calibri"/>
                <w:iCs/>
                <w:sz w:val="20"/>
                <w:szCs w:val="20"/>
              </w:rPr>
            </w:pPr>
            <w:r w:rsidRPr="0051081A">
              <w:rPr>
                <w:rFonts w:eastAsiaTheme="minorEastAsia" w:cs="Calibri"/>
                <w:sz w:val="20"/>
                <w:szCs w:val="20"/>
              </w:rPr>
              <w:t>Le coefficient d’impact, estimé en fonction du type d’intervention [0 ;1]. Valeur de 1 par défaut dans le cas d’une imperméabilisation (-).</w:t>
            </w:r>
          </w:p>
        </w:tc>
      </w:tr>
    </w:tbl>
    <w:p w14:paraId="2413F7CF" w14:textId="77777777" w:rsidR="006E08A0" w:rsidRDefault="006E08A0" w:rsidP="006E08A0"/>
    <w:p w14:paraId="2D1687FB" w14:textId="77777777" w:rsidR="006E08A0" w:rsidRDefault="006E08A0">
      <w:pPr>
        <w:pStyle w:val="Titre4"/>
        <w:numPr>
          <w:ilvl w:val="3"/>
          <w:numId w:val="12"/>
        </w:numPr>
      </w:pPr>
      <w:r>
        <w:t>Dégradations liées au chantier</w:t>
      </w:r>
    </w:p>
    <w:p w14:paraId="546B8279" w14:textId="77777777" w:rsidR="006E08A0" w:rsidRDefault="006E08A0" w:rsidP="006E08A0">
      <w:r>
        <w:t>L’imperméabilisation et l’excavation ne sont pas les seules dégradations qui peuvent affecter le sol. En effet, un chantier mal géré peut entrainer des conséquences lourdes sur la qualité du sol, principalement à cause du tassement engendré par l’implantation des infrastructures de chantier, du charroi, du passage répété d’engins lourds et du stationnement de ceux-ci, du stockage de terres, etc.</w:t>
      </w:r>
    </w:p>
    <w:p w14:paraId="3B793114" w14:textId="36A38522" w:rsidR="006E08A0" w:rsidRDefault="006E08A0" w:rsidP="006E08A0">
      <w:r>
        <w:t xml:space="preserve">Une surface est considérée « perdue » lorsque la mise en œuvre du projet implique des atteintes au sol et donc son artificialisation. </w:t>
      </w:r>
      <w:r w:rsidRPr="00D9123A">
        <w:t>L'artificialisation est définie dans l'article 192 de la loi Climat et résilience</w:t>
      </w:r>
      <w:r>
        <w:t xml:space="preserve"> (FR)</w:t>
      </w:r>
      <w:r w:rsidRPr="00D9123A">
        <w:t xml:space="preserve"> comme "l'altération durable de tout ou partie des fonctions écologiques d'un sol, en particulier de ses fonctions biologiques, hydriques et climatiques, ainsi que de son potentiel agronomique par son occupation ou son usage"</w:t>
      </w:r>
      <w:r w:rsidRPr="00E26B8A">
        <w:rPr>
          <w:rStyle w:val="Appelnotedebasdep"/>
        </w:rPr>
        <w:footnoteReference w:id="13"/>
      </w:r>
      <w:r w:rsidRPr="00D9123A">
        <w:t>.</w:t>
      </w:r>
      <w:r>
        <w:t xml:space="preserve"> La compaction liée au chantier peut donc être considérée comme un certain degré d’artificialisation. Ainsi, pour quantifier l’impact d’un chantier sur une zone donnée, on peut envisager de calculer un capital sol en considérant un coefficient d’impact moindre que la valeur utilisée pour l’imperméabilisation (C</w:t>
      </w:r>
      <w:r>
        <w:rPr>
          <w:vertAlign w:val="subscript"/>
        </w:rPr>
        <w:t>i</w:t>
      </w:r>
      <w:r>
        <w:t xml:space="preserve"> = 1). Par exemple, dans le Land allemand de Hesse, un outil permettant de chiffrer les compensations de la dégradation du sol sur les fonctions (voir partie </w:t>
      </w:r>
      <w:r>
        <w:fldChar w:fldCharType="begin"/>
      </w:r>
      <w:r>
        <w:instrText xml:space="preserve"> REF _Ref232541945 \r \h </w:instrText>
      </w:r>
      <w:r>
        <w:fldChar w:fldCharType="separate"/>
      </w:r>
      <w:r w:rsidR="001A7BE1">
        <w:t>5.3.1</w:t>
      </w:r>
      <w:r>
        <w:fldChar w:fldCharType="end"/>
      </w:r>
      <w:r>
        <w:t xml:space="preserve">) prend également en compte les dégradations liées à un chantier, entrainent une diminution systématique du score pour chacune des fonctions calculées de 25 % si le sol est affecté par </w:t>
      </w:r>
      <w:r>
        <w:lastRenderedPageBreak/>
        <w:t xml:space="preserve">les travaux </w:t>
      </w:r>
      <w:r>
        <w:fldChar w:fldCharType="begin"/>
      </w:r>
      <w:r w:rsidR="00432908">
        <w:instrText xml:space="preserve"> ADDIN ZOTERO_ITEM CSL_CITATION {"citationID":"NSuVe3wU","properties":{"formattedCitation":"(Miller et al., 2023)","plainCitation":"(Miller et al., 2023)","noteIndex":0},"citationItems":[{"id":613,"uris":["http://zotero.org/groups/5684833/items/PJE26W7V"],"itemData":{"id":613,"type":"book","ISBN":"978-3-89531-619-7","publisher":"Umwelt und Geologie Böden und Bodenschutz in Hessen, Heft 16","title":"Kompensation des Schutzguts Boden in Planungs- und Genehmigungsverfahren - Arbeitshilfe zur Ermittlung des Kompensationsbedarfs für das Schutzgut Boden in Hessen und Rheinland-Pfalz","URL":"https://www.hlnug.de/themen/boden/vorsorge/bodenschutz-in-der-planung/kompensation-schutzgut-boden","author":[{"family":"Miller","given":"Ricarda"},{"family":"Busch","given":"Johanna"},{"family":"Friedrich","given":"Klaus"},{"family":"Fritzsch","given":"Dagmar"},{"family":"Goldschmitt","given":"Michael"},{"family":"Handke","given":"Kevin"},{"family":"Pflanz","given":"Dorthe"},{"family":"Sauer","given":"Stephan"},{"family":"Vorderbrügge","given":"Thomas"}],"accessed":{"date-parts":[["2026",6,17]]},"issued":{"date-parts":[["2023"]]}}}],"schema":"https://github.com/citation-style-language/schema/raw/master/csl-citation.json"} </w:instrText>
      </w:r>
      <w:r>
        <w:fldChar w:fldCharType="separate"/>
      </w:r>
      <w:r w:rsidR="00432908" w:rsidRPr="00432908">
        <w:rPr>
          <w:rFonts w:cs="Calibri"/>
        </w:rPr>
        <w:t>(Miller et al., 2023)</w:t>
      </w:r>
      <w:r>
        <w:fldChar w:fldCharType="end"/>
      </w:r>
      <w:r>
        <w:t>. Cette pénalité se voit réduite à 10 % si des mesures de prévention sont adoptées.</w:t>
      </w:r>
    </w:p>
    <w:p w14:paraId="335C8CEE" w14:textId="77777777" w:rsidR="006E08A0" w:rsidRPr="00AF6CCB" w:rsidRDefault="006E08A0" w:rsidP="006E08A0">
      <w:r>
        <w:t>Ainsi, pour une zone impactée par un chantier, le coefficient d’impact C</w:t>
      </w:r>
      <w:r>
        <w:rPr>
          <w:vertAlign w:val="subscript"/>
        </w:rPr>
        <w:t>i</w:t>
      </w:r>
      <w:r>
        <w:t xml:space="preserve"> peut se voir attribuer une valeur sécuritaire par défaut de 0,25. Toutefois, si l’entrepreneur en charge des travaux parvient à démontrer que de bonnes pratiques ont été mises en œuvre durant le chantier, à travers un diagnostic post-chantier, le score projeté peut être ajusté sur base du score de qualité actuelle.</w:t>
      </w:r>
    </w:p>
    <w:p w14:paraId="009756F0" w14:textId="77777777" w:rsidR="006E08A0" w:rsidRDefault="006E08A0">
      <w:pPr>
        <w:pStyle w:val="Titre3"/>
        <w:numPr>
          <w:ilvl w:val="2"/>
          <w:numId w:val="12"/>
        </w:numPr>
      </w:pPr>
      <w:bookmarkStart w:id="189" w:name="_Toc233387910"/>
      <w:bookmarkStart w:id="190" w:name="_Toc241478144"/>
      <w:r>
        <w:t>Gain de services écosystémiques</w:t>
      </w:r>
      <w:bookmarkEnd w:id="189"/>
      <w:bookmarkEnd w:id="190"/>
    </w:p>
    <w:p w14:paraId="48EEEBCF" w14:textId="15953603" w:rsidR="006E08A0" w:rsidRDefault="006E08A0" w:rsidP="006E08A0">
      <w:r>
        <w:t>Divers scénarios de gains de services sont possibles. Le plus classique est la désimperméabilisation d’une zone, ou diverses mesures de gestion vertueuses (amendements organiques, amélioration de la structure du sol, chaulage etc.) qui permettent d’augmenter le niveau de remplissage des services écosystémiques d’un sol (et donc sa qualité). Dans ce cas, on connait uniquement la qualité potentielle du sol. En effet, si le sol est encapsulé par un revêtement au moment des investigations, seuls certains paramètres sont pertinents à mesurer (texture, charge volumique en éléments grossiers, profondeur du sol, et certaines analyses chimiques). Ce diagnostic de qualité potentielle permet déjà de statuer sur le niveau potentiel de réalisation des services écosystémiques auquel le sol pourra prétendre, suite à sa désimperméabilisation et moyennant une gestion adaptée.</w:t>
      </w:r>
    </w:p>
    <w:p w14:paraId="10D94E01" w14:textId="77777777" w:rsidR="006E08A0" w:rsidRPr="007D2DC4" w:rsidRDefault="006E08A0" w:rsidP="006E08A0">
      <w:r>
        <w:t xml:space="preserve">Pour estimer le score </w:t>
      </w:r>
      <m:oMath>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w:r>
        <w:rPr>
          <w:rFonts w:eastAsiaTheme="minorEastAsia"/>
          <w:iCs/>
        </w:rPr>
        <w:t>, un objectif en termes de proportion d’accomplissement de la qualité potentielle du sol peut être fixé</w:t>
      </w:r>
      <w:r>
        <w:t xml:space="preserve"> (par exemple, atteinte de 50 % de la qualité potentielle). Le score projeté de qualité du sol se calcule dès lors comme suit (éq. 5).</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14:paraId="23B54655" w14:textId="77777777" w:rsidTr="005F19A0">
        <w:trPr>
          <w:trHeight w:val="647"/>
        </w:trPr>
        <w:tc>
          <w:tcPr>
            <w:tcW w:w="8642" w:type="dxa"/>
            <w:vAlign w:val="center"/>
          </w:tcPr>
          <w:p w14:paraId="7B922738" w14:textId="77777777" w:rsidR="006E08A0" w:rsidRPr="00602F3B" w:rsidRDefault="006E08A0" w:rsidP="005F19A0">
            <w:pPr>
              <w:pStyle w:val="Paragraphedeliste"/>
              <w:jc w:val="center"/>
              <w:rPr>
                <w:rFonts w:cs="Calibri"/>
              </w:rPr>
            </w:pPr>
            <m:oMathPara>
              <m:oMath>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IQSW</m:t>
                    </m:r>
                  </m:e>
                  <m:sub>
                    <m:r>
                      <m:rPr>
                        <m:sty m:val="p"/>
                      </m:rPr>
                      <w:rPr>
                        <w:rFonts w:ascii="Cambria Math" w:hAnsi="Cambria Math" w:cs="Calibri"/>
                      </w:rPr>
                      <m:t>potentiel</m:t>
                    </m:r>
                  </m:sub>
                </m:sSub>
                <m:d>
                  <m:dPr>
                    <m:ctrlPr>
                      <w:rPr>
                        <w:rFonts w:ascii="Cambria Math" w:hAnsi="Cambria Math" w:cs="Calibri"/>
                      </w:rPr>
                    </m:ctrlPr>
                  </m:dPr>
                  <m:e>
                    <m:sSub>
                      <m:sSubPr>
                        <m:ctrlPr>
                          <w:rPr>
                            <w:rFonts w:ascii="Cambria Math" w:hAnsi="Cambria Math" w:cs="Calibri"/>
                          </w:rPr>
                        </m:ctrlPr>
                      </m:sSubPr>
                      <m:e>
                        <m:r>
                          <m:rPr>
                            <m:sty m:val="p"/>
                          </m:rPr>
                          <w:rPr>
                            <w:rFonts w:ascii="Cambria Math" w:hAnsi="Cambria Math" w:cs="Calibri"/>
                          </w:rPr>
                          <m:t>z</m:t>
                        </m:r>
                      </m:e>
                      <m:sub>
                        <m:r>
                          <m:rPr>
                            <m:sty m:val="p"/>
                          </m:rPr>
                          <w:rPr>
                            <w:rFonts w:ascii="Cambria Math" w:hAnsi="Cambria Math" w:cs="Calibri"/>
                          </w:rPr>
                          <m:t>p</m:t>
                        </m:r>
                      </m:sub>
                    </m:sSub>
                  </m:e>
                </m:d>
                <m:r>
                  <m:rPr>
                    <m:sty m:val="p"/>
                  </m:rPr>
                  <w:rPr>
                    <w:rFonts w:ascii="Cambria Math" w:hAnsi="Cambria Math" w:cs="Calibri"/>
                  </w:rPr>
                  <m:t>∙</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p</m:t>
                    </m:r>
                  </m:sub>
                </m:sSub>
              </m:oMath>
            </m:oMathPara>
          </w:p>
        </w:tc>
        <w:tc>
          <w:tcPr>
            <w:tcW w:w="418" w:type="dxa"/>
            <w:vAlign w:val="center"/>
          </w:tcPr>
          <w:p w14:paraId="30F78BA7" w14:textId="77777777" w:rsidR="006E08A0" w:rsidRDefault="006E08A0" w:rsidP="005F19A0">
            <w:pPr>
              <w:jc w:val="center"/>
            </w:pPr>
            <w:r>
              <w:t>(5)</w:t>
            </w:r>
          </w:p>
        </w:tc>
      </w:tr>
    </w:tbl>
    <w:p w14:paraId="7C57FB59" w14:textId="77777777" w:rsidR="006E08A0" w:rsidRPr="0051081A" w:rsidRDefault="006E08A0" w:rsidP="006E08A0">
      <w:pPr>
        <w:rPr>
          <w:rFonts w:cs="Calibri"/>
          <w:sz w:val="20"/>
          <w:szCs w:val="20"/>
        </w:rPr>
      </w:pPr>
      <w:r w:rsidRPr="0051081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51081A" w14:paraId="6EFCC9B7" w14:textId="77777777" w:rsidTr="0051081A">
        <w:trPr>
          <w:trHeight w:val="418"/>
        </w:trPr>
        <w:tc>
          <w:tcPr>
            <w:tcW w:w="2193" w:type="dxa"/>
          </w:tcPr>
          <w:p w14:paraId="565288AE"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projeté</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7" w:type="dxa"/>
          </w:tcPr>
          <w:p w14:paraId="37526516"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score projeté de qualité du sol de la zone z</w:t>
            </w:r>
            <w:r w:rsidRPr="0051081A">
              <w:rPr>
                <w:rFonts w:eastAsiaTheme="minorEastAsia" w:cs="Calibri"/>
                <w:iCs/>
                <w:sz w:val="20"/>
                <w:szCs w:val="20"/>
                <w:vertAlign w:val="subscript"/>
              </w:rPr>
              <w:t xml:space="preserve">p </w:t>
            </w:r>
            <w:r w:rsidRPr="0051081A">
              <w:rPr>
                <w:rFonts w:eastAsiaTheme="minorEastAsia" w:cs="Calibri"/>
                <w:iCs/>
                <w:sz w:val="20"/>
                <w:szCs w:val="20"/>
              </w:rPr>
              <w:t>(score [0 ;5]) ;</w:t>
            </w:r>
          </w:p>
        </w:tc>
      </w:tr>
      <w:tr w:rsidR="006E08A0" w:rsidRPr="0051081A" w14:paraId="555AE239" w14:textId="77777777" w:rsidTr="005F19A0">
        <w:trPr>
          <w:trHeight w:val="227"/>
        </w:trPr>
        <w:tc>
          <w:tcPr>
            <w:tcW w:w="2193" w:type="dxa"/>
          </w:tcPr>
          <w:p w14:paraId="72D371AE" w14:textId="77777777" w:rsidR="006E08A0" w:rsidRPr="0051081A" w:rsidRDefault="00AA1F57" w:rsidP="005F19A0">
            <w:pPr>
              <w:jc w:val="left"/>
              <w:rPr>
                <w:rFont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potentiel</m:t>
                    </m:r>
                  </m:sub>
                </m:sSub>
                <m:d>
                  <m:dPr>
                    <m:ctrlPr>
                      <w:rPr>
                        <w:rFonts w:ascii="Cambria Math" w:hAnsi="Cambria Math" w:cs="Calibri"/>
                        <w:iCs/>
                        <w:sz w:val="20"/>
                        <w:szCs w:val="20"/>
                      </w:rPr>
                    </m:ctrlPr>
                  </m:dPr>
                  <m:e>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e>
                </m:d>
              </m:oMath>
            </m:oMathPara>
          </w:p>
        </w:tc>
        <w:tc>
          <w:tcPr>
            <w:tcW w:w="6877" w:type="dxa"/>
          </w:tcPr>
          <w:p w14:paraId="34BD1852" w14:textId="77777777" w:rsidR="006E08A0" w:rsidRPr="0051081A" w:rsidRDefault="006E08A0" w:rsidP="005F19A0">
            <w:pPr>
              <w:jc w:val="left"/>
              <w:rPr>
                <w:rFonts w:cs="Calibri"/>
                <w:iCs/>
                <w:sz w:val="20"/>
                <w:szCs w:val="20"/>
              </w:rPr>
            </w:pPr>
            <w:r w:rsidRPr="0051081A">
              <w:rPr>
                <w:rFonts w:eastAsiaTheme="minorEastAsia" w:cs="Calibri"/>
                <w:iCs/>
                <w:sz w:val="20"/>
                <w:szCs w:val="20"/>
              </w:rPr>
              <w:t>Le score de qualité potentielle du sol de la zone z</w:t>
            </w:r>
            <w:r w:rsidRPr="0051081A">
              <w:rPr>
                <w:rFonts w:eastAsiaTheme="minorEastAsia" w:cs="Calibri"/>
                <w:iCs/>
                <w:sz w:val="20"/>
                <w:szCs w:val="20"/>
                <w:vertAlign w:val="subscript"/>
              </w:rPr>
              <w:t xml:space="preserve">p </w:t>
            </w:r>
            <w:r w:rsidRPr="0051081A">
              <w:rPr>
                <w:rFonts w:eastAsiaTheme="minorEastAsia" w:cs="Calibri"/>
                <w:iCs/>
                <w:sz w:val="20"/>
                <w:szCs w:val="20"/>
              </w:rPr>
              <w:t>(score [0 ;5]) ;</w:t>
            </w:r>
          </w:p>
        </w:tc>
      </w:tr>
      <w:tr w:rsidR="006E08A0" w:rsidRPr="0051081A" w14:paraId="3077DF97" w14:textId="77777777" w:rsidTr="005F19A0">
        <w:trPr>
          <w:trHeight w:val="503"/>
        </w:trPr>
        <w:tc>
          <w:tcPr>
            <w:tcW w:w="2193" w:type="dxa"/>
          </w:tcPr>
          <w:p w14:paraId="1AA575C8" w14:textId="77777777" w:rsidR="006E08A0" w:rsidRPr="0051081A" w:rsidRDefault="00AA1F57" w:rsidP="005F19A0">
            <w:pPr>
              <w:jc w:val="left"/>
              <w:rPr>
                <w:rFonts w:eastAsia="Aptos"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O</m:t>
                    </m:r>
                  </m:e>
                  <m:sub>
                    <m:r>
                      <m:rPr>
                        <m:sty m:val="p"/>
                      </m:rPr>
                      <w:rPr>
                        <w:rFonts w:ascii="Cambria Math" w:hAnsi="Cambria Math" w:cs="Calibri"/>
                        <w:sz w:val="20"/>
                        <w:szCs w:val="20"/>
                      </w:rPr>
                      <m:t>p</m:t>
                    </m:r>
                  </m:sub>
                </m:sSub>
              </m:oMath>
            </m:oMathPara>
          </w:p>
        </w:tc>
        <w:tc>
          <w:tcPr>
            <w:tcW w:w="6877" w:type="dxa"/>
          </w:tcPr>
          <w:p w14:paraId="58A441A9" w14:textId="77777777" w:rsidR="006E08A0" w:rsidRPr="0051081A" w:rsidRDefault="006E08A0" w:rsidP="005F19A0">
            <w:pPr>
              <w:jc w:val="left"/>
              <w:rPr>
                <w:rFonts w:eastAsiaTheme="minorEastAsia" w:cs="Calibri"/>
                <w:iCs/>
                <w:sz w:val="20"/>
                <w:szCs w:val="20"/>
              </w:rPr>
            </w:pPr>
            <w:r w:rsidRPr="0051081A">
              <w:rPr>
                <w:rFonts w:eastAsiaTheme="minorEastAsia" w:cs="Calibri"/>
                <w:sz w:val="20"/>
                <w:szCs w:val="20"/>
              </w:rPr>
              <w:t>L’objectif de projet, soit l’objectif visé en termes de proportion d’atteinte du potentiel [0 ;1] (-).</w:t>
            </w:r>
          </w:p>
        </w:tc>
      </w:tr>
    </w:tbl>
    <w:p w14:paraId="586707A5" w14:textId="77777777" w:rsidR="0051081A" w:rsidRDefault="0051081A" w:rsidP="006E08A0"/>
    <w:p w14:paraId="01C96C9D" w14:textId="65AA7C14" w:rsidR="006E08A0" w:rsidRDefault="006E08A0" w:rsidP="006E08A0">
      <w:r>
        <w:t>L’objectif de projet peut intervenir à deux niveaux :</w:t>
      </w:r>
    </w:p>
    <w:p w14:paraId="275884D3" w14:textId="77777777" w:rsidR="006E08A0" w:rsidRDefault="006E08A0">
      <w:pPr>
        <w:pStyle w:val="Paragraphedeliste"/>
        <w:numPr>
          <w:ilvl w:val="0"/>
          <w:numId w:val="32"/>
        </w:numPr>
      </w:pPr>
      <w:r>
        <w:t>Soit en balisant un objectif en termes de niveau de remplissage du potentiel, par exemple, viser des scores de services écosystémiques correspondant à minimum 50 % du potentiel du sol ;</w:t>
      </w:r>
    </w:p>
    <w:p w14:paraId="09EC5891" w14:textId="77777777" w:rsidR="006E08A0" w:rsidRDefault="006E08A0">
      <w:pPr>
        <w:pStyle w:val="Paragraphedeliste"/>
        <w:numPr>
          <w:ilvl w:val="0"/>
          <w:numId w:val="32"/>
        </w:numPr>
      </w:pPr>
      <w:r>
        <w:t>Soit en calculant les scores de qualité potentielle, en intégrant le jeu de paramètres partiel effectivement mesurés (qui bornent le potentiel), et sur base de valeurs optimales simulées attribuées aux variables dynamiques. Cela revient à fixer des valeurs cibles en termes de carbone organique, densité apparente etc. Dans ce cas, seules les fonctions qui sont directement impactées par le paramètre dans la méthode de calcul IQSW-pro seront effectivement améliorées dans la simulation.</w:t>
      </w:r>
    </w:p>
    <w:p w14:paraId="4B0E68D9" w14:textId="77777777" w:rsidR="006E08A0" w:rsidRDefault="006E08A0" w:rsidP="006E08A0">
      <w:r>
        <w:t xml:space="preserve">L’option 2 est plus pragmatique, car permettant de directement calculer l’indice pour pouvoir mettre en perspective les actions avec le véritable levier d’action sur les fonctions. En effet, si on décide de </w:t>
      </w:r>
      <w:r>
        <w:lastRenderedPageBreak/>
        <w:t xml:space="preserve">doubler la quantité de carbone, mais que toutes les fonctions dans lesquelles le carbone intervient sont déjà bornées à 5/5, l’amélioration ne se traduira pas nécessairement en une meilleure capacité effective à remplir des services (selon l’IQSW). Cette option est toutefois très difficile à gérer, en raison de l’existence de corrélations entre certaines variables : par exemple, la conductivité hydraulique à saturation (Ksat) dépend fortement de la qualité de la structure du sol. Toutefois, pour éviter les colinéarités, la structure du sol n’est pas incluse dans le calcul du service </w:t>
      </w:r>
      <w:r w:rsidRPr="00A63B42">
        <w:rPr>
          <w:i/>
          <w:iCs/>
        </w:rPr>
        <w:t>Infiltration</w:t>
      </w:r>
      <w:r>
        <w:t xml:space="preserve">. Les effets positifs d’une amélioration de la structure, bien qu’améliorant en pratique l’infiltration, ne se traduiraient donc pas en pratique par une amélioration du score du service </w:t>
      </w:r>
      <w:r w:rsidRPr="00A63B42">
        <w:rPr>
          <w:i/>
          <w:iCs/>
        </w:rPr>
        <w:t>Infiltration</w:t>
      </w:r>
      <w:r>
        <w:t>.</w:t>
      </w:r>
    </w:p>
    <w:p w14:paraId="02D93330" w14:textId="713187C6" w:rsidR="006E08A0" w:rsidRPr="007D2DC4" w:rsidRDefault="006E08A0" w:rsidP="006E08A0">
      <w:r>
        <w:t>Les scénarios d’excavation-remplacement et de remblaiement constituent un dernier cas concret dans lesquels l’évaluation de l’impact peut être effectué. Cette fois, le capital sol projeté peut s’évaluer sur base de la qualité potentielle des terres importées, estimée à partir de la mesure de quelques paramètres de contexte sur les terres avant remblaiement</w:t>
      </w:r>
      <w:r w:rsidR="00EE44A4">
        <w:t xml:space="preserve">. </w:t>
      </w:r>
      <w:r>
        <w:t xml:space="preserve">Le score </w:t>
      </w:r>
      <m:oMath>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w:r>
        <w:rPr>
          <w:rFonts w:eastAsiaTheme="minorEastAsia"/>
          <w:iCs/>
        </w:rPr>
        <w:t xml:space="preserve"> dans la zone concernée par le remblaiement peut dès lors s’évaluer comme suit (éq. 6).</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14:paraId="212DC5D4" w14:textId="77777777" w:rsidTr="005F19A0">
        <w:trPr>
          <w:trHeight w:val="647"/>
        </w:trPr>
        <w:tc>
          <w:tcPr>
            <w:tcW w:w="8642" w:type="dxa"/>
            <w:vAlign w:val="center"/>
          </w:tcPr>
          <w:p w14:paraId="618D708F" w14:textId="77777777" w:rsidR="006E08A0" w:rsidRPr="00D7535B" w:rsidRDefault="00AA1F57" w:rsidP="005F19A0">
            <w:pPr>
              <w:pStyle w:val="Paragraphedeliste"/>
              <w:jc w:val="center"/>
              <w:rPr>
                <w:rFonts w:cs="Calibri"/>
                <w:iCs/>
              </w:rPr>
            </w:pPr>
            <m:oMathPara>
              <m:oMath>
                <m:sSub>
                  <m:sSubPr>
                    <m:ctrlPr>
                      <w:rPr>
                        <w:rFonts w:ascii="Cambria Math" w:hAnsi="Cambria Math" w:cs="Calibri"/>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IQSW</m:t>
                    </m:r>
                  </m:e>
                  <m:sub>
                    <m:r>
                      <m:rPr>
                        <m:sty m:val="p"/>
                      </m:rPr>
                      <w:rPr>
                        <w:rFonts w:ascii="Cambria Math" w:hAnsi="Cambria Math" w:cs="Calibri"/>
                      </w:rPr>
                      <m:t>potentiel</m:t>
                    </m:r>
                  </m:sub>
                </m:sSub>
                <m:d>
                  <m:dPr>
                    <m:ctrlPr>
                      <w:rPr>
                        <w:rFonts w:ascii="Cambria Math" w:hAnsi="Cambria Math" w:cs="Calibri"/>
                      </w:rPr>
                    </m:ctrlPr>
                  </m:dPr>
                  <m:e>
                    <m:sSub>
                      <m:sSubPr>
                        <m:ctrlPr>
                          <w:rPr>
                            <w:rFonts w:ascii="Cambria Math" w:hAnsi="Cambria Math" w:cs="Calibri"/>
                          </w:rPr>
                        </m:ctrlPr>
                      </m:sSubPr>
                      <m:e>
                        <m:r>
                          <m:rPr>
                            <m:sty m:val="p"/>
                          </m:rPr>
                          <w:rPr>
                            <w:rFonts w:ascii="Cambria Math" w:hAnsi="Cambria Math" w:cs="Calibri"/>
                          </w:rPr>
                          <m:t>z</m:t>
                        </m:r>
                      </m:e>
                      <m:sub>
                        <m:r>
                          <m:rPr>
                            <m:sty m:val="p"/>
                          </m:rPr>
                          <w:rPr>
                            <w:rFonts w:ascii="Cambria Math" w:hAnsi="Cambria Math" w:cs="Calibri"/>
                          </w:rPr>
                          <m:t>p</m:t>
                        </m:r>
                      </m:sub>
                    </m:sSub>
                  </m:e>
                </m:d>
                <m:r>
                  <m:rPr>
                    <m:sty m:val="p"/>
                  </m:rPr>
                  <w:rPr>
                    <w:rFonts w:ascii="Cambria Math" w:hAnsi="Cambria Math" w:cs="Calibri"/>
                  </w:rPr>
                  <m:t>∙</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p</m:t>
                    </m:r>
                  </m:sub>
                </m:sSub>
              </m:oMath>
            </m:oMathPara>
          </w:p>
        </w:tc>
        <w:tc>
          <w:tcPr>
            <w:tcW w:w="418" w:type="dxa"/>
            <w:vAlign w:val="center"/>
          </w:tcPr>
          <w:p w14:paraId="0A23F9AB" w14:textId="77777777" w:rsidR="006E08A0" w:rsidRDefault="006E08A0" w:rsidP="005F19A0">
            <w:pPr>
              <w:jc w:val="center"/>
            </w:pPr>
            <w:r>
              <w:t>(6)</w:t>
            </w:r>
          </w:p>
        </w:tc>
      </w:tr>
    </w:tbl>
    <w:p w14:paraId="740B0C09" w14:textId="77777777" w:rsidR="006E08A0" w:rsidRPr="0051081A" w:rsidRDefault="006E08A0" w:rsidP="006E08A0">
      <w:pPr>
        <w:rPr>
          <w:rFonts w:cs="Calibri"/>
          <w:sz w:val="20"/>
          <w:szCs w:val="20"/>
        </w:rPr>
      </w:pPr>
      <w:r w:rsidRPr="0051081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51081A" w14:paraId="64CB81F4" w14:textId="77777777" w:rsidTr="005F19A0">
        <w:trPr>
          <w:trHeight w:val="427"/>
        </w:trPr>
        <w:tc>
          <w:tcPr>
            <w:tcW w:w="2193" w:type="dxa"/>
          </w:tcPr>
          <w:p w14:paraId="66D9B40C"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projeté</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7" w:type="dxa"/>
          </w:tcPr>
          <w:p w14:paraId="48DD1716"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score projeté de qualité du sol de la zone z</w:t>
            </w:r>
            <w:r w:rsidRPr="0051081A">
              <w:rPr>
                <w:rFonts w:eastAsiaTheme="minorEastAsia" w:cs="Calibri"/>
                <w:iCs/>
                <w:sz w:val="20"/>
                <w:szCs w:val="20"/>
                <w:vertAlign w:val="subscript"/>
              </w:rPr>
              <w:t xml:space="preserve">p </w:t>
            </w:r>
            <w:r w:rsidRPr="0051081A">
              <w:rPr>
                <w:rFonts w:eastAsiaTheme="minorEastAsia" w:cs="Calibri"/>
                <w:iCs/>
                <w:sz w:val="20"/>
                <w:szCs w:val="20"/>
              </w:rPr>
              <w:t>(score [0 ;5]) ;</w:t>
            </w:r>
          </w:p>
        </w:tc>
      </w:tr>
      <w:tr w:rsidR="006E08A0" w:rsidRPr="0051081A" w14:paraId="27D4DACE" w14:textId="77777777" w:rsidTr="005F19A0">
        <w:trPr>
          <w:trHeight w:val="227"/>
        </w:trPr>
        <w:tc>
          <w:tcPr>
            <w:tcW w:w="2193" w:type="dxa"/>
          </w:tcPr>
          <w:p w14:paraId="6E455B1C" w14:textId="77777777" w:rsidR="006E08A0" w:rsidRPr="0051081A" w:rsidRDefault="00AA1F57" w:rsidP="005F19A0">
            <w:pPr>
              <w:jc w:val="left"/>
              <w:rPr>
                <w:rFont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potentiel</m:t>
                    </m:r>
                  </m:sub>
                </m:sSub>
                <m:d>
                  <m:dPr>
                    <m:ctrlPr>
                      <w:rPr>
                        <w:rFonts w:ascii="Cambria Math" w:hAnsi="Cambria Math" w:cs="Calibri"/>
                        <w:iCs/>
                        <w:sz w:val="20"/>
                        <w:szCs w:val="20"/>
                      </w:rPr>
                    </m:ctrlPr>
                  </m:dPr>
                  <m:e>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e>
                </m:d>
              </m:oMath>
            </m:oMathPara>
          </w:p>
        </w:tc>
        <w:tc>
          <w:tcPr>
            <w:tcW w:w="6877" w:type="dxa"/>
          </w:tcPr>
          <w:p w14:paraId="75C52978" w14:textId="77777777" w:rsidR="006E08A0" w:rsidRPr="0051081A" w:rsidRDefault="006E08A0" w:rsidP="005F19A0">
            <w:pPr>
              <w:jc w:val="left"/>
              <w:rPr>
                <w:rFonts w:cs="Calibri"/>
                <w:iCs/>
                <w:sz w:val="20"/>
                <w:szCs w:val="20"/>
              </w:rPr>
            </w:pPr>
            <w:r w:rsidRPr="0051081A">
              <w:rPr>
                <w:rFonts w:eastAsiaTheme="minorEastAsia" w:cs="Calibri"/>
                <w:iCs/>
                <w:sz w:val="20"/>
                <w:szCs w:val="20"/>
              </w:rPr>
              <w:t xml:space="preserve">Le score de qualité potentielle du sol </w:t>
            </w:r>
            <w:r w:rsidRPr="0051081A">
              <w:rPr>
                <w:rFonts w:eastAsiaTheme="minorEastAsia" w:cs="Calibri"/>
                <w:iCs/>
                <w:sz w:val="20"/>
                <w:szCs w:val="20"/>
                <w:u w:val="single"/>
              </w:rPr>
              <w:t>voué à remblayer</w:t>
            </w:r>
            <w:r w:rsidRPr="0051081A">
              <w:rPr>
                <w:rFonts w:eastAsiaTheme="minorEastAsia" w:cs="Calibri"/>
                <w:iCs/>
                <w:sz w:val="20"/>
                <w:szCs w:val="20"/>
              </w:rPr>
              <w:t xml:space="preserve"> la zone z</w:t>
            </w:r>
            <w:r w:rsidRPr="0051081A">
              <w:rPr>
                <w:rFonts w:eastAsiaTheme="minorEastAsia" w:cs="Calibri"/>
                <w:iCs/>
                <w:sz w:val="20"/>
                <w:szCs w:val="20"/>
                <w:vertAlign w:val="subscript"/>
              </w:rPr>
              <w:t xml:space="preserve">p </w:t>
            </w:r>
            <w:r w:rsidRPr="0051081A">
              <w:rPr>
                <w:rFonts w:eastAsiaTheme="minorEastAsia" w:cs="Calibri"/>
                <w:iCs/>
                <w:sz w:val="20"/>
                <w:szCs w:val="20"/>
              </w:rPr>
              <w:t>(score [0 ;5]) ;</w:t>
            </w:r>
          </w:p>
        </w:tc>
      </w:tr>
      <w:tr w:rsidR="006E08A0" w:rsidRPr="0051081A" w14:paraId="2B865941" w14:textId="77777777" w:rsidTr="005F19A0">
        <w:trPr>
          <w:trHeight w:val="472"/>
        </w:trPr>
        <w:tc>
          <w:tcPr>
            <w:tcW w:w="2193" w:type="dxa"/>
          </w:tcPr>
          <w:p w14:paraId="2BDACE34"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O</m:t>
                    </m:r>
                  </m:e>
                  <m:sub>
                    <m:r>
                      <m:rPr>
                        <m:sty m:val="p"/>
                      </m:rPr>
                      <w:rPr>
                        <w:rFonts w:ascii="Cambria Math" w:hAnsi="Cambria Math" w:cs="Calibri"/>
                        <w:sz w:val="20"/>
                        <w:szCs w:val="20"/>
                      </w:rPr>
                      <m:t>p</m:t>
                    </m:r>
                  </m:sub>
                </m:sSub>
              </m:oMath>
            </m:oMathPara>
          </w:p>
        </w:tc>
        <w:tc>
          <w:tcPr>
            <w:tcW w:w="6877" w:type="dxa"/>
          </w:tcPr>
          <w:p w14:paraId="042571AB" w14:textId="77777777" w:rsidR="006E08A0" w:rsidRPr="0051081A" w:rsidRDefault="006E08A0" w:rsidP="005F19A0">
            <w:pPr>
              <w:jc w:val="left"/>
              <w:rPr>
                <w:rFonts w:eastAsiaTheme="minorEastAsia" w:cs="Calibri"/>
                <w:iCs/>
                <w:sz w:val="20"/>
                <w:szCs w:val="20"/>
              </w:rPr>
            </w:pPr>
            <w:r w:rsidRPr="0051081A">
              <w:rPr>
                <w:rFonts w:eastAsiaTheme="minorEastAsia" w:cs="Calibri"/>
                <w:sz w:val="20"/>
                <w:szCs w:val="20"/>
              </w:rPr>
              <w:t>L’objectif de projet, soit l’objectif visé en termes de proportion d’atteinte du potentiel [0 ;1] (-).</w:t>
            </w:r>
          </w:p>
        </w:tc>
      </w:tr>
    </w:tbl>
    <w:p w14:paraId="5C1AEBED" w14:textId="77777777" w:rsidR="006E08A0" w:rsidRDefault="006E08A0" w:rsidP="006E08A0"/>
    <w:p w14:paraId="0FD9D0B9" w14:textId="77777777" w:rsidR="006E08A0" w:rsidRDefault="006E08A0">
      <w:pPr>
        <w:pStyle w:val="Titre3"/>
        <w:numPr>
          <w:ilvl w:val="2"/>
          <w:numId w:val="12"/>
        </w:numPr>
      </w:pPr>
      <w:bookmarkStart w:id="191" w:name="_Toc233387911"/>
      <w:bookmarkStart w:id="192" w:name="_Toc241478145"/>
      <w:r>
        <w:t>Interprétation</w:t>
      </w:r>
      <w:bookmarkEnd w:id="191"/>
      <w:bookmarkEnd w:id="192"/>
    </w:p>
    <w:p w14:paraId="3228F2B8" w14:textId="77777777" w:rsidR="006E08A0" w:rsidRDefault="006E08A0">
      <w:pPr>
        <w:pStyle w:val="Titre4"/>
        <w:numPr>
          <w:ilvl w:val="3"/>
          <w:numId w:val="12"/>
        </w:numPr>
      </w:pPr>
      <w:bookmarkStart w:id="193" w:name="_Ref233368237"/>
      <w:r>
        <w:t>Échelles d’évaluation</w:t>
      </w:r>
      <w:bookmarkEnd w:id="193"/>
    </w:p>
    <w:p w14:paraId="67F44872" w14:textId="7555DDC1" w:rsidR="006E08A0" w:rsidRDefault="006E08A0" w:rsidP="006E08A0">
      <w:r>
        <w:t>Le bilan en termes de capital sol peut s’exprimer à diverses échelles. Le niveau le plus agrégé est réalisé à l’échelle du site entier, et sur l’indice global de qualité agrégé (IQSW). Toutefois, il est possible d’évaluer l’impact d’un projet vis-à-vis de chaque service écosystémique repris dans la liste présentée en partie</w:t>
      </w:r>
      <w:r w:rsidR="00D25F9D">
        <w:t xml:space="preserve"> </w:t>
      </w:r>
      <w:r w:rsidR="002C09F5">
        <w:fldChar w:fldCharType="begin"/>
      </w:r>
      <w:r w:rsidR="002C09F5">
        <w:instrText xml:space="preserve"> REF _Ref241229554 \r \h </w:instrText>
      </w:r>
      <w:r w:rsidR="002C09F5">
        <w:fldChar w:fldCharType="separate"/>
      </w:r>
      <w:r w:rsidR="001A7BE1">
        <w:t>4.2</w:t>
      </w:r>
      <w:r w:rsidR="002C09F5">
        <w:fldChar w:fldCharType="end"/>
      </w:r>
      <w:r>
        <w:t>, à l’échelle de la zone z</w:t>
      </w:r>
      <w:r>
        <w:rPr>
          <w:vertAlign w:val="subscript"/>
        </w:rPr>
        <w:t>p</w:t>
      </w:r>
      <w:r>
        <w:t>. Ce niveau détaillé permet à l’expert de pouvoir identifier l’impact du projet sur un service écosystémique précis, et éventuellement jauger l’importance des services pour l’usage futur indépendamment de la pondération proposée par l’indice. Le capital sol par service écosystémique, à l’échelle d’une zone, peut s’évaluer via l’équation 7.</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14:paraId="75451E7D" w14:textId="77777777" w:rsidTr="005F19A0">
        <w:trPr>
          <w:trHeight w:val="647"/>
        </w:trPr>
        <w:tc>
          <w:tcPr>
            <w:tcW w:w="8642" w:type="dxa"/>
            <w:vAlign w:val="center"/>
          </w:tcPr>
          <w:p w14:paraId="218C21D2" w14:textId="77777777" w:rsidR="006E08A0" w:rsidRPr="00D7535B" w:rsidRDefault="00AA1F57" w:rsidP="005F19A0">
            <w:pPr>
              <w:pStyle w:val="Paragraphedeliste"/>
              <w:jc w:val="center"/>
              <w:rPr>
                <w:rFonts w:cs="Calibri"/>
                <w:iCs/>
              </w:rPr>
            </w:pPr>
            <m:oMathPara>
              <m:oMath>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SE</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)=A(</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S</m:t>
                    </m:r>
                  </m:e>
                  <m:sub>
                    <m:r>
                      <m:rPr>
                        <m:sty m:val="p"/>
                      </m:rPr>
                      <w:rPr>
                        <w:rFonts w:ascii="Cambria Math" w:hAnsi="Cambria Math" w:cs="Calibri"/>
                      </w:rPr>
                      <m:t>SE</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m:oMathPara>
          </w:p>
        </w:tc>
        <w:tc>
          <w:tcPr>
            <w:tcW w:w="418" w:type="dxa"/>
            <w:vAlign w:val="center"/>
          </w:tcPr>
          <w:p w14:paraId="17FA380E" w14:textId="77777777" w:rsidR="006E08A0" w:rsidRDefault="006E08A0" w:rsidP="005F19A0">
            <w:pPr>
              <w:jc w:val="center"/>
            </w:pPr>
            <w:r>
              <w:t>(7)</w:t>
            </w:r>
          </w:p>
        </w:tc>
      </w:tr>
    </w:tbl>
    <w:p w14:paraId="77AFA475" w14:textId="77777777" w:rsidR="006E08A0" w:rsidRPr="0051081A" w:rsidRDefault="006E08A0" w:rsidP="006E08A0">
      <w:pPr>
        <w:rPr>
          <w:rFonts w:cs="Calibri"/>
          <w:sz w:val="20"/>
          <w:szCs w:val="20"/>
        </w:rPr>
      </w:pPr>
      <w:r w:rsidRPr="0051081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51081A" w14:paraId="5EE23D22" w14:textId="77777777" w:rsidTr="005F19A0">
        <w:trPr>
          <w:trHeight w:val="427"/>
        </w:trPr>
        <w:tc>
          <w:tcPr>
            <w:tcW w:w="2193" w:type="dxa"/>
          </w:tcPr>
          <w:p w14:paraId="284510DF"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SE</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7CA4F1EE"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capital sol pour le service écosystémique SE, à l’échelle de la zone z</w:t>
            </w:r>
            <w:r w:rsidRPr="0051081A">
              <w:rPr>
                <w:rFonts w:eastAsiaTheme="minorEastAsia" w:cs="Calibri"/>
                <w:iCs/>
                <w:sz w:val="20"/>
                <w:szCs w:val="20"/>
                <w:vertAlign w:val="subscript"/>
              </w:rPr>
              <w:t>p</w:t>
            </w:r>
            <w:r w:rsidRPr="0051081A">
              <w:rPr>
                <w:rFonts w:eastAsiaTheme="minorEastAsia" w:cs="Calibri"/>
                <w:iCs/>
                <w:sz w:val="20"/>
                <w:szCs w:val="20"/>
              </w:rPr>
              <w:t xml:space="preserve"> (score · m²) ;</w:t>
            </w:r>
          </w:p>
        </w:tc>
      </w:tr>
      <w:tr w:rsidR="006E08A0" w:rsidRPr="0051081A" w14:paraId="35F600B9" w14:textId="77777777" w:rsidTr="005F19A0">
        <w:trPr>
          <w:trHeight w:val="227"/>
        </w:trPr>
        <w:tc>
          <w:tcPr>
            <w:tcW w:w="2193" w:type="dxa"/>
          </w:tcPr>
          <w:p w14:paraId="28501CFE" w14:textId="77777777" w:rsidR="006E08A0" w:rsidRPr="0051081A" w:rsidRDefault="006E08A0" w:rsidP="005F19A0">
            <w:pPr>
              <w:jc w:val="left"/>
              <w:rPr>
                <w:rFonts w:cs="Calibri"/>
                <w:iCs/>
                <w:sz w:val="20"/>
                <w:szCs w:val="20"/>
              </w:rPr>
            </w:pPr>
            <m:oMathPara>
              <m:oMathParaPr>
                <m:jc m:val="left"/>
              </m:oMathParaPr>
              <m:oMath>
                <m:r>
                  <m:rPr>
                    <m:sty m:val="p"/>
                  </m:rPr>
                  <w:rPr>
                    <w:rFonts w:ascii="Cambria Math" w:hAnsi="Cambria Math" w:cs="Calibri"/>
                    <w:sz w:val="20"/>
                    <w:szCs w:val="20"/>
                  </w:rPr>
                  <m:t>A(</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2474F55F" w14:textId="77777777" w:rsidR="006E08A0" w:rsidRPr="0051081A" w:rsidRDefault="006E08A0" w:rsidP="005F19A0">
            <w:pPr>
              <w:jc w:val="left"/>
              <w:rPr>
                <w:rFonts w:cs="Calibri"/>
                <w:iCs/>
                <w:sz w:val="20"/>
                <w:szCs w:val="20"/>
              </w:rPr>
            </w:pPr>
            <w:r w:rsidRPr="0051081A">
              <w:rPr>
                <w:rFonts w:eastAsiaTheme="minorEastAsia" w:cs="Calibri"/>
                <w:iCs/>
                <w:sz w:val="20"/>
                <w:szCs w:val="20"/>
              </w:rPr>
              <w:t>La superficie de la zone z</w:t>
            </w:r>
            <w:r w:rsidRPr="0051081A">
              <w:rPr>
                <w:rFonts w:eastAsiaTheme="minorEastAsia" w:cs="Calibri"/>
                <w:iCs/>
                <w:sz w:val="20"/>
                <w:szCs w:val="20"/>
                <w:vertAlign w:val="subscript"/>
              </w:rPr>
              <w:t>p</w:t>
            </w:r>
            <w:r w:rsidRPr="0051081A">
              <w:rPr>
                <w:rFonts w:eastAsiaTheme="minorEastAsia" w:cs="Calibri"/>
                <w:iCs/>
                <w:sz w:val="20"/>
                <w:szCs w:val="20"/>
              </w:rPr>
              <w:t xml:space="preserve"> (m²) ;</w:t>
            </w:r>
          </w:p>
        </w:tc>
      </w:tr>
      <w:tr w:rsidR="006E08A0" w:rsidRPr="0051081A" w14:paraId="39616320" w14:textId="77777777" w:rsidTr="005F19A0">
        <w:trPr>
          <w:trHeight w:val="472"/>
        </w:trPr>
        <w:tc>
          <w:tcPr>
            <w:tcW w:w="2193" w:type="dxa"/>
          </w:tcPr>
          <w:p w14:paraId="3986906D" w14:textId="77777777" w:rsidR="006E08A0" w:rsidRPr="0051081A" w:rsidRDefault="00AA1F57"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SE</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7A5F698E"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Le score de service écosystémique pour la zone z</w:t>
            </w:r>
            <w:r w:rsidRPr="0051081A">
              <w:rPr>
                <w:rFonts w:eastAsiaTheme="minorEastAsia" w:cs="Calibri"/>
                <w:iCs/>
                <w:sz w:val="20"/>
                <w:szCs w:val="20"/>
                <w:vertAlign w:val="subscript"/>
              </w:rPr>
              <w:t xml:space="preserve">p </w:t>
            </w:r>
            <w:r w:rsidRPr="0051081A">
              <w:rPr>
                <w:rFonts w:eastAsiaTheme="minorEastAsia" w:cs="Calibri"/>
                <w:iCs/>
                <w:sz w:val="20"/>
                <w:szCs w:val="20"/>
              </w:rPr>
              <w:t>(score [0 ;5]).</w:t>
            </w:r>
          </w:p>
        </w:tc>
      </w:tr>
    </w:tbl>
    <w:p w14:paraId="682483E3" w14:textId="77777777" w:rsidR="006E08A0" w:rsidRDefault="006E08A0" w:rsidP="006E08A0"/>
    <w:p w14:paraId="5BE47D52" w14:textId="77777777" w:rsidR="006E08A0" w:rsidRDefault="006E08A0">
      <w:pPr>
        <w:pStyle w:val="Titre4"/>
        <w:numPr>
          <w:ilvl w:val="3"/>
          <w:numId w:val="12"/>
        </w:numPr>
      </w:pPr>
      <w:r>
        <w:lastRenderedPageBreak/>
        <w:t>Normalisation en indice projet</w:t>
      </w:r>
    </w:p>
    <w:p w14:paraId="67A8952B" w14:textId="77777777" w:rsidR="006E08A0" w:rsidRDefault="006E08A0" w:rsidP="006E08A0">
      <w:r>
        <w:t xml:space="preserve">Le </w:t>
      </w:r>
      <m:oMath>
        <m:r>
          <m:rPr>
            <m:sty m:val="p"/>
          </m:rPr>
          <w:rPr>
            <w:rFonts w:ascii="Cambria Math" w:hAnsi="Cambria Math" w:cs="Calibri"/>
          </w:rPr>
          <m:t>∆Capital sol</m:t>
        </m:r>
      </m:oMath>
      <w:r>
        <w:rPr>
          <w:rFonts w:eastAsiaTheme="minorEastAsia"/>
        </w:rPr>
        <w:t xml:space="preserve"> permet d’obtenir une quantification absolue de l’impact d’un projet sur une zone donnée. Toutefois, il peut être intéressant, notamment </w:t>
      </w:r>
      <w:r>
        <w:t xml:space="preserve">pour comparer l’impact de divers projets d’envergures différentes, de calculer une quantification relative de l’impact d’un projet. C’est ce que permet de faire l’indice projet </w:t>
      </w:r>
      <m:oMath>
        <m:r>
          <m:rPr>
            <m:sty m:val="p"/>
          </m:rPr>
          <w:rPr>
            <w:rFonts w:ascii="Cambria Math" w:hAnsi="Cambria Math" w:cs="Calibri"/>
          </w:rPr>
          <m:t>IP</m:t>
        </m:r>
      </m:oMath>
      <w:r>
        <w:rPr>
          <w:rFonts w:eastAsiaTheme="minorEastAsia"/>
        </w:rPr>
        <w:t xml:space="preserve">, qui offre une objectivation relative des impacts en rapportant le </w:t>
      </w:r>
      <m:oMath>
        <m:r>
          <m:rPr>
            <m:sty m:val="p"/>
          </m:rPr>
          <w:rPr>
            <w:rFonts w:ascii="Cambria Math" w:hAnsi="Cambria Math" w:cs="Calibri"/>
          </w:rPr>
          <m:t xml:space="preserve">∆Capital sol </m:t>
        </m:r>
      </m:oMath>
      <w:r>
        <w:rPr>
          <w:rFonts w:eastAsiaTheme="minorEastAsia"/>
        </w:rPr>
        <w:t>de chaque zone à la superficie totale du site (éq. 8)</w:t>
      </w:r>
      <w: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14:paraId="770479DB" w14:textId="77777777" w:rsidTr="005F19A0">
        <w:trPr>
          <w:trHeight w:val="647"/>
        </w:trPr>
        <w:tc>
          <w:tcPr>
            <w:tcW w:w="8642" w:type="dxa"/>
            <w:vAlign w:val="center"/>
          </w:tcPr>
          <w:p w14:paraId="496F7F6B" w14:textId="77777777" w:rsidR="006E08A0" w:rsidRPr="00B9104B" w:rsidRDefault="006E08A0" w:rsidP="005F19A0">
            <w:pPr>
              <w:pStyle w:val="Paragraphedeliste"/>
              <w:jc w:val="center"/>
              <w:rPr>
                <w:rFonts w:cs="Calibri"/>
                <w:iCs/>
              </w:rPr>
            </w:pPr>
            <m:oMathPara>
              <m:oMath>
                <m:r>
                  <m:rPr>
                    <m:sty m:val="p"/>
                  </m:rPr>
                  <w:rPr>
                    <w:rFonts w:ascii="Cambria Math" w:hAnsi="Cambria Math" w:cs="Calibri"/>
                  </w:rPr>
                  <m:t xml:space="preserve">IP= </m:t>
                </m:r>
                <m:nary>
                  <m:naryPr>
                    <m:chr m:val="∑"/>
                    <m:limLoc m:val="undOvr"/>
                    <m:supHide m:val="1"/>
                    <m:ctrlPr>
                      <w:rPr>
                        <w:rFonts w:ascii="Cambria Math" w:hAnsi="Cambria Math" w:cs="Calibri"/>
                        <w:iCs/>
                      </w:rPr>
                    </m:ctrlPr>
                  </m:naryPr>
                  <m:sub>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sub>
                  <m:sup/>
                  <m:e>
                    <m:r>
                      <m:rPr>
                        <m:sty m:val="p"/>
                      </m:rPr>
                      <w:rPr>
                        <w:rFonts w:ascii="Cambria Math" w:hAnsi="Cambria Math" w:cs="Calibri"/>
                      </w:rPr>
                      <m:t>∆Capital sol</m:t>
                    </m:r>
                    <m:d>
                      <m:dPr>
                        <m:ctrlPr>
                          <w:rPr>
                            <w:rFonts w:ascii="Cambria Math" w:hAnsi="Cambria Math" w:cs="Calibri"/>
                          </w:rPr>
                        </m:ctrlPr>
                      </m:dPr>
                      <m:e>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e>
                    </m:d>
                    <m:r>
                      <w:rPr>
                        <w:rFonts w:ascii="Cambria Math" w:hAnsi="Cambria Math" w:cs="Calibri"/>
                      </w:rPr>
                      <m:t xml:space="preserve"> ∙ </m:t>
                    </m:r>
                    <m:f>
                      <m:fPr>
                        <m:ctrlPr>
                          <w:rPr>
                            <w:rFonts w:ascii="Cambria Math" w:hAnsi="Cambria Math" w:cs="Calibri"/>
                            <w:i/>
                          </w:rPr>
                        </m:ctrlPr>
                      </m:fPr>
                      <m:num>
                        <m:r>
                          <w:rPr>
                            <w:rFonts w:ascii="Cambria Math" w:hAnsi="Cambria Math" w:cs="Calibri"/>
                          </w:rPr>
                          <m:t>1</m:t>
                        </m:r>
                      </m:num>
                      <m:den>
                        <m:r>
                          <m:rPr>
                            <m:sty m:val="p"/>
                          </m:rPr>
                          <w:rPr>
                            <w:rFonts w:ascii="Cambria Math" w:hAnsi="Cambria Math" w:cs="Calibri"/>
                          </w:rPr>
                          <m:t>A(site)</m:t>
                        </m:r>
                      </m:den>
                    </m:f>
                  </m:e>
                </m:nary>
              </m:oMath>
            </m:oMathPara>
          </w:p>
        </w:tc>
        <w:tc>
          <w:tcPr>
            <w:tcW w:w="418" w:type="dxa"/>
            <w:vAlign w:val="center"/>
          </w:tcPr>
          <w:p w14:paraId="5577FBD2" w14:textId="77777777" w:rsidR="006E08A0" w:rsidRDefault="006E08A0" w:rsidP="005F19A0">
            <w:pPr>
              <w:jc w:val="center"/>
            </w:pPr>
            <w:r>
              <w:t>(8)</w:t>
            </w:r>
          </w:p>
        </w:tc>
      </w:tr>
    </w:tbl>
    <w:p w14:paraId="01C3CD35" w14:textId="77777777" w:rsidR="006E08A0" w:rsidRPr="0051081A" w:rsidRDefault="006E08A0" w:rsidP="006E08A0">
      <w:pPr>
        <w:rPr>
          <w:rFonts w:cs="Calibri"/>
          <w:sz w:val="20"/>
          <w:szCs w:val="20"/>
        </w:rPr>
      </w:pPr>
      <w:r w:rsidRPr="0051081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51081A" w14:paraId="52EAE7BD" w14:textId="77777777" w:rsidTr="005F19A0">
        <w:trPr>
          <w:trHeight w:val="427"/>
        </w:trPr>
        <w:tc>
          <w:tcPr>
            <w:tcW w:w="2193" w:type="dxa"/>
          </w:tcPr>
          <w:p w14:paraId="4FA42D77" w14:textId="77777777" w:rsidR="006E08A0" w:rsidRPr="0051081A" w:rsidRDefault="006E08A0" w:rsidP="005F19A0">
            <w:pPr>
              <w:jc w:val="left"/>
              <w:rPr>
                <w:rFonts w:eastAsia="Aptos" w:cs="Calibri"/>
                <w:iCs/>
                <w:sz w:val="20"/>
                <w:szCs w:val="20"/>
              </w:rPr>
            </w:pPr>
            <m:oMathPara>
              <m:oMathParaPr>
                <m:jc m:val="left"/>
              </m:oMathParaPr>
              <m:oMath>
                <m:r>
                  <m:rPr>
                    <m:sty m:val="p"/>
                  </m:rPr>
                  <w:rPr>
                    <w:rFonts w:ascii="Cambria Math" w:hAnsi="Cambria Math" w:cs="Calibri"/>
                    <w:sz w:val="20"/>
                    <w:szCs w:val="20"/>
                  </w:rPr>
                  <m:t>IP</m:t>
                </m:r>
              </m:oMath>
            </m:oMathPara>
          </w:p>
        </w:tc>
        <w:tc>
          <w:tcPr>
            <w:tcW w:w="6877" w:type="dxa"/>
          </w:tcPr>
          <w:p w14:paraId="68710572"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L’indice projet, caractérisant le bilan relatif du projet (score) ;</w:t>
            </w:r>
          </w:p>
        </w:tc>
      </w:tr>
      <w:tr w:rsidR="006E08A0" w:rsidRPr="0051081A" w14:paraId="26A1DFBB" w14:textId="77777777" w:rsidTr="005F19A0">
        <w:trPr>
          <w:trHeight w:val="227"/>
        </w:trPr>
        <w:tc>
          <w:tcPr>
            <w:tcW w:w="2193" w:type="dxa"/>
          </w:tcPr>
          <w:p w14:paraId="18C92B22" w14:textId="77777777" w:rsidR="006E08A0" w:rsidRPr="0051081A" w:rsidRDefault="006E08A0" w:rsidP="005F19A0">
            <w:pPr>
              <w:jc w:val="left"/>
              <w:rPr>
                <w:rFonts w:cs="Calibri"/>
                <w:iCs/>
                <w:sz w:val="20"/>
                <w:szCs w:val="20"/>
              </w:rPr>
            </w:pPr>
            <m:oMathPara>
              <m:oMathParaPr>
                <m:jc m:val="left"/>
              </m:oMathParaPr>
              <m:oMath>
                <m:r>
                  <m:rPr>
                    <m:sty m:val="p"/>
                  </m:rPr>
                  <w:rPr>
                    <w:rFonts w:ascii="Cambria Math" w:hAnsi="Cambria Math" w:cs="Calibri"/>
                    <w:sz w:val="20"/>
                    <w:szCs w:val="20"/>
                  </w:rPr>
                  <m:t>∆Capital sol</m:t>
                </m:r>
                <m:d>
                  <m:dPr>
                    <m:ctrlPr>
                      <w:rPr>
                        <w:rFonts w:ascii="Cambria Math" w:hAnsi="Cambria Math" w:cs="Calibri"/>
                        <w:sz w:val="20"/>
                        <w:szCs w:val="20"/>
                      </w:rPr>
                    </m:ctrlPr>
                  </m:dPr>
                  <m:e>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e>
                </m:d>
              </m:oMath>
            </m:oMathPara>
          </w:p>
        </w:tc>
        <w:tc>
          <w:tcPr>
            <w:tcW w:w="6877" w:type="dxa"/>
          </w:tcPr>
          <w:p w14:paraId="78887949" w14:textId="77777777" w:rsidR="006E08A0" w:rsidRPr="0051081A" w:rsidRDefault="006E08A0" w:rsidP="005F19A0">
            <w:pPr>
              <w:jc w:val="left"/>
              <w:rPr>
                <w:rFonts w:cs="Calibri"/>
                <w:iCs/>
                <w:sz w:val="20"/>
                <w:szCs w:val="20"/>
              </w:rPr>
            </w:pPr>
            <w:r w:rsidRPr="0051081A">
              <w:rPr>
                <w:rFonts w:eastAsiaTheme="minorEastAsia" w:cs="Calibri"/>
                <w:iCs/>
                <w:sz w:val="20"/>
                <w:szCs w:val="20"/>
              </w:rPr>
              <w:t xml:space="preserve">Différence entre le capital sol projeté et le capital sol actuel, dans la zone </w:t>
            </w:r>
            <m:oMath>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oMath>
            <w:r w:rsidRPr="0051081A">
              <w:rPr>
                <w:rFonts w:eastAsiaTheme="minorEastAsia" w:cs="Calibri"/>
                <w:iCs/>
                <w:sz w:val="20"/>
                <w:szCs w:val="20"/>
              </w:rPr>
              <w:t xml:space="preserve"> concernée par l’aménagement p au sein de la zone homogène z ;</w:t>
            </w:r>
          </w:p>
        </w:tc>
      </w:tr>
      <w:tr w:rsidR="006E08A0" w:rsidRPr="0051081A" w14:paraId="7CB799E1" w14:textId="77777777" w:rsidTr="005F19A0">
        <w:trPr>
          <w:trHeight w:val="227"/>
        </w:trPr>
        <w:tc>
          <w:tcPr>
            <w:tcW w:w="2193" w:type="dxa"/>
          </w:tcPr>
          <w:p w14:paraId="2B10C64D" w14:textId="77777777" w:rsidR="006E08A0" w:rsidRPr="0051081A" w:rsidRDefault="006E08A0" w:rsidP="005F19A0">
            <w:pPr>
              <w:jc w:val="left"/>
              <w:rPr>
                <w:rFonts w:eastAsia="Aptos" w:cs="Calibri"/>
                <w:iCs/>
                <w:sz w:val="20"/>
                <w:szCs w:val="20"/>
              </w:rPr>
            </w:pPr>
            <m:oMathPara>
              <m:oMathParaPr>
                <m:jc m:val="left"/>
              </m:oMathParaPr>
              <m:oMath>
                <m:r>
                  <m:rPr>
                    <m:sty m:val="p"/>
                  </m:rPr>
                  <w:rPr>
                    <w:rFonts w:ascii="Cambria Math" w:hAnsi="Cambria Math" w:cs="Calibri"/>
                    <w:sz w:val="20"/>
                    <w:szCs w:val="20"/>
                  </w:rPr>
                  <m:t>A(site)</m:t>
                </m:r>
              </m:oMath>
            </m:oMathPara>
          </w:p>
        </w:tc>
        <w:tc>
          <w:tcPr>
            <w:tcW w:w="6877" w:type="dxa"/>
          </w:tcPr>
          <w:p w14:paraId="3D9448BF" w14:textId="77777777" w:rsidR="006E08A0" w:rsidRPr="0051081A" w:rsidRDefault="006E08A0" w:rsidP="005F19A0">
            <w:pPr>
              <w:jc w:val="left"/>
              <w:rPr>
                <w:rFonts w:eastAsiaTheme="minorEastAsia" w:cs="Calibri"/>
                <w:iCs/>
                <w:sz w:val="20"/>
                <w:szCs w:val="20"/>
              </w:rPr>
            </w:pPr>
            <w:r w:rsidRPr="0051081A">
              <w:rPr>
                <w:rFonts w:eastAsiaTheme="minorEastAsia" w:cs="Calibri"/>
                <w:iCs/>
                <w:sz w:val="20"/>
                <w:szCs w:val="20"/>
              </w:rPr>
              <w:t>L’aire totale du site (m²).</w:t>
            </w:r>
          </w:p>
        </w:tc>
      </w:tr>
    </w:tbl>
    <w:p w14:paraId="2A974C6B" w14:textId="77777777" w:rsidR="006E08A0" w:rsidRDefault="006E08A0" w:rsidP="006E08A0"/>
    <w:p w14:paraId="095B6C22" w14:textId="4A7D8234" w:rsidR="006E08A0" w:rsidRDefault="001331D5">
      <w:pPr>
        <w:pStyle w:val="Titre2"/>
        <w:numPr>
          <w:ilvl w:val="1"/>
          <w:numId w:val="12"/>
        </w:numPr>
      </w:pPr>
      <w:bookmarkStart w:id="194" w:name="_Toc233387912"/>
      <w:bookmarkStart w:id="195" w:name="_Toc241478146"/>
      <w:r w:rsidRPr="001C7379">
        <w:t>Évaluation d’impact dans le cas des</w:t>
      </w:r>
      <w:r w:rsidR="006E08A0">
        <w:t xml:space="preserve"> </w:t>
      </w:r>
      <w:r>
        <w:t xml:space="preserve">études </w:t>
      </w:r>
      <w:r w:rsidR="006E08A0">
        <w:t>sur plans et programmes</w:t>
      </w:r>
      <w:bookmarkEnd w:id="194"/>
      <w:bookmarkEnd w:id="195"/>
    </w:p>
    <w:p w14:paraId="134FFDDD" w14:textId="77777777" w:rsidR="006E08A0" w:rsidRDefault="006E08A0" w:rsidP="006E08A0">
      <w:r>
        <w:t>Dans le cas des études sur plans et programmes, l’impact des changements d’usage s’avère beaucoup plus complexe à objectiver. En effet, l’absence de projet rend impossible le calcul d’un capital précis à l’échelle du site.</w:t>
      </w:r>
    </w:p>
    <w:p w14:paraId="7ECAD2E2" w14:textId="77777777" w:rsidR="006E08A0" w:rsidRDefault="006E08A0" w:rsidP="006E08A0">
      <w:r>
        <w:t xml:space="preserve">On peut donc considérer que l’ensemble de la zone impactée par le futur changement d’usage est une zone de perte nette d’au moins un service écosystémique donné. C’est principalement le cas lorsque des zones naturelles ou agricoles (type I et II) sont converties en zones de type III, IV ou V. </w:t>
      </w:r>
    </w:p>
    <w:p w14:paraId="460932DE" w14:textId="77777777" w:rsidR="006E08A0" w:rsidRDefault="006E08A0" w:rsidP="006E08A0">
      <w:r>
        <w:t>En effet, la perte des usages naturels ou agricoles implique des enjeux qui ne sont pas uniquement quantifiables en termes d’indices de sol (superficie). Par exemple, les usages agricoles dépendent de services de production qui, ne pourront pas aussi facilement être remplis que par exemple un service d’infiltration (exploitabilité). Si un espace vert est transformé en zoning industriel, les bandes enherbées entre des bâtiments peuvent malgré tout (si gérées correctement) continuer à infiltrer les eaux de pluie. Par contre, la conversion d’un champ en zoning implique une exclusion totale de l’activité agricole sur la zone morcelée.</w:t>
      </w:r>
    </w:p>
    <w:p w14:paraId="6AC11AB2" w14:textId="7C005420" w:rsidR="006E08A0" w:rsidRDefault="006E08A0" w:rsidP="006E08A0">
      <w:r>
        <w:t>Il n’est pas non plus réellement possible d’objectiver l’impact d’un changement d’usage au sein du type II (agricole), étant donné que l’interprétation des paramètres ne repose pas sur les mêmes seuils selon le type de production. En effet, le score attribué à un même sol pour le service écosystémique « Production - forêt » sera par définition toujours supérieur à un score de service « Production - cultures », étant donné que le premier implique des bornes « permissives » tandis que le second implique un niveau d’exigence plus élevé. De plus, il n’est pas réellement possible de définir une hiérarchisation entre les usages naturel et agricole ; les deux présentent des bénéfices divergents mais tout aussi importants à nos sociétés (produire des aliments, ou préserver la biodiversité). La meilleure solution dans ce cas est donc de procéder à une évaluation au niveau du service écosystémique, et de s’appuyer sur le diagnostic de la santé du sol, avant et après le changement d’usage.</w:t>
      </w:r>
    </w:p>
    <w:p w14:paraId="0D2A21B8" w14:textId="77777777" w:rsidR="006E08A0" w:rsidRDefault="006E08A0">
      <w:pPr>
        <w:pStyle w:val="Titre1"/>
        <w:numPr>
          <w:ilvl w:val="0"/>
          <w:numId w:val="12"/>
        </w:numPr>
      </w:pPr>
      <w:bookmarkStart w:id="196" w:name="_Toc233387913"/>
      <w:bookmarkStart w:id="197" w:name="_Toc241478147"/>
      <w:r>
        <w:lastRenderedPageBreak/>
        <w:t>Recommandations</w:t>
      </w:r>
      <w:bookmarkEnd w:id="196"/>
      <w:bookmarkEnd w:id="197"/>
    </w:p>
    <w:p w14:paraId="241A80F1" w14:textId="5BB8BBE2" w:rsidR="009E7850" w:rsidRPr="009E7850" w:rsidRDefault="009E7850">
      <w:pPr>
        <w:pStyle w:val="Titre2"/>
        <w:numPr>
          <w:ilvl w:val="1"/>
          <w:numId w:val="12"/>
        </w:numPr>
      </w:pPr>
      <w:bookmarkStart w:id="198" w:name="_Toc241478148"/>
      <w:r w:rsidRPr="009E7850">
        <w:t>Bonnes pratiques de gestion</w:t>
      </w:r>
      <w:bookmarkEnd w:id="198"/>
    </w:p>
    <w:p w14:paraId="00C66707" w14:textId="77777777" w:rsidR="006E08A0" w:rsidRDefault="006E08A0" w:rsidP="006E08A0">
      <w:r>
        <w:t>Pour améliorer la qualité d’un sol, que ce soit dans un contexte d’amélioration en tant que telle de la qualité du sol, ou en vue de compenser des pertes de services écosystémiques liées à un projet d’imperméabilisation/artificialisation, une série de pratiques de gestion vertueuses peuvent être mises en place pour impacter positivement la capacité du sol à fournir des services écosystémiques.</w:t>
      </w:r>
    </w:p>
    <w:p w14:paraId="566B2DA4" w14:textId="710CEB36" w:rsidR="006E08A0" w:rsidRDefault="006E08A0" w:rsidP="006E08A0">
      <w:r>
        <w:t xml:space="preserve">Le </w:t>
      </w:r>
      <w:r w:rsidR="003D7F8A" w:rsidRPr="003D7F8A">
        <w:fldChar w:fldCharType="begin"/>
      </w:r>
      <w:r w:rsidR="003D7F8A" w:rsidRPr="003D7F8A">
        <w:instrText xml:space="preserve"> REF _Ref241227322 \h  \* MERGEFORMAT </w:instrText>
      </w:r>
      <w:r w:rsidR="003D7F8A" w:rsidRPr="003D7F8A">
        <w:fldChar w:fldCharType="separate"/>
      </w:r>
      <w:r w:rsidR="003D7F8A" w:rsidRPr="003D7F8A">
        <w:t xml:space="preserve">Tableau </w:t>
      </w:r>
      <w:r w:rsidR="003D7F8A" w:rsidRPr="003D7F8A">
        <w:rPr>
          <w:noProof/>
        </w:rPr>
        <w:t>6</w:t>
      </w:r>
      <w:r w:rsidR="003D7F8A" w:rsidRPr="003D7F8A">
        <w:fldChar w:fldCharType="end"/>
      </w:r>
      <w:r w:rsidR="003D7F8A" w:rsidRPr="003D7F8A">
        <w:t xml:space="preserve"> </w:t>
      </w:r>
      <w:r>
        <w:t>précise, en fonction des résultats du diagnostic IQSW-pro, les pratiques de gestion qui peuvent permettre d’améliorer les fonctions du sol. Ces pratiques auront un impact particulièrement significatif dans le cas où le sol est en mauvaise santé (et présente donc un haut potentiel d’amélioration). Par contre, si un sol est diagnostiqué comme étant de mauvaise qualité vis-à-vis d’un (ou plusieurs) service écosystémique mais en bonne santé (faible potentiel d’amélioration), cette mauvaise qualité est liée aux caractéristiques intrinsèques du sol telles que sa texture, sa profondeur ou sa charge volumique en éléments grossiers et sera dès lors difficilement améliorable.</w:t>
      </w:r>
    </w:p>
    <w:p w14:paraId="68C2CBF6" w14:textId="77777777" w:rsidR="006E08A0" w:rsidRDefault="006E08A0" w:rsidP="006E08A0"/>
    <w:p w14:paraId="14178A71" w14:textId="77777777" w:rsidR="006E08A0" w:rsidRDefault="006E08A0" w:rsidP="006E08A0">
      <w:pPr>
        <w:sectPr w:rsidR="006E08A0" w:rsidSect="006E08A0">
          <w:pgSz w:w="11906" w:h="16838"/>
          <w:pgMar w:top="1418" w:right="1418" w:bottom="1418" w:left="1418" w:header="709" w:footer="709" w:gutter="0"/>
          <w:pgNumType w:chapStyle="1"/>
          <w:cols w:space="708"/>
          <w:titlePg/>
          <w:docGrid w:linePitch="360"/>
        </w:sectPr>
      </w:pPr>
    </w:p>
    <w:p w14:paraId="6626BE01" w14:textId="77777777" w:rsidR="006E08A0" w:rsidRDefault="006E08A0" w:rsidP="006E08A0"/>
    <w:p w14:paraId="77542BF7" w14:textId="33A7A6C5" w:rsidR="006E08A0" w:rsidRPr="00EF2FDA" w:rsidRDefault="006E08A0" w:rsidP="006E08A0">
      <w:pPr>
        <w:pStyle w:val="Lgende"/>
        <w:keepNext/>
        <w:jc w:val="center"/>
        <w:rPr>
          <w:i w:val="0"/>
          <w:iCs w:val="0"/>
        </w:rPr>
      </w:pPr>
      <w:bookmarkStart w:id="199" w:name="_Ref241227322"/>
      <w:r w:rsidRPr="00EF2FDA">
        <w:rPr>
          <w:i w:val="0"/>
          <w:iCs w:val="0"/>
        </w:rPr>
        <w:t xml:space="preserve">Tableau </w:t>
      </w:r>
      <w:r w:rsidRPr="00EF2FDA">
        <w:rPr>
          <w:i w:val="0"/>
          <w:iCs w:val="0"/>
        </w:rPr>
        <w:fldChar w:fldCharType="begin"/>
      </w:r>
      <w:r w:rsidRPr="00EF2FDA">
        <w:rPr>
          <w:i w:val="0"/>
          <w:iCs w:val="0"/>
        </w:rPr>
        <w:instrText xml:space="preserve"> SEQ Tableau \* ARABIC </w:instrText>
      </w:r>
      <w:r w:rsidRPr="00EF2FDA">
        <w:rPr>
          <w:i w:val="0"/>
          <w:iCs w:val="0"/>
        </w:rPr>
        <w:fldChar w:fldCharType="separate"/>
      </w:r>
      <w:r w:rsidR="003D7F8A">
        <w:rPr>
          <w:i w:val="0"/>
          <w:iCs w:val="0"/>
          <w:noProof/>
        </w:rPr>
        <w:t>6</w:t>
      </w:r>
      <w:r w:rsidRPr="00EF2FDA">
        <w:rPr>
          <w:i w:val="0"/>
          <w:iCs w:val="0"/>
        </w:rPr>
        <w:fldChar w:fldCharType="end"/>
      </w:r>
      <w:bookmarkEnd w:id="199"/>
      <w:r w:rsidRPr="00EF2FDA">
        <w:rPr>
          <w:i w:val="0"/>
          <w:iCs w:val="0"/>
        </w:rPr>
        <w:t xml:space="preserve"> : </w:t>
      </w:r>
      <w:r w:rsidR="003D7F8A">
        <w:rPr>
          <w:i w:val="0"/>
          <w:iCs w:val="0"/>
        </w:rPr>
        <w:t>M</w:t>
      </w:r>
      <w:r w:rsidRPr="00EF2FDA">
        <w:rPr>
          <w:i w:val="0"/>
          <w:iCs w:val="0"/>
        </w:rPr>
        <w:t>esures de gestion adaptées en fonction des problèmes identifiés dans le diagnostic</w:t>
      </w:r>
    </w:p>
    <w:tbl>
      <w:tblPr>
        <w:tblStyle w:val="Grilledutableau"/>
        <w:tblW w:w="0" w:type="auto"/>
        <w:tblInd w:w="137" w:type="dxa"/>
        <w:tblLook w:val="04A0" w:firstRow="1" w:lastRow="0" w:firstColumn="1" w:lastColumn="0" w:noHBand="0" w:noVBand="1"/>
      </w:tblPr>
      <w:tblGrid>
        <w:gridCol w:w="1573"/>
        <w:gridCol w:w="1245"/>
        <w:gridCol w:w="8217"/>
        <w:gridCol w:w="2697"/>
      </w:tblGrid>
      <w:tr w:rsidR="006E08A0" w:rsidRPr="001F75BE" w14:paraId="743EA649" w14:textId="77777777" w:rsidTr="00724334">
        <w:trPr>
          <w:trHeight w:val="300"/>
        </w:trPr>
        <w:tc>
          <w:tcPr>
            <w:tcW w:w="13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noWrap/>
            <w:vAlign w:val="center"/>
          </w:tcPr>
          <w:p w14:paraId="73278961" w14:textId="77777777" w:rsidR="006E08A0" w:rsidRPr="00724334" w:rsidRDefault="006E08A0" w:rsidP="00724334">
            <w:pPr>
              <w:jc w:val="center"/>
              <w:rPr>
                <w:b/>
                <w:bCs/>
              </w:rPr>
            </w:pPr>
            <w:r w:rsidRPr="00724334">
              <w:rPr>
                <w:b/>
                <w:bCs/>
              </w:rPr>
              <w:t>Service écosystémique</w:t>
            </w:r>
          </w:p>
        </w:tc>
        <w:tc>
          <w:tcPr>
            <w:tcW w:w="11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noWrap/>
            <w:vAlign w:val="center"/>
          </w:tcPr>
          <w:p w14:paraId="4ECE48BF" w14:textId="77777777" w:rsidR="006E08A0" w:rsidRPr="00724334" w:rsidRDefault="006E08A0" w:rsidP="00724334">
            <w:pPr>
              <w:jc w:val="center"/>
              <w:rPr>
                <w:b/>
                <w:bCs/>
              </w:rPr>
            </w:pPr>
            <w:r w:rsidRPr="00724334">
              <w:rPr>
                <w:b/>
                <w:bCs/>
              </w:rPr>
              <w:t>Fonction</w:t>
            </w:r>
          </w:p>
        </w:tc>
        <w:tc>
          <w:tcPr>
            <w:tcW w:w="8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noWrap/>
            <w:vAlign w:val="center"/>
          </w:tcPr>
          <w:p w14:paraId="5AC9A0A0" w14:textId="77777777" w:rsidR="006E08A0" w:rsidRPr="00724334" w:rsidRDefault="006E08A0" w:rsidP="00724334">
            <w:pPr>
              <w:jc w:val="center"/>
              <w:rPr>
                <w:b/>
                <w:bCs/>
              </w:rPr>
            </w:pPr>
            <w:r w:rsidRPr="00724334">
              <w:rPr>
                <w:b/>
                <w:bCs/>
              </w:rPr>
              <w:t>Conseils de gestion</w:t>
            </w:r>
          </w:p>
        </w:tc>
        <w:tc>
          <w:tcPr>
            <w:tcW w:w="26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042400C8" w14:textId="77777777" w:rsidR="006E08A0" w:rsidRPr="00724334" w:rsidRDefault="006E08A0" w:rsidP="00724334">
            <w:pPr>
              <w:jc w:val="center"/>
              <w:rPr>
                <w:b/>
                <w:bCs/>
              </w:rPr>
            </w:pPr>
            <w:r w:rsidRPr="00724334">
              <w:rPr>
                <w:b/>
                <w:bCs/>
              </w:rPr>
              <w:t>Outils connexes</w:t>
            </w:r>
          </w:p>
        </w:tc>
      </w:tr>
      <w:tr w:rsidR="006E08A0" w:rsidRPr="001F75BE" w14:paraId="7435B1B9" w14:textId="77777777" w:rsidTr="005F19A0">
        <w:trPr>
          <w:trHeight w:val="300"/>
        </w:trPr>
        <w:tc>
          <w:tcPr>
            <w:tcW w:w="1369" w:type="dxa"/>
            <w:vMerge w:val="restart"/>
            <w:tcBorders>
              <w:top w:val="single" w:sz="4" w:space="0" w:color="FFFFFF" w:themeColor="background1"/>
            </w:tcBorders>
            <w:noWrap/>
            <w:vAlign w:val="center"/>
            <w:hideMark/>
          </w:tcPr>
          <w:p w14:paraId="227E301D" w14:textId="77777777" w:rsidR="006E08A0" w:rsidRPr="001F75BE" w:rsidRDefault="006E08A0" w:rsidP="005F19A0">
            <w:pPr>
              <w:jc w:val="left"/>
            </w:pPr>
            <w:r w:rsidRPr="001F75BE">
              <w:t>Production</w:t>
            </w:r>
          </w:p>
        </w:tc>
        <w:tc>
          <w:tcPr>
            <w:tcW w:w="1183" w:type="dxa"/>
            <w:tcBorders>
              <w:top w:val="single" w:sz="4" w:space="0" w:color="FFFFFF" w:themeColor="background1"/>
            </w:tcBorders>
            <w:noWrap/>
            <w:vAlign w:val="center"/>
            <w:hideMark/>
          </w:tcPr>
          <w:p w14:paraId="5E088A19" w14:textId="77777777" w:rsidR="006E08A0" w:rsidRPr="001F75BE" w:rsidRDefault="006E08A0" w:rsidP="005F19A0">
            <w:pPr>
              <w:jc w:val="left"/>
            </w:pPr>
            <w:r w:rsidRPr="001F75BE">
              <w:t>Nutrition</w:t>
            </w:r>
          </w:p>
        </w:tc>
        <w:tc>
          <w:tcPr>
            <w:tcW w:w="8217" w:type="dxa"/>
            <w:tcBorders>
              <w:top w:val="single" w:sz="4" w:space="0" w:color="FFFFFF" w:themeColor="background1"/>
            </w:tcBorders>
            <w:noWrap/>
            <w:vAlign w:val="center"/>
            <w:hideMark/>
          </w:tcPr>
          <w:p w14:paraId="08A6B874" w14:textId="77777777" w:rsidR="006E08A0" w:rsidRDefault="006E08A0" w:rsidP="005F19A0">
            <w:r>
              <w:t xml:space="preserve">Pour améliorer la fourniture en nutriments, des apports peuvent être envisagés en fonction des besoins spécifiques tels que : </w:t>
            </w:r>
          </w:p>
          <w:p w14:paraId="7EFEE5AC" w14:textId="77777777" w:rsidR="006E08A0" w:rsidRDefault="006E08A0">
            <w:pPr>
              <w:pStyle w:val="Paragraphedeliste"/>
              <w:numPr>
                <w:ilvl w:val="0"/>
                <w:numId w:val="30"/>
              </w:numPr>
            </w:pPr>
            <w:r>
              <w:t>Des amendements organiques, pour augmenter la quantité de matière organique du sol et favoriser la résilience du stock nutritif. La restitution des résidus végétaux au sol est également préconisée ;</w:t>
            </w:r>
          </w:p>
          <w:p w14:paraId="13BDE5C8" w14:textId="77777777" w:rsidR="006E08A0" w:rsidRDefault="006E08A0">
            <w:pPr>
              <w:pStyle w:val="Paragraphedeliste"/>
              <w:numPr>
                <w:ilvl w:val="0"/>
                <w:numId w:val="30"/>
              </w:numPr>
            </w:pPr>
            <w:r>
              <w:t>Des amendements acides ou basiques (respectivement en cas de pH trop élevé ou trop bas) ;</w:t>
            </w:r>
          </w:p>
          <w:p w14:paraId="7724EB84" w14:textId="77777777" w:rsidR="006E08A0" w:rsidRPr="001F75BE" w:rsidRDefault="006E08A0">
            <w:pPr>
              <w:pStyle w:val="Paragraphedeliste"/>
              <w:numPr>
                <w:ilvl w:val="0"/>
                <w:numId w:val="30"/>
              </w:numPr>
            </w:pPr>
            <w:r>
              <w:t>Des engrais pour corriger des carences en l’un ou plusieurs éléments précis, en veillant à conserver un bon équilibre pour éviter les carences induites.</w:t>
            </w:r>
          </w:p>
        </w:tc>
        <w:tc>
          <w:tcPr>
            <w:tcW w:w="2697" w:type="dxa"/>
            <w:tcBorders>
              <w:top w:val="single" w:sz="4" w:space="0" w:color="FFFFFF" w:themeColor="background1"/>
            </w:tcBorders>
          </w:tcPr>
          <w:p w14:paraId="5E6C1A31" w14:textId="77777777" w:rsidR="006E08A0" w:rsidRDefault="006E08A0" w:rsidP="005F19A0">
            <w:pPr>
              <w:jc w:val="left"/>
            </w:pPr>
            <w:r>
              <w:t>Sols agricoles : conseil de fumure</w:t>
            </w:r>
          </w:p>
        </w:tc>
      </w:tr>
      <w:tr w:rsidR="006E08A0" w:rsidRPr="001F75BE" w14:paraId="66606677" w14:textId="77777777" w:rsidTr="00724334">
        <w:trPr>
          <w:trHeight w:val="300"/>
        </w:trPr>
        <w:tc>
          <w:tcPr>
            <w:tcW w:w="1369" w:type="dxa"/>
            <w:vMerge/>
            <w:noWrap/>
            <w:vAlign w:val="center"/>
            <w:hideMark/>
          </w:tcPr>
          <w:p w14:paraId="4AF003F0" w14:textId="77777777" w:rsidR="006E08A0" w:rsidRPr="001F75BE" w:rsidRDefault="006E08A0" w:rsidP="005F19A0">
            <w:pPr>
              <w:jc w:val="left"/>
            </w:pPr>
          </w:p>
        </w:tc>
        <w:tc>
          <w:tcPr>
            <w:tcW w:w="1183" w:type="dxa"/>
            <w:noWrap/>
            <w:vAlign w:val="center"/>
            <w:hideMark/>
          </w:tcPr>
          <w:p w14:paraId="74D3E03B" w14:textId="77777777" w:rsidR="006E08A0" w:rsidRPr="001F75BE" w:rsidRDefault="006E08A0" w:rsidP="005F19A0">
            <w:pPr>
              <w:jc w:val="left"/>
            </w:pPr>
            <w:r>
              <w:t>Fourniture d’e</w:t>
            </w:r>
            <w:r w:rsidRPr="001F75BE">
              <w:t>au</w:t>
            </w:r>
          </w:p>
        </w:tc>
        <w:tc>
          <w:tcPr>
            <w:tcW w:w="8217" w:type="dxa"/>
            <w:noWrap/>
            <w:vAlign w:val="center"/>
            <w:hideMark/>
          </w:tcPr>
          <w:p w14:paraId="7F4E33A9" w14:textId="77777777" w:rsidR="006E08A0" w:rsidRPr="001F75BE" w:rsidRDefault="006E08A0" w:rsidP="005F19A0">
            <w:r>
              <w:t xml:space="preserve">Les amendements organiques constituent le principal levier pour améliorer la capacité de rétention en eau du sol en </w:t>
            </w:r>
            <w:r w:rsidRPr="00EF2FDA">
              <w:rPr>
                <w:u w:val="single"/>
              </w:rPr>
              <w:t>surface</w:t>
            </w:r>
            <w:r>
              <w:t>. Le maintien d’un couvert végétal permanent est également préconisé, en raison de ses impacts positifs sur la structure du sol.</w:t>
            </w:r>
          </w:p>
        </w:tc>
        <w:tc>
          <w:tcPr>
            <w:tcW w:w="2697" w:type="dxa"/>
            <w:shd w:val="clear" w:color="auto" w:fill="F2F2F2" w:themeFill="background1" w:themeFillShade="F2"/>
          </w:tcPr>
          <w:p w14:paraId="7620E0E3" w14:textId="17FD3B1A" w:rsidR="006E08A0" w:rsidRPr="001F75BE" w:rsidRDefault="006E08A0" w:rsidP="005F19A0">
            <w:pPr>
              <w:jc w:val="left"/>
            </w:pPr>
          </w:p>
        </w:tc>
      </w:tr>
      <w:tr w:rsidR="006E08A0" w:rsidRPr="001F75BE" w14:paraId="15F7D871" w14:textId="77777777" w:rsidTr="00724334">
        <w:trPr>
          <w:trHeight w:val="300"/>
        </w:trPr>
        <w:tc>
          <w:tcPr>
            <w:tcW w:w="1369" w:type="dxa"/>
            <w:vMerge/>
            <w:noWrap/>
            <w:vAlign w:val="center"/>
            <w:hideMark/>
          </w:tcPr>
          <w:p w14:paraId="1B47C2C4" w14:textId="77777777" w:rsidR="006E08A0" w:rsidRPr="001F75BE" w:rsidRDefault="006E08A0" w:rsidP="005F19A0">
            <w:pPr>
              <w:jc w:val="left"/>
            </w:pPr>
          </w:p>
        </w:tc>
        <w:tc>
          <w:tcPr>
            <w:tcW w:w="1183" w:type="dxa"/>
            <w:vMerge w:val="restart"/>
            <w:noWrap/>
            <w:vAlign w:val="center"/>
            <w:hideMark/>
          </w:tcPr>
          <w:p w14:paraId="2B07A362" w14:textId="77777777" w:rsidR="006E08A0" w:rsidRPr="001F75BE" w:rsidRDefault="006E08A0" w:rsidP="005F19A0">
            <w:pPr>
              <w:jc w:val="left"/>
            </w:pPr>
            <w:r w:rsidRPr="001F75BE">
              <w:t>Structure</w:t>
            </w:r>
          </w:p>
        </w:tc>
        <w:tc>
          <w:tcPr>
            <w:tcW w:w="8217" w:type="dxa"/>
            <w:noWrap/>
            <w:vAlign w:val="center"/>
            <w:hideMark/>
          </w:tcPr>
          <w:p w14:paraId="5F13B9B2" w14:textId="77777777" w:rsidR="006E08A0" w:rsidRPr="001F75BE" w:rsidRDefault="006E08A0" w:rsidP="005F19A0">
            <w:r>
              <w:t xml:space="preserve">Les amendements organiques permettent d’améliorer la structure du sol. </w:t>
            </w:r>
          </w:p>
        </w:tc>
        <w:tc>
          <w:tcPr>
            <w:tcW w:w="2697" w:type="dxa"/>
            <w:shd w:val="clear" w:color="auto" w:fill="F2F2F2" w:themeFill="background1" w:themeFillShade="F2"/>
          </w:tcPr>
          <w:p w14:paraId="12C7CC5D" w14:textId="7296A322" w:rsidR="006E08A0" w:rsidRPr="001F75BE" w:rsidRDefault="006E08A0" w:rsidP="005F19A0">
            <w:pPr>
              <w:jc w:val="left"/>
            </w:pPr>
          </w:p>
        </w:tc>
      </w:tr>
      <w:tr w:rsidR="006E08A0" w:rsidRPr="001F75BE" w14:paraId="2CEF0AAC" w14:textId="77777777" w:rsidTr="00724334">
        <w:trPr>
          <w:trHeight w:val="300"/>
        </w:trPr>
        <w:tc>
          <w:tcPr>
            <w:tcW w:w="1369" w:type="dxa"/>
            <w:vMerge/>
            <w:noWrap/>
            <w:vAlign w:val="center"/>
          </w:tcPr>
          <w:p w14:paraId="6037138E" w14:textId="77777777" w:rsidR="006E08A0" w:rsidRPr="001F75BE" w:rsidRDefault="006E08A0" w:rsidP="005F19A0">
            <w:pPr>
              <w:jc w:val="left"/>
            </w:pPr>
          </w:p>
        </w:tc>
        <w:tc>
          <w:tcPr>
            <w:tcW w:w="1183" w:type="dxa"/>
            <w:vMerge/>
            <w:noWrap/>
            <w:vAlign w:val="center"/>
          </w:tcPr>
          <w:p w14:paraId="3BF62ABE" w14:textId="77777777" w:rsidR="006E08A0" w:rsidRPr="001F75BE" w:rsidRDefault="006E08A0" w:rsidP="005F19A0">
            <w:pPr>
              <w:jc w:val="left"/>
            </w:pPr>
          </w:p>
        </w:tc>
        <w:tc>
          <w:tcPr>
            <w:tcW w:w="8217" w:type="dxa"/>
            <w:noWrap/>
            <w:vAlign w:val="center"/>
          </w:tcPr>
          <w:p w14:paraId="6DD29409" w14:textId="77777777" w:rsidR="006E08A0" w:rsidRDefault="006E08A0" w:rsidP="005F19A0">
            <w:r>
              <w:t>Le maintien d’un couvert permanent permet également, à travers la matière organique que celui-ci permet d’amener au sol, mais également grâce à l’effet des racines, de contribuer à l’amélioration de la structure du sol.</w:t>
            </w:r>
          </w:p>
        </w:tc>
        <w:tc>
          <w:tcPr>
            <w:tcW w:w="2697" w:type="dxa"/>
            <w:shd w:val="clear" w:color="auto" w:fill="F2F2F2" w:themeFill="background1" w:themeFillShade="F2"/>
          </w:tcPr>
          <w:p w14:paraId="42861561" w14:textId="4291E8A4" w:rsidR="006E08A0" w:rsidRPr="001F75BE" w:rsidRDefault="006E08A0" w:rsidP="005F19A0">
            <w:pPr>
              <w:jc w:val="left"/>
            </w:pPr>
          </w:p>
        </w:tc>
      </w:tr>
      <w:tr w:rsidR="006E08A0" w:rsidRPr="001F75BE" w14:paraId="0CA97C48" w14:textId="77777777" w:rsidTr="00724334">
        <w:trPr>
          <w:trHeight w:val="300"/>
        </w:trPr>
        <w:tc>
          <w:tcPr>
            <w:tcW w:w="1369" w:type="dxa"/>
            <w:vMerge/>
            <w:noWrap/>
            <w:vAlign w:val="center"/>
            <w:hideMark/>
          </w:tcPr>
          <w:p w14:paraId="6979398E" w14:textId="77777777" w:rsidR="006E08A0" w:rsidRPr="001F75BE" w:rsidRDefault="006E08A0" w:rsidP="005F19A0">
            <w:pPr>
              <w:jc w:val="left"/>
            </w:pPr>
          </w:p>
        </w:tc>
        <w:tc>
          <w:tcPr>
            <w:tcW w:w="1183" w:type="dxa"/>
            <w:vMerge/>
            <w:noWrap/>
            <w:vAlign w:val="center"/>
            <w:hideMark/>
          </w:tcPr>
          <w:p w14:paraId="6AA1EAF4" w14:textId="77777777" w:rsidR="006E08A0" w:rsidRPr="001F75BE" w:rsidRDefault="006E08A0" w:rsidP="005F19A0">
            <w:pPr>
              <w:jc w:val="left"/>
            </w:pPr>
          </w:p>
        </w:tc>
        <w:tc>
          <w:tcPr>
            <w:tcW w:w="8217" w:type="dxa"/>
            <w:noWrap/>
            <w:vAlign w:val="center"/>
            <w:hideMark/>
          </w:tcPr>
          <w:p w14:paraId="60BF81D5" w14:textId="039D32DD" w:rsidR="006E08A0" w:rsidRDefault="006E08A0" w:rsidP="005F19A0">
            <w:r>
              <w:t>Lorsque la structure du sol est trop dégradée, u</w:t>
            </w:r>
            <w:r w:rsidRPr="002C72C6">
              <w:t>n travail du sol, manuel ou mécanisé (charrue, décompacteur, fraise etc.) peut permettre de régénérer la structure du sol à court terme</w:t>
            </w:r>
            <w:r>
              <w:t>.</w:t>
            </w:r>
          </w:p>
          <w:p w14:paraId="2DE4B780" w14:textId="77777777" w:rsidR="006E08A0" w:rsidRDefault="006E08A0" w:rsidP="005F19A0"/>
          <w:p w14:paraId="3A606B4A" w14:textId="77777777" w:rsidR="006E08A0" w:rsidRDefault="006E08A0" w:rsidP="005F19A0">
            <w:r>
              <w:t xml:space="preserve">Le travail du sol doit être réalisé dans de bonnes conditions d'humidité (sur un sol ni trop humide ni trop sec) pour éviter de tasser ou lisser le sol. Pour une amélioration à long terme, le travail mécanique doit s’accompagner d'un apport de matière organique et/ou du semis d’un couvert permanent. </w:t>
            </w:r>
          </w:p>
          <w:p w14:paraId="2000BBCB" w14:textId="77777777" w:rsidR="006E08A0" w:rsidRDefault="006E08A0" w:rsidP="005F19A0"/>
          <w:p w14:paraId="57312047" w14:textId="77777777" w:rsidR="006E08A0" w:rsidRPr="001F75BE" w:rsidRDefault="006E08A0" w:rsidP="005F19A0">
            <w:r>
              <w:t>L’utilisation d’outils tels que la grelinette ou la fourche-bêche est conseillée car ceux-ci préservent mieux la structure du sol et ont moins d’impact sur les vers de terre.</w:t>
            </w:r>
          </w:p>
        </w:tc>
        <w:tc>
          <w:tcPr>
            <w:tcW w:w="2697" w:type="dxa"/>
            <w:shd w:val="clear" w:color="auto" w:fill="F2F2F2" w:themeFill="background1" w:themeFillShade="F2"/>
          </w:tcPr>
          <w:p w14:paraId="12B03337" w14:textId="1E2D152C" w:rsidR="006E08A0" w:rsidRPr="001F75BE" w:rsidRDefault="006E08A0" w:rsidP="005F19A0">
            <w:pPr>
              <w:jc w:val="left"/>
            </w:pPr>
          </w:p>
        </w:tc>
      </w:tr>
      <w:tr w:rsidR="006E08A0" w:rsidRPr="001F75BE" w14:paraId="0B9BB98E" w14:textId="77777777" w:rsidTr="005F19A0">
        <w:trPr>
          <w:trHeight w:val="300"/>
        </w:trPr>
        <w:tc>
          <w:tcPr>
            <w:tcW w:w="1369" w:type="dxa"/>
            <w:vMerge/>
            <w:noWrap/>
            <w:vAlign w:val="center"/>
            <w:hideMark/>
          </w:tcPr>
          <w:p w14:paraId="5D118B94" w14:textId="77777777" w:rsidR="006E08A0" w:rsidRPr="001F75BE" w:rsidRDefault="006E08A0" w:rsidP="005F19A0">
            <w:pPr>
              <w:jc w:val="left"/>
            </w:pPr>
          </w:p>
        </w:tc>
        <w:tc>
          <w:tcPr>
            <w:tcW w:w="1183" w:type="dxa"/>
            <w:vMerge w:val="restart"/>
            <w:noWrap/>
            <w:vAlign w:val="center"/>
            <w:hideMark/>
          </w:tcPr>
          <w:p w14:paraId="05249A2A" w14:textId="77777777" w:rsidR="006E08A0" w:rsidRPr="001F75BE" w:rsidRDefault="006E08A0" w:rsidP="005F19A0">
            <w:pPr>
              <w:jc w:val="left"/>
            </w:pPr>
            <w:r w:rsidRPr="001F75BE">
              <w:t>Contraintes</w:t>
            </w:r>
          </w:p>
        </w:tc>
        <w:tc>
          <w:tcPr>
            <w:tcW w:w="8217" w:type="dxa"/>
            <w:noWrap/>
            <w:vAlign w:val="center"/>
            <w:hideMark/>
          </w:tcPr>
          <w:p w14:paraId="683AF839" w14:textId="77777777" w:rsidR="006E08A0" w:rsidRPr="001F75BE" w:rsidRDefault="006E08A0" w:rsidP="005F19A0">
            <w:r>
              <w:t>En cas de pollution, il est conseillé de se référer aux préconisations du Décret sols.</w:t>
            </w:r>
          </w:p>
        </w:tc>
        <w:tc>
          <w:tcPr>
            <w:tcW w:w="2697" w:type="dxa"/>
          </w:tcPr>
          <w:p w14:paraId="3951A109" w14:textId="77777777" w:rsidR="006E08A0" w:rsidRPr="001F75BE" w:rsidRDefault="006E08A0" w:rsidP="005F19A0">
            <w:pPr>
              <w:jc w:val="left"/>
            </w:pPr>
            <w:r>
              <w:t>Décret sols</w:t>
            </w:r>
          </w:p>
        </w:tc>
      </w:tr>
      <w:tr w:rsidR="006E08A0" w:rsidRPr="001F75BE" w14:paraId="5175E707" w14:textId="77777777" w:rsidTr="005F19A0">
        <w:trPr>
          <w:trHeight w:val="300"/>
        </w:trPr>
        <w:tc>
          <w:tcPr>
            <w:tcW w:w="1369" w:type="dxa"/>
            <w:vMerge/>
            <w:noWrap/>
            <w:vAlign w:val="center"/>
            <w:hideMark/>
          </w:tcPr>
          <w:p w14:paraId="702A238C" w14:textId="77777777" w:rsidR="006E08A0" w:rsidRPr="001F75BE" w:rsidRDefault="006E08A0" w:rsidP="005F19A0">
            <w:pPr>
              <w:jc w:val="left"/>
            </w:pPr>
          </w:p>
        </w:tc>
        <w:tc>
          <w:tcPr>
            <w:tcW w:w="1183" w:type="dxa"/>
            <w:vMerge/>
            <w:noWrap/>
            <w:vAlign w:val="center"/>
            <w:hideMark/>
          </w:tcPr>
          <w:p w14:paraId="1BA29D16" w14:textId="77777777" w:rsidR="006E08A0" w:rsidRPr="001F75BE" w:rsidRDefault="006E08A0" w:rsidP="005F19A0">
            <w:pPr>
              <w:jc w:val="left"/>
            </w:pPr>
          </w:p>
        </w:tc>
        <w:tc>
          <w:tcPr>
            <w:tcW w:w="8217" w:type="dxa"/>
            <w:noWrap/>
            <w:vAlign w:val="center"/>
            <w:hideMark/>
          </w:tcPr>
          <w:p w14:paraId="487105C5" w14:textId="77777777" w:rsidR="006E08A0" w:rsidRPr="001F75BE" w:rsidRDefault="006E08A0" w:rsidP="005F19A0">
            <w:r>
              <w:t>Si des espèces exotiques envahissantes sont présentes sur le site, il convient de gérer leur expansion en s’appuyant sur les prescriptions du GRGT.</w:t>
            </w:r>
          </w:p>
        </w:tc>
        <w:tc>
          <w:tcPr>
            <w:tcW w:w="2697" w:type="dxa"/>
          </w:tcPr>
          <w:p w14:paraId="32F739EC" w14:textId="77777777" w:rsidR="006E08A0" w:rsidRPr="001F75BE" w:rsidRDefault="006E08A0" w:rsidP="005F19A0">
            <w:pPr>
              <w:jc w:val="left"/>
            </w:pPr>
            <w:r>
              <w:t>GRGT partie 5</w:t>
            </w:r>
          </w:p>
        </w:tc>
      </w:tr>
      <w:tr w:rsidR="006E08A0" w:rsidRPr="001F75BE" w14:paraId="129E9619" w14:textId="77777777" w:rsidTr="00724334">
        <w:trPr>
          <w:trHeight w:val="300"/>
        </w:trPr>
        <w:tc>
          <w:tcPr>
            <w:tcW w:w="1369" w:type="dxa"/>
            <w:vMerge w:val="restart"/>
            <w:noWrap/>
            <w:vAlign w:val="center"/>
            <w:hideMark/>
          </w:tcPr>
          <w:p w14:paraId="332CDEA5" w14:textId="77777777" w:rsidR="006E08A0" w:rsidRPr="001F75BE" w:rsidRDefault="006E08A0" w:rsidP="005F19A0">
            <w:pPr>
              <w:jc w:val="left"/>
            </w:pPr>
            <w:r w:rsidRPr="001F75BE">
              <w:t>Infiltration</w:t>
            </w:r>
          </w:p>
        </w:tc>
        <w:tc>
          <w:tcPr>
            <w:tcW w:w="1183" w:type="dxa"/>
            <w:vMerge w:val="restart"/>
            <w:noWrap/>
            <w:vAlign w:val="center"/>
            <w:hideMark/>
          </w:tcPr>
          <w:p w14:paraId="5B663762" w14:textId="77777777" w:rsidR="006E08A0" w:rsidRPr="001F75BE" w:rsidRDefault="006E08A0" w:rsidP="005F19A0">
            <w:pPr>
              <w:jc w:val="left"/>
            </w:pPr>
            <w:r w:rsidRPr="001F75BE">
              <w:t>Infiltration</w:t>
            </w:r>
          </w:p>
        </w:tc>
        <w:tc>
          <w:tcPr>
            <w:tcW w:w="8217" w:type="dxa"/>
            <w:noWrap/>
            <w:vAlign w:val="center"/>
            <w:hideMark/>
          </w:tcPr>
          <w:p w14:paraId="7B678377" w14:textId="77777777" w:rsidR="006E08A0" w:rsidRPr="001F75BE" w:rsidRDefault="006E08A0" w:rsidP="005F19A0">
            <w:r>
              <w:t>Les amendements organiques constituent le principal levier pour améliorer la capacité d’infiltration du sol. Le maintien d’un couvert végétal permanent est également préconisé, en raison de ses impacts positifs sur la structure du sol, ce qui peut permettre d’améliorer à la fois la capacité d’infiltration et la perméabilité du sol.</w:t>
            </w:r>
          </w:p>
        </w:tc>
        <w:tc>
          <w:tcPr>
            <w:tcW w:w="2697" w:type="dxa"/>
            <w:shd w:val="clear" w:color="auto" w:fill="F2F2F2" w:themeFill="background1" w:themeFillShade="F2"/>
          </w:tcPr>
          <w:p w14:paraId="4D2B5667" w14:textId="2964E189" w:rsidR="006E08A0" w:rsidRPr="001F75BE" w:rsidRDefault="006E08A0" w:rsidP="005F19A0">
            <w:pPr>
              <w:jc w:val="left"/>
            </w:pPr>
          </w:p>
        </w:tc>
      </w:tr>
      <w:tr w:rsidR="006E08A0" w:rsidRPr="001F75BE" w14:paraId="356D2453" w14:textId="77777777" w:rsidTr="00724334">
        <w:trPr>
          <w:trHeight w:val="300"/>
        </w:trPr>
        <w:tc>
          <w:tcPr>
            <w:tcW w:w="1369" w:type="dxa"/>
            <w:vMerge/>
            <w:noWrap/>
            <w:vAlign w:val="center"/>
            <w:hideMark/>
          </w:tcPr>
          <w:p w14:paraId="68F0E70A" w14:textId="77777777" w:rsidR="006E08A0" w:rsidRPr="001F75BE" w:rsidRDefault="006E08A0" w:rsidP="005F19A0">
            <w:pPr>
              <w:jc w:val="left"/>
            </w:pPr>
          </w:p>
        </w:tc>
        <w:tc>
          <w:tcPr>
            <w:tcW w:w="1183" w:type="dxa"/>
            <w:vMerge/>
            <w:noWrap/>
            <w:vAlign w:val="center"/>
            <w:hideMark/>
          </w:tcPr>
          <w:p w14:paraId="7CDC600B" w14:textId="77777777" w:rsidR="006E08A0" w:rsidRPr="001F75BE" w:rsidRDefault="006E08A0" w:rsidP="005F19A0">
            <w:pPr>
              <w:jc w:val="left"/>
            </w:pPr>
          </w:p>
        </w:tc>
        <w:tc>
          <w:tcPr>
            <w:tcW w:w="8217" w:type="dxa"/>
            <w:noWrap/>
            <w:vAlign w:val="center"/>
            <w:hideMark/>
          </w:tcPr>
          <w:p w14:paraId="2D5D780A" w14:textId="77777777" w:rsidR="006E08A0" w:rsidRPr="001F75BE" w:rsidRDefault="006E08A0" w:rsidP="005F19A0">
            <w:r>
              <w:t>L’amélioration de l’état structural du sol peut également permettre d’améliorer considérablement la capacité d’infiltration du sol (cfr Production – Structure).</w:t>
            </w:r>
          </w:p>
        </w:tc>
        <w:tc>
          <w:tcPr>
            <w:tcW w:w="2697" w:type="dxa"/>
            <w:shd w:val="clear" w:color="auto" w:fill="F2F2F2" w:themeFill="background1" w:themeFillShade="F2"/>
          </w:tcPr>
          <w:p w14:paraId="75D2DCCA" w14:textId="77777777" w:rsidR="006E08A0" w:rsidRPr="001F75BE" w:rsidRDefault="006E08A0" w:rsidP="005F19A0">
            <w:pPr>
              <w:jc w:val="left"/>
            </w:pPr>
          </w:p>
        </w:tc>
      </w:tr>
      <w:tr w:rsidR="006E08A0" w:rsidRPr="001F75BE" w14:paraId="4C5E712B" w14:textId="77777777" w:rsidTr="00724334">
        <w:trPr>
          <w:trHeight w:val="300"/>
        </w:trPr>
        <w:tc>
          <w:tcPr>
            <w:tcW w:w="1369" w:type="dxa"/>
            <w:vMerge w:val="restart"/>
            <w:noWrap/>
            <w:vAlign w:val="center"/>
            <w:hideMark/>
          </w:tcPr>
          <w:p w14:paraId="37175035" w14:textId="77777777" w:rsidR="006E08A0" w:rsidRPr="001F75BE" w:rsidRDefault="006E08A0" w:rsidP="005F19A0">
            <w:pPr>
              <w:jc w:val="left"/>
            </w:pPr>
            <w:r w:rsidRPr="001F75BE">
              <w:t>Protection des nappes</w:t>
            </w:r>
          </w:p>
        </w:tc>
        <w:tc>
          <w:tcPr>
            <w:tcW w:w="1183" w:type="dxa"/>
            <w:noWrap/>
            <w:vAlign w:val="center"/>
            <w:hideMark/>
          </w:tcPr>
          <w:p w14:paraId="146CC2BF" w14:textId="77777777" w:rsidR="006E08A0" w:rsidRPr="001F75BE" w:rsidRDefault="006E08A0" w:rsidP="005F19A0">
            <w:pPr>
              <w:jc w:val="left"/>
            </w:pPr>
            <w:r w:rsidRPr="001F75BE">
              <w:t>Rétention</w:t>
            </w:r>
          </w:p>
        </w:tc>
        <w:tc>
          <w:tcPr>
            <w:tcW w:w="8217" w:type="dxa"/>
            <w:noWrap/>
            <w:vAlign w:val="center"/>
            <w:hideMark/>
          </w:tcPr>
          <w:p w14:paraId="2B77C36C" w14:textId="77777777" w:rsidR="006E08A0" w:rsidRPr="001F75BE" w:rsidRDefault="006E08A0" w:rsidP="005F19A0">
            <w:r>
              <w:t>Les amendements organiques constituent le principal levier pour améliorer la capacité de rétention du sol vis-à-vis des polluants.</w:t>
            </w:r>
          </w:p>
        </w:tc>
        <w:tc>
          <w:tcPr>
            <w:tcW w:w="2697" w:type="dxa"/>
            <w:shd w:val="clear" w:color="auto" w:fill="F2F2F2" w:themeFill="background1" w:themeFillShade="F2"/>
          </w:tcPr>
          <w:p w14:paraId="2C90DC41" w14:textId="77777777" w:rsidR="006E08A0" w:rsidRPr="001F75BE" w:rsidRDefault="006E08A0" w:rsidP="005F19A0">
            <w:pPr>
              <w:jc w:val="left"/>
            </w:pPr>
          </w:p>
        </w:tc>
      </w:tr>
      <w:tr w:rsidR="006E08A0" w:rsidRPr="001F75BE" w14:paraId="44C51239" w14:textId="77777777" w:rsidTr="005F19A0">
        <w:trPr>
          <w:trHeight w:val="300"/>
        </w:trPr>
        <w:tc>
          <w:tcPr>
            <w:tcW w:w="1369" w:type="dxa"/>
            <w:vMerge/>
            <w:noWrap/>
            <w:vAlign w:val="center"/>
            <w:hideMark/>
          </w:tcPr>
          <w:p w14:paraId="5E286A5E" w14:textId="77777777" w:rsidR="006E08A0" w:rsidRPr="001F75BE" w:rsidRDefault="006E08A0" w:rsidP="005F19A0">
            <w:pPr>
              <w:jc w:val="left"/>
            </w:pPr>
          </w:p>
        </w:tc>
        <w:tc>
          <w:tcPr>
            <w:tcW w:w="1183" w:type="dxa"/>
            <w:noWrap/>
            <w:vAlign w:val="center"/>
            <w:hideMark/>
          </w:tcPr>
          <w:p w14:paraId="4F8579A1" w14:textId="77777777" w:rsidR="006E08A0" w:rsidRPr="001F75BE" w:rsidRDefault="006E08A0" w:rsidP="005F19A0">
            <w:pPr>
              <w:jc w:val="left"/>
            </w:pPr>
            <w:r w:rsidRPr="001F75BE">
              <w:t>Contraintes</w:t>
            </w:r>
          </w:p>
        </w:tc>
        <w:tc>
          <w:tcPr>
            <w:tcW w:w="8217" w:type="dxa"/>
            <w:noWrap/>
            <w:vAlign w:val="center"/>
            <w:hideMark/>
          </w:tcPr>
          <w:p w14:paraId="4E97FB64" w14:textId="77777777" w:rsidR="006E08A0" w:rsidRPr="001F75BE" w:rsidRDefault="006E08A0" w:rsidP="005F19A0">
            <w:r>
              <w:t>En cas de pollution, il est conseillé de se référer aux préconisations du Décret sols.</w:t>
            </w:r>
          </w:p>
        </w:tc>
        <w:tc>
          <w:tcPr>
            <w:tcW w:w="2697" w:type="dxa"/>
          </w:tcPr>
          <w:p w14:paraId="3794065E" w14:textId="77777777" w:rsidR="006E08A0" w:rsidRPr="001F75BE" w:rsidRDefault="006E08A0" w:rsidP="005F19A0">
            <w:pPr>
              <w:jc w:val="left"/>
            </w:pPr>
            <w:r>
              <w:t>Décret sols</w:t>
            </w:r>
          </w:p>
        </w:tc>
      </w:tr>
      <w:tr w:rsidR="006E08A0" w:rsidRPr="001F75BE" w14:paraId="021D7BEC" w14:textId="77777777" w:rsidTr="00724334">
        <w:trPr>
          <w:trHeight w:val="300"/>
        </w:trPr>
        <w:tc>
          <w:tcPr>
            <w:tcW w:w="1369" w:type="dxa"/>
            <w:vMerge w:val="restart"/>
            <w:noWrap/>
            <w:vAlign w:val="center"/>
            <w:hideMark/>
          </w:tcPr>
          <w:p w14:paraId="5758F8E3" w14:textId="77777777" w:rsidR="006E08A0" w:rsidRPr="001F75BE" w:rsidRDefault="006E08A0" w:rsidP="005F19A0">
            <w:pPr>
              <w:jc w:val="left"/>
            </w:pPr>
            <w:r w:rsidRPr="001F75BE">
              <w:t>Biodiversité végétale</w:t>
            </w:r>
          </w:p>
        </w:tc>
        <w:tc>
          <w:tcPr>
            <w:tcW w:w="1183" w:type="dxa"/>
            <w:vMerge w:val="restart"/>
            <w:noWrap/>
            <w:vAlign w:val="center"/>
            <w:hideMark/>
          </w:tcPr>
          <w:p w14:paraId="0B50F0B0" w14:textId="77777777" w:rsidR="006E08A0" w:rsidRPr="001F75BE" w:rsidRDefault="006E08A0" w:rsidP="005F19A0">
            <w:pPr>
              <w:jc w:val="left"/>
            </w:pPr>
            <w:r w:rsidRPr="001F75BE">
              <w:t>Potentiel d'accueil</w:t>
            </w:r>
          </w:p>
        </w:tc>
        <w:tc>
          <w:tcPr>
            <w:tcW w:w="8217" w:type="dxa"/>
            <w:noWrap/>
            <w:vAlign w:val="center"/>
            <w:hideMark/>
          </w:tcPr>
          <w:p w14:paraId="3B2E49B5" w14:textId="77777777" w:rsidR="006E08A0" w:rsidRPr="001F75BE" w:rsidRDefault="006E08A0" w:rsidP="005F19A0">
            <w:r>
              <w:t>Exporter les nutriments (via un export des résidus végétaux : fauche, tonte) permet de rétablir des niveaux minimaux nécessaires pour le développement d’une végétation diversifiée.</w:t>
            </w:r>
          </w:p>
        </w:tc>
        <w:tc>
          <w:tcPr>
            <w:tcW w:w="2697" w:type="dxa"/>
            <w:shd w:val="clear" w:color="auto" w:fill="F2F2F2" w:themeFill="background1" w:themeFillShade="F2"/>
          </w:tcPr>
          <w:p w14:paraId="79CE8050" w14:textId="77777777" w:rsidR="006E08A0" w:rsidRDefault="006E08A0" w:rsidP="005F19A0">
            <w:pPr>
              <w:jc w:val="left"/>
            </w:pPr>
          </w:p>
        </w:tc>
      </w:tr>
      <w:tr w:rsidR="006E08A0" w:rsidRPr="001F75BE" w14:paraId="10BFFC73" w14:textId="77777777" w:rsidTr="00724334">
        <w:trPr>
          <w:trHeight w:val="300"/>
        </w:trPr>
        <w:tc>
          <w:tcPr>
            <w:tcW w:w="1369" w:type="dxa"/>
            <w:vMerge/>
            <w:noWrap/>
            <w:vAlign w:val="center"/>
          </w:tcPr>
          <w:p w14:paraId="4027ADC7" w14:textId="77777777" w:rsidR="006E08A0" w:rsidRPr="001F75BE" w:rsidRDefault="006E08A0" w:rsidP="005F19A0">
            <w:pPr>
              <w:jc w:val="left"/>
            </w:pPr>
          </w:p>
        </w:tc>
        <w:tc>
          <w:tcPr>
            <w:tcW w:w="1183" w:type="dxa"/>
            <w:vMerge/>
            <w:noWrap/>
            <w:vAlign w:val="center"/>
          </w:tcPr>
          <w:p w14:paraId="4D42891B" w14:textId="77777777" w:rsidR="006E08A0" w:rsidRPr="001F75BE" w:rsidRDefault="006E08A0" w:rsidP="005F19A0">
            <w:pPr>
              <w:jc w:val="left"/>
            </w:pPr>
          </w:p>
        </w:tc>
        <w:tc>
          <w:tcPr>
            <w:tcW w:w="8217" w:type="dxa"/>
            <w:noWrap/>
            <w:vAlign w:val="center"/>
          </w:tcPr>
          <w:p w14:paraId="0C92AB2D" w14:textId="77777777" w:rsidR="006E08A0" w:rsidRPr="001F75BE" w:rsidRDefault="006E08A0" w:rsidP="005F19A0">
            <w:r>
              <w:t>Si des espèces exotiques envahissantes sont présentes sur le site, il convient de gérer leur expansion en s’appuyant sur les prescriptions du GRGT.</w:t>
            </w:r>
          </w:p>
        </w:tc>
        <w:tc>
          <w:tcPr>
            <w:tcW w:w="2697" w:type="dxa"/>
            <w:shd w:val="clear" w:color="auto" w:fill="F2F2F2" w:themeFill="background1" w:themeFillShade="F2"/>
          </w:tcPr>
          <w:p w14:paraId="71BD9312" w14:textId="77777777" w:rsidR="006E08A0" w:rsidRPr="001F75BE" w:rsidRDefault="006E08A0" w:rsidP="005F19A0">
            <w:pPr>
              <w:jc w:val="left"/>
            </w:pPr>
          </w:p>
        </w:tc>
      </w:tr>
      <w:tr w:rsidR="006E08A0" w:rsidRPr="001F75BE" w14:paraId="1B0F217D" w14:textId="77777777" w:rsidTr="00724334">
        <w:trPr>
          <w:trHeight w:val="300"/>
        </w:trPr>
        <w:tc>
          <w:tcPr>
            <w:tcW w:w="1369" w:type="dxa"/>
            <w:vMerge w:val="restart"/>
            <w:noWrap/>
            <w:vAlign w:val="center"/>
            <w:hideMark/>
          </w:tcPr>
          <w:p w14:paraId="30447243" w14:textId="77777777" w:rsidR="006E08A0" w:rsidRPr="001F75BE" w:rsidRDefault="006E08A0" w:rsidP="005F19A0">
            <w:pPr>
              <w:jc w:val="left"/>
            </w:pPr>
            <w:r w:rsidRPr="001F75BE">
              <w:t>Biodiversité sol</w:t>
            </w:r>
          </w:p>
        </w:tc>
        <w:tc>
          <w:tcPr>
            <w:tcW w:w="1183" w:type="dxa"/>
            <w:noWrap/>
            <w:vAlign w:val="center"/>
            <w:hideMark/>
          </w:tcPr>
          <w:p w14:paraId="4CE04DCE" w14:textId="77777777" w:rsidR="006E08A0" w:rsidRPr="001F75BE" w:rsidRDefault="006E08A0" w:rsidP="005F19A0">
            <w:pPr>
              <w:jc w:val="left"/>
            </w:pPr>
            <w:r w:rsidRPr="001F75BE">
              <w:t>Abondance</w:t>
            </w:r>
          </w:p>
        </w:tc>
        <w:tc>
          <w:tcPr>
            <w:tcW w:w="8217" w:type="dxa"/>
            <w:noWrap/>
            <w:vAlign w:val="center"/>
            <w:hideMark/>
          </w:tcPr>
          <w:p w14:paraId="5415AD07" w14:textId="77777777" w:rsidR="006E08A0" w:rsidRPr="001F75BE" w:rsidRDefault="006E08A0" w:rsidP="005F19A0">
            <w:r>
              <w:t>Les amendements organiques permettront d’améliorer l’abondance microbienne et de nématodes.</w:t>
            </w:r>
          </w:p>
        </w:tc>
        <w:tc>
          <w:tcPr>
            <w:tcW w:w="2697" w:type="dxa"/>
            <w:shd w:val="clear" w:color="auto" w:fill="F2F2F2" w:themeFill="background1" w:themeFillShade="F2"/>
          </w:tcPr>
          <w:p w14:paraId="5E9BD389" w14:textId="77777777" w:rsidR="006E08A0" w:rsidRPr="001F75BE" w:rsidRDefault="006E08A0" w:rsidP="005F19A0">
            <w:pPr>
              <w:jc w:val="left"/>
            </w:pPr>
          </w:p>
        </w:tc>
      </w:tr>
      <w:tr w:rsidR="006E08A0" w:rsidRPr="001F75BE" w14:paraId="4F40425D" w14:textId="77777777" w:rsidTr="00724334">
        <w:trPr>
          <w:trHeight w:val="300"/>
        </w:trPr>
        <w:tc>
          <w:tcPr>
            <w:tcW w:w="1369" w:type="dxa"/>
            <w:vMerge/>
            <w:noWrap/>
            <w:vAlign w:val="center"/>
            <w:hideMark/>
          </w:tcPr>
          <w:p w14:paraId="2E846F69" w14:textId="77777777" w:rsidR="006E08A0" w:rsidRPr="001F75BE" w:rsidRDefault="006E08A0" w:rsidP="005F19A0">
            <w:pPr>
              <w:jc w:val="left"/>
            </w:pPr>
          </w:p>
        </w:tc>
        <w:tc>
          <w:tcPr>
            <w:tcW w:w="1183" w:type="dxa"/>
            <w:noWrap/>
            <w:vAlign w:val="center"/>
            <w:hideMark/>
          </w:tcPr>
          <w:p w14:paraId="29B2CF0F" w14:textId="77777777" w:rsidR="006E08A0" w:rsidRPr="001F75BE" w:rsidRDefault="006E08A0" w:rsidP="005F19A0">
            <w:pPr>
              <w:jc w:val="left"/>
            </w:pPr>
            <w:r w:rsidRPr="001F75BE">
              <w:t>Diversité</w:t>
            </w:r>
          </w:p>
        </w:tc>
        <w:tc>
          <w:tcPr>
            <w:tcW w:w="8217" w:type="dxa"/>
            <w:noWrap/>
            <w:vAlign w:val="center"/>
            <w:hideMark/>
          </w:tcPr>
          <w:p w14:paraId="4BBE49F7" w14:textId="77777777" w:rsidR="006E08A0" w:rsidRPr="001F75BE" w:rsidRDefault="006E08A0" w:rsidP="005F19A0">
            <w:r>
              <w:t>Amendements biologiques (ex : nématodes).</w:t>
            </w:r>
          </w:p>
        </w:tc>
        <w:tc>
          <w:tcPr>
            <w:tcW w:w="2697" w:type="dxa"/>
            <w:shd w:val="clear" w:color="auto" w:fill="F2F2F2" w:themeFill="background1" w:themeFillShade="F2"/>
          </w:tcPr>
          <w:p w14:paraId="5E286890" w14:textId="77777777" w:rsidR="006E08A0" w:rsidRDefault="006E08A0" w:rsidP="005F19A0">
            <w:pPr>
              <w:jc w:val="left"/>
            </w:pPr>
          </w:p>
        </w:tc>
      </w:tr>
      <w:tr w:rsidR="006E08A0" w:rsidRPr="001F75BE" w14:paraId="323154DC" w14:textId="77777777" w:rsidTr="00724334">
        <w:trPr>
          <w:trHeight w:val="300"/>
        </w:trPr>
        <w:tc>
          <w:tcPr>
            <w:tcW w:w="1369" w:type="dxa"/>
            <w:noWrap/>
            <w:vAlign w:val="center"/>
            <w:hideMark/>
          </w:tcPr>
          <w:p w14:paraId="6F3ED2C2" w14:textId="77777777" w:rsidR="006E08A0" w:rsidRPr="001F75BE" w:rsidRDefault="006E08A0" w:rsidP="005F19A0">
            <w:pPr>
              <w:jc w:val="left"/>
            </w:pPr>
            <w:r w:rsidRPr="001F75BE">
              <w:t xml:space="preserve">Stockage de </w:t>
            </w:r>
            <w:r>
              <w:t>carbone</w:t>
            </w:r>
          </w:p>
        </w:tc>
        <w:tc>
          <w:tcPr>
            <w:tcW w:w="1183" w:type="dxa"/>
            <w:noWrap/>
            <w:vAlign w:val="center"/>
            <w:hideMark/>
          </w:tcPr>
          <w:p w14:paraId="582848AC" w14:textId="77777777" w:rsidR="006E08A0" w:rsidRPr="001F75BE" w:rsidRDefault="006E08A0" w:rsidP="005F19A0">
            <w:pPr>
              <w:jc w:val="left"/>
            </w:pPr>
            <w:r w:rsidRPr="001F75BE">
              <w:t>Stockage</w:t>
            </w:r>
          </w:p>
        </w:tc>
        <w:tc>
          <w:tcPr>
            <w:tcW w:w="8217" w:type="dxa"/>
            <w:noWrap/>
            <w:vAlign w:val="center"/>
            <w:hideMark/>
          </w:tcPr>
          <w:p w14:paraId="1C78D36A" w14:textId="77777777" w:rsidR="006E08A0" w:rsidRPr="001F75BE" w:rsidRDefault="006E08A0" w:rsidP="005F19A0">
            <w:r>
              <w:t>Les amendements organiques permettront de directement augmenter le stock de carbone du sol.</w:t>
            </w:r>
          </w:p>
        </w:tc>
        <w:tc>
          <w:tcPr>
            <w:tcW w:w="2697" w:type="dxa"/>
            <w:shd w:val="clear" w:color="auto" w:fill="F2F2F2" w:themeFill="background1" w:themeFillShade="F2"/>
          </w:tcPr>
          <w:p w14:paraId="625356AF" w14:textId="77777777" w:rsidR="006E08A0" w:rsidRPr="001F75BE" w:rsidRDefault="006E08A0" w:rsidP="005F19A0">
            <w:pPr>
              <w:jc w:val="left"/>
            </w:pPr>
          </w:p>
        </w:tc>
      </w:tr>
    </w:tbl>
    <w:p w14:paraId="29915B3B" w14:textId="77777777" w:rsidR="006E08A0" w:rsidRDefault="006E08A0" w:rsidP="006E08A0"/>
    <w:p w14:paraId="4865C212" w14:textId="77777777" w:rsidR="006E08A0" w:rsidRDefault="006E08A0" w:rsidP="006E08A0">
      <w:r>
        <w:t xml:space="preserve">N.B. : </w:t>
      </w:r>
    </w:p>
    <w:p w14:paraId="02D30C00" w14:textId="77777777" w:rsidR="006E08A0" w:rsidRDefault="006E08A0">
      <w:pPr>
        <w:pStyle w:val="Paragraphedeliste"/>
        <w:numPr>
          <w:ilvl w:val="0"/>
          <w:numId w:val="33"/>
        </w:numPr>
        <w:rPr>
          <w:lang w:eastAsia="fr-BE"/>
        </w:rPr>
      </w:pPr>
      <w:r>
        <w:t>Les amendements organiques suivants seront privilégiés (à nuancer en fonction des situations) :</w:t>
      </w:r>
      <w:r w:rsidRPr="005F378B">
        <w:rPr>
          <w:rFonts w:ascii="Aptos Narrow" w:eastAsia="Times New Roman" w:hAnsi="Aptos Narrow" w:cs="Times New Roman"/>
          <w:color w:val="000000"/>
          <w:kern w:val="0"/>
          <w:szCs w:val="22"/>
          <w:lang w:eastAsia="fr-BE"/>
          <w14:ligatures w14:val="none"/>
        </w:rPr>
        <w:t xml:space="preserve"> </w:t>
      </w:r>
      <w:r w:rsidRPr="00F0782B">
        <w:rPr>
          <w:lang w:eastAsia="fr-BE"/>
        </w:rPr>
        <w:t>compost, résidus végétaux (mulching, feuilles mortes, couvert permanent, paillage etc.)</w:t>
      </w:r>
      <w:r>
        <w:rPr>
          <w:lang w:eastAsia="fr-BE"/>
        </w:rPr>
        <w:t xml:space="preserve">. </w:t>
      </w:r>
    </w:p>
    <w:p w14:paraId="75801F35" w14:textId="77777777" w:rsidR="006E08A0" w:rsidRDefault="006E08A0">
      <w:pPr>
        <w:pStyle w:val="Paragraphedeliste"/>
        <w:numPr>
          <w:ilvl w:val="0"/>
          <w:numId w:val="33"/>
        </w:numPr>
        <w:rPr>
          <w:lang w:eastAsia="fr-BE"/>
        </w:rPr>
      </w:pPr>
      <w:r>
        <w:rPr>
          <w:lang w:eastAsia="fr-BE"/>
        </w:rPr>
        <w:t>Des fertilisants à base d’azote minéral et de soufre peuvent être utilisés pour diminuer le pH, tandis que l’ajout de chaux augmente le pH.</w:t>
      </w:r>
    </w:p>
    <w:p w14:paraId="4F3A31D6" w14:textId="77777777" w:rsidR="006E08A0" w:rsidRDefault="006E08A0" w:rsidP="006E08A0">
      <w:pPr>
        <w:rPr>
          <w:lang w:eastAsia="fr-BE"/>
        </w:rPr>
      </w:pPr>
    </w:p>
    <w:p w14:paraId="0696B9C9" w14:textId="77777777" w:rsidR="006E08A0" w:rsidRDefault="006E08A0" w:rsidP="006E08A0">
      <w:pPr>
        <w:jc w:val="left"/>
      </w:pPr>
    </w:p>
    <w:p w14:paraId="5F61FBBB" w14:textId="757898FD" w:rsidR="006E08A0" w:rsidRPr="003E5CD4" w:rsidRDefault="006E08A0" w:rsidP="006E08A0">
      <w:pPr>
        <w:pStyle w:val="Lgende"/>
        <w:keepNext/>
        <w:jc w:val="center"/>
        <w:rPr>
          <w:i w:val="0"/>
          <w:iCs w:val="0"/>
        </w:rPr>
      </w:pPr>
      <w:r w:rsidRPr="003E5CD4">
        <w:rPr>
          <w:i w:val="0"/>
          <w:iCs w:val="0"/>
        </w:rPr>
        <w:lastRenderedPageBreak/>
        <w:t xml:space="preserve">Tableau </w:t>
      </w:r>
      <w:r w:rsidRPr="003E5CD4">
        <w:rPr>
          <w:i w:val="0"/>
          <w:iCs w:val="0"/>
        </w:rPr>
        <w:fldChar w:fldCharType="begin"/>
      </w:r>
      <w:r w:rsidRPr="003E5CD4">
        <w:rPr>
          <w:i w:val="0"/>
          <w:iCs w:val="0"/>
        </w:rPr>
        <w:instrText xml:space="preserve"> SEQ Tableau \* ARABIC </w:instrText>
      </w:r>
      <w:r w:rsidRPr="003E5CD4">
        <w:rPr>
          <w:i w:val="0"/>
          <w:iCs w:val="0"/>
        </w:rPr>
        <w:fldChar w:fldCharType="separate"/>
      </w:r>
      <w:r w:rsidR="003D7F8A">
        <w:rPr>
          <w:i w:val="0"/>
          <w:iCs w:val="0"/>
          <w:noProof/>
        </w:rPr>
        <w:t>7</w:t>
      </w:r>
      <w:r w:rsidRPr="003E5CD4">
        <w:rPr>
          <w:i w:val="0"/>
          <w:iCs w:val="0"/>
        </w:rPr>
        <w:fldChar w:fldCharType="end"/>
      </w:r>
      <w:r w:rsidRPr="003E5CD4">
        <w:rPr>
          <w:i w:val="0"/>
          <w:iCs w:val="0"/>
        </w:rPr>
        <w:t xml:space="preserve"> : Influence des conseils de gestion sur les </w:t>
      </w:r>
      <w:r>
        <w:rPr>
          <w:i w:val="0"/>
          <w:iCs w:val="0"/>
        </w:rPr>
        <w:t>services écosystémiques</w:t>
      </w:r>
      <w:r w:rsidRPr="003E5CD4">
        <w:rPr>
          <w:i w:val="0"/>
          <w:iCs w:val="0"/>
        </w:rPr>
        <w:t xml:space="preserve"> et fonctions correspondantes</w:t>
      </w:r>
    </w:p>
    <w:tbl>
      <w:tblPr>
        <w:tblStyle w:val="Grilledutableau"/>
        <w:tblW w:w="13603" w:type="dxa"/>
        <w:jc w:val="center"/>
        <w:tblLayout w:type="fixed"/>
        <w:tblLook w:val="04A0" w:firstRow="1" w:lastRow="0" w:firstColumn="1" w:lastColumn="0" w:noHBand="0" w:noVBand="1"/>
      </w:tblPr>
      <w:tblGrid>
        <w:gridCol w:w="5119"/>
        <w:gridCol w:w="1022"/>
        <w:gridCol w:w="1022"/>
        <w:gridCol w:w="1022"/>
        <w:gridCol w:w="1022"/>
        <w:gridCol w:w="1022"/>
        <w:gridCol w:w="1022"/>
        <w:gridCol w:w="1022"/>
        <w:gridCol w:w="1330"/>
      </w:tblGrid>
      <w:tr w:rsidR="006E08A0" w:rsidRPr="005461E1" w14:paraId="1A791EEE" w14:textId="77777777" w:rsidTr="005F19A0">
        <w:trPr>
          <w:cantSplit/>
          <w:trHeight w:val="274"/>
          <w:jc w:val="center"/>
        </w:trPr>
        <w:tc>
          <w:tcPr>
            <w:tcW w:w="511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4D03191D" w14:textId="77777777" w:rsidR="006E08A0" w:rsidRPr="005461E1" w:rsidRDefault="006E08A0" w:rsidP="005F19A0">
            <w:pPr>
              <w:jc w:val="left"/>
              <w:rPr>
                <w:rFonts w:cs="Calibri"/>
                <w:sz w:val="20"/>
                <w:szCs w:val="20"/>
              </w:rPr>
            </w:pPr>
            <w:r w:rsidRPr="005461E1">
              <w:rPr>
                <w:rFonts w:cs="Calibri"/>
                <w:sz w:val="20"/>
                <w:szCs w:val="20"/>
              </w:rPr>
              <w:t>Conseils de gestion</w:t>
            </w:r>
          </w:p>
        </w:tc>
        <w:tc>
          <w:tcPr>
            <w:tcW w:w="306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0AE741C2" w14:textId="77777777" w:rsidR="006E08A0" w:rsidRPr="005461E1" w:rsidRDefault="006E08A0" w:rsidP="005F19A0">
            <w:pPr>
              <w:jc w:val="center"/>
              <w:rPr>
                <w:rFonts w:cs="Calibri"/>
                <w:sz w:val="16"/>
                <w:szCs w:val="16"/>
              </w:rPr>
            </w:pPr>
            <w:r>
              <w:rPr>
                <w:rFonts w:cs="Calibri"/>
                <w:sz w:val="16"/>
                <w:szCs w:val="16"/>
              </w:rPr>
              <w:t>Production</w:t>
            </w:r>
          </w:p>
        </w:tc>
        <w:tc>
          <w:tcPr>
            <w:tcW w:w="102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64D2693F" w14:textId="77777777" w:rsidR="006E08A0" w:rsidRPr="005461E1" w:rsidRDefault="006E08A0" w:rsidP="005F19A0">
            <w:pPr>
              <w:jc w:val="center"/>
              <w:rPr>
                <w:rFonts w:cs="Calibri"/>
                <w:sz w:val="16"/>
                <w:szCs w:val="16"/>
              </w:rPr>
            </w:pPr>
            <w:r w:rsidRPr="005461E1">
              <w:rPr>
                <w:rFonts w:cs="Calibri"/>
                <w:sz w:val="16"/>
                <w:szCs w:val="16"/>
              </w:rPr>
              <w:t>Infiltration</w:t>
            </w:r>
          </w:p>
        </w:tc>
        <w:tc>
          <w:tcPr>
            <w:tcW w:w="102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771C7172" w14:textId="77777777" w:rsidR="006E08A0" w:rsidRPr="005461E1" w:rsidRDefault="006E08A0" w:rsidP="005F19A0">
            <w:pPr>
              <w:jc w:val="center"/>
              <w:rPr>
                <w:rFonts w:cs="Calibri"/>
                <w:sz w:val="16"/>
                <w:szCs w:val="16"/>
              </w:rPr>
            </w:pPr>
            <w:r w:rsidRPr="005461E1">
              <w:rPr>
                <w:rFonts w:cs="Calibri"/>
                <w:sz w:val="16"/>
                <w:szCs w:val="16"/>
              </w:rPr>
              <w:t>Protection nappes</w:t>
            </w:r>
          </w:p>
        </w:tc>
        <w:tc>
          <w:tcPr>
            <w:tcW w:w="102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19392145" w14:textId="77777777" w:rsidR="006E08A0" w:rsidRPr="005461E1" w:rsidRDefault="006E08A0" w:rsidP="005F19A0">
            <w:pPr>
              <w:jc w:val="center"/>
              <w:rPr>
                <w:rFonts w:cs="Calibri"/>
                <w:sz w:val="16"/>
                <w:szCs w:val="16"/>
              </w:rPr>
            </w:pPr>
            <w:r w:rsidRPr="005461E1">
              <w:rPr>
                <w:rFonts w:cs="Calibri"/>
                <w:sz w:val="16"/>
                <w:szCs w:val="16"/>
              </w:rPr>
              <w:t>Biodiversité du sol</w:t>
            </w:r>
          </w:p>
        </w:tc>
        <w:tc>
          <w:tcPr>
            <w:tcW w:w="102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3FBE1B79" w14:textId="77777777" w:rsidR="006E08A0" w:rsidRPr="005461E1" w:rsidRDefault="006E08A0" w:rsidP="005F19A0">
            <w:pPr>
              <w:jc w:val="center"/>
              <w:rPr>
                <w:rFonts w:cs="Calibri"/>
                <w:sz w:val="16"/>
                <w:szCs w:val="16"/>
              </w:rPr>
            </w:pPr>
            <w:r w:rsidRPr="005461E1">
              <w:rPr>
                <w:rFonts w:cs="Calibri"/>
                <w:sz w:val="16"/>
                <w:szCs w:val="16"/>
              </w:rPr>
              <w:t>Biodiversité végétale</w:t>
            </w:r>
          </w:p>
        </w:tc>
        <w:tc>
          <w:tcPr>
            <w:tcW w:w="133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7B30CEC4" w14:textId="77777777" w:rsidR="006E08A0" w:rsidRPr="005461E1" w:rsidRDefault="006E08A0" w:rsidP="005F19A0">
            <w:pPr>
              <w:jc w:val="center"/>
              <w:rPr>
                <w:rFonts w:cs="Calibri"/>
                <w:sz w:val="16"/>
                <w:szCs w:val="16"/>
              </w:rPr>
            </w:pPr>
            <w:r w:rsidRPr="005461E1">
              <w:rPr>
                <w:rFonts w:cs="Calibri"/>
                <w:sz w:val="16"/>
                <w:szCs w:val="16"/>
              </w:rPr>
              <w:t>Stockage carbone</w:t>
            </w:r>
          </w:p>
        </w:tc>
      </w:tr>
      <w:tr w:rsidR="006E08A0" w:rsidRPr="005461E1" w14:paraId="7A5DAF8E" w14:textId="77777777" w:rsidTr="005F19A0">
        <w:trPr>
          <w:cantSplit/>
          <w:trHeight w:val="414"/>
          <w:jc w:val="center"/>
        </w:trPr>
        <w:tc>
          <w:tcPr>
            <w:tcW w:w="5119"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33A44F54" w14:textId="77777777" w:rsidR="006E08A0" w:rsidRPr="005461E1" w:rsidRDefault="006E08A0" w:rsidP="005F19A0">
            <w:pPr>
              <w:jc w:val="left"/>
              <w:rPr>
                <w:rFonts w:cs="Calibri"/>
                <w:sz w:val="20"/>
                <w:szCs w:val="20"/>
              </w:rPr>
            </w:pPr>
          </w:p>
        </w:tc>
        <w:tc>
          <w:tcPr>
            <w:tcW w:w="10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1840C34" w14:textId="77777777" w:rsidR="006E08A0" w:rsidRPr="005461E1" w:rsidRDefault="006E08A0" w:rsidP="005F19A0">
            <w:pPr>
              <w:jc w:val="center"/>
              <w:rPr>
                <w:rFonts w:cs="Calibri"/>
                <w:sz w:val="16"/>
                <w:szCs w:val="16"/>
              </w:rPr>
            </w:pPr>
            <w:r>
              <w:rPr>
                <w:rFonts w:cs="Calibri"/>
                <w:sz w:val="16"/>
                <w:szCs w:val="16"/>
              </w:rPr>
              <w:t>Nutrition</w:t>
            </w:r>
          </w:p>
        </w:tc>
        <w:tc>
          <w:tcPr>
            <w:tcW w:w="10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01D4F3B2" w14:textId="77777777" w:rsidR="006E08A0" w:rsidRPr="005461E1" w:rsidRDefault="006E08A0" w:rsidP="005F19A0">
            <w:pPr>
              <w:jc w:val="center"/>
              <w:rPr>
                <w:rFonts w:cs="Calibri"/>
                <w:sz w:val="16"/>
                <w:szCs w:val="16"/>
              </w:rPr>
            </w:pPr>
            <w:r>
              <w:rPr>
                <w:rFonts w:cs="Calibri"/>
                <w:sz w:val="16"/>
                <w:szCs w:val="16"/>
              </w:rPr>
              <w:t>Fourniture eau</w:t>
            </w:r>
          </w:p>
        </w:tc>
        <w:tc>
          <w:tcPr>
            <w:tcW w:w="10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6195AE1B" w14:textId="77777777" w:rsidR="006E08A0" w:rsidRPr="005461E1" w:rsidRDefault="006E08A0" w:rsidP="005F19A0">
            <w:pPr>
              <w:jc w:val="center"/>
              <w:rPr>
                <w:rFonts w:cs="Calibri"/>
                <w:sz w:val="16"/>
                <w:szCs w:val="16"/>
              </w:rPr>
            </w:pPr>
            <w:r>
              <w:rPr>
                <w:rFonts w:cs="Calibri"/>
                <w:sz w:val="16"/>
                <w:szCs w:val="16"/>
              </w:rPr>
              <w:t>Structure</w:t>
            </w:r>
          </w:p>
        </w:tc>
        <w:tc>
          <w:tcPr>
            <w:tcW w:w="1022"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64535BA" w14:textId="77777777" w:rsidR="006E08A0" w:rsidRPr="005461E1" w:rsidRDefault="006E08A0" w:rsidP="005F19A0">
            <w:pPr>
              <w:jc w:val="center"/>
              <w:rPr>
                <w:rFonts w:cs="Calibri"/>
                <w:sz w:val="16"/>
                <w:szCs w:val="16"/>
              </w:rPr>
            </w:pPr>
          </w:p>
        </w:tc>
        <w:tc>
          <w:tcPr>
            <w:tcW w:w="1022"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682AEAF9" w14:textId="77777777" w:rsidR="006E08A0" w:rsidRPr="005461E1" w:rsidRDefault="006E08A0" w:rsidP="005F19A0">
            <w:pPr>
              <w:jc w:val="center"/>
              <w:rPr>
                <w:rFonts w:cs="Calibri"/>
                <w:sz w:val="16"/>
                <w:szCs w:val="16"/>
              </w:rPr>
            </w:pPr>
          </w:p>
        </w:tc>
        <w:tc>
          <w:tcPr>
            <w:tcW w:w="1022"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51853A75" w14:textId="77777777" w:rsidR="006E08A0" w:rsidRPr="005461E1" w:rsidRDefault="006E08A0" w:rsidP="005F19A0">
            <w:pPr>
              <w:jc w:val="center"/>
              <w:rPr>
                <w:rFonts w:cs="Calibri"/>
                <w:sz w:val="16"/>
                <w:szCs w:val="16"/>
              </w:rPr>
            </w:pPr>
          </w:p>
        </w:tc>
        <w:tc>
          <w:tcPr>
            <w:tcW w:w="1022"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7F2078D6" w14:textId="77777777" w:rsidR="006E08A0" w:rsidRPr="005461E1" w:rsidRDefault="006E08A0" w:rsidP="005F19A0">
            <w:pPr>
              <w:jc w:val="center"/>
              <w:rPr>
                <w:rFonts w:cs="Calibri"/>
                <w:sz w:val="16"/>
                <w:szCs w:val="16"/>
              </w:rPr>
            </w:pPr>
          </w:p>
        </w:tc>
        <w:tc>
          <w:tcPr>
            <w:tcW w:w="1330"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BC89DE2" w14:textId="77777777" w:rsidR="006E08A0" w:rsidRPr="005461E1" w:rsidRDefault="006E08A0" w:rsidP="005F19A0">
            <w:pPr>
              <w:jc w:val="center"/>
              <w:rPr>
                <w:rFonts w:cs="Calibri"/>
                <w:sz w:val="16"/>
                <w:szCs w:val="16"/>
              </w:rPr>
            </w:pPr>
          </w:p>
        </w:tc>
      </w:tr>
      <w:tr w:rsidR="006E08A0" w:rsidRPr="005461E1" w14:paraId="569ABF98" w14:textId="77777777" w:rsidTr="005F19A0">
        <w:trPr>
          <w:trHeight w:val="170"/>
          <w:jc w:val="center"/>
        </w:trPr>
        <w:tc>
          <w:tcPr>
            <w:tcW w:w="5119" w:type="dxa"/>
            <w:tcBorders>
              <w:top w:val="single" w:sz="4" w:space="0" w:color="FFFFFF" w:themeColor="background1"/>
            </w:tcBorders>
            <w:vAlign w:val="center"/>
            <w:hideMark/>
          </w:tcPr>
          <w:p w14:paraId="7724CD39" w14:textId="77777777" w:rsidR="006E08A0" w:rsidRPr="00773568" w:rsidRDefault="006E08A0" w:rsidP="005F19A0">
            <w:pPr>
              <w:rPr>
                <w:rFonts w:cs="Calibri"/>
                <w:sz w:val="20"/>
                <w:szCs w:val="20"/>
              </w:rPr>
            </w:pPr>
            <w:r w:rsidRPr="00773568">
              <w:rPr>
                <w:sz w:val="20"/>
                <w:szCs w:val="20"/>
              </w:rPr>
              <w:t>Amendements organiques</w:t>
            </w:r>
          </w:p>
        </w:tc>
        <w:tc>
          <w:tcPr>
            <w:tcW w:w="1022" w:type="dxa"/>
            <w:tcBorders>
              <w:top w:val="single" w:sz="4" w:space="0" w:color="FFFFFF" w:themeColor="background1"/>
            </w:tcBorders>
            <w:noWrap/>
            <w:vAlign w:val="center"/>
          </w:tcPr>
          <w:p w14:paraId="59E2009C" w14:textId="77777777" w:rsidR="006E08A0" w:rsidRPr="005461E1" w:rsidRDefault="006E08A0" w:rsidP="005F19A0">
            <w:pPr>
              <w:jc w:val="center"/>
              <w:rPr>
                <w:rFonts w:cs="Calibri"/>
                <w:sz w:val="16"/>
                <w:szCs w:val="16"/>
              </w:rPr>
            </w:pPr>
            <w:r>
              <w:rPr>
                <w:rFonts w:cs="Calibri"/>
                <w:sz w:val="16"/>
                <w:szCs w:val="16"/>
              </w:rPr>
              <w:t>X</w:t>
            </w:r>
          </w:p>
        </w:tc>
        <w:tc>
          <w:tcPr>
            <w:tcW w:w="1022" w:type="dxa"/>
            <w:tcBorders>
              <w:top w:val="single" w:sz="4" w:space="0" w:color="FFFFFF" w:themeColor="background1"/>
            </w:tcBorders>
            <w:noWrap/>
            <w:vAlign w:val="center"/>
          </w:tcPr>
          <w:p w14:paraId="4E3E5915" w14:textId="77777777" w:rsidR="006E08A0" w:rsidRPr="005461E1" w:rsidRDefault="006E08A0" w:rsidP="005F19A0">
            <w:pPr>
              <w:jc w:val="center"/>
              <w:rPr>
                <w:rFonts w:cs="Calibri"/>
                <w:sz w:val="16"/>
                <w:szCs w:val="16"/>
              </w:rPr>
            </w:pPr>
            <w:r>
              <w:rPr>
                <w:rFonts w:cs="Calibri"/>
                <w:sz w:val="16"/>
                <w:szCs w:val="16"/>
              </w:rPr>
              <w:t>X</w:t>
            </w:r>
          </w:p>
        </w:tc>
        <w:tc>
          <w:tcPr>
            <w:tcW w:w="1022" w:type="dxa"/>
            <w:tcBorders>
              <w:top w:val="single" w:sz="4" w:space="0" w:color="FFFFFF" w:themeColor="background1"/>
            </w:tcBorders>
            <w:noWrap/>
            <w:vAlign w:val="center"/>
          </w:tcPr>
          <w:p w14:paraId="48EC507F" w14:textId="77777777" w:rsidR="006E08A0" w:rsidRPr="005461E1" w:rsidRDefault="006E08A0" w:rsidP="005F19A0">
            <w:pPr>
              <w:jc w:val="center"/>
              <w:rPr>
                <w:rFonts w:cs="Calibri"/>
                <w:sz w:val="16"/>
                <w:szCs w:val="16"/>
              </w:rPr>
            </w:pPr>
            <w:r>
              <w:rPr>
                <w:rFonts w:cs="Calibri"/>
                <w:sz w:val="16"/>
                <w:szCs w:val="16"/>
              </w:rPr>
              <w:t>X</w:t>
            </w:r>
          </w:p>
        </w:tc>
        <w:tc>
          <w:tcPr>
            <w:tcW w:w="1022" w:type="dxa"/>
            <w:tcBorders>
              <w:top w:val="single" w:sz="4" w:space="0" w:color="FFFFFF" w:themeColor="background1"/>
            </w:tcBorders>
            <w:noWrap/>
            <w:vAlign w:val="center"/>
          </w:tcPr>
          <w:p w14:paraId="2CD8F81F" w14:textId="77777777" w:rsidR="006E08A0" w:rsidRPr="005461E1" w:rsidRDefault="006E08A0" w:rsidP="005F19A0">
            <w:pPr>
              <w:jc w:val="center"/>
              <w:rPr>
                <w:rFonts w:cs="Calibri"/>
                <w:sz w:val="16"/>
                <w:szCs w:val="16"/>
              </w:rPr>
            </w:pPr>
            <w:r>
              <w:rPr>
                <w:rFonts w:cs="Calibri"/>
                <w:sz w:val="16"/>
                <w:szCs w:val="16"/>
              </w:rPr>
              <w:t>X</w:t>
            </w:r>
          </w:p>
        </w:tc>
        <w:tc>
          <w:tcPr>
            <w:tcW w:w="1022" w:type="dxa"/>
            <w:tcBorders>
              <w:top w:val="single" w:sz="4" w:space="0" w:color="FFFFFF" w:themeColor="background1"/>
            </w:tcBorders>
            <w:noWrap/>
            <w:vAlign w:val="center"/>
          </w:tcPr>
          <w:p w14:paraId="1AB38AE4" w14:textId="77777777" w:rsidR="006E08A0" w:rsidRPr="005461E1" w:rsidRDefault="006E08A0" w:rsidP="005F19A0">
            <w:pPr>
              <w:jc w:val="center"/>
              <w:rPr>
                <w:rFonts w:cs="Calibri"/>
                <w:sz w:val="16"/>
                <w:szCs w:val="16"/>
              </w:rPr>
            </w:pPr>
            <w:r>
              <w:rPr>
                <w:rFonts w:cs="Calibri"/>
                <w:sz w:val="16"/>
                <w:szCs w:val="16"/>
              </w:rPr>
              <w:t>X</w:t>
            </w:r>
          </w:p>
        </w:tc>
        <w:tc>
          <w:tcPr>
            <w:tcW w:w="1022" w:type="dxa"/>
            <w:tcBorders>
              <w:top w:val="single" w:sz="4" w:space="0" w:color="FFFFFF" w:themeColor="background1"/>
            </w:tcBorders>
            <w:noWrap/>
            <w:vAlign w:val="center"/>
          </w:tcPr>
          <w:p w14:paraId="74E40732" w14:textId="77777777" w:rsidR="006E08A0" w:rsidRPr="005461E1" w:rsidRDefault="006E08A0" w:rsidP="005F19A0">
            <w:pPr>
              <w:jc w:val="center"/>
              <w:rPr>
                <w:rFonts w:cs="Calibri"/>
                <w:sz w:val="16"/>
                <w:szCs w:val="16"/>
              </w:rPr>
            </w:pPr>
            <w:r>
              <w:rPr>
                <w:rFonts w:cs="Calibri"/>
                <w:sz w:val="16"/>
                <w:szCs w:val="16"/>
              </w:rPr>
              <w:t>X</w:t>
            </w:r>
          </w:p>
        </w:tc>
        <w:tc>
          <w:tcPr>
            <w:tcW w:w="1022" w:type="dxa"/>
            <w:tcBorders>
              <w:top w:val="single" w:sz="4" w:space="0" w:color="FFFFFF" w:themeColor="background1"/>
            </w:tcBorders>
            <w:noWrap/>
            <w:vAlign w:val="center"/>
          </w:tcPr>
          <w:p w14:paraId="6AF4F61C" w14:textId="77777777" w:rsidR="006E08A0" w:rsidRPr="005461E1" w:rsidRDefault="006E08A0" w:rsidP="005F19A0">
            <w:pPr>
              <w:jc w:val="center"/>
              <w:rPr>
                <w:rFonts w:cs="Calibri"/>
                <w:sz w:val="16"/>
                <w:szCs w:val="16"/>
              </w:rPr>
            </w:pPr>
          </w:p>
        </w:tc>
        <w:tc>
          <w:tcPr>
            <w:tcW w:w="1330" w:type="dxa"/>
            <w:tcBorders>
              <w:top w:val="single" w:sz="4" w:space="0" w:color="FFFFFF" w:themeColor="background1"/>
            </w:tcBorders>
            <w:noWrap/>
            <w:vAlign w:val="center"/>
          </w:tcPr>
          <w:p w14:paraId="52926E35" w14:textId="77777777" w:rsidR="006E08A0" w:rsidRPr="005461E1" w:rsidRDefault="006E08A0" w:rsidP="005F19A0">
            <w:pPr>
              <w:jc w:val="center"/>
              <w:rPr>
                <w:rFonts w:cs="Calibri"/>
                <w:sz w:val="16"/>
                <w:szCs w:val="16"/>
              </w:rPr>
            </w:pPr>
            <w:r>
              <w:rPr>
                <w:rFonts w:cs="Calibri"/>
                <w:sz w:val="16"/>
                <w:szCs w:val="16"/>
              </w:rPr>
              <w:t>X</w:t>
            </w:r>
          </w:p>
        </w:tc>
      </w:tr>
      <w:tr w:rsidR="006E08A0" w:rsidRPr="005461E1" w14:paraId="50120DCE" w14:textId="77777777" w:rsidTr="005F19A0">
        <w:trPr>
          <w:trHeight w:val="170"/>
          <w:jc w:val="center"/>
        </w:trPr>
        <w:tc>
          <w:tcPr>
            <w:tcW w:w="5119" w:type="dxa"/>
            <w:vAlign w:val="center"/>
            <w:hideMark/>
          </w:tcPr>
          <w:p w14:paraId="09B509FB" w14:textId="77777777" w:rsidR="006E08A0" w:rsidRPr="00773568" w:rsidRDefault="006E08A0" w:rsidP="005F19A0">
            <w:pPr>
              <w:jc w:val="left"/>
              <w:rPr>
                <w:rFonts w:cs="Calibri"/>
                <w:sz w:val="20"/>
                <w:szCs w:val="20"/>
              </w:rPr>
            </w:pPr>
            <w:r w:rsidRPr="00773568">
              <w:rPr>
                <w:sz w:val="20"/>
                <w:szCs w:val="20"/>
              </w:rPr>
              <w:t>Amendements acides ou basiques</w:t>
            </w:r>
          </w:p>
        </w:tc>
        <w:tc>
          <w:tcPr>
            <w:tcW w:w="1022" w:type="dxa"/>
            <w:noWrap/>
            <w:vAlign w:val="center"/>
          </w:tcPr>
          <w:p w14:paraId="014C9AE9"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72DF7D03" w14:textId="77777777" w:rsidR="006E08A0" w:rsidRPr="005461E1" w:rsidRDefault="006E08A0" w:rsidP="005F19A0">
            <w:pPr>
              <w:jc w:val="center"/>
              <w:rPr>
                <w:rFonts w:cs="Calibri"/>
                <w:sz w:val="16"/>
                <w:szCs w:val="16"/>
              </w:rPr>
            </w:pPr>
          </w:p>
        </w:tc>
        <w:tc>
          <w:tcPr>
            <w:tcW w:w="1022" w:type="dxa"/>
            <w:noWrap/>
            <w:vAlign w:val="center"/>
          </w:tcPr>
          <w:p w14:paraId="02CBC7EB" w14:textId="77777777" w:rsidR="006E08A0" w:rsidRPr="005461E1" w:rsidRDefault="006E08A0" w:rsidP="005F19A0">
            <w:pPr>
              <w:jc w:val="center"/>
              <w:rPr>
                <w:rFonts w:cs="Calibri"/>
                <w:sz w:val="16"/>
                <w:szCs w:val="16"/>
              </w:rPr>
            </w:pPr>
          </w:p>
        </w:tc>
        <w:tc>
          <w:tcPr>
            <w:tcW w:w="1022" w:type="dxa"/>
            <w:noWrap/>
            <w:vAlign w:val="center"/>
          </w:tcPr>
          <w:p w14:paraId="5EC129B5" w14:textId="77777777" w:rsidR="006E08A0" w:rsidRPr="005461E1" w:rsidRDefault="006E08A0" w:rsidP="005F19A0">
            <w:pPr>
              <w:jc w:val="center"/>
              <w:rPr>
                <w:rFonts w:cs="Calibri"/>
                <w:sz w:val="16"/>
                <w:szCs w:val="16"/>
              </w:rPr>
            </w:pPr>
          </w:p>
        </w:tc>
        <w:tc>
          <w:tcPr>
            <w:tcW w:w="1022" w:type="dxa"/>
            <w:noWrap/>
            <w:vAlign w:val="center"/>
          </w:tcPr>
          <w:p w14:paraId="3369EC75" w14:textId="77777777" w:rsidR="006E08A0" w:rsidRPr="005461E1" w:rsidRDefault="006E08A0" w:rsidP="005F19A0">
            <w:pPr>
              <w:jc w:val="center"/>
              <w:rPr>
                <w:rFonts w:cs="Calibri"/>
                <w:sz w:val="16"/>
                <w:szCs w:val="16"/>
              </w:rPr>
            </w:pPr>
          </w:p>
        </w:tc>
        <w:tc>
          <w:tcPr>
            <w:tcW w:w="1022" w:type="dxa"/>
            <w:noWrap/>
            <w:vAlign w:val="center"/>
          </w:tcPr>
          <w:p w14:paraId="01A11DF9" w14:textId="77777777" w:rsidR="006E08A0" w:rsidRPr="005461E1" w:rsidRDefault="006E08A0" w:rsidP="005F19A0">
            <w:pPr>
              <w:jc w:val="center"/>
              <w:rPr>
                <w:rFonts w:cs="Calibri"/>
                <w:sz w:val="16"/>
                <w:szCs w:val="16"/>
              </w:rPr>
            </w:pPr>
          </w:p>
        </w:tc>
        <w:tc>
          <w:tcPr>
            <w:tcW w:w="1022" w:type="dxa"/>
            <w:noWrap/>
            <w:vAlign w:val="center"/>
          </w:tcPr>
          <w:p w14:paraId="1D07884A" w14:textId="77777777" w:rsidR="006E08A0" w:rsidRPr="005461E1" w:rsidRDefault="006E08A0" w:rsidP="005F19A0">
            <w:pPr>
              <w:jc w:val="center"/>
              <w:rPr>
                <w:rFonts w:cs="Calibri"/>
                <w:sz w:val="16"/>
                <w:szCs w:val="16"/>
              </w:rPr>
            </w:pPr>
          </w:p>
        </w:tc>
        <w:tc>
          <w:tcPr>
            <w:tcW w:w="1330" w:type="dxa"/>
            <w:noWrap/>
            <w:vAlign w:val="center"/>
          </w:tcPr>
          <w:p w14:paraId="45044684" w14:textId="77777777" w:rsidR="006E08A0" w:rsidRPr="005461E1" w:rsidRDefault="006E08A0" w:rsidP="005F19A0">
            <w:pPr>
              <w:jc w:val="center"/>
              <w:rPr>
                <w:rFonts w:cs="Calibri"/>
                <w:sz w:val="16"/>
                <w:szCs w:val="16"/>
              </w:rPr>
            </w:pPr>
          </w:p>
        </w:tc>
      </w:tr>
      <w:tr w:rsidR="006E08A0" w:rsidRPr="005461E1" w14:paraId="19AEA5D3" w14:textId="77777777" w:rsidTr="005F19A0">
        <w:trPr>
          <w:trHeight w:val="170"/>
          <w:jc w:val="center"/>
        </w:trPr>
        <w:tc>
          <w:tcPr>
            <w:tcW w:w="5119" w:type="dxa"/>
            <w:vAlign w:val="center"/>
            <w:hideMark/>
          </w:tcPr>
          <w:p w14:paraId="5FA883E2" w14:textId="77777777" w:rsidR="006E08A0" w:rsidRPr="00773568" w:rsidRDefault="006E08A0" w:rsidP="005F19A0">
            <w:pPr>
              <w:jc w:val="left"/>
              <w:rPr>
                <w:rFonts w:cs="Calibri"/>
                <w:sz w:val="20"/>
                <w:szCs w:val="20"/>
              </w:rPr>
            </w:pPr>
            <w:r w:rsidRPr="00773568">
              <w:rPr>
                <w:sz w:val="20"/>
                <w:szCs w:val="20"/>
              </w:rPr>
              <w:t>Engrais</w:t>
            </w:r>
          </w:p>
        </w:tc>
        <w:tc>
          <w:tcPr>
            <w:tcW w:w="1022" w:type="dxa"/>
            <w:noWrap/>
            <w:vAlign w:val="center"/>
          </w:tcPr>
          <w:p w14:paraId="5ED84C17"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2AEC0A23" w14:textId="77777777" w:rsidR="006E08A0" w:rsidRPr="005461E1" w:rsidRDefault="006E08A0" w:rsidP="005F19A0">
            <w:pPr>
              <w:jc w:val="center"/>
              <w:rPr>
                <w:rFonts w:cs="Calibri"/>
                <w:sz w:val="16"/>
                <w:szCs w:val="16"/>
              </w:rPr>
            </w:pPr>
          </w:p>
        </w:tc>
        <w:tc>
          <w:tcPr>
            <w:tcW w:w="1022" w:type="dxa"/>
            <w:noWrap/>
            <w:vAlign w:val="center"/>
          </w:tcPr>
          <w:p w14:paraId="3C4DBD40" w14:textId="77777777" w:rsidR="006E08A0" w:rsidRPr="005461E1" w:rsidRDefault="006E08A0" w:rsidP="005F19A0">
            <w:pPr>
              <w:jc w:val="center"/>
              <w:rPr>
                <w:rFonts w:cs="Calibri"/>
                <w:sz w:val="16"/>
                <w:szCs w:val="16"/>
              </w:rPr>
            </w:pPr>
          </w:p>
        </w:tc>
        <w:tc>
          <w:tcPr>
            <w:tcW w:w="1022" w:type="dxa"/>
            <w:noWrap/>
            <w:vAlign w:val="center"/>
          </w:tcPr>
          <w:p w14:paraId="0D62269B" w14:textId="77777777" w:rsidR="006E08A0" w:rsidRPr="005461E1" w:rsidRDefault="006E08A0" w:rsidP="005F19A0">
            <w:pPr>
              <w:jc w:val="center"/>
              <w:rPr>
                <w:rFonts w:cs="Calibri"/>
                <w:sz w:val="16"/>
                <w:szCs w:val="16"/>
              </w:rPr>
            </w:pPr>
          </w:p>
        </w:tc>
        <w:tc>
          <w:tcPr>
            <w:tcW w:w="1022" w:type="dxa"/>
            <w:noWrap/>
            <w:vAlign w:val="center"/>
          </w:tcPr>
          <w:p w14:paraId="096FC06F" w14:textId="77777777" w:rsidR="006E08A0" w:rsidRPr="005461E1" w:rsidRDefault="006E08A0" w:rsidP="005F19A0">
            <w:pPr>
              <w:jc w:val="center"/>
              <w:rPr>
                <w:rFonts w:cs="Calibri"/>
                <w:sz w:val="16"/>
                <w:szCs w:val="16"/>
              </w:rPr>
            </w:pPr>
          </w:p>
        </w:tc>
        <w:tc>
          <w:tcPr>
            <w:tcW w:w="1022" w:type="dxa"/>
            <w:noWrap/>
            <w:vAlign w:val="center"/>
          </w:tcPr>
          <w:p w14:paraId="1F3617AD" w14:textId="77777777" w:rsidR="006E08A0" w:rsidRPr="005461E1" w:rsidRDefault="006E08A0" w:rsidP="005F19A0">
            <w:pPr>
              <w:jc w:val="center"/>
              <w:rPr>
                <w:rFonts w:cs="Calibri"/>
                <w:sz w:val="16"/>
                <w:szCs w:val="16"/>
              </w:rPr>
            </w:pPr>
          </w:p>
        </w:tc>
        <w:tc>
          <w:tcPr>
            <w:tcW w:w="1022" w:type="dxa"/>
            <w:noWrap/>
            <w:vAlign w:val="center"/>
          </w:tcPr>
          <w:p w14:paraId="793707E8" w14:textId="77777777" w:rsidR="006E08A0" w:rsidRPr="005461E1" w:rsidRDefault="006E08A0" w:rsidP="005F19A0">
            <w:pPr>
              <w:jc w:val="center"/>
              <w:rPr>
                <w:rFonts w:cs="Calibri"/>
                <w:sz w:val="16"/>
                <w:szCs w:val="16"/>
              </w:rPr>
            </w:pPr>
          </w:p>
        </w:tc>
        <w:tc>
          <w:tcPr>
            <w:tcW w:w="1330" w:type="dxa"/>
            <w:noWrap/>
            <w:vAlign w:val="center"/>
          </w:tcPr>
          <w:p w14:paraId="4F375B19" w14:textId="77777777" w:rsidR="006E08A0" w:rsidRPr="005461E1" w:rsidRDefault="006E08A0" w:rsidP="005F19A0">
            <w:pPr>
              <w:jc w:val="center"/>
              <w:rPr>
                <w:rFonts w:cs="Calibri"/>
                <w:sz w:val="16"/>
                <w:szCs w:val="16"/>
              </w:rPr>
            </w:pPr>
          </w:p>
        </w:tc>
      </w:tr>
      <w:tr w:rsidR="006E08A0" w:rsidRPr="005461E1" w14:paraId="4D2D7276" w14:textId="77777777" w:rsidTr="005F19A0">
        <w:trPr>
          <w:trHeight w:val="170"/>
          <w:jc w:val="center"/>
        </w:trPr>
        <w:tc>
          <w:tcPr>
            <w:tcW w:w="5119" w:type="dxa"/>
            <w:vAlign w:val="center"/>
            <w:hideMark/>
          </w:tcPr>
          <w:p w14:paraId="5C1C5E07" w14:textId="77777777" w:rsidR="006E08A0" w:rsidRPr="005461E1" w:rsidRDefault="006E08A0" w:rsidP="005F19A0">
            <w:pPr>
              <w:jc w:val="left"/>
              <w:rPr>
                <w:rFonts w:cs="Calibri"/>
                <w:sz w:val="20"/>
                <w:szCs w:val="20"/>
              </w:rPr>
            </w:pPr>
            <w:r>
              <w:rPr>
                <w:rFonts w:cs="Calibri"/>
                <w:sz w:val="20"/>
                <w:szCs w:val="20"/>
              </w:rPr>
              <w:t>Maintien d’un couvert permanent</w:t>
            </w:r>
          </w:p>
        </w:tc>
        <w:tc>
          <w:tcPr>
            <w:tcW w:w="1022" w:type="dxa"/>
            <w:noWrap/>
            <w:vAlign w:val="center"/>
          </w:tcPr>
          <w:p w14:paraId="47500C3B"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64F21D88"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3763CC0A"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0A97691D"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6DA829F7" w14:textId="77777777" w:rsidR="006E08A0" w:rsidRPr="005461E1" w:rsidRDefault="006E08A0" w:rsidP="005F19A0">
            <w:pPr>
              <w:jc w:val="center"/>
              <w:rPr>
                <w:rFonts w:cs="Calibri"/>
                <w:sz w:val="16"/>
                <w:szCs w:val="16"/>
              </w:rPr>
            </w:pPr>
          </w:p>
        </w:tc>
        <w:tc>
          <w:tcPr>
            <w:tcW w:w="1022" w:type="dxa"/>
            <w:noWrap/>
            <w:vAlign w:val="center"/>
          </w:tcPr>
          <w:p w14:paraId="675EDDEB"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3D745D82" w14:textId="77777777" w:rsidR="006E08A0" w:rsidRPr="005461E1" w:rsidRDefault="006E08A0" w:rsidP="005F19A0">
            <w:pPr>
              <w:jc w:val="center"/>
              <w:rPr>
                <w:rFonts w:cs="Calibri"/>
                <w:sz w:val="16"/>
                <w:szCs w:val="16"/>
              </w:rPr>
            </w:pPr>
          </w:p>
        </w:tc>
        <w:tc>
          <w:tcPr>
            <w:tcW w:w="1330" w:type="dxa"/>
            <w:noWrap/>
            <w:vAlign w:val="center"/>
          </w:tcPr>
          <w:p w14:paraId="3434159A" w14:textId="77777777" w:rsidR="006E08A0" w:rsidRPr="005461E1" w:rsidRDefault="006E08A0" w:rsidP="005F19A0">
            <w:pPr>
              <w:jc w:val="center"/>
              <w:rPr>
                <w:rFonts w:cs="Calibri"/>
                <w:sz w:val="16"/>
                <w:szCs w:val="16"/>
              </w:rPr>
            </w:pPr>
            <w:r>
              <w:rPr>
                <w:rFonts w:cs="Calibri"/>
                <w:sz w:val="16"/>
                <w:szCs w:val="16"/>
              </w:rPr>
              <w:t>X</w:t>
            </w:r>
          </w:p>
        </w:tc>
      </w:tr>
      <w:tr w:rsidR="006E08A0" w:rsidRPr="005461E1" w14:paraId="5AB449E6" w14:textId="77777777" w:rsidTr="005F19A0">
        <w:trPr>
          <w:trHeight w:val="170"/>
          <w:jc w:val="center"/>
        </w:trPr>
        <w:tc>
          <w:tcPr>
            <w:tcW w:w="5119" w:type="dxa"/>
            <w:vAlign w:val="center"/>
            <w:hideMark/>
          </w:tcPr>
          <w:p w14:paraId="638CF793" w14:textId="77777777" w:rsidR="006E08A0" w:rsidRPr="005461E1" w:rsidRDefault="006E08A0" w:rsidP="005F19A0">
            <w:pPr>
              <w:jc w:val="left"/>
              <w:rPr>
                <w:rFonts w:cs="Calibri"/>
                <w:sz w:val="20"/>
                <w:szCs w:val="20"/>
              </w:rPr>
            </w:pPr>
            <w:r>
              <w:rPr>
                <w:rFonts w:cs="Calibri"/>
                <w:sz w:val="20"/>
                <w:szCs w:val="20"/>
              </w:rPr>
              <w:t>Intervention de décompaction</w:t>
            </w:r>
          </w:p>
        </w:tc>
        <w:tc>
          <w:tcPr>
            <w:tcW w:w="1022" w:type="dxa"/>
            <w:noWrap/>
            <w:vAlign w:val="center"/>
          </w:tcPr>
          <w:p w14:paraId="3202B305" w14:textId="77777777" w:rsidR="006E08A0" w:rsidRPr="005461E1" w:rsidRDefault="006E08A0" w:rsidP="005F19A0">
            <w:pPr>
              <w:jc w:val="center"/>
              <w:rPr>
                <w:rFonts w:cs="Calibri"/>
                <w:sz w:val="16"/>
                <w:szCs w:val="16"/>
              </w:rPr>
            </w:pPr>
          </w:p>
        </w:tc>
        <w:tc>
          <w:tcPr>
            <w:tcW w:w="1022" w:type="dxa"/>
            <w:noWrap/>
            <w:vAlign w:val="center"/>
          </w:tcPr>
          <w:p w14:paraId="2C9AA0E2"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431ABE51"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7403F673"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57128F7D" w14:textId="77777777" w:rsidR="006E08A0" w:rsidRPr="005461E1" w:rsidRDefault="006E08A0" w:rsidP="005F19A0">
            <w:pPr>
              <w:jc w:val="center"/>
              <w:rPr>
                <w:rFonts w:cs="Calibri"/>
                <w:sz w:val="16"/>
                <w:szCs w:val="16"/>
              </w:rPr>
            </w:pPr>
          </w:p>
        </w:tc>
        <w:tc>
          <w:tcPr>
            <w:tcW w:w="1022" w:type="dxa"/>
            <w:noWrap/>
            <w:vAlign w:val="center"/>
          </w:tcPr>
          <w:p w14:paraId="7E179608"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69E3B920" w14:textId="77777777" w:rsidR="006E08A0" w:rsidRPr="005461E1" w:rsidRDefault="006E08A0" w:rsidP="005F19A0">
            <w:pPr>
              <w:jc w:val="center"/>
              <w:rPr>
                <w:rFonts w:cs="Calibri"/>
                <w:sz w:val="16"/>
                <w:szCs w:val="16"/>
              </w:rPr>
            </w:pPr>
          </w:p>
        </w:tc>
        <w:tc>
          <w:tcPr>
            <w:tcW w:w="1330" w:type="dxa"/>
            <w:noWrap/>
            <w:vAlign w:val="center"/>
          </w:tcPr>
          <w:p w14:paraId="6041E327" w14:textId="77777777" w:rsidR="006E08A0" w:rsidRPr="005461E1" w:rsidRDefault="006E08A0" w:rsidP="005F19A0">
            <w:pPr>
              <w:jc w:val="center"/>
              <w:rPr>
                <w:rFonts w:cs="Calibri"/>
                <w:sz w:val="16"/>
                <w:szCs w:val="16"/>
              </w:rPr>
            </w:pPr>
          </w:p>
        </w:tc>
      </w:tr>
      <w:tr w:rsidR="006E08A0" w:rsidRPr="005461E1" w14:paraId="13B86419" w14:textId="77777777" w:rsidTr="005F19A0">
        <w:trPr>
          <w:trHeight w:val="170"/>
          <w:jc w:val="center"/>
        </w:trPr>
        <w:tc>
          <w:tcPr>
            <w:tcW w:w="5119" w:type="dxa"/>
            <w:vAlign w:val="center"/>
            <w:hideMark/>
          </w:tcPr>
          <w:p w14:paraId="5183EAA0" w14:textId="77777777" w:rsidR="006E08A0" w:rsidRPr="005461E1" w:rsidRDefault="006E08A0" w:rsidP="005F19A0">
            <w:pPr>
              <w:jc w:val="left"/>
              <w:rPr>
                <w:rFonts w:cs="Calibri"/>
                <w:sz w:val="20"/>
                <w:szCs w:val="20"/>
              </w:rPr>
            </w:pPr>
            <w:r w:rsidRPr="009C7DD6">
              <w:rPr>
                <w:rFonts w:cs="Calibri"/>
                <w:sz w:val="20"/>
                <w:szCs w:val="20"/>
              </w:rPr>
              <w:t>Exporter les nutriments via les résidus végétaux</w:t>
            </w:r>
          </w:p>
        </w:tc>
        <w:tc>
          <w:tcPr>
            <w:tcW w:w="1022" w:type="dxa"/>
            <w:noWrap/>
            <w:vAlign w:val="center"/>
          </w:tcPr>
          <w:p w14:paraId="4CCCCF72" w14:textId="77777777" w:rsidR="006E08A0" w:rsidRPr="005461E1" w:rsidRDefault="006E08A0" w:rsidP="005F19A0">
            <w:pPr>
              <w:jc w:val="center"/>
              <w:rPr>
                <w:rFonts w:cs="Calibri"/>
                <w:sz w:val="16"/>
                <w:szCs w:val="16"/>
              </w:rPr>
            </w:pPr>
          </w:p>
        </w:tc>
        <w:tc>
          <w:tcPr>
            <w:tcW w:w="1022" w:type="dxa"/>
            <w:noWrap/>
            <w:vAlign w:val="center"/>
          </w:tcPr>
          <w:p w14:paraId="683F21A7" w14:textId="77777777" w:rsidR="006E08A0" w:rsidRPr="005461E1" w:rsidRDefault="006E08A0" w:rsidP="005F19A0">
            <w:pPr>
              <w:jc w:val="center"/>
              <w:rPr>
                <w:rFonts w:cs="Calibri"/>
                <w:sz w:val="16"/>
                <w:szCs w:val="16"/>
              </w:rPr>
            </w:pPr>
          </w:p>
        </w:tc>
        <w:tc>
          <w:tcPr>
            <w:tcW w:w="1022" w:type="dxa"/>
            <w:noWrap/>
            <w:vAlign w:val="center"/>
          </w:tcPr>
          <w:p w14:paraId="58FAEA52" w14:textId="77777777" w:rsidR="006E08A0" w:rsidRPr="005461E1" w:rsidRDefault="006E08A0" w:rsidP="005F19A0">
            <w:pPr>
              <w:jc w:val="center"/>
              <w:rPr>
                <w:rFonts w:cs="Calibri"/>
                <w:sz w:val="16"/>
                <w:szCs w:val="16"/>
              </w:rPr>
            </w:pPr>
          </w:p>
        </w:tc>
        <w:tc>
          <w:tcPr>
            <w:tcW w:w="1022" w:type="dxa"/>
            <w:noWrap/>
            <w:vAlign w:val="center"/>
          </w:tcPr>
          <w:p w14:paraId="2CFC1FC9" w14:textId="77777777" w:rsidR="006E08A0" w:rsidRPr="005461E1" w:rsidRDefault="006E08A0" w:rsidP="005F19A0">
            <w:pPr>
              <w:jc w:val="center"/>
              <w:rPr>
                <w:rFonts w:cs="Calibri"/>
                <w:sz w:val="16"/>
                <w:szCs w:val="16"/>
              </w:rPr>
            </w:pPr>
          </w:p>
        </w:tc>
        <w:tc>
          <w:tcPr>
            <w:tcW w:w="1022" w:type="dxa"/>
            <w:noWrap/>
            <w:vAlign w:val="center"/>
          </w:tcPr>
          <w:p w14:paraId="5F5C2D3F" w14:textId="77777777" w:rsidR="006E08A0" w:rsidRPr="005461E1" w:rsidRDefault="006E08A0" w:rsidP="005F19A0">
            <w:pPr>
              <w:jc w:val="center"/>
              <w:rPr>
                <w:rFonts w:cs="Calibri"/>
                <w:sz w:val="16"/>
                <w:szCs w:val="16"/>
              </w:rPr>
            </w:pPr>
          </w:p>
        </w:tc>
        <w:tc>
          <w:tcPr>
            <w:tcW w:w="1022" w:type="dxa"/>
            <w:noWrap/>
            <w:vAlign w:val="center"/>
          </w:tcPr>
          <w:p w14:paraId="6E40B1CF" w14:textId="77777777" w:rsidR="006E08A0" w:rsidRPr="005461E1" w:rsidRDefault="006E08A0" w:rsidP="005F19A0">
            <w:pPr>
              <w:jc w:val="center"/>
              <w:rPr>
                <w:rFonts w:cs="Calibri"/>
                <w:sz w:val="16"/>
                <w:szCs w:val="16"/>
              </w:rPr>
            </w:pPr>
          </w:p>
        </w:tc>
        <w:tc>
          <w:tcPr>
            <w:tcW w:w="1022" w:type="dxa"/>
            <w:noWrap/>
            <w:vAlign w:val="center"/>
          </w:tcPr>
          <w:p w14:paraId="42F24FEE" w14:textId="77777777" w:rsidR="006E08A0" w:rsidRPr="005461E1" w:rsidRDefault="006E08A0" w:rsidP="005F19A0">
            <w:pPr>
              <w:jc w:val="center"/>
              <w:rPr>
                <w:rFonts w:cs="Calibri"/>
                <w:sz w:val="16"/>
                <w:szCs w:val="16"/>
              </w:rPr>
            </w:pPr>
            <w:r>
              <w:rPr>
                <w:rFonts w:cs="Calibri"/>
                <w:sz w:val="16"/>
                <w:szCs w:val="16"/>
              </w:rPr>
              <w:t>X</w:t>
            </w:r>
          </w:p>
        </w:tc>
        <w:tc>
          <w:tcPr>
            <w:tcW w:w="1330" w:type="dxa"/>
            <w:noWrap/>
            <w:vAlign w:val="center"/>
          </w:tcPr>
          <w:p w14:paraId="64F12F81" w14:textId="77777777" w:rsidR="006E08A0" w:rsidRPr="005461E1" w:rsidRDefault="006E08A0" w:rsidP="005F19A0">
            <w:pPr>
              <w:jc w:val="center"/>
              <w:rPr>
                <w:rFonts w:cs="Calibri"/>
                <w:sz w:val="16"/>
                <w:szCs w:val="16"/>
              </w:rPr>
            </w:pPr>
          </w:p>
        </w:tc>
      </w:tr>
      <w:tr w:rsidR="006E08A0" w:rsidRPr="005461E1" w14:paraId="1E7FFBD5" w14:textId="77777777" w:rsidTr="005F19A0">
        <w:trPr>
          <w:trHeight w:val="170"/>
          <w:jc w:val="center"/>
        </w:trPr>
        <w:tc>
          <w:tcPr>
            <w:tcW w:w="5119" w:type="dxa"/>
            <w:vAlign w:val="center"/>
            <w:hideMark/>
          </w:tcPr>
          <w:p w14:paraId="23E4CCB4" w14:textId="77777777" w:rsidR="006E08A0" w:rsidRPr="005461E1" w:rsidRDefault="006E08A0" w:rsidP="005F19A0">
            <w:pPr>
              <w:jc w:val="left"/>
              <w:rPr>
                <w:rFonts w:cs="Calibri"/>
                <w:sz w:val="20"/>
                <w:szCs w:val="20"/>
              </w:rPr>
            </w:pPr>
            <w:r>
              <w:rPr>
                <w:rFonts w:cs="Calibri"/>
                <w:sz w:val="20"/>
                <w:szCs w:val="20"/>
              </w:rPr>
              <w:t>Gestion de la pollution</w:t>
            </w:r>
          </w:p>
        </w:tc>
        <w:tc>
          <w:tcPr>
            <w:tcW w:w="3066" w:type="dxa"/>
            <w:gridSpan w:val="3"/>
            <w:noWrap/>
            <w:vAlign w:val="center"/>
          </w:tcPr>
          <w:p w14:paraId="1B8DE305"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2D4AF130" w14:textId="77777777" w:rsidR="006E08A0" w:rsidRPr="005461E1" w:rsidRDefault="006E08A0" w:rsidP="005F19A0">
            <w:pPr>
              <w:jc w:val="center"/>
              <w:rPr>
                <w:rFonts w:cs="Calibri"/>
                <w:sz w:val="16"/>
                <w:szCs w:val="16"/>
              </w:rPr>
            </w:pPr>
          </w:p>
        </w:tc>
        <w:tc>
          <w:tcPr>
            <w:tcW w:w="1022" w:type="dxa"/>
            <w:noWrap/>
            <w:vAlign w:val="center"/>
          </w:tcPr>
          <w:p w14:paraId="2F138505"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1AE2EEB4"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0EEC39B9" w14:textId="77777777" w:rsidR="006E08A0" w:rsidRPr="005461E1" w:rsidRDefault="006E08A0" w:rsidP="005F19A0">
            <w:pPr>
              <w:jc w:val="center"/>
              <w:rPr>
                <w:rFonts w:cs="Calibri"/>
                <w:sz w:val="16"/>
                <w:szCs w:val="16"/>
              </w:rPr>
            </w:pPr>
          </w:p>
        </w:tc>
        <w:tc>
          <w:tcPr>
            <w:tcW w:w="1330" w:type="dxa"/>
            <w:noWrap/>
            <w:vAlign w:val="center"/>
          </w:tcPr>
          <w:p w14:paraId="176F28E1" w14:textId="77777777" w:rsidR="006E08A0" w:rsidRPr="005461E1" w:rsidRDefault="006E08A0" w:rsidP="005F19A0">
            <w:pPr>
              <w:jc w:val="center"/>
              <w:rPr>
                <w:rFonts w:cs="Calibri"/>
                <w:sz w:val="16"/>
                <w:szCs w:val="16"/>
              </w:rPr>
            </w:pPr>
          </w:p>
        </w:tc>
      </w:tr>
      <w:tr w:rsidR="006E08A0" w:rsidRPr="005461E1" w14:paraId="3A935CC4" w14:textId="77777777" w:rsidTr="005F19A0">
        <w:trPr>
          <w:trHeight w:val="170"/>
          <w:jc w:val="center"/>
        </w:trPr>
        <w:tc>
          <w:tcPr>
            <w:tcW w:w="5119" w:type="dxa"/>
            <w:vAlign w:val="center"/>
            <w:hideMark/>
          </w:tcPr>
          <w:p w14:paraId="2EECE7C8" w14:textId="77777777" w:rsidR="006E08A0" w:rsidRPr="005461E1" w:rsidRDefault="006E08A0" w:rsidP="005F19A0">
            <w:pPr>
              <w:jc w:val="left"/>
              <w:rPr>
                <w:rFonts w:cs="Calibri"/>
                <w:sz w:val="20"/>
                <w:szCs w:val="20"/>
              </w:rPr>
            </w:pPr>
            <w:r>
              <w:rPr>
                <w:rFonts w:cs="Calibri"/>
                <w:sz w:val="20"/>
                <w:szCs w:val="20"/>
              </w:rPr>
              <w:t>Gestion des EEE</w:t>
            </w:r>
          </w:p>
        </w:tc>
        <w:tc>
          <w:tcPr>
            <w:tcW w:w="3066" w:type="dxa"/>
            <w:gridSpan w:val="3"/>
            <w:noWrap/>
            <w:vAlign w:val="center"/>
          </w:tcPr>
          <w:p w14:paraId="5184AF7C"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6A4CFAFE" w14:textId="77777777" w:rsidR="006E08A0" w:rsidRPr="005461E1" w:rsidRDefault="006E08A0" w:rsidP="005F19A0">
            <w:pPr>
              <w:jc w:val="center"/>
              <w:rPr>
                <w:rFonts w:cs="Calibri"/>
                <w:sz w:val="16"/>
                <w:szCs w:val="16"/>
              </w:rPr>
            </w:pPr>
          </w:p>
        </w:tc>
        <w:tc>
          <w:tcPr>
            <w:tcW w:w="1022" w:type="dxa"/>
            <w:noWrap/>
            <w:vAlign w:val="center"/>
          </w:tcPr>
          <w:p w14:paraId="2645BF09"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5CBE9129"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15D3CA62" w14:textId="77777777" w:rsidR="006E08A0" w:rsidRPr="005461E1" w:rsidRDefault="006E08A0" w:rsidP="005F19A0">
            <w:pPr>
              <w:jc w:val="center"/>
              <w:rPr>
                <w:rFonts w:cs="Calibri"/>
                <w:sz w:val="16"/>
                <w:szCs w:val="16"/>
              </w:rPr>
            </w:pPr>
          </w:p>
        </w:tc>
        <w:tc>
          <w:tcPr>
            <w:tcW w:w="1330" w:type="dxa"/>
            <w:noWrap/>
            <w:vAlign w:val="center"/>
          </w:tcPr>
          <w:p w14:paraId="7907C812" w14:textId="77777777" w:rsidR="006E08A0" w:rsidRPr="005461E1" w:rsidRDefault="006E08A0" w:rsidP="005F19A0">
            <w:pPr>
              <w:jc w:val="center"/>
              <w:rPr>
                <w:rFonts w:cs="Calibri"/>
                <w:sz w:val="16"/>
                <w:szCs w:val="16"/>
              </w:rPr>
            </w:pPr>
          </w:p>
        </w:tc>
      </w:tr>
      <w:tr w:rsidR="006E08A0" w:rsidRPr="005461E1" w14:paraId="520A1F2A" w14:textId="77777777" w:rsidTr="005F19A0">
        <w:trPr>
          <w:trHeight w:val="170"/>
          <w:jc w:val="center"/>
        </w:trPr>
        <w:tc>
          <w:tcPr>
            <w:tcW w:w="5119" w:type="dxa"/>
            <w:noWrap/>
            <w:vAlign w:val="center"/>
            <w:hideMark/>
          </w:tcPr>
          <w:p w14:paraId="425A995B" w14:textId="77777777" w:rsidR="006E08A0" w:rsidRPr="005461E1" w:rsidRDefault="006E08A0" w:rsidP="005F19A0">
            <w:pPr>
              <w:jc w:val="left"/>
              <w:rPr>
                <w:rFonts w:cs="Calibri"/>
                <w:sz w:val="20"/>
                <w:szCs w:val="20"/>
              </w:rPr>
            </w:pPr>
            <w:r w:rsidRPr="000A1A69">
              <w:rPr>
                <w:rFonts w:cs="Calibri"/>
                <w:sz w:val="20"/>
                <w:szCs w:val="20"/>
              </w:rPr>
              <w:t>Amendements biologiques</w:t>
            </w:r>
          </w:p>
        </w:tc>
        <w:tc>
          <w:tcPr>
            <w:tcW w:w="1022" w:type="dxa"/>
            <w:noWrap/>
            <w:vAlign w:val="center"/>
          </w:tcPr>
          <w:p w14:paraId="28B9FCD8" w14:textId="77777777" w:rsidR="006E08A0" w:rsidRPr="005461E1" w:rsidRDefault="006E08A0" w:rsidP="005F19A0">
            <w:pPr>
              <w:jc w:val="center"/>
              <w:rPr>
                <w:rFonts w:cs="Calibri"/>
                <w:sz w:val="16"/>
                <w:szCs w:val="16"/>
              </w:rPr>
            </w:pPr>
          </w:p>
        </w:tc>
        <w:tc>
          <w:tcPr>
            <w:tcW w:w="1022" w:type="dxa"/>
            <w:noWrap/>
            <w:vAlign w:val="center"/>
          </w:tcPr>
          <w:p w14:paraId="0225BA92" w14:textId="77777777" w:rsidR="006E08A0" w:rsidRPr="005461E1" w:rsidRDefault="006E08A0" w:rsidP="005F19A0">
            <w:pPr>
              <w:jc w:val="center"/>
              <w:rPr>
                <w:rFonts w:cs="Calibri"/>
                <w:sz w:val="16"/>
                <w:szCs w:val="16"/>
              </w:rPr>
            </w:pPr>
          </w:p>
        </w:tc>
        <w:tc>
          <w:tcPr>
            <w:tcW w:w="1022" w:type="dxa"/>
            <w:noWrap/>
            <w:vAlign w:val="center"/>
          </w:tcPr>
          <w:p w14:paraId="7C732D2E" w14:textId="77777777" w:rsidR="006E08A0" w:rsidRPr="005461E1" w:rsidRDefault="006E08A0" w:rsidP="005F19A0">
            <w:pPr>
              <w:jc w:val="center"/>
              <w:rPr>
                <w:rFonts w:cs="Calibri"/>
                <w:sz w:val="16"/>
                <w:szCs w:val="16"/>
              </w:rPr>
            </w:pPr>
          </w:p>
        </w:tc>
        <w:tc>
          <w:tcPr>
            <w:tcW w:w="1022" w:type="dxa"/>
            <w:noWrap/>
            <w:vAlign w:val="center"/>
          </w:tcPr>
          <w:p w14:paraId="69993C1D" w14:textId="77777777" w:rsidR="006E08A0" w:rsidRPr="005461E1" w:rsidRDefault="006E08A0" w:rsidP="005F19A0">
            <w:pPr>
              <w:jc w:val="center"/>
              <w:rPr>
                <w:rFonts w:cs="Calibri"/>
                <w:sz w:val="16"/>
                <w:szCs w:val="16"/>
              </w:rPr>
            </w:pPr>
          </w:p>
        </w:tc>
        <w:tc>
          <w:tcPr>
            <w:tcW w:w="1022" w:type="dxa"/>
            <w:noWrap/>
            <w:vAlign w:val="center"/>
          </w:tcPr>
          <w:p w14:paraId="36A425CA" w14:textId="77777777" w:rsidR="006E08A0" w:rsidRPr="005461E1" w:rsidRDefault="006E08A0" w:rsidP="005F19A0">
            <w:pPr>
              <w:jc w:val="center"/>
              <w:rPr>
                <w:rFonts w:cs="Calibri"/>
                <w:sz w:val="16"/>
                <w:szCs w:val="16"/>
              </w:rPr>
            </w:pPr>
          </w:p>
        </w:tc>
        <w:tc>
          <w:tcPr>
            <w:tcW w:w="1022" w:type="dxa"/>
            <w:noWrap/>
            <w:vAlign w:val="center"/>
          </w:tcPr>
          <w:p w14:paraId="524A7685" w14:textId="77777777" w:rsidR="006E08A0" w:rsidRPr="005461E1" w:rsidRDefault="006E08A0" w:rsidP="005F19A0">
            <w:pPr>
              <w:jc w:val="center"/>
              <w:rPr>
                <w:rFonts w:cs="Calibri"/>
                <w:sz w:val="16"/>
                <w:szCs w:val="16"/>
              </w:rPr>
            </w:pPr>
            <w:r>
              <w:rPr>
                <w:rFonts w:cs="Calibri"/>
                <w:sz w:val="16"/>
                <w:szCs w:val="16"/>
              </w:rPr>
              <w:t>X</w:t>
            </w:r>
          </w:p>
        </w:tc>
        <w:tc>
          <w:tcPr>
            <w:tcW w:w="1022" w:type="dxa"/>
            <w:noWrap/>
            <w:vAlign w:val="center"/>
          </w:tcPr>
          <w:p w14:paraId="0DB1B8BE" w14:textId="77777777" w:rsidR="006E08A0" w:rsidRPr="005461E1" w:rsidRDefault="006E08A0" w:rsidP="005F19A0">
            <w:pPr>
              <w:jc w:val="center"/>
              <w:rPr>
                <w:rFonts w:cs="Calibri"/>
                <w:sz w:val="16"/>
                <w:szCs w:val="16"/>
              </w:rPr>
            </w:pPr>
          </w:p>
        </w:tc>
        <w:tc>
          <w:tcPr>
            <w:tcW w:w="1330" w:type="dxa"/>
            <w:noWrap/>
            <w:vAlign w:val="center"/>
          </w:tcPr>
          <w:p w14:paraId="7608FE21" w14:textId="77777777" w:rsidR="006E08A0" w:rsidRPr="005461E1" w:rsidRDefault="006E08A0" w:rsidP="005F19A0">
            <w:pPr>
              <w:jc w:val="center"/>
              <w:rPr>
                <w:rFonts w:cs="Calibri"/>
                <w:sz w:val="16"/>
                <w:szCs w:val="16"/>
              </w:rPr>
            </w:pPr>
          </w:p>
        </w:tc>
      </w:tr>
    </w:tbl>
    <w:p w14:paraId="695A6CBD" w14:textId="77777777" w:rsidR="006E08A0" w:rsidRDefault="006E08A0" w:rsidP="006E08A0">
      <w:pPr>
        <w:sectPr w:rsidR="006E08A0" w:rsidSect="006E08A0">
          <w:pgSz w:w="16838" w:h="11906" w:orient="landscape"/>
          <w:pgMar w:top="1418" w:right="1418" w:bottom="1418" w:left="1418" w:header="709" w:footer="709" w:gutter="0"/>
          <w:pgNumType w:chapStyle="1"/>
          <w:cols w:space="708"/>
          <w:titlePg/>
          <w:docGrid w:linePitch="360"/>
        </w:sectPr>
      </w:pPr>
    </w:p>
    <w:p w14:paraId="4D0A90BC" w14:textId="77777777" w:rsidR="006E08A0" w:rsidRPr="009E7850" w:rsidRDefault="006E08A0">
      <w:pPr>
        <w:pStyle w:val="Titre2"/>
        <w:numPr>
          <w:ilvl w:val="1"/>
          <w:numId w:val="12"/>
        </w:numPr>
      </w:pPr>
      <w:bookmarkStart w:id="200" w:name="_Toc233387915"/>
      <w:bookmarkStart w:id="201" w:name="_Toc241478149"/>
      <w:r w:rsidRPr="009E7850">
        <w:lastRenderedPageBreak/>
        <w:t>Mesures compensatoires</w:t>
      </w:r>
      <w:bookmarkEnd w:id="200"/>
      <w:bookmarkEnd w:id="201"/>
    </w:p>
    <w:p w14:paraId="295F62BA" w14:textId="77777777" w:rsidR="006E08A0" w:rsidRPr="00BF5EE3" w:rsidRDefault="006E08A0" w:rsidP="006E08A0">
      <w:r>
        <w:t>Les mesures compensatoires ont pour objectif de compenser des pertes de services écosystémiques causées par un projet. Ces mesures peuvent consister soit en une gestion améliorée, soit en une désimperméabilisation de zones scellées à l’échelle du site. L’impact des mesures compensatoires peut donc estimé au même titre que les gains de services.</w:t>
      </w:r>
    </w:p>
    <w:p w14:paraId="4B5B38A9" w14:textId="0A2397E6" w:rsidR="006E08A0" w:rsidRDefault="006E08A0" w:rsidP="006E08A0">
      <w:r>
        <w:t xml:space="preserve">En tant que perspective, une réflexion à plus grande échelle pourrait s’envisager. Par exemple, le Land de Hesse met en place un système qui oblige les constructeurs à mettre en place des mesures de compensation, et cela peut se faire au-delà de l’échelle du site </w:t>
      </w:r>
      <w:r>
        <w:fldChar w:fldCharType="begin"/>
      </w:r>
      <w:r w:rsidR="00432908">
        <w:instrText xml:space="preserve"> ADDIN ZOTERO_ITEM CSL_CITATION {"citationID":"Wyhxrg4x","properties":{"formattedCitation":"(Miller et al., 2023)","plainCitation":"(Miller et al., 2023)","noteIndex":0},"citationItems":[{"id":613,"uris":["http://zotero.org/groups/5684833/items/PJE26W7V"],"itemData":{"id":613,"type":"book","ISBN":"978-3-89531-619-7","publisher":"Umwelt und Geologie Böden und Bodenschutz in Hessen, Heft 16","title":"Kompensation des Schutzguts Boden in Planungs- und Genehmigungsverfahren - Arbeitshilfe zur Ermittlung des Kompensationsbedarfs für das Schutzgut Boden in Hessen und Rheinland-Pfalz","URL":"https://www.hlnug.de/themen/boden/vorsorge/bodenschutz-in-der-planung/kompensation-schutzgut-boden","author":[{"family":"Miller","given":"Ricarda"},{"family":"Busch","given":"Johanna"},{"family":"Friedrich","given":"Klaus"},{"family":"Fritzsch","given":"Dagmar"},{"family":"Goldschmitt","given":"Michael"},{"family":"Handke","given":"Kevin"},{"family":"Pflanz","given":"Dorthe"},{"family":"Sauer","given":"Stephan"},{"family":"Vorderbrügge","given":"Thomas"}],"accessed":{"date-parts":[["2026",6,17]]},"issued":{"date-parts":[["2023"]]}}}],"schema":"https://github.com/citation-style-language/schema/raw/master/csl-citation.json"} </w:instrText>
      </w:r>
      <w:r>
        <w:fldChar w:fldCharType="separate"/>
      </w:r>
      <w:r w:rsidR="00432908" w:rsidRPr="00432908">
        <w:rPr>
          <w:rFonts w:cs="Calibri"/>
        </w:rPr>
        <w:t>(Miller et al., 2023)</w:t>
      </w:r>
      <w:r>
        <w:fldChar w:fldCharType="end"/>
      </w:r>
      <w:r>
        <w:t>. Ainsi, un gestionnaire qui dégrade le sol d’une zone donnée devra compenser son impact par exemple en :</w:t>
      </w:r>
    </w:p>
    <w:p w14:paraId="059982FD" w14:textId="77777777" w:rsidR="006E08A0" w:rsidRDefault="006E08A0">
      <w:pPr>
        <w:pStyle w:val="Paragraphedeliste"/>
        <w:numPr>
          <w:ilvl w:val="0"/>
          <w:numId w:val="31"/>
        </w:numPr>
      </w:pPr>
      <w:r>
        <w:t>Désimperméabilisant une zone de surface équivalente ailleurs,</w:t>
      </w:r>
    </w:p>
    <w:p w14:paraId="6D42E459" w14:textId="77777777" w:rsidR="006E08A0" w:rsidRDefault="006E08A0">
      <w:pPr>
        <w:pStyle w:val="Paragraphedeliste"/>
        <w:numPr>
          <w:ilvl w:val="0"/>
          <w:numId w:val="31"/>
        </w:numPr>
      </w:pPr>
      <w:r>
        <w:t>En finançant la conversion d’un agriculteur vers des techniques culturales plus vertueuses pour le sol (mise en place de mesure pour limiter les risques d’érosion etc.).</w:t>
      </w:r>
    </w:p>
    <w:p w14:paraId="3A3F0C44" w14:textId="77777777" w:rsidR="006E08A0" w:rsidRPr="009E7850" w:rsidRDefault="006E08A0">
      <w:pPr>
        <w:pStyle w:val="Titre2"/>
        <w:numPr>
          <w:ilvl w:val="1"/>
          <w:numId w:val="12"/>
        </w:numPr>
      </w:pPr>
      <w:bookmarkStart w:id="202" w:name="_Toc233387916"/>
      <w:bookmarkStart w:id="203" w:name="_Toc241478150"/>
      <w:r w:rsidRPr="009E7850">
        <w:t>Mesures de prévention lors du chantier</w:t>
      </w:r>
      <w:bookmarkEnd w:id="202"/>
      <w:bookmarkEnd w:id="203"/>
    </w:p>
    <w:p w14:paraId="1FC64FC4" w14:textId="77777777" w:rsidR="006E08A0" w:rsidRDefault="006E08A0" w:rsidP="006E08A0">
      <w:r>
        <w:t xml:space="preserve">Un chantier peut représenter une menace significative pour la capacité du sol à remplir des services écosystémiques, en raison des mouvements de terre (déblai-remblai), du stockage des terres et des matériaux, de l’implantation des infrastructures de chantier, du charroi, du passage répété d’engins lourds et du stationnement de ceux-ci…  Un sol peut voir sa capacité à remplir des SE fortement réduite au terme du chantier, ce qui peut remettre en cause le diagnostic pré-chantier. </w:t>
      </w:r>
    </w:p>
    <w:p w14:paraId="15EEDB7C" w14:textId="77777777" w:rsidR="006E08A0" w:rsidRDefault="006E08A0" w:rsidP="006E08A0">
      <w:r>
        <w:t>L’impact d’un chantier sur le sol peut être considérablement réduit par l’application de quelques principes simples de planification et de gestion du chantier. Plus le chantier est de grande ampleur, plus la réflexion est pertinente.</w:t>
      </w:r>
    </w:p>
    <w:p w14:paraId="0766F041" w14:textId="79BB2EC2" w:rsidR="006E08A0" w:rsidRDefault="006E08A0" w:rsidP="006E08A0">
      <w:r>
        <w:t xml:space="preserve">Les principaux leviers d’action, inspirés du Code de Bonnes Pratiques bruxellois « Les sols sains et les chantiers » </w:t>
      </w:r>
      <w:r>
        <w:fldChar w:fldCharType="begin"/>
      </w:r>
      <w:r w:rsidR="00432908">
        <w:instrText xml:space="preserve"> ADDIN ZOTERO_ITEM CSL_CITATION {"citationID":"FjcEpUFi","properties":{"formattedCitation":"(Bruxelles Environnement, 2026)","plainCitation":"(Bruxelles Environnement, 2026)","noteIndex":0},"citationItems":[{"id":611,"uris":["http://zotero.org/groups/5684833/items/LSRUU93H"],"itemData":{"id":611,"type":"document","title":"Les sols sains et les chantiers - Mesures de gestion intégrée du sol dans le cadre des chantiers de construction et du traitement des pollutions du sol","URL":"https://alfresco.environnement.brussels/share/s/ujj2OU4sRwGQN2tDjeJgFw","author":[{"family":"Bruxelles Environnement","given":""}],"accessed":{"date-parts":[["2026",6,16]]},"issued":{"date-parts":[["2026"]]}}}],"schema":"https://github.com/citation-style-language/schema/raw/master/csl-citation.json"} </w:instrText>
      </w:r>
      <w:r>
        <w:fldChar w:fldCharType="separate"/>
      </w:r>
      <w:r w:rsidR="00432908" w:rsidRPr="00432908">
        <w:rPr>
          <w:rFonts w:cs="Calibri"/>
        </w:rPr>
        <w:t>(Bruxelles Environnement, 2026)</w:t>
      </w:r>
      <w:r>
        <w:fldChar w:fldCharType="end"/>
      </w:r>
      <w:r>
        <w:t>, sont les suivants :</w:t>
      </w:r>
    </w:p>
    <w:p w14:paraId="131B96AD" w14:textId="77777777" w:rsidR="006E08A0" w:rsidRDefault="006E08A0">
      <w:pPr>
        <w:pStyle w:val="Paragraphedeliste"/>
        <w:numPr>
          <w:ilvl w:val="0"/>
          <w:numId w:val="30"/>
        </w:numPr>
      </w:pPr>
      <w:r>
        <w:t>Privilégier les zones imperméabilisées pour le stockage des terres, des machines, et pour l’implantation des infrastructures de chantier ;</w:t>
      </w:r>
    </w:p>
    <w:p w14:paraId="24703301" w14:textId="77777777" w:rsidR="006E08A0" w:rsidRDefault="006E08A0">
      <w:pPr>
        <w:pStyle w:val="Paragraphedeliste"/>
        <w:numPr>
          <w:ilvl w:val="0"/>
          <w:numId w:val="30"/>
        </w:numPr>
      </w:pPr>
      <w:r>
        <w:t>Délimiter les zones perméables devant rester intactes, afin d’éviter une compaction inutile de ces zones ;</w:t>
      </w:r>
    </w:p>
    <w:p w14:paraId="7F618420" w14:textId="77777777" w:rsidR="006E08A0" w:rsidRDefault="006E08A0">
      <w:pPr>
        <w:pStyle w:val="Paragraphedeliste"/>
        <w:numPr>
          <w:ilvl w:val="0"/>
          <w:numId w:val="30"/>
        </w:numPr>
      </w:pPr>
      <w:r>
        <w:t>Limiter l’impact du charroi en termes de tassement du sol, en prévoyant des plaques de roulage, et en évitant de rouler sur des sols très humides (ce qui les rend particulièrement sensibles à la compaction) ;</w:t>
      </w:r>
    </w:p>
    <w:p w14:paraId="5B16CCDD" w14:textId="77777777" w:rsidR="006E08A0" w:rsidRPr="00AE1D3A" w:rsidRDefault="006E08A0">
      <w:pPr>
        <w:pStyle w:val="Paragraphedeliste"/>
        <w:numPr>
          <w:ilvl w:val="0"/>
          <w:numId w:val="30"/>
        </w:numPr>
      </w:pPr>
      <w:r w:rsidRPr="00AE1D3A">
        <w:t>Prêter une attention particulière à la présence d’espèces exotiques envahissantes lors des terrassements (voir GRGT partie 5) ;</w:t>
      </w:r>
    </w:p>
    <w:p w14:paraId="14BE2343" w14:textId="77777777" w:rsidR="006E08A0" w:rsidRDefault="006E08A0">
      <w:pPr>
        <w:pStyle w:val="Paragraphedeliste"/>
        <w:numPr>
          <w:ilvl w:val="0"/>
          <w:numId w:val="30"/>
        </w:numPr>
      </w:pPr>
      <w:r>
        <w:t>Excaver avec parcimonie et en respectant la délimitation des horizons dans le développement de profil ;</w:t>
      </w:r>
    </w:p>
    <w:p w14:paraId="5D5B872C" w14:textId="77777777" w:rsidR="006E08A0" w:rsidRDefault="006E08A0">
      <w:pPr>
        <w:pStyle w:val="Paragraphedeliste"/>
        <w:numPr>
          <w:ilvl w:val="0"/>
          <w:numId w:val="30"/>
        </w:numPr>
      </w:pPr>
      <w:r>
        <w:t>Baliser les remblais en cohérence avec le potentiel du sol et les objectifs de la zone réceptrice.</w:t>
      </w:r>
    </w:p>
    <w:p w14:paraId="1B5D87EA" w14:textId="77777777" w:rsidR="006E08A0" w:rsidRDefault="006E08A0" w:rsidP="006E08A0">
      <w:r>
        <w:t>Si respectées, la plupart de ces mesures, relevant du bon sens, permettront de préserver considérablement la qualité du sol au sein du site.</w:t>
      </w:r>
    </w:p>
    <w:p w14:paraId="6E33E92E" w14:textId="77777777" w:rsidR="006E08A0" w:rsidRDefault="006E08A0" w:rsidP="006E08A0"/>
    <w:p w14:paraId="58858D5C" w14:textId="77777777" w:rsidR="006E08A0" w:rsidRDefault="006E08A0">
      <w:pPr>
        <w:pStyle w:val="Titre2"/>
        <w:numPr>
          <w:ilvl w:val="1"/>
          <w:numId w:val="12"/>
        </w:numPr>
      </w:pPr>
      <w:bookmarkStart w:id="204" w:name="_Toc233387917"/>
      <w:bookmarkStart w:id="205" w:name="_Toc241478151"/>
      <w:r>
        <w:lastRenderedPageBreak/>
        <w:t>Suivi post-projet</w:t>
      </w:r>
      <w:bookmarkEnd w:id="204"/>
      <w:bookmarkEnd w:id="205"/>
    </w:p>
    <w:p w14:paraId="24713D26" w14:textId="01E79EC3" w:rsidR="00126490" w:rsidRDefault="006E08A0" w:rsidP="0082641C">
      <w:r>
        <w:t>Que ce soit pour objectiver les pertes ou les gains de services écosystémiques effectives sur le site du projet, un gestionnaire de site peut s’appuyer sur un second diagnostic (post-projet) pour vérifier que les actions mises en œuvre se sont traduites en amélioration effective de la qualité du sol. Cela permettrait de confronter la situation mesurée avec les prédictions en lien avec (1) les coefficients d’impact, (2) les objectifs d’amélioration.</w:t>
      </w:r>
    </w:p>
    <w:p w14:paraId="17BC72C8" w14:textId="4BE5CAEE" w:rsidR="0047609A" w:rsidRPr="0082641C" w:rsidRDefault="0047609A" w:rsidP="0047609A">
      <w:pPr>
        <w:jc w:val="left"/>
      </w:pPr>
      <w:r>
        <w:br w:type="page"/>
      </w:r>
    </w:p>
    <w:p w14:paraId="033D824C" w14:textId="79965482" w:rsidR="00AE7428" w:rsidRDefault="00861349">
      <w:pPr>
        <w:pStyle w:val="Titre1"/>
        <w:numPr>
          <w:ilvl w:val="0"/>
          <w:numId w:val="12"/>
        </w:numPr>
      </w:pPr>
      <w:bookmarkStart w:id="206" w:name="_Toc230267125"/>
      <w:bookmarkStart w:id="207" w:name="_Toc241478152"/>
      <w:bookmarkEnd w:id="164"/>
      <w:bookmarkEnd w:id="165"/>
      <w:r>
        <w:lastRenderedPageBreak/>
        <w:t>Étapes du diagnostic</w:t>
      </w:r>
      <w:bookmarkEnd w:id="206"/>
      <w:bookmarkEnd w:id="207"/>
    </w:p>
    <w:p w14:paraId="5D3A2D8D" w14:textId="1399A647" w:rsidR="00707047" w:rsidRPr="00707047" w:rsidRDefault="00707047" w:rsidP="00707047">
      <w:r>
        <w:t xml:space="preserve">Les étapes suivantes sont détaillées dans l’Annexe 1 </w:t>
      </w:r>
      <w:r w:rsidR="00D56293">
        <w:t>– Guide Pratique pour le diagnostic.</w:t>
      </w:r>
      <w:r w:rsidR="000841E3">
        <w:t xml:space="preserve"> Étant donné qu’une partie des étapes doit être effectuée en amont de la phase de terrain, les prescriptions suivantes sont rappelées dans le présent guide.</w:t>
      </w:r>
    </w:p>
    <w:p w14:paraId="4A90EBE4" w14:textId="33E36171" w:rsidR="00A216BE" w:rsidRPr="00A216BE" w:rsidRDefault="00A216BE">
      <w:pPr>
        <w:pStyle w:val="Titre2"/>
        <w:numPr>
          <w:ilvl w:val="1"/>
          <w:numId w:val="12"/>
        </w:numPr>
      </w:pPr>
      <w:bookmarkStart w:id="208" w:name="_Toc241478153"/>
      <w:r w:rsidRPr="00A216BE">
        <w:t>Délimitation des zones homogènes</w:t>
      </w:r>
      <w:bookmarkEnd w:id="208"/>
    </w:p>
    <w:p w14:paraId="22338065" w14:textId="24BC0139" w:rsidR="00DE5CA8" w:rsidRDefault="2749A885" w:rsidP="00D85A01">
      <w:r>
        <w:t xml:space="preserve">Préalablement aux travaux de terrain, </w:t>
      </w:r>
      <w:r w:rsidR="64028119">
        <w:t>l</w:t>
      </w:r>
      <w:r w:rsidR="00DE5CA8">
        <w:t xml:space="preserve">a première étape du diagnostic IQSW-pro </w:t>
      </w:r>
      <w:r w:rsidR="7364E533">
        <w:t>consiste en une consultation</w:t>
      </w:r>
      <w:r w:rsidR="00236AB5">
        <w:t xml:space="preserve"> </w:t>
      </w:r>
      <w:r w:rsidR="14875961">
        <w:t>d’</w:t>
      </w:r>
      <w:r w:rsidR="00236AB5">
        <w:t xml:space="preserve">une série de couches cartographiques disponibles sur le Géoportail de la </w:t>
      </w:r>
      <w:r w:rsidR="003424A2">
        <w:t>Wallonie</w:t>
      </w:r>
      <w:r w:rsidR="00236AB5">
        <w:t xml:space="preserve">. </w:t>
      </w:r>
      <w:r w:rsidR="00656BA6">
        <w:t xml:space="preserve">Cette étape est </w:t>
      </w:r>
      <w:r w:rsidR="5DEF1311">
        <w:t>nécessaire</w:t>
      </w:r>
      <w:r w:rsidR="004B005A">
        <w:t xml:space="preserve"> </w:t>
      </w:r>
      <w:r w:rsidR="00F64E33">
        <w:t xml:space="preserve">pour </w:t>
      </w:r>
      <w:r w:rsidR="797D118E">
        <w:t>établir une hypothèse de répartition de</w:t>
      </w:r>
      <w:r w:rsidR="00F64E33">
        <w:t xml:space="preserve"> zones homogènes distinctes sur le site</w:t>
      </w:r>
      <w:r w:rsidR="58EC528D">
        <w:t>, qui devra ensuite être validée</w:t>
      </w:r>
      <w:r w:rsidR="00F878F7">
        <w:t xml:space="preserve"> ou </w:t>
      </w:r>
      <w:r w:rsidR="78E7DC76">
        <w:t>adapt</w:t>
      </w:r>
      <w:r w:rsidR="00F878F7">
        <w:t>ée sur base des observations de terrain (couvertures végétales contrastées, signes de compaction, différences pédologiques, etc</w:t>
      </w:r>
      <w:r w:rsidR="56A31EB6">
        <w:t>.</w:t>
      </w:r>
      <w:r w:rsidR="00F878F7">
        <w:t xml:space="preserve">). </w:t>
      </w:r>
      <w:r w:rsidR="00656BA6">
        <w:t xml:space="preserve">Les couches pertinentes sont listées dans le </w:t>
      </w:r>
      <w:r w:rsidRPr="003D7F8A">
        <w:fldChar w:fldCharType="begin"/>
      </w:r>
      <w:r w:rsidRPr="003D7F8A">
        <w:instrText xml:space="preserve"> REF _Ref233122266 \h </w:instrText>
      </w:r>
      <w:r w:rsidR="003D7F8A" w:rsidRPr="003D7F8A">
        <w:instrText xml:space="preserve"> \* MERGEFORMAT </w:instrText>
      </w:r>
      <w:r w:rsidRPr="003D7F8A">
        <w:fldChar w:fldCharType="separate"/>
      </w:r>
      <w:r w:rsidR="003D7F8A" w:rsidRPr="003D7F8A">
        <w:t xml:space="preserve">Tableau </w:t>
      </w:r>
      <w:r w:rsidR="003D7F8A" w:rsidRPr="003D7F8A">
        <w:rPr>
          <w:noProof/>
        </w:rPr>
        <w:t>8</w:t>
      </w:r>
      <w:r w:rsidRPr="003D7F8A">
        <w:fldChar w:fldCharType="end"/>
      </w:r>
      <w:r w:rsidR="00395F78" w:rsidRPr="003D7F8A">
        <w:t>.</w:t>
      </w:r>
    </w:p>
    <w:p w14:paraId="1B83339A" w14:textId="04248665" w:rsidR="00F878F7" w:rsidRPr="00F878F7" w:rsidRDefault="00F878F7" w:rsidP="00F878F7">
      <w:pPr>
        <w:pStyle w:val="Lgende"/>
        <w:keepNext/>
        <w:jc w:val="center"/>
        <w:rPr>
          <w:i w:val="0"/>
          <w:iCs w:val="0"/>
        </w:rPr>
      </w:pPr>
      <w:bookmarkStart w:id="209" w:name="_Ref233122266"/>
      <w:bookmarkStart w:id="210" w:name="_Toc233122676"/>
      <w:r w:rsidRPr="00F878F7">
        <w:rPr>
          <w:i w:val="0"/>
          <w:iCs w:val="0"/>
        </w:rPr>
        <w:t xml:space="preserve">Tableau </w:t>
      </w:r>
      <w:r w:rsidRPr="00F878F7">
        <w:rPr>
          <w:i w:val="0"/>
          <w:iCs w:val="0"/>
        </w:rPr>
        <w:fldChar w:fldCharType="begin"/>
      </w:r>
      <w:r w:rsidRPr="00F878F7">
        <w:rPr>
          <w:i w:val="0"/>
          <w:iCs w:val="0"/>
        </w:rPr>
        <w:instrText xml:space="preserve"> SEQ Tableau \* ARABIC </w:instrText>
      </w:r>
      <w:r w:rsidRPr="00F878F7">
        <w:rPr>
          <w:i w:val="0"/>
          <w:iCs w:val="0"/>
        </w:rPr>
        <w:fldChar w:fldCharType="separate"/>
      </w:r>
      <w:r w:rsidR="003D7F8A">
        <w:rPr>
          <w:i w:val="0"/>
          <w:iCs w:val="0"/>
          <w:noProof/>
        </w:rPr>
        <w:t>8</w:t>
      </w:r>
      <w:r w:rsidRPr="00F878F7">
        <w:rPr>
          <w:i w:val="0"/>
          <w:iCs w:val="0"/>
        </w:rPr>
        <w:fldChar w:fldCharType="end"/>
      </w:r>
      <w:bookmarkEnd w:id="209"/>
      <w:r w:rsidRPr="00F878F7">
        <w:rPr>
          <w:i w:val="0"/>
          <w:iCs w:val="0"/>
        </w:rPr>
        <w:t xml:space="preserve"> : Liste des couches cartographiques mobilisables en amont du diagnostic IQSW-pro</w:t>
      </w:r>
      <w:bookmarkEnd w:id="210"/>
    </w:p>
    <w:tbl>
      <w:tblPr>
        <w:tblStyle w:val="Grilledutableau"/>
        <w:tblW w:w="9067" w:type="dxa"/>
        <w:tblLook w:val="04A0" w:firstRow="1" w:lastRow="0" w:firstColumn="1" w:lastColumn="0" w:noHBand="0" w:noVBand="1"/>
      </w:tblPr>
      <w:tblGrid>
        <w:gridCol w:w="2547"/>
        <w:gridCol w:w="6520"/>
      </w:tblGrid>
      <w:tr w:rsidR="001E0E2E" w:rsidRPr="00C43EAA" w14:paraId="4B0E8AB6" w14:textId="77777777" w:rsidTr="00F878F7">
        <w:trPr>
          <w:trHeight w:val="283"/>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43181325" w14:textId="5CD0815D" w:rsidR="001E0E2E" w:rsidRPr="00C43EAA" w:rsidRDefault="001E0E2E" w:rsidP="00F878F7">
            <w:pPr>
              <w:jc w:val="center"/>
              <w:rPr>
                <w:b/>
                <w:bCs/>
                <w:sz w:val="20"/>
                <w:szCs w:val="20"/>
              </w:rPr>
            </w:pPr>
            <w:r w:rsidRPr="00C43EAA">
              <w:rPr>
                <w:b/>
                <w:bCs/>
                <w:sz w:val="20"/>
                <w:szCs w:val="20"/>
              </w:rPr>
              <w:t>Catégorie</w:t>
            </w:r>
            <w:r w:rsidR="00F878F7" w:rsidRPr="00C43EAA">
              <w:rPr>
                <w:b/>
                <w:bCs/>
                <w:sz w:val="20"/>
                <w:szCs w:val="20"/>
              </w:rPr>
              <w:t xml:space="preserve"> d’information</w:t>
            </w:r>
          </w:p>
        </w:tc>
        <w:tc>
          <w:tcPr>
            <w:tcW w:w="6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0DA34158" w14:textId="474F4CA7" w:rsidR="001E0E2E" w:rsidRPr="00C43EAA" w:rsidRDefault="001E0E2E" w:rsidP="00F878F7">
            <w:pPr>
              <w:jc w:val="center"/>
              <w:rPr>
                <w:b/>
                <w:bCs/>
                <w:sz w:val="20"/>
                <w:szCs w:val="20"/>
              </w:rPr>
            </w:pPr>
            <w:r w:rsidRPr="00C43EAA">
              <w:rPr>
                <w:b/>
                <w:bCs/>
                <w:sz w:val="20"/>
                <w:szCs w:val="20"/>
              </w:rPr>
              <w:t xml:space="preserve">Couche </w:t>
            </w:r>
            <w:r w:rsidR="00C43EAA">
              <w:rPr>
                <w:b/>
                <w:bCs/>
                <w:sz w:val="20"/>
                <w:szCs w:val="20"/>
              </w:rPr>
              <w:t xml:space="preserve">cartographique </w:t>
            </w:r>
            <w:r w:rsidRPr="00C43EAA">
              <w:rPr>
                <w:b/>
                <w:bCs/>
                <w:sz w:val="20"/>
                <w:szCs w:val="20"/>
              </w:rPr>
              <w:t>mobilisable</w:t>
            </w:r>
          </w:p>
        </w:tc>
      </w:tr>
      <w:tr w:rsidR="001E0E2E" w:rsidRPr="00C43EAA" w14:paraId="1B9BB99C" w14:textId="77777777" w:rsidTr="00F878F7">
        <w:trPr>
          <w:trHeight w:val="283"/>
        </w:trPr>
        <w:tc>
          <w:tcPr>
            <w:tcW w:w="2547" w:type="dxa"/>
            <w:vMerge w:val="restart"/>
            <w:tcBorders>
              <w:top w:val="single" w:sz="4" w:space="0" w:color="FFFFFF" w:themeColor="background1"/>
            </w:tcBorders>
            <w:vAlign w:val="center"/>
            <w:hideMark/>
          </w:tcPr>
          <w:p w14:paraId="07EC355F" w14:textId="77777777" w:rsidR="001E0E2E" w:rsidRPr="00C43EAA" w:rsidRDefault="001E0E2E" w:rsidP="00F878F7">
            <w:pPr>
              <w:jc w:val="left"/>
              <w:rPr>
                <w:sz w:val="20"/>
                <w:szCs w:val="20"/>
              </w:rPr>
            </w:pPr>
            <w:r w:rsidRPr="00C43EAA">
              <w:rPr>
                <w:sz w:val="20"/>
                <w:szCs w:val="20"/>
              </w:rPr>
              <w:t>Occupation</w:t>
            </w:r>
          </w:p>
        </w:tc>
        <w:tc>
          <w:tcPr>
            <w:tcW w:w="6520" w:type="dxa"/>
            <w:tcBorders>
              <w:top w:val="single" w:sz="4" w:space="0" w:color="FFFFFF" w:themeColor="background1"/>
            </w:tcBorders>
            <w:vAlign w:val="center"/>
            <w:hideMark/>
          </w:tcPr>
          <w:p w14:paraId="0BC83B68" w14:textId="77777777" w:rsidR="001E0E2E" w:rsidRPr="00C43EAA" w:rsidRDefault="001E0E2E" w:rsidP="00F878F7">
            <w:pPr>
              <w:jc w:val="left"/>
              <w:rPr>
                <w:sz w:val="20"/>
                <w:szCs w:val="20"/>
              </w:rPr>
            </w:pPr>
            <w:r w:rsidRPr="00C43EAA">
              <w:rPr>
                <w:sz w:val="20"/>
                <w:szCs w:val="20"/>
              </w:rPr>
              <w:t>Plan de secteur</w:t>
            </w:r>
          </w:p>
        </w:tc>
      </w:tr>
      <w:tr w:rsidR="001E0E2E" w:rsidRPr="00C43EAA" w14:paraId="39EF088A" w14:textId="77777777" w:rsidTr="00F878F7">
        <w:trPr>
          <w:trHeight w:val="283"/>
        </w:trPr>
        <w:tc>
          <w:tcPr>
            <w:tcW w:w="2547" w:type="dxa"/>
            <w:vMerge/>
            <w:vAlign w:val="center"/>
            <w:hideMark/>
          </w:tcPr>
          <w:p w14:paraId="402C4B52" w14:textId="58586698" w:rsidR="001E0E2E" w:rsidRPr="00C43EAA" w:rsidRDefault="001E0E2E" w:rsidP="00F878F7">
            <w:pPr>
              <w:jc w:val="left"/>
              <w:rPr>
                <w:sz w:val="20"/>
                <w:szCs w:val="20"/>
              </w:rPr>
            </w:pPr>
          </w:p>
        </w:tc>
        <w:tc>
          <w:tcPr>
            <w:tcW w:w="6520" w:type="dxa"/>
            <w:vAlign w:val="center"/>
            <w:hideMark/>
          </w:tcPr>
          <w:p w14:paraId="7E5264B9" w14:textId="77777777" w:rsidR="001E0E2E" w:rsidRPr="00C43EAA" w:rsidRDefault="001E0E2E" w:rsidP="00F878F7">
            <w:pPr>
              <w:jc w:val="left"/>
              <w:rPr>
                <w:sz w:val="20"/>
                <w:szCs w:val="20"/>
              </w:rPr>
            </w:pPr>
            <w:r w:rsidRPr="00C43EAA">
              <w:rPr>
                <w:sz w:val="20"/>
                <w:szCs w:val="20"/>
              </w:rPr>
              <w:t>WALOUS (Occupation du sol) 2023</w:t>
            </w:r>
          </w:p>
        </w:tc>
      </w:tr>
      <w:tr w:rsidR="001E0E2E" w:rsidRPr="00C43EAA" w14:paraId="3A09FD41" w14:textId="77777777" w:rsidTr="00F878F7">
        <w:trPr>
          <w:trHeight w:val="283"/>
        </w:trPr>
        <w:tc>
          <w:tcPr>
            <w:tcW w:w="2547" w:type="dxa"/>
            <w:vMerge/>
            <w:vAlign w:val="center"/>
            <w:hideMark/>
          </w:tcPr>
          <w:p w14:paraId="22276F60" w14:textId="6C56C88B" w:rsidR="001E0E2E" w:rsidRPr="00C43EAA" w:rsidRDefault="001E0E2E" w:rsidP="00F878F7">
            <w:pPr>
              <w:jc w:val="left"/>
              <w:rPr>
                <w:sz w:val="20"/>
                <w:szCs w:val="20"/>
              </w:rPr>
            </w:pPr>
          </w:p>
        </w:tc>
        <w:tc>
          <w:tcPr>
            <w:tcW w:w="6520" w:type="dxa"/>
            <w:vAlign w:val="center"/>
            <w:hideMark/>
          </w:tcPr>
          <w:p w14:paraId="5DE87629" w14:textId="77777777" w:rsidR="001E0E2E" w:rsidRPr="00C43EAA" w:rsidRDefault="001E0E2E" w:rsidP="00F878F7">
            <w:pPr>
              <w:jc w:val="left"/>
              <w:rPr>
                <w:sz w:val="20"/>
                <w:szCs w:val="20"/>
              </w:rPr>
            </w:pPr>
            <w:r w:rsidRPr="00C43EAA">
              <w:rPr>
                <w:sz w:val="20"/>
                <w:szCs w:val="20"/>
              </w:rPr>
              <w:t>SIGEC (sols agricoles)</w:t>
            </w:r>
          </w:p>
        </w:tc>
      </w:tr>
      <w:tr w:rsidR="001E0E2E" w:rsidRPr="00C43EAA" w14:paraId="03256347" w14:textId="77777777" w:rsidTr="00F878F7">
        <w:trPr>
          <w:trHeight w:val="283"/>
        </w:trPr>
        <w:tc>
          <w:tcPr>
            <w:tcW w:w="2547" w:type="dxa"/>
            <w:vMerge w:val="restart"/>
            <w:vAlign w:val="center"/>
            <w:hideMark/>
          </w:tcPr>
          <w:p w14:paraId="2C4571D8" w14:textId="77777777" w:rsidR="001E0E2E" w:rsidRPr="00C43EAA" w:rsidRDefault="001E0E2E" w:rsidP="00F878F7">
            <w:pPr>
              <w:jc w:val="left"/>
              <w:rPr>
                <w:sz w:val="20"/>
                <w:szCs w:val="20"/>
              </w:rPr>
            </w:pPr>
            <w:r w:rsidRPr="00C43EAA">
              <w:rPr>
                <w:sz w:val="20"/>
                <w:szCs w:val="20"/>
              </w:rPr>
              <w:t>Pédologie</w:t>
            </w:r>
          </w:p>
        </w:tc>
        <w:tc>
          <w:tcPr>
            <w:tcW w:w="6520" w:type="dxa"/>
            <w:vAlign w:val="center"/>
            <w:hideMark/>
          </w:tcPr>
          <w:p w14:paraId="7F2D2D07" w14:textId="77777777" w:rsidR="001E0E2E" w:rsidRPr="00C43EAA" w:rsidRDefault="001E0E2E" w:rsidP="00F878F7">
            <w:pPr>
              <w:jc w:val="left"/>
              <w:rPr>
                <w:sz w:val="20"/>
                <w:szCs w:val="20"/>
              </w:rPr>
            </w:pPr>
            <w:r w:rsidRPr="00C43EAA">
              <w:rPr>
                <w:sz w:val="20"/>
                <w:szCs w:val="20"/>
              </w:rPr>
              <w:t>Carte Numérique des Sols de Wallonie (CNSW)</w:t>
            </w:r>
          </w:p>
        </w:tc>
      </w:tr>
      <w:tr w:rsidR="001E0E2E" w:rsidRPr="00C43EAA" w14:paraId="5D89046C" w14:textId="77777777" w:rsidTr="00F878F7">
        <w:trPr>
          <w:trHeight w:val="283"/>
        </w:trPr>
        <w:tc>
          <w:tcPr>
            <w:tcW w:w="2547" w:type="dxa"/>
            <w:vMerge/>
            <w:vAlign w:val="center"/>
            <w:hideMark/>
          </w:tcPr>
          <w:p w14:paraId="4C5E467A" w14:textId="77D1858C" w:rsidR="001E0E2E" w:rsidRPr="00C43EAA" w:rsidRDefault="001E0E2E" w:rsidP="00F878F7">
            <w:pPr>
              <w:jc w:val="left"/>
              <w:rPr>
                <w:sz w:val="20"/>
                <w:szCs w:val="20"/>
              </w:rPr>
            </w:pPr>
          </w:p>
        </w:tc>
        <w:tc>
          <w:tcPr>
            <w:tcW w:w="6520" w:type="dxa"/>
            <w:vAlign w:val="center"/>
            <w:hideMark/>
          </w:tcPr>
          <w:p w14:paraId="57C28C30" w14:textId="77777777" w:rsidR="001E0E2E" w:rsidRPr="00C43EAA" w:rsidRDefault="001E0E2E" w:rsidP="00F878F7">
            <w:pPr>
              <w:jc w:val="left"/>
              <w:rPr>
                <w:sz w:val="20"/>
                <w:szCs w:val="20"/>
              </w:rPr>
            </w:pPr>
            <w:r w:rsidRPr="00C43EAA">
              <w:rPr>
                <w:sz w:val="20"/>
                <w:szCs w:val="20"/>
              </w:rPr>
              <w:t>Carte des principaux types de sol</w:t>
            </w:r>
          </w:p>
        </w:tc>
      </w:tr>
      <w:tr w:rsidR="001E0E2E" w:rsidRPr="00C43EAA" w14:paraId="15041704" w14:textId="77777777" w:rsidTr="00F878F7">
        <w:trPr>
          <w:trHeight w:val="283"/>
        </w:trPr>
        <w:tc>
          <w:tcPr>
            <w:tcW w:w="2547" w:type="dxa"/>
            <w:vMerge w:val="restart"/>
            <w:vAlign w:val="center"/>
            <w:hideMark/>
          </w:tcPr>
          <w:p w14:paraId="6C7B8E28" w14:textId="2BBD384B" w:rsidR="001E0E2E" w:rsidRPr="00C43EAA" w:rsidRDefault="001E0E2E" w:rsidP="00F878F7">
            <w:pPr>
              <w:jc w:val="left"/>
              <w:rPr>
                <w:sz w:val="20"/>
                <w:szCs w:val="20"/>
              </w:rPr>
            </w:pPr>
            <w:r w:rsidRPr="00C43EAA">
              <w:rPr>
                <w:sz w:val="20"/>
                <w:szCs w:val="20"/>
              </w:rPr>
              <w:t>Historique/Activités humaines/Pollution</w:t>
            </w:r>
          </w:p>
        </w:tc>
        <w:tc>
          <w:tcPr>
            <w:tcW w:w="6520" w:type="dxa"/>
            <w:vAlign w:val="center"/>
            <w:hideMark/>
          </w:tcPr>
          <w:p w14:paraId="5B097616" w14:textId="77777777" w:rsidR="001E0E2E" w:rsidRPr="00C43EAA" w:rsidRDefault="001E0E2E" w:rsidP="00F878F7">
            <w:pPr>
              <w:jc w:val="left"/>
              <w:rPr>
                <w:sz w:val="20"/>
                <w:szCs w:val="20"/>
              </w:rPr>
            </w:pPr>
            <w:r w:rsidRPr="00C43EAA">
              <w:rPr>
                <w:sz w:val="20"/>
                <w:szCs w:val="20"/>
              </w:rPr>
              <w:t>Orthophotoplans (min 20 dernières années)</w:t>
            </w:r>
          </w:p>
        </w:tc>
      </w:tr>
      <w:tr w:rsidR="001E0E2E" w:rsidRPr="00C43EAA" w14:paraId="531EEAAB" w14:textId="77777777" w:rsidTr="00F878F7">
        <w:trPr>
          <w:trHeight w:val="283"/>
        </w:trPr>
        <w:tc>
          <w:tcPr>
            <w:tcW w:w="2547" w:type="dxa"/>
            <w:vMerge/>
            <w:vAlign w:val="center"/>
            <w:hideMark/>
          </w:tcPr>
          <w:p w14:paraId="58F3B2F1" w14:textId="6BBCEBA2" w:rsidR="001E0E2E" w:rsidRPr="00C43EAA" w:rsidRDefault="001E0E2E" w:rsidP="00F878F7">
            <w:pPr>
              <w:jc w:val="left"/>
              <w:rPr>
                <w:sz w:val="20"/>
                <w:szCs w:val="20"/>
              </w:rPr>
            </w:pPr>
          </w:p>
        </w:tc>
        <w:tc>
          <w:tcPr>
            <w:tcW w:w="6520" w:type="dxa"/>
            <w:vAlign w:val="center"/>
            <w:hideMark/>
          </w:tcPr>
          <w:p w14:paraId="1824B420" w14:textId="77777777" w:rsidR="001E0E2E" w:rsidRPr="00C43EAA" w:rsidRDefault="001E0E2E" w:rsidP="00F878F7">
            <w:pPr>
              <w:jc w:val="left"/>
              <w:rPr>
                <w:sz w:val="20"/>
                <w:szCs w:val="20"/>
              </w:rPr>
            </w:pPr>
            <w:r w:rsidRPr="00C43EAA">
              <w:rPr>
                <w:sz w:val="20"/>
                <w:szCs w:val="20"/>
              </w:rPr>
              <w:t>Banque de Données de l’État des Sols (BDES)</w:t>
            </w:r>
          </w:p>
        </w:tc>
      </w:tr>
      <w:tr w:rsidR="001E0E2E" w:rsidRPr="00C43EAA" w14:paraId="4ABD9F96" w14:textId="77777777" w:rsidTr="00F878F7">
        <w:trPr>
          <w:trHeight w:val="283"/>
        </w:trPr>
        <w:tc>
          <w:tcPr>
            <w:tcW w:w="2547" w:type="dxa"/>
            <w:vMerge w:val="restart"/>
            <w:vAlign w:val="center"/>
            <w:hideMark/>
          </w:tcPr>
          <w:p w14:paraId="641D810E" w14:textId="77777777" w:rsidR="001E0E2E" w:rsidRPr="00C43EAA" w:rsidRDefault="001E0E2E" w:rsidP="00F878F7">
            <w:pPr>
              <w:jc w:val="left"/>
              <w:rPr>
                <w:sz w:val="20"/>
                <w:szCs w:val="20"/>
              </w:rPr>
            </w:pPr>
            <w:r w:rsidRPr="00C43EAA">
              <w:rPr>
                <w:sz w:val="20"/>
                <w:szCs w:val="20"/>
              </w:rPr>
              <w:t>Topographie</w:t>
            </w:r>
          </w:p>
        </w:tc>
        <w:tc>
          <w:tcPr>
            <w:tcW w:w="6520" w:type="dxa"/>
            <w:vAlign w:val="center"/>
            <w:hideMark/>
          </w:tcPr>
          <w:p w14:paraId="5AECD53E" w14:textId="77777777" w:rsidR="001E0E2E" w:rsidRPr="00C43EAA" w:rsidRDefault="001E0E2E" w:rsidP="00F878F7">
            <w:pPr>
              <w:jc w:val="left"/>
              <w:rPr>
                <w:sz w:val="20"/>
                <w:szCs w:val="20"/>
              </w:rPr>
            </w:pPr>
            <w:r w:rsidRPr="00C43EAA">
              <w:rPr>
                <w:sz w:val="20"/>
                <w:szCs w:val="20"/>
              </w:rPr>
              <w:t>Modèle Numérique de Terrain</w:t>
            </w:r>
          </w:p>
        </w:tc>
      </w:tr>
      <w:tr w:rsidR="001E0E2E" w:rsidRPr="00C43EAA" w14:paraId="260E2563" w14:textId="77777777" w:rsidTr="00F878F7">
        <w:trPr>
          <w:trHeight w:val="283"/>
        </w:trPr>
        <w:tc>
          <w:tcPr>
            <w:tcW w:w="2547" w:type="dxa"/>
            <w:vMerge/>
            <w:vAlign w:val="center"/>
            <w:hideMark/>
          </w:tcPr>
          <w:p w14:paraId="67A02531" w14:textId="54FC3F3C" w:rsidR="001E0E2E" w:rsidRPr="00C43EAA" w:rsidRDefault="001E0E2E" w:rsidP="00F878F7">
            <w:pPr>
              <w:jc w:val="left"/>
              <w:rPr>
                <w:sz w:val="20"/>
                <w:szCs w:val="20"/>
              </w:rPr>
            </w:pPr>
          </w:p>
        </w:tc>
        <w:tc>
          <w:tcPr>
            <w:tcW w:w="6520" w:type="dxa"/>
            <w:vAlign w:val="center"/>
            <w:hideMark/>
          </w:tcPr>
          <w:p w14:paraId="05BFB1A1" w14:textId="77777777" w:rsidR="001E0E2E" w:rsidRPr="00C43EAA" w:rsidRDefault="001E0E2E" w:rsidP="00F878F7">
            <w:pPr>
              <w:jc w:val="left"/>
              <w:rPr>
                <w:sz w:val="20"/>
                <w:szCs w:val="20"/>
              </w:rPr>
            </w:pPr>
            <w:r w:rsidRPr="00C43EAA">
              <w:rPr>
                <w:sz w:val="20"/>
                <w:szCs w:val="20"/>
              </w:rPr>
              <w:t>Modèle Numérique des Pentes</w:t>
            </w:r>
          </w:p>
        </w:tc>
      </w:tr>
      <w:tr w:rsidR="001E0E2E" w:rsidRPr="00C43EAA" w14:paraId="20605464" w14:textId="77777777" w:rsidTr="00F878F7">
        <w:trPr>
          <w:trHeight w:val="283"/>
        </w:trPr>
        <w:tc>
          <w:tcPr>
            <w:tcW w:w="2547" w:type="dxa"/>
            <w:vMerge w:val="restart"/>
            <w:vAlign w:val="center"/>
            <w:hideMark/>
          </w:tcPr>
          <w:p w14:paraId="07BD0DC7" w14:textId="77777777" w:rsidR="001E0E2E" w:rsidRPr="00C43EAA" w:rsidRDefault="001E0E2E" w:rsidP="00F878F7">
            <w:pPr>
              <w:jc w:val="left"/>
              <w:rPr>
                <w:sz w:val="20"/>
                <w:szCs w:val="20"/>
              </w:rPr>
            </w:pPr>
            <w:r w:rsidRPr="00C43EAA">
              <w:rPr>
                <w:sz w:val="20"/>
                <w:szCs w:val="20"/>
              </w:rPr>
              <w:t>Érosion, ruissellement, inondations</w:t>
            </w:r>
          </w:p>
        </w:tc>
        <w:tc>
          <w:tcPr>
            <w:tcW w:w="6520" w:type="dxa"/>
            <w:vAlign w:val="center"/>
            <w:hideMark/>
          </w:tcPr>
          <w:p w14:paraId="7AC6315A" w14:textId="77777777" w:rsidR="001E0E2E" w:rsidRPr="00C43EAA" w:rsidRDefault="001E0E2E" w:rsidP="00F878F7">
            <w:pPr>
              <w:jc w:val="left"/>
              <w:rPr>
                <w:sz w:val="20"/>
                <w:szCs w:val="20"/>
              </w:rPr>
            </w:pPr>
            <w:r w:rsidRPr="00C43EAA">
              <w:rPr>
                <w:sz w:val="20"/>
                <w:szCs w:val="20"/>
              </w:rPr>
              <w:t>ERRUISSOL - Risque d'érosion hydrique diffuse</w:t>
            </w:r>
          </w:p>
        </w:tc>
      </w:tr>
      <w:tr w:rsidR="001E0E2E" w:rsidRPr="00C43EAA" w14:paraId="1E5EA35F" w14:textId="77777777" w:rsidTr="00F878F7">
        <w:trPr>
          <w:trHeight w:val="283"/>
        </w:trPr>
        <w:tc>
          <w:tcPr>
            <w:tcW w:w="2547" w:type="dxa"/>
            <w:vMerge/>
            <w:vAlign w:val="center"/>
            <w:hideMark/>
          </w:tcPr>
          <w:p w14:paraId="2A923C33" w14:textId="739FFC8F" w:rsidR="001E0E2E" w:rsidRPr="00C43EAA" w:rsidRDefault="001E0E2E" w:rsidP="00F878F7">
            <w:pPr>
              <w:jc w:val="left"/>
              <w:rPr>
                <w:sz w:val="20"/>
                <w:szCs w:val="20"/>
              </w:rPr>
            </w:pPr>
          </w:p>
        </w:tc>
        <w:tc>
          <w:tcPr>
            <w:tcW w:w="6520" w:type="dxa"/>
            <w:vAlign w:val="center"/>
            <w:hideMark/>
          </w:tcPr>
          <w:p w14:paraId="471C2906" w14:textId="77777777" w:rsidR="001E0E2E" w:rsidRPr="00C43EAA" w:rsidRDefault="001E0E2E" w:rsidP="00F878F7">
            <w:pPr>
              <w:jc w:val="left"/>
              <w:rPr>
                <w:sz w:val="20"/>
                <w:szCs w:val="20"/>
              </w:rPr>
            </w:pPr>
            <w:r w:rsidRPr="00C43EAA">
              <w:rPr>
                <w:sz w:val="20"/>
                <w:szCs w:val="20"/>
              </w:rPr>
              <w:t>ERRUISSOL - Risque de ruissellement diffus</w:t>
            </w:r>
          </w:p>
        </w:tc>
      </w:tr>
      <w:tr w:rsidR="001E0E2E" w:rsidRPr="00C43EAA" w14:paraId="5582783C" w14:textId="77777777" w:rsidTr="00F878F7">
        <w:trPr>
          <w:trHeight w:val="283"/>
        </w:trPr>
        <w:tc>
          <w:tcPr>
            <w:tcW w:w="2547" w:type="dxa"/>
            <w:vMerge/>
            <w:vAlign w:val="center"/>
            <w:hideMark/>
          </w:tcPr>
          <w:p w14:paraId="2FAE4556" w14:textId="0B771CFE" w:rsidR="001E0E2E" w:rsidRPr="00C43EAA" w:rsidRDefault="001E0E2E" w:rsidP="00F878F7">
            <w:pPr>
              <w:jc w:val="left"/>
              <w:rPr>
                <w:sz w:val="20"/>
                <w:szCs w:val="20"/>
              </w:rPr>
            </w:pPr>
          </w:p>
        </w:tc>
        <w:tc>
          <w:tcPr>
            <w:tcW w:w="6520" w:type="dxa"/>
            <w:vAlign w:val="center"/>
            <w:hideMark/>
          </w:tcPr>
          <w:p w14:paraId="4BA6B534" w14:textId="77777777" w:rsidR="001E0E2E" w:rsidRPr="00C43EAA" w:rsidRDefault="001E0E2E" w:rsidP="00F878F7">
            <w:pPr>
              <w:jc w:val="left"/>
              <w:rPr>
                <w:sz w:val="20"/>
                <w:szCs w:val="20"/>
              </w:rPr>
            </w:pPr>
            <w:r w:rsidRPr="00C43EAA">
              <w:rPr>
                <w:sz w:val="20"/>
                <w:szCs w:val="20"/>
              </w:rPr>
              <w:t>Carte de sensibilité à l’érosion</w:t>
            </w:r>
          </w:p>
        </w:tc>
      </w:tr>
      <w:tr w:rsidR="001E0E2E" w:rsidRPr="00C43EAA" w14:paraId="2CF5B256" w14:textId="77777777" w:rsidTr="00F878F7">
        <w:trPr>
          <w:trHeight w:val="283"/>
        </w:trPr>
        <w:tc>
          <w:tcPr>
            <w:tcW w:w="2547" w:type="dxa"/>
            <w:vMerge/>
            <w:vAlign w:val="center"/>
            <w:hideMark/>
          </w:tcPr>
          <w:p w14:paraId="094B88AA" w14:textId="5BA8F44E" w:rsidR="001E0E2E" w:rsidRPr="00C43EAA" w:rsidRDefault="001E0E2E" w:rsidP="00F878F7">
            <w:pPr>
              <w:jc w:val="left"/>
              <w:rPr>
                <w:sz w:val="20"/>
                <w:szCs w:val="20"/>
              </w:rPr>
            </w:pPr>
          </w:p>
        </w:tc>
        <w:tc>
          <w:tcPr>
            <w:tcW w:w="6520" w:type="dxa"/>
            <w:vAlign w:val="center"/>
            <w:hideMark/>
          </w:tcPr>
          <w:p w14:paraId="31C6A6B1" w14:textId="77777777" w:rsidR="001E0E2E" w:rsidRPr="00C43EAA" w:rsidRDefault="001E0E2E" w:rsidP="00F878F7">
            <w:pPr>
              <w:jc w:val="left"/>
              <w:rPr>
                <w:sz w:val="20"/>
                <w:szCs w:val="20"/>
              </w:rPr>
            </w:pPr>
            <w:r w:rsidRPr="00C43EAA">
              <w:rPr>
                <w:sz w:val="20"/>
                <w:szCs w:val="20"/>
              </w:rPr>
              <w:t>Aléas d’inondation</w:t>
            </w:r>
          </w:p>
        </w:tc>
      </w:tr>
      <w:tr w:rsidR="001E0E2E" w:rsidRPr="00C43EAA" w14:paraId="17634DA9" w14:textId="77777777" w:rsidTr="00F878F7">
        <w:trPr>
          <w:trHeight w:val="283"/>
        </w:trPr>
        <w:tc>
          <w:tcPr>
            <w:tcW w:w="2547" w:type="dxa"/>
            <w:vMerge w:val="restart"/>
            <w:vAlign w:val="center"/>
            <w:hideMark/>
          </w:tcPr>
          <w:p w14:paraId="68C76581" w14:textId="77777777" w:rsidR="001E0E2E" w:rsidRPr="00C43EAA" w:rsidRDefault="001E0E2E" w:rsidP="00F878F7">
            <w:pPr>
              <w:jc w:val="left"/>
              <w:rPr>
                <w:sz w:val="20"/>
                <w:szCs w:val="20"/>
              </w:rPr>
            </w:pPr>
            <w:r w:rsidRPr="00C43EAA">
              <w:rPr>
                <w:sz w:val="20"/>
                <w:szCs w:val="20"/>
              </w:rPr>
              <w:t>Biodiversité</w:t>
            </w:r>
          </w:p>
        </w:tc>
        <w:tc>
          <w:tcPr>
            <w:tcW w:w="6520" w:type="dxa"/>
            <w:vAlign w:val="center"/>
            <w:hideMark/>
          </w:tcPr>
          <w:p w14:paraId="448E0504" w14:textId="77777777" w:rsidR="001E0E2E" w:rsidRPr="00C43EAA" w:rsidRDefault="001E0E2E" w:rsidP="00F878F7">
            <w:pPr>
              <w:jc w:val="left"/>
              <w:rPr>
                <w:sz w:val="20"/>
                <w:szCs w:val="20"/>
              </w:rPr>
            </w:pPr>
            <w:r w:rsidRPr="00C43EAA">
              <w:rPr>
                <w:sz w:val="20"/>
                <w:szCs w:val="20"/>
              </w:rPr>
              <w:t>Contextes écologiques marginaux et sensibles</w:t>
            </w:r>
          </w:p>
        </w:tc>
      </w:tr>
      <w:tr w:rsidR="001E0E2E" w:rsidRPr="00C43EAA" w14:paraId="428C5269" w14:textId="77777777" w:rsidTr="00F878F7">
        <w:trPr>
          <w:trHeight w:val="283"/>
        </w:trPr>
        <w:tc>
          <w:tcPr>
            <w:tcW w:w="2547" w:type="dxa"/>
            <w:vMerge/>
            <w:vAlign w:val="center"/>
            <w:hideMark/>
          </w:tcPr>
          <w:p w14:paraId="57A712C0" w14:textId="3F99F1B5" w:rsidR="001E0E2E" w:rsidRPr="00C43EAA" w:rsidRDefault="001E0E2E" w:rsidP="00F878F7">
            <w:pPr>
              <w:jc w:val="left"/>
              <w:rPr>
                <w:sz w:val="20"/>
                <w:szCs w:val="20"/>
              </w:rPr>
            </w:pPr>
          </w:p>
        </w:tc>
        <w:tc>
          <w:tcPr>
            <w:tcW w:w="6520" w:type="dxa"/>
            <w:vAlign w:val="center"/>
            <w:hideMark/>
          </w:tcPr>
          <w:p w14:paraId="3F873F18" w14:textId="77777777" w:rsidR="001E0E2E" w:rsidRPr="00C43EAA" w:rsidRDefault="001E0E2E" w:rsidP="00F878F7">
            <w:pPr>
              <w:jc w:val="left"/>
              <w:rPr>
                <w:sz w:val="20"/>
                <w:szCs w:val="20"/>
              </w:rPr>
            </w:pPr>
            <w:r w:rsidRPr="00C43EAA">
              <w:rPr>
                <w:sz w:val="20"/>
                <w:szCs w:val="20"/>
              </w:rPr>
              <w:t>Conservation de la Nature - Parcs naturels/ZHIB_sites RAMSAR</w:t>
            </w:r>
          </w:p>
        </w:tc>
      </w:tr>
      <w:tr w:rsidR="001E0E2E" w:rsidRPr="00C43EAA" w14:paraId="741A76E0" w14:textId="77777777" w:rsidTr="00F878F7">
        <w:trPr>
          <w:trHeight w:val="283"/>
        </w:trPr>
        <w:tc>
          <w:tcPr>
            <w:tcW w:w="2547" w:type="dxa"/>
            <w:vMerge w:val="restart"/>
            <w:vAlign w:val="center"/>
            <w:hideMark/>
          </w:tcPr>
          <w:p w14:paraId="1C42660E" w14:textId="77777777" w:rsidR="001E0E2E" w:rsidRPr="00C43EAA" w:rsidRDefault="001E0E2E" w:rsidP="00F878F7">
            <w:pPr>
              <w:jc w:val="left"/>
              <w:rPr>
                <w:sz w:val="20"/>
                <w:szCs w:val="20"/>
              </w:rPr>
            </w:pPr>
            <w:r w:rsidRPr="00C43EAA">
              <w:rPr>
                <w:sz w:val="20"/>
                <w:szCs w:val="20"/>
              </w:rPr>
              <w:t>Nappes souterraines</w:t>
            </w:r>
          </w:p>
        </w:tc>
        <w:tc>
          <w:tcPr>
            <w:tcW w:w="6520" w:type="dxa"/>
            <w:vAlign w:val="center"/>
            <w:hideMark/>
          </w:tcPr>
          <w:p w14:paraId="3A51EDBE" w14:textId="77777777" w:rsidR="001E0E2E" w:rsidRPr="00C43EAA" w:rsidRDefault="001E0E2E" w:rsidP="00F878F7">
            <w:pPr>
              <w:jc w:val="left"/>
              <w:rPr>
                <w:sz w:val="20"/>
                <w:szCs w:val="20"/>
              </w:rPr>
            </w:pPr>
            <w:r w:rsidRPr="00C43EAA">
              <w:rPr>
                <w:sz w:val="20"/>
                <w:szCs w:val="20"/>
              </w:rPr>
              <w:t>Masses d'eau souterraine (MESO) Version 2017</w:t>
            </w:r>
          </w:p>
        </w:tc>
      </w:tr>
      <w:tr w:rsidR="001E0E2E" w:rsidRPr="00C43EAA" w14:paraId="66F1EC98" w14:textId="77777777" w:rsidTr="00F878F7">
        <w:trPr>
          <w:trHeight w:val="283"/>
        </w:trPr>
        <w:tc>
          <w:tcPr>
            <w:tcW w:w="2547" w:type="dxa"/>
            <w:vMerge/>
            <w:vAlign w:val="center"/>
            <w:hideMark/>
          </w:tcPr>
          <w:p w14:paraId="364F5BF2" w14:textId="5069D2F3" w:rsidR="001E0E2E" w:rsidRPr="00C43EAA" w:rsidRDefault="001E0E2E" w:rsidP="00F878F7">
            <w:pPr>
              <w:jc w:val="left"/>
              <w:rPr>
                <w:sz w:val="20"/>
                <w:szCs w:val="20"/>
              </w:rPr>
            </w:pPr>
          </w:p>
        </w:tc>
        <w:tc>
          <w:tcPr>
            <w:tcW w:w="6520" w:type="dxa"/>
            <w:vAlign w:val="center"/>
            <w:hideMark/>
          </w:tcPr>
          <w:p w14:paraId="1D873466" w14:textId="77777777" w:rsidR="001E0E2E" w:rsidRPr="00C43EAA" w:rsidRDefault="001E0E2E" w:rsidP="00F878F7">
            <w:pPr>
              <w:jc w:val="left"/>
              <w:rPr>
                <w:sz w:val="20"/>
                <w:szCs w:val="20"/>
              </w:rPr>
            </w:pPr>
            <w:r w:rsidRPr="00C43EAA">
              <w:rPr>
                <w:sz w:val="20"/>
                <w:szCs w:val="20"/>
              </w:rPr>
              <w:t>Protection des captages</w:t>
            </w:r>
          </w:p>
        </w:tc>
      </w:tr>
      <w:tr w:rsidR="001E0E2E" w:rsidRPr="00C43EAA" w14:paraId="53674EE7" w14:textId="77777777" w:rsidTr="00F878F7">
        <w:trPr>
          <w:trHeight w:val="283"/>
        </w:trPr>
        <w:tc>
          <w:tcPr>
            <w:tcW w:w="2547" w:type="dxa"/>
            <w:vMerge/>
            <w:vAlign w:val="center"/>
            <w:hideMark/>
          </w:tcPr>
          <w:p w14:paraId="6A0E5E41" w14:textId="06CE9A69" w:rsidR="001E0E2E" w:rsidRPr="00C43EAA" w:rsidRDefault="001E0E2E" w:rsidP="00F878F7">
            <w:pPr>
              <w:jc w:val="left"/>
              <w:rPr>
                <w:sz w:val="20"/>
                <w:szCs w:val="20"/>
              </w:rPr>
            </w:pPr>
          </w:p>
        </w:tc>
        <w:tc>
          <w:tcPr>
            <w:tcW w:w="6520" w:type="dxa"/>
            <w:vAlign w:val="center"/>
            <w:hideMark/>
          </w:tcPr>
          <w:p w14:paraId="4442D80D" w14:textId="77777777" w:rsidR="001E0E2E" w:rsidRPr="00C43EAA" w:rsidRDefault="001E0E2E" w:rsidP="00F878F7">
            <w:pPr>
              <w:jc w:val="left"/>
              <w:rPr>
                <w:sz w:val="20"/>
                <w:szCs w:val="20"/>
              </w:rPr>
            </w:pPr>
            <w:r w:rsidRPr="00C43EAA">
              <w:rPr>
                <w:sz w:val="20"/>
                <w:szCs w:val="20"/>
              </w:rPr>
              <w:t>Périmètres de contraintes karstiques</w:t>
            </w:r>
          </w:p>
        </w:tc>
      </w:tr>
      <w:tr w:rsidR="001E0E2E" w:rsidRPr="00C43EAA" w14:paraId="2E954E65" w14:textId="77777777" w:rsidTr="00F878F7">
        <w:trPr>
          <w:trHeight w:val="283"/>
        </w:trPr>
        <w:tc>
          <w:tcPr>
            <w:tcW w:w="2547" w:type="dxa"/>
            <w:vAlign w:val="center"/>
            <w:hideMark/>
          </w:tcPr>
          <w:p w14:paraId="3D4AC823" w14:textId="77777777" w:rsidR="001E0E2E" w:rsidRPr="00C43EAA" w:rsidRDefault="001E0E2E" w:rsidP="00F878F7">
            <w:pPr>
              <w:jc w:val="left"/>
              <w:rPr>
                <w:sz w:val="20"/>
                <w:szCs w:val="20"/>
              </w:rPr>
            </w:pPr>
            <w:r w:rsidRPr="00C43EAA">
              <w:rPr>
                <w:sz w:val="20"/>
                <w:szCs w:val="20"/>
              </w:rPr>
              <w:t>Patrimoine</w:t>
            </w:r>
          </w:p>
        </w:tc>
        <w:tc>
          <w:tcPr>
            <w:tcW w:w="6520" w:type="dxa"/>
            <w:vAlign w:val="center"/>
            <w:hideMark/>
          </w:tcPr>
          <w:p w14:paraId="78ECC6D8" w14:textId="77777777" w:rsidR="001E0E2E" w:rsidRPr="00C43EAA" w:rsidRDefault="001E0E2E" w:rsidP="00F878F7">
            <w:pPr>
              <w:jc w:val="left"/>
              <w:rPr>
                <w:sz w:val="20"/>
                <w:szCs w:val="20"/>
              </w:rPr>
            </w:pPr>
            <w:r w:rsidRPr="00C43EAA">
              <w:rPr>
                <w:sz w:val="20"/>
                <w:szCs w:val="20"/>
              </w:rPr>
              <w:t>Carte archéologique</w:t>
            </w:r>
          </w:p>
        </w:tc>
      </w:tr>
    </w:tbl>
    <w:p w14:paraId="4AC97B36" w14:textId="77777777" w:rsidR="00F64E33" w:rsidRDefault="00F64E33" w:rsidP="00D85A01"/>
    <w:p w14:paraId="2A485ED7" w14:textId="5BF801D4" w:rsidR="00CA28DC" w:rsidRDefault="003B7918">
      <w:pPr>
        <w:pStyle w:val="Titre2"/>
        <w:numPr>
          <w:ilvl w:val="1"/>
          <w:numId w:val="12"/>
        </w:numPr>
      </w:pPr>
      <w:bookmarkStart w:id="211" w:name="_Toc241478154"/>
      <w:r>
        <w:t>Établissement de la stratégie</w:t>
      </w:r>
      <w:r w:rsidR="00F104AA">
        <w:t xml:space="preserve"> d’échantillonnage</w:t>
      </w:r>
      <w:bookmarkEnd w:id="211"/>
    </w:p>
    <w:p w14:paraId="1164CBA2" w14:textId="2AA30AAE" w:rsidR="00A924E8" w:rsidRPr="00A924E8" w:rsidRDefault="00AE0C49" w:rsidP="00A924E8">
      <w:r>
        <w:t xml:space="preserve">Le site étudié sera découpé en différentes zones homogènes, </w:t>
      </w:r>
      <w:r w:rsidR="00334E4A">
        <w:t xml:space="preserve">qui elles-mêmes pourront, en fonction de leur superficie, être sous-découpées en zones d’échantillonnage. La zone d’échantillonnage </w:t>
      </w:r>
      <w:r w:rsidR="00395F78">
        <w:t>correspond</w:t>
      </w:r>
      <w:r w:rsidR="72E55953">
        <w:t xml:space="preserve"> à </w:t>
      </w:r>
      <w:r w:rsidR="00334E4A">
        <w:t xml:space="preserve">l’échelle </w:t>
      </w:r>
      <w:r w:rsidR="3419EBFE">
        <w:t>de</w:t>
      </w:r>
      <w:r w:rsidR="00731184">
        <w:t xml:space="preserve"> </w:t>
      </w:r>
      <w:r w:rsidR="3419EBFE">
        <w:t>calcul des</w:t>
      </w:r>
      <w:r w:rsidR="00334E4A">
        <w:t xml:space="preserve"> indices IQSW-pro.</w:t>
      </w:r>
      <w:r w:rsidR="00041A10">
        <w:t xml:space="preserve"> </w:t>
      </w:r>
      <w:r w:rsidR="00041A10" w:rsidRPr="00041A10">
        <w:t xml:space="preserve">La </w:t>
      </w:r>
      <w:r w:rsidR="00A00287" w:rsidRPr="00637C11">
        <w:fldChar w:fldCharType="begin"/>
      </w:r>
      <w:r w:rsidR="00A00287" w:rsidRPr="00637C11">
        <w:instrText xml:space="preserve"> REF _Ref241226539 \h </w:instrText>
      </w:r>
      <w:r w:rsidR="00637C11" w:rsidRPr="00637C11">
        <w:instrText xml:space="preserve"> \* MERGEFORMAT </w:instrText>
      </w:r>
      <w:r w:rsidR="00A00287" w:rsidRPr="00637C11">
        <w:fldChar w:fldCharType="separate"/>
      </w:r>
      <w:r w:rsidR="00637C11" w:rsidRPr="00637C11">
        <w:t xml:space="preserve">Figure </w:t>
      </w:r>
      <w:r w:rsidR="00637C11" w:rsidRPr="00637C11">
        <w:rPr>
          <w:noProof/>
        </w:rPr>
        <w:t>10</w:t>
      </w:r>
      <w:r w:rsidR="00A00287" w:rsidRPr="00637C11">
        <w:fldChar w:fldCharType="end"/>
      </w:r>
      <w:r w:rsidR="00A00287">
        <w:t xml:space="preserve"> </w:t>
      </w:r>
      <w:r w:rsidR="00041A10" w:rsidRPr="00041A10">
        <w:t>présente la logique de découpage du site en vue du diagnostic</w:t>
      </w:r>
      <w:r w:rsidR="0098008F">
        <w:t>.</w:t>
      </w:r>
    </w:p>
    <w:p w14:paraId="0125553B" w14:textId="77777777" w:rsidR="000E1D98" w:rsidRDefault="00476119" w:rsidP="000E1D98">
      <w:pPr>
        <w:keepNext/>
      </w:pPr>
      <w:r>
        <w:rPr>
          <w:noProof/>
        </w:rPr>
        <w:lastRenderedPageBreak/>
        <w:drawing>
          <wp:inline distT="0" distB="0" distL="0" distR="0" wp14:anchorId="2CA3ABEB" wp14:editId="12935893">
            <wp:extent cx="5759450" cy="4302760"/>
            <wp:effectExtent l="0" t="0" r="0" b="2540"/>
            <wp:docPr id="1676794735"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94735" name="Image 167679473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9450" cy="4302760"/>
                    </a:xfrm>
                    <a:prstGeom prst="rect">
                      <a:avLst/>
                    </a:prstGeom>
                  </pic:spPr>
                </pic:pic>
              </a:graphicData>
            </a:graphic>
          </wp:inline>
        </w:drawing>
      </w:r>
    </w:p>
    <w:p w14:paraId="48D029A2" w14:textId="540690B4" w:rsidR="000E1D98" w:rsidRPr="000E1D98" w:rsidRDefault="000E1D98" w:rsidP="000E1D98">
      <w:pPr>
        <w:pStyle w:val="Lgende"/>
        <w:jc w:val="center"/>
        <w:rPr>
          <w:i w:val="0"/>
          <w:iCs w:val="0"/>
        </w:rPr>
      </w:pPr>
      <w:bookmarkStart w:id="212" w:name="_Ref241226539"/>
      <w:bookmarkStart w:id="213" w:name="_Toc241229825"/>
      <w:r w:rsidRPr="000E1D98">
        <w:rPr>
          <w:i w:val="0"/>
          <w:iCs w:val="0"/>
        </w:rPr>
        <w:t xml:space="preserve">Figure </w:t>
      </w:r>
      <w:r w:rsidRPr="000E1D98">
        <w:rPr>
          <w:i w:val="0"/>
          <w:iCs w:val="0"/>
        </w:rPr>
        <w:fldChar w:fldCharType="begin"/>
      </w:r>
      <w:r w:rsidRPr="000E1D98">
        <w:rPr>
          <w:i w:val="0"/>
          <w:iCs w:val="0"/>
        </w:rPr>
        <w:instrText xml:space="preserve"> SEQ Figure \* ARABIC </w:instrText>
      </w:r>
      <w:r w:rsidRPr="000E1D98">
        <w:rPr>
          <w:i w:val="0"/>
          <w:iCs w:val="0"/>
        </w:rPr>
        <w:fldChar w:fldCharType="separate"/>
      </w:r>
      <w:r w:rsidR="00637C11">
        <w:rPr>
          <w:i w:val="0"/>
          <w:iCs w:val="0"/>
          <w:noProof/>
        </w:rPr>
        <w:t>10</w:t>
      </w:r>
      <w:r w:rsidRPr="000E1D98">
        <w:rPr>
          <w:i w:val="0"/>
          <w:iCs w:val="0"/>
        </w:rPr>
        <w:fldChar w:fldCharType="end"/>
      </w:r>
      <w:bookmarkEnd w:id="212"/>
      <w:r w:rsidRPr="000E1D98">
        <w:rPr>
          <w:i w:val="0"/>
          <w:iCs w:val="0"/>
        </w:rPr>
        <w:t xml:space="preserve"> : Exemple de répartition spatiale des zones d'échantillonnage, des points de mesures in situ et des lieux de prélèvement des échantillons élémentaires en fonction de la délimitation des zones homogènes et de leur superficie</w:t>
      </w:r>
      <w:bookmarkEnd w:id="213"/>
    </w:p>
    <w:p w14:paraId="043BA521" w14:textId="580F7543" w:rsidR="00A36984" w:rsidRDefault="00562B66" w:rsidP="00A36984">
      <w:r>
        <w:t xml:space="preserve">Le </w:t>
      </w:r>
      <w:r w:rsidR="000159A6" w:rsidRPr="003D7F8A">
        <w:fldChar w:fldCharType="begin"/>
      </w:r>
      <w:r w:rsidR="000159A6" w:rsidRPr="003D7F8A">
        <w:instrText xml:space="preserve"> REF _Ref233122978 \h </w:instrText>
      </w:r>
      <w:r w:rsidR="003D7F8A" w:rsidRPr="003D7F8A">
        <w:instrText xml:space="preserve"> \* MERGEFORMAT </w:instrText>
      </w:r>
      <w:r w:rsidR="000159A6" w:rsidRPr="003D7F8A">
        <w:fldChar w:fldCharType="separate"/>
      </w:r>
      <w:r w:rsidR="003D7F8A" w:rsidRPr="003D7F8A">
        <w:t xml:space="preserve">Tableau </w:t>
      </w:r>
      <w:r w:rsidR="003D7F8A" w:rsidRPr="003D7F8A">
        <w:rPr>
          <w:noProof/>
        </w:rPr>
        <w:t>9</w:t>
      </w:r>
      <w:r w:rsidR="000159A6" w:rsidRPr="003D7F8A">
        <w:fldChar w:fldCharType="end"/>
      </w:r>
      <w:r w:rsidR="000159A6" w:rsidRPr="003D7F8A">
        <w:t xml:space="preserve"> </w:t>
      </w:r>
      <w:r w:rsidR="00A36984">
        <w:t xml:space="preserve">précise, en fonction de la superficie de la zone homogène étudiée : </w:t>
      </w:r>
    </w:p>
    <w:p w14:paraId="4A4D6D5F" w14:textId="77777777" w:rsidR="00A36984" w:rsidRDefault="00A36984" w:rsidP="00A36984">
      <w:pPr>
        <w:pStyle w:val="Paragraphedeliste"/>
        <w:numPr>
          <w:ilvl w:val="0"/>
          <w:numId w:val="30"/>
        </w:numPr>
      </w:pPr>
      <w:r>
        <w:t>Le nombre d’échantillons composites à prélever (un échantillon composite = une zone d’échantillonnage),</w:t>
      </w:r>
    </w:p>
    <w:p w14:paraId="663F9179" w14:textId="77777777" w:rsidR="00A36984" w:rsidRDefault="00A36984" w:rsidP="00A36984">
      <w:pPr>
        <w:pStyle w:val="Paragraphedeliste"/>
        <w:numPr>
          <w:ilvl w:val="0"/>
          <w:numId w:val="30"/>
        </w:numPr>
      </w:pPr>
      <w:r>
        <w:t xml:space="preserve">Le nombre d’échantillons élémentaires constitutifs d’un échantillon composite, </w:t>
      </w:r>
    </w:p>
    <w:p w14:paraId="2349816E" w14:textId="0AEC7692" w:rsidR="0051081A" w:rsidRDefault="00A36984" w:rsidP="00562B66">
      <w:pPr>
        <w:pStyle w:val="Paragraphedeliste"/>
        <w:numPr>
          <w:ilvl w:val="0"/>
          <w:numId w:val="30"/>
        </w:numPr>
      </w:pPr>
      <w:r>
        <w:t>Le nombre de points de mesures in situ (en ce compris la mesure de la masse volumique apparente, de la charge volumique en éléments grossiers, la réalisation d’un test VESS, d’un test d’infiltration et de la réalisation et description d'un profil tarière sur un mètre de profondeur).</w:t>
      </w:r>
    </w:p>
    <w:p w14:paraId="7C4D6F82" w14:textId="77D972A0" w:rsidR="0051081A" w:rsidRDefault="00F7333A" w:rsidP="00562B66">
      <w:r>
        <w:t>La stratégie est conforme aux préconisations du Décret sols (</w:t>
      </w:r>
      <w:r w:rsidR="00AF088C">
        <w:t xml:space="preserve">nombre de forages et d’échantillons prévus par le </w:t>
      </w:r>
      <w:r w:rsidR="00AF088C" w:rsidRPr="00AF088C">
        <w:t>GREC v6 - stratégie R2</w:t>
      </w:r>
      <w:r w:rsidR="00751F0B">
        <w:rPr>
          <w:rStyle w:val="Appelnotedebasdep"/>
        </w:rPr>
        <w:footnoteReference w:id="14"/>
      </w:r>
      <w:r w:rsidR="00AF088C">
        <w:t xml:space="preserve">, adapté à une épaisseur de sol de </w:t>
      </w:r>
      <w:r w:rsidR="00AF088C" w:rsidRPr="00AF088C">
        <w:t>30 cm</w:t>
      </w:r>
      <w:r>
        <w:t>).</w:t>
      </w:r>
    </w:p>
    <w:p w14:paraId="4ADC1333" w14:textId="1ED71484" w:rsidR="00E24F0A" w:rsidRPr="00E24F0A" w:rsidRDefault="0051081A" w:rsidP="0051081A">
      <w:pPr>
        <w:jc w:val="left"/>
      </w:pPr>
      <w:r>
        <w:br w:type="page"/>
      </w:r>
    </w:p>
    <w:p w14:paraId="67D88CE0" w14:textId="72F98E44" w:rsidR="003B7918" w:rsidRPr="00126005" w:rsidRDefault="003B7918" w:rsidP="003B7918">
      <w:pPr>
        <w:pStyle w:val="Lgende"/>
        <w:keepNext/>
        <w:jc w:val="center"/>
        <w:rPr>
          <w:i w:val="0"/>
          <w:iCs w:val="0"/>
        </w:rPr>
      </w:pPr>
      <w:bookmarkStart w:id="214" w:name="_Ref233122978"/>
      <w:bookmarkStart w:id="215" w:name="_Toc233122677"/>
      <w:r w:rsidRPr="00126005">
        <w:rPr>
          <w:i w:val="0"/>
          <w:iCs w:val="0"/>
        </w:rPr>
        <w:lastRenderedPageBreak/>
        <w:t xml:space="preserve">Tableau </w:t>
      </w:r>
      <w:r w:rsidRPr="00126005">
        <w:rPr>
          <w:i w:val="0"/>
          <w:iCs w:val="0"/>
        </w:rPr>
        <w:fldChar w:fldCharType="begin"/>
      </w:r>
      <w:r w:rsidRPr="00126005">
        <w:rPr>
          <w:i w:val="0"/>
          <w:iCs w:val="0"/>
        </w:rPr>
        <w:instrText xml:space="preserve"> SEQ Tableau \* ARABIC </w:instrText>
      </w:r>
      <w:r w:rsidRPr="00126005">
        <w:rPr>
          <w:i w:val="0"/>
          <w:iCs w:val="0"/>
        </w:rPr>
        <w:fldChar w:fldCharType="separate"/>
      </w:r>
      <w:r w:rsidR="003D7F8A">
        <w:rPr>
          <w:i w:val="0"/>
          <w:iCs w:val="0"/>
          <w:noProof/>
        </w:rPr>
        <w:t>9</w:t>
      </w:r>
      <w:r w:rsidRPr="00126005">
        <w:rPr>
          <w:i w:val="0"/>
          <w:iCs w:val="0"/>
        </w:rPr>
        <w:fldChar w:fldCharType="end"/>
      </w:r>
      <w:bookmarkEnd w:id="214"/>
      <w:r w:rsidRPr="00126005">
        <w:rPr>
          <w:i w:val="0"/>
          <w:iCs w:val="0"/>
        </w:rPr>
        <w:t xml:space="preserve"> : Nombre d'échantillons composites, nombre d'échantillons élémentaires à prélever pour constituer un composite et nombre de points où effectuer un pack de mesures in situ</w:t>
      </w:r>
      <w:bookmarkEnd w:id="215"/>
    </w:p>
    <w:tbl>
      <w:tblPr>
        <w:tblW w:w="9072" w:type="dxa"/>
        <w:tblLayout w:type="fixed"/>
        <w:tblCellMar>
          <w:left w:w="70" w:type="dxa"/>
          <w:right w:w="70" w:type="dxa"/>
        </w:tblCellMar>
        <w:tblLook w:val="04A0" w:firstRow="1" w:lastRow="0" w:firstColumn="1" w:lastColumn="0" w:noHBand="0" w:noVBand="1"/>
      </w:tblPr>
      <w:tblGrid>
        <w:gridCol w:w="2122"/>
        <w:gridCol w:w="868"/>
        <w:gridCol w:w="869"/>
        <w:gridCol w:w="869"/>
        <w:gridCol w:w="869"/>
        <w:gridCol w:w="868"/>
        <w:gridCol w:w="869"/>
        <w:gridCol w:w="869"/>
        <w:gridCol w:w="869"/>
      </w:tblGrid>
      <w:tr w:rsidR="003B7918" w:rsidRPr="001C3A22" w14:paraId="17C7D5A8" w14:textId="77777777" w:rsidTr="004306AE">
        <w:trPr>
          <w:trHeight w:val="303"/>
        </w:trPr>
        <w:tc>
          <w:tcPr>
            <w:tcW w:w="2122" w:type="dxa"/>
            <w:vMerge w:val="restart"/>
            <w:tcBorders>
              <w:top w:val="single" w:sz="4" w:space="0" w:color="auto"/>
              <w:left w:val="single" w:sz="4" w:space="0" w:color="auto"/>
              <w:right w:val="single" w:sz="4" w:space="0" w:color="FFFFFF" w:themeColor="background1"/>
            </w:tcBorders>
            <w:shd w:val="clear" w:color="auto" w:fill="0E2841" w:themeFill="text2"/>
            <w:noWrap/>
            <w:vAlign w:val="center"/>
            <w:hideMark/>
          </w:tcPr>
          <w:p w14:paraId="79A1554C" w14:textId="77777777" w:rsidR="003B7918" w:rsidRPr="009C3F06" w:rsidRDefault="003B7918" w:rsidP="004306AE">
            <w:pPr>
              <w:spacing w:after="0" w:line="240" w:lineRule="auto"/>
              <w:jc w:val="center"/>
              <w:rPr>
                <w:rFonts w:ascii="Times New Roman" w:eastAsia="Times New Roman" w:hAnsi="Times New Roman" w:cs="Times New Roman"/>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Nombre</w:t>
            </w:r>
          </w:p>
        </w:tc>
        <w:tc>
          <w:tcPr>
            <w:tcW w:w="6950"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3D524257" w14:textId="77777777" w:rsidR="003B7918" w:rsidRPr="009C3F06"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 xml:space="preserve">Taille zone </w:t>
            </w:r>
            <w:r>
              <w:rPr>
                <w:rFonts w:ascii="Aptos Narrow" w:eastAsia="Times New Roman" w:hAnsi="Aptos Narrow" w:cs="Arial"/>
                <w:color w:val="FFFFFF" w:themeColor="background1"/>
                <w:kern w:val="0"/>
                <w:sz w:val="18"/>
                <w:szCs w:val="18"/>
                <w:lang w:eastAsia="fr-BE"/>
                <w14:ligatures w14:val="none"/>
              </w:rPr>
              <w:t>homogène</w:t>
            </w:r>
          </w:p>
        </w:tc>
      </w:tr>
      <w:tr w:rsidR="003B7918" w:rsidRPr="001C3A22" w14:paraId="2A0A6EF0" w14:textId="77777777" w:rsidTr="47ED106C">
        <w:trPr>
          <w:trHeight w:val="303"/>
        </w:trPr>
        <w:tc>
          <w:tcPr>
            <w:tcW w:w="2122" w:type="dxa"/>
            <w:vMerge/>
            <w:noWrap/>
            <w:vAlign w:val="center"/>
            <w:hideMark/>
          </w:tcPr>
          <w:p w14:paraId="685C3D89" w14:textId="77777777" w:rsidR="003B7918" w:rsidRPr="009C3F06" w:rsidRDefault="003B7918" w:rsidP="004306AE">
            <w:pPr>
              <w:spacing w:after="0" w:line="240" w:lineRule="auto"/>
              <w:jc w:val="center"/>
              <w:rPr>
                <w:rFonts w:ascii="Aptos Narrow" w:eastAsia="Times New Roman" w:hAnsi="Aptos Narrow" w:cs="Arial"/>
                <w:b/>
                <w:bCs/>
                <w:color w:val="FFFFFF" w:themeColor="background1"/>
                <w:kern w:val="0"/>
                <w:sz w:val="18"/>
                <w:szCs w:val="18"/>
                <w:lang w:eastAsia="fr-BE"/>
                <w14:ligatures w14:val="none"/>
              </w:rPr>
            </w:pPr>
          </w:p>
        </w:tc>
        <w:tc>
          <w:tcPr>
            <w:tcW w:w="868"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hideMark/>
          </w:tcPr>
          <w:p w14:paraId="35B190C1" w14:textId="77777777" w:rsidR="003B7918" w:rsidRPr="009C3F06"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&lt; 500 m²</w:t>
            </w:r>
          </w:p>
        </w:tc>
        <w:tc>
          <w:tcPr>
            <w:tcW w:w="86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hideMark/>
          </w:tcPr>
          <w:p w14:paraId="780B09BC" w14:textId="77777777" w:rsidR="003B7918" w:rsidRPr="009C3F06"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500 - 2000 m²</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5A817864" w14:textId="77777777" w:rsidR="003B7918" w:rsidRPr="009C3F06"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2000 - 5000 m²</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33F4815A" w14:textId="77777777" w:rsidR="003B7918" w:rsidRPr="009C3F06"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0,5-1 ha</w:t>
            </w:r>
          </w:p>
        </w:tc>
        <w:tc>
          <w:tcPr>
            <w:tcW w:w="8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4613182F" w14:textId="77777777" w:rsidR="003B7918" w:rsidRPr="009C3F06"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1-2 ha</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6593AFA5" w14:textId="77777777" w:rsidR="003B7918" w:rsidRPr="009C3F06"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2-3 ha</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6DC62E59" w14:textId="77777777" w:rsidR="003B7918" w:rsidRPr="009C3F06"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3-4 ha</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66ECEB44" w14:textId="77777777" w:rsidR="003B7918" w:rsidRPr="009C3F06"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4-5 ha</w:t>
            </w:r>
          </w:p>
        </w:tc>
      </w:tr>
      <w:tr w:rsidR="003B7918" w:rsidRPr="001C3A22" w14:paraId="77CB0BAD" w14:textId="77777777" w:rsidTr="004306AE">
        <w:trPr>
          <w:trHeight w:val="283"/>
        </w:trPr>
        <w:tc>
          <w:tcPr>
            <w:tcW w:w="2122" w:type="dxa"/>
            <w:tcBorders>
              <w:top w:val="nil"/>
              <w:left w:val="single" w:sz="4" w:space="0" w:color="auto"/>
              <w:bottom w:val="single" w:sz="4" w:space="0" w:color="auto"/>
              <w:right w:val="single" w:sz="4" w:space="0" w:color="auto"/>
            </w:tcBorders>
            <w:shd w:val="clear" w:color="auto" w:fill="E8E8E8" w:themeFill="background2"/>
            <w:noWrap/>
            <w:vAlign w:val="center"/>
            <w:hideMark/>
          </w:tcPr>
          <w:p w14:paraId="6D4EC1DB" w14:textId="77777777" w:rsidR="003B7918" w:rsidRPr="00F811AF" w:rsidRDefault="003B7918" w:rsidP="004306AE">
            <w:pPr>
              <w:spacing w:after="0" w:line="240" w:lineRule="auto"/>
              <w:jc w:val="left"/>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Échantillon composite</w:t>
            </w:r>
          </w:p>
        </w:tc>
        <w:tc>
          <w:tcPr>
            <w:tcW w:w="868" w:type="dxa"/>
            <w:tcBorders>
              <w:top w:val="nil"/>
              <w:left w:val="nil"/>
              <w:bottom w:val="single" w:sz="4" w:space="0" w:color="auto"/>
              <w:right w:val="single" w:sz="4" w:space="0" w:color="auto"/>
            </w:tcBorders>
            <w:noWrap/>
            <w:vAlign w:val="center"/>
            <w:hideMark/>
          </w:tcPr>
          <w:p w14:paraId="016FD224"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w:t>
            </w:r>
          </w:p>
        </w:tc>
        <w:tc>
          <w:tcPr>
            <w:tcW w:w="869" w:type="dxa"/>
            <w:tcBorders>
              <w:top w:val="nil"/>
              <w:left w:val="nil"/>
              <w:bottom w:val="single" w:sz="4" w:space="0" w:color="auto"/>
              <w:right w:val="single" w:sz="4" w:space="0" w:color="auto"/>
            </w:tcBorders>
            <w:noWrap/>
            <w:vAlign w:val="center"/>
            <w:hideMark/>
          </w:tcPr>
          <w:p w14:paraId="39DD71FD"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7F6AD89D"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4105054F"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c>
          <w:tcPr>
            <w:tcW w:w="868" w:type="dxa"/>
            <w:tcBorders>
              <w:top w:val="single" w:sz="4" w:space="0" w:color="FFFFFF" w:themeColor="background1"/>
              <w:left w:val="nil"/>
              <w:bottom w:val="single" w:sz="4" w:space="0" w:color="auto"/>
              <w:right w:val="single" w:sz="4" w:space="0" w:color="auto"/>
            </w:tcBorders>
            <w:noWrap/>
            <w:vAlign w:val="center"/>
            <w:hideMark/>
          </w:tcPr>
          <w:p w14:paraId="78A96E5A"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16FB7DEA"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491A405E"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0F241F22"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r>
      <w:tr w:rsidR="003B7918" w:rsidRPr="001C3A22" w14:paraId="6802C4D2" w14:textId="77777777" w:rsidTr="004306AE">
        <w:trPr>
          <w:trHeight w:val="283"/>
        </w:trPr>
        <w:tc>
          <w:tcPr>
            <w:tcW w:w="2122" w:type="dxa"/>
            <w:tcBorders>
              <w:top w:val="nil"/>
              <w:left w:val="single" w:sz="4" w:space="0" w:color="auto"/>
              <w:bottom w:val="single" w:sz="4" w:space="0" w:color="auto"/>
              <w:right w:val="single" w:sz="4" w:space="0" w:color="auto"/>
            </w:tcBorders>
            <w:shd w:val="clear" w:color="auto" w:fill="E8E8E8" w:themeFill="background2"/>
            <w:noWrap/>
            <w:vAlign w:val="center"/>
            <w:hideMark/>
          </w:tcPr>
          <w:p w14:paraId="438BF21F" w14:textId="77777777" w:rsidR="003B7918" w:rsidRPr="00F811AF" w:rsidRDefault="003B7918" w:rsidP="004306AE">
            <w:pPr>
              <w:spacing w:after="0" w:line="240" w:lineRule="auto"/>
              <w:jc w:val="left"/>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Échantillons élémentaires</w:t>
            </w:r>
          </w:p>
        </w:tc>
        <w:tc>
          <w:tcPr>
            <w:tcW w:w="868" w:type="dxa"/>
            <w:tcBorders>
              <w:top w:val="nil"/>
              <w:left w:val="nil"/>
              <w:bottom w:val="single" w:sz="4" w:space="0" w:color="auto"/>
              <w:right w:val="single" w:sz="4" w:space="0" w:color="auto"/>
            </w:tcBorders>
            <w:noWrap/>
            <w:vAlign w:val="center"/>
            <w:hideMark/>
          </w:tcPr>
          <w:p w14:paraId="6AD455EB" w14:textId="77777777" w:rsidR="003B7918" w:rsidRPr="00F811AF"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8</w:t>
            </w:r>
          </w:p>
        </w:tc>
        <w:tc>
          <w:tcPr>
            <w:tcW w:w="869" w:type="dxa"/>
            <w:tcBorders>
              <w:top w:val="nil"/>
              <w:left w:val="nil"/>
              <w:bottom w:val="single" w:sz="4" w:space="0" w:color="auto"/>
              <w:right w:val="single" w:sz="4" w:space="0" w:color="auto"/>
            </w:tcBorders>
            <w:noWrap/>
            <w:vAlign w:val="center"/>
            <w:hideMark/>
          </w:tcPr>
          <w:p w14:paraId="6EF0FD39" w14:textId="77777777" w:rsidR="003B7918" w:rsidRPr="00F811AF"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12</w:t>
            </w:r>
          </w:p>
        </w:tc>
        <w:tc>
          <w:tcPr>
            <w:tcW w:w="869" w:type="dxa"/>
            <w:tcBorders>
              <w:top w:val="nil"/>
              <w:left w:val="nil"/>
              <w:bottom w:val="single" w:sz="4" w:space="0" w:color="auto"/>
              <w:right w:val="single" w:sz="4" w:space="0" w:color="auto"/>
            </w:tcBorders>
            <w:noWrap/>
            <w:vAlign w:val="center"/>
            <w:hideMark/>
          </w:tcPr>
          <w:p w14:paraId="2E2F606E" w14:textId="77777777" w:rsidR="003B7918" w:rsidRPr="00F811AF"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15</w:t>
            </w:r>
          </w:p>
        </w:tc>
        <w:tc>
          <w:tcPr>
            <w:tcW w:w="869" w:type="dxa"/>
            <w:tcBorders>
              <w:top w:val="nil"/>
              <w:left w:val="nil"/>
              <w:bottom w:val="single" w:sz="4" w:space="0" w:color="auto"/>
              <w:right w:val="single" w:sz="4" w:space="0" w:color="auto"/>
            </w:tcBorders>
            <w:noWrap/>
            <w:vAlign w:val="center"/>
            <w:hideMark/>
          </w:tcPr>
          <w:p w14:paraId="6A932504" w14:textId="77777777" w:rsidR="003B7918" w:rsidRPr="00F811AF"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22</w:t>
            </w:r>
          </w:p>
        </w:tc>
        <w:tc>
          <w:tcPr>
            <w:tcW w:w="868" w:type="dxa"/>
            <w:tcBorders>
              <w:top w:val="nil"/>
              <w:left w:val="nil"/>
              <w:bottom w:val="single" w:sz="4" w:space="0" w:color="auto"/>
              <w:right w:val="single" w:sz="4" w:space="0" w:color="auto"/>
            </w:tcBorders>
            <w:noWrap/>
            <w:vAlign w:val="center"/>
            <w:hideMark/>
          </w:tcPr>
          <w:p w14:paraId="29FFE81D" w14:textId="77777777" w:rsidR="003B7918" w:rsidRPr="00F811AF"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28</w:t>
            </w:r>
          </w:p>
        </w:tc>
        <w:tc>
          <w:tcPr>
            <w:tcW w:w="869" w:type="dxa"/>
            <w:tcBorders>
              <w:top w:val="nil"/>
              <w:left w:val="nil"/>
              <w:bottom w:val="single" w:sz="4" w:space="0" w:color="auto"/>
              <w:right w:val="single" w:sz="4" w:space="0" w:color="auto"/>
            </w:tcBorders>
            <w:noWrap/>
            <w:vAlign w:val="center"/>
            <w:hideMark/>
          </w:tcPr>
          <w:p w14:paraId="59787C52" w14:textId="77777777" w:rsidR="003B7918" w:rsidRPr="00F811AF"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32</w:t>
            </w:r>
          </w:p>
        </w:tc>
        <w:tc>
          <w:tcPr>
            <w:tcW w:w="869" w:type="dxa"/>
            <w:tcBorders>
              <w:top w:val="nil"/>
              <w:left w:val="nil"/>
              <w:bottom w:val="single" w:sz="4" w:space="0" w:color="auto"/>
              <w:right w:val="single" w:sz="4" w:space="0" w:color="auto"/>
            </w:tcBorders>
            <w:noWrap/>
            <w:vAlign w:val="center"/>
            <w:hideMark/>
          </w:tcPr>
          <w:p w14:paraId="7E46432E" w14:textId="77777777" w:rsidR="003B7918" w:rsidRPr="00F811AF"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36</w:t>
            </w:r>
          </w:p>
        </w:tc>
        <w:tc>
          <w:tcPr>
            <w:tcW w:w="869" w:type="dxa"/>
            <w:tcBorders>
              <w:top w:val="nil"/>
              <w:left w:val="nil"/>
              <w:bottom w:val="single" w:sz="4" w:space="0" w:color="auto"/>
              <w:right w:val="single" w:sz="4" w:space="0" w:color="auto"/>
            </w:tcBorders>
            <w:noWrap/>
            <w:vAlign w:val="center"/>
            <w:hideMark/>
          </w:tcPr>
          <w:p w14:paraId="688C4367" w14:textId="77777777" w:rsidR="003B7918" w:rsidRPr="00F811AF"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38</w:t>
            </w:r>
          </w:p>
        </w:tc>
      </w:tr>
      <w:tr w:rsidR="003B7918" w:rsidRPr="001C3A22" w14:paraId="53CFFD12" w14:textId="77777777" w:rsidTr="004306AE">
        <w:trPr>
          <w:trHeight w:val="283"/>
        </w:trPr>
        <w:tc>
          <w:tcPr>
            <w:tcW w:w="2122" w:type="dxa"/>
            <w:tcBorders>
              <w:top w:val="nil"/>
              <w:left w:val="single" w:sz="4" w:space="0" w:color="auto"/>
              <w:bottom w:val="single" w:sz="4" w:space="0" w:color="auto"/>
              <w:right w:val="single" w:sz="4" w:space="0" w:color="auto"/>
            </w:tcBorders>
            <w:shd w:val="clear" w:color="auto" w:fill="E8E8E8" w:themeFill="background2"/>
            <w:vAlign w:val="center"/>
            <w:hideMark/>
          </w:tcPr>
          <w:p w14:paraId="4D459689" w14:textId="77777777" w:rsidR="003B7918" w:rsidRPr="00F811AF" w:rsidRDefault="003B7918" w:rsidP="004306AE">
            <w:pPr>
              <w:spacing w:after="0" w:line="240" w:lineRule="auto"/>
              <w:jc w:val="left"/>
              <w:rPr>
                <w:rFonts w:ascii="Aptos Narrow" w:eastAsia="Times New Roman" w:hAnsi="Aptos Narrow" w:cs="Arial"/>
                <w:b/>
                <w:bCs/>
                <w:color w:val="000000" w:themeColor="text1"/>
                <w:kern w:val="0"/>
                <w:sz w:val="18"/>
                <w:szCs w:val="18"/>
                <w:lang w:eastAsia="fr-BE"/>
                <w14:ligatures w14:val="none"/>
              </w:rPr>
            </w:pPr>
            <w:r>
              <w:rPr>
                <w:rFonts w:ascii="Aptos Narrow" w:eastAsia="Times New Roman" w:hAnsi="Aptos Narrow" w:cs="Arial"/>
                <w:b/>
                <w:bCs/>
                <w:color w:val="000000" w:themeColor="text1"/>
                <w:kern w:val="0"/>
                <w:sz w:val="18"/>
                <w:szCs w:val="18"/>
                <w:lang w:eastAsia="fr-BE"/>
                <w14:ligatures w14:val="none"/>
              </w:rPr>
              <w:t>Point de mesures in situ</w:t>
            </w:r>
          </w:p>
        </w:tc>
        <w:tc>
          <w:tcPr>
            <w:tcW w:w="868" w:type="dxa"/>
            <w:tcBorders>
              <w:top w:val="nil"/>
              <w:left w:val="nil"/>
              <w:bottom w:val="single" w:sz="4" w:space="0" w:color="auto"/>
              <w:right w:val="single" w:sz="4" w:space="0" w:color="auto"/>
            </w:tcBorders>
            <w:noWrap/>
            <w:vAlign w:val="center"/>
            <w:hideMark/>
          </w:tcPr>
          <w:p w14:paraId="01ACF558"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3</w:t>
            </w:r>
          </w:p>
        </w:tc>
        <w:tc>
          <w:tcPr>
            <w:tcW w:w="869" w:type="dxa"/>
            <w:tcBorders>
              <w:top w:val="nil"/>
              <w:left w:val="nil"/>
              <w:bottom w:val="single" w:sz="4" w:space="0" w:color="auto"/>
              <w:right w:val="single" w:sz="4" w:space="0" w:color="auto"/>
            </w:tcBorders>
            <w:noWrap/>
            <w:vAlign w:val="center"/>
            <w:hideMark/>
          </w:tcPr>
          <w:p w14:paraId="634CCFD6"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4</w:t>
            </w:r>
          </w:p>
        </w:tc>
        <w:tc>
          <w:tcPr>
            <w:tcW w:w="869" w:type="dxa"/>
            <w:tcBorders>
              <w:top w:val="nil"/>
              <w:left w:val="nil"/>
              <w:bottom w:val="single" w:sz="4" w:space="0" w:color="auto"/>
              <w:right w:val="single" w:sz="4" w:space="0" w:color="auto"/>
            </w:tcBorders>
            <w:noWrap/>
            <w:vAlign w:val="center"/>
            <w:hideMark/>
          </w:tcPr>
          <w:p w14:paraId="14CE3EA8"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6</w:t>
            </w:r>
          </w:p>
        </w:tc>
        <w:tc>
          <w:tcPr>
            <w:tcW w:w="869" w:type="dxa"/>
            <w:tcBorders>
              <w:top w:val="nil"/>
              <w:left w:val="nil"/>
              <w:bottom w:val="single" w:sz="4" w:space="0" w:color="auto"/>
              <w:right w:val="single" w:sz="4" w:space="0" w:color="auto"/>
            </w:tcBorders>
            <w:noWrap/>
            <w:vAlign w:val="center"/>
            <w:hideMark/>
          </w:tcPr>
          <w:p w14:paraId="47466B74"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8</w:t>
            </w:r>
          </w:p>
        </w:tc>
        <w:tc>
          <w:tcPr>
            <w:tcW w:w="868" w:type="dxa"/>
            <w:tcBorders>
              <w:top w:val="nil"/>
              <w:left w:val="nil"/>
              <w:bottom w:val="single" w:sz="4" w:space="0" w:color="auto"/>
              <w:right w:val="single" w:sz="4" w:space="0" w:color="auto"/>
            </w:tcBorders>
            <w:noWrap/>
            <w:vAlign w:val="center"/>
            <w:hideMark/>
          </w:tcPr>
          <w:p w14:paraId="7395125C"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10</w:t>
            </w:r>
          </w:p>
        </w:tc>
        <w:tc>
          <w:tcPr>
            <w:tcW w:w="869" w:type="dxa"/>
            <w:tcBorders>
              <w:top w:val="nil"/>
              <w:left w:val="nil"/>
              <w:bottom w:val="single" w:sz="4" w:space="0" w:color="auto"/>
              <w:right w:val="single" w:sz="4" w:space="0" w:color="auto"/>
            </w:tcBorders>
            <w:noWrap/>
            <w:vAlign w:val="center"/>
            <w:hideMark/>
          </w:tcPr>
          <w:p w14:paraId="38EE4FBB"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12</w:t>
            </w:r>
          </w:p>
        </w:tc>
        <w:tc>
          <w:tcPr>
            <w:tcW w:w="869" w:type="dxa"/>
            <w:tcBorders>
              <w:top w:val="nil"/>
              <w:left w:val="nil"/>
              <w:bottom w:val="single" w:sz="4" w:space="0" w:color="auto"/>
              <w:right w:val="single" w:sz="4" w:space="0" w:color="auto"/>
            </w:tcBorders>
            <w:noWrap/>
            <w:vAlign w:val="center"/>
            <w:hideMark/>
          </w:tcPr>
          <w:p w14:paraId="29757999"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14</w:t>
            </w:r>
          </w:p>
        </w:tc>
        <w:tc>
          <w:tcPr>
            <w:tcW w:w="869" w:type="dxa"/>
            <w:tcBorders>
              <w:top w:val="nil"/>
              <w:left w:val="nil"/>
              <w:bottom w:val="single" w:sz="4" w:space="0" w:color="auto"/>
              <w:right w:val="single" w:sz="4" w:space="0" w:color="auto"/>
            </w:tcBorders>
            <w:noWrap/>
            <w:vAlign w:val="center"/>
            <w:hideMark/>
          </w:tcPr>
          <w:p w14:paraId="1AC6B30F" w14:textId="77777777" w:rsidR="003B7918" w:rsidRPr="00F811AF"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16</w:t>
            </w:r>
          </w:p>
        </w:tc>
      </w:tr>
    </w:tbl>
    <w:p w14:paraId="172D7693" w14:textId="77777777" w:rsidR="003B7918" w:rsidRDefault="003B7918" w:rsidP="003B7918"/>
    <w:p w14:paraId="5D15A421" w14:textId="7E554419" w:rsidR="009837B8" w:rsidRDefault="3012F62A" w:rsidP="003B7918">
      <w:r>
        <w:t>Le paquet d’analyses</w:t>
      </w:r>
      <w:r w:rsidR="009837B8">
        <w:t xml:space="preserve"> IQSW-pro sera mesuré dans chacune des zones d’échantillonnage</w:t>
      </w:r>
      <w:r w:rsidR="00B8452A">
        <w:t>.</w:t>
      </w:r>
    </w:p>
    <w:p w14:paraId="3397A909" w14:textId="78244F38" w:rsidR="00DA293A" w:rsidRDefault="003B7918">
      <w:pPr>
        <w:pStyle w:val="Titre2"/>
        <w:numPr>
          <w:ilvl w:val="1"/>
          <w:numId w:val="12"/>
        </w:numPr>
      </w:pPr>
      <w:bookmarkStart w:id="216" w:name="_Toc241478155"/>
      <w:r>
        <w:t>Travaux</w:t>
      </w:r>
      <w:r w:rsidR="00145E17">
        <w:t xml:space="preserve"> de terrain</w:t>
      </w:r>
      <w:bookmarkEnd w:id="216"/>
    </w:p>
    <w:p w14:paraId="40096254" w14:textId="30EC73CD" w:rsidR="002E1FC5" w:rsidRPr="002E1FC5" w:rsidRDefault="002E1FC5" w:rsidP="002E1FC5">
      <w:r>
        <w:t xml:space="preserve">La phase de terrain comprend une description de la zone homogène, le prélèvement d’un échantillon composite de surface (0-30 cm) et une série de mesures in situ. </w:t>
      </w:r>
    </w:p>
    <w:p w14:paraId="0B60CA06" w14:textId="2809C2CC" w:rsidR="00C21E59" w:rsidRDefault="00C21E59">
      <w:pPr>
        <w:pStyle w:val="Titre2"/>
        <w:numPr>
          <w:ilvl w:val="1"/>
          <w:numId w:val="12"/>
        </w:numPr>
      </w:pPr>
      <w:bookmarkStart w:id="217" w:name="_Toc230267142"/>
      <w:bookmarkStart w:id="218" w:name="_Toc241478156"/>
      <w:r>
        <w:t>Analyses de laboratoire</w:t>
      </w:r>
      <w:bookmarkEnd w:id="217"/>
      <w:bookmarkEnd w:id="218"/>
    </w:p>
    <w:p w14:paraId="45B0D6E7" w14:textId="232C5FBF" w:rsidR="008D08AF" w:rsidRPr="00C21E59" w:rsidRDefault="0044715F" w:rsidP="00C21E59">
      <w:r>
        <w:t xml:space="preserve">Les échantillons prélevés sont </w:t>
      </w:r>
      <w:r w:rsidR="006614B5">
        <w:t xml:space="preserve">analysés suivant les préconisations </w:t>
      </w:r>
      <w:r w:rsidR="0047609A">
        <w:t xml:space="preserve">du </w:t>
      </w:r>
      <w:r w:rsidR="0047609A">
        <w:fldChar w:fldCharType="begin"/>
      </w:r>
      <w:r w:rsidR="0047609A">
        <w:instrText xml:space="preserve"> REF _Ref241226875 \h </w:instrText>
      </w:r>
      <w:r w:rsidR="0047609A">
        <w:fldChar w:fldCharType="separate"/>
      </w:r>
      <w:r w:rsidR="0047609A" w:rsidRPr="007F0D21">
        <w:t xml:space="preserve">Tableau </w:t>
      </w:r>
      <w:r w:rsidR="0047609A">
        <w:rPr>
          <w:noProof/>
        </w:rPr>
        <w:t>1</w:t>
      </w:r>
      <w:r w:rsidR="0047609A">
        <w:fldChar w:fldCharType="end"/>
      </w:r>
      <w:r w:rsidR="0047609A">
        <w:t>.</w:t>
      </w:r>
    </w:p>
    <w:p w14:paraId="7432E093" w14:textId="6B3B9EF8" w:rsidR="00B17CBE" w:rsidRDefault="005E11E3">
      <w:pPr>
        <w:pStyle w:val="Titre2"/>
        <w:numPr>
          <w:ilvl w:val="1"/>
          <w:numId w:val="12"/>
        </w:numPr>
      </w:pPr>
      <w:bookmarkStart w:id="219" w:name="_Toc241478157"/>
      <w:r>
        <w:t>Encodage et i</w:t>
      </w:r>
      <w:r w:rsidR="009A39CD">
        <w:t>nterprétation des résultats</w:t>
      </w:r>
      <w:bookmarkEnd w:id="219"/>
    </w:p>
    <w:p w14:paraId="6823A64A" w14:textId="186567F8" w:rsidR="00F5672E" w:rsidRDefault="006614B5" w:rsidP="00107989">
      <w:r>
        <w:t xml:space="preserve">Les résultats des analyses </w:t>
      </w:r>
      <w:r w:rsidR="27FB233B">
        <w:t xml:space="preserve">et mesures </w:t>
      </w:r>
      <w:r w:rsidR="27FB233B" w:rsidRPr="00AC6182">
        <w:rPr>
          <w:i/>
          <w:iCs/>
        </w:rPr>
        <w:t>in situ</w:t>
      </w:r>
      <w:r>
        <w:t xml:space="preserve"> sont </w:t>
      </w:r>
      <w:r w:rsidR="003E6B2C">
        <w:t>utilisés</w:t>
      </w:r>
      <w:r>
        <w:t xml:space="preserve"> pour calculer les scores des indicateurs, </w:t>
      </w:r>
      <w:r w:rsidR="1D98CF3D">
        <w:t xml:space="preserve">permettant le calcul des scores de fonction, de </w:t>
      </w:r>
      <w:r w:rsidR="000100FD">
        <w:t>service écosystémique</w:t>
      </w:r>
      <w:r w:rsidR="1D98CF3D">
        <w:t xml:space="preserve"> et au final </w:t>
      </w:r>
      <w:r w:rsidR="031D9867">
        <w:t>des</w:t>
      </w:r>
      <w:r>
        <w:t xml:space="preserve"> indices IQSW-pro (voir partie </w:t>
      </w:r>
      <w:r>
        <w:fldChar w:fldCharType="begin"/>
      </w:r>
      <w:r>
        <w:instrText xml:space="preserve"> REF _Ref232208232 \r \h </w:instrText>
      </w:r>
      <w:r>
        <w:fldChar w:fldCharType="separate"/>
      </w:r>
      <w:r w:rsidR="001A7BE1">
        <w:t>3.4</w:t>
      </w:r>
      <w:r>
        <w:fldChar w:fldCharType="end"/>
      </w:r>
      <w:r>
        <w:t xml:space="preserve">). </w:t>
      </w:r>
      <w:r w:rsidR="003E6B2C">
        <w:t>Le rapport devra contenir</w:t>
      </w:r>
      <w:r w:rsidR="00F5672E">
        <w:t xml:space="preserve"> différents niveaux d’information :</w:t>
      </w:r>
    </w:p>
    <w:p w14:paraId="5799385D" w14:textId="2520D130" w:rsidR="00136E04" w:rsidRDefault="00136E04" w:rsidP="00F5672E">
      <w:pPr>
        <w:pStyle w:val="Paragraphedeliste"/>
        <w:numPr>
          <w:ilvl w:val="0"/>
          <w:numId w:val="3"/>
        </w:numPr>
      </w:pPr>
      <w:r>
        <w:t>La description précise du site étudiée (plan des zones homogènes etc.),</w:t>
      </w:r>
    </w:p>
    <w:p w14:paraId="0B4482BA" w14:textId="2F9BB263" w:rsidR="00107989" w:rsidRDefault="00F5672E" w:rsidP="00F5672E">
      <w:pPr>
        <w:pStyle w:val="Paragraphedeliste"/>
        <w:numPr>
          <w:ilvl w:val="0"/>
          <w:numId w:val="3"/>
        </w:numPr>
      </w:pPr>
      <w:r>
        <w:t>Le</w:t>
      </w:r>
      <w:r w:rsidR="0DE52700">
        <w:t>(s)</w:t>
      </w:r>
      <w:r>
        <w:t xml:space="preserve"> bulletin</w:t>
      </w:r>
      <w:r w:rsidR="425E8DF1">
        <w:t>(s)</w:t>
      </w:r>
      <w:r>
        <w:t xml:space="preserve"> d’analyses complet</w:t>
      </w:r>
      <w:r w:rsidR="1B4B9803">
        <w:t>(s)</w:t>
      </w:r>
      <w:r>
        <w:t xml:space="preserve"> des paramètres (valeurs chiffrées),</w:t>
      </w:r>
    </w:p>
    <w:p w14:paraId="6C8BBDBF" w14:textId="0D8EE609" w:rsidR="635B320E" w:rsidRDefault="635B320E" w:rsidP="47ED106C">
      <w:pPr>
        <w:pStyle w:val="Paragraphedeliste"/>
        <w:numPr>
          <w:ilvl w:val="0"/>
          <w:numId w:val="3"/>
        </w:numPr>
      </w:pPr>
      <w:r>
        <w:t>L’interprétation de chaque indicateur,</w:t>
      </w:r>
    </w:p>
    <w:p w14:paraId="3C3FA967" w14:textId="64161DCF" w:rsidR="00F5672E" w:rsidRDefault="00F5672E" w:rsidP="00F5672E">
      <w:pPr>
        <w:pStyle w:val="Paragraphedeliste"/>
        <w:numPr>
          <w:ilvl w:val="0"/>
          <w:numId w:val="3"/>
        </w:numPr>
        <w:rPr>
          <w:szCs w:val="22"/>
        </w:rPr>
      </w:pPr>
      <w:r>
        <w:t>Les scores de fonctions, de contraintes</w:t>
      </w:r>
      <w:r w:rsidR="0DE5C5C3">
        <w:t xml:space="preserve"> et, </w:t>
      </w:r>
      <w:r w:rsidR="0DE5C5C3" w:rsidRPr="00AC6182">
        <w:rPr>
          <w:i/>
          <w:iCs/>
        </w:rPr>
        <w:t>in fine</w:t>
      </w:r>
      <w:r w:rsidR="0DE5C5C3" w:rsidRPr="47ED106C">
        <w:rPr>
          <w:i/>
          <w:iCs/>
        </w:rPr>
        <w:t>,</w:t>
      </w:r>
      <w:r w:rsidR="0DE5C5C3" w:rsidRPr="00AC6182">
        <w:rPr>
          <w:i/>
          <w:iCs/>
        </w:rPr>
        <w:t xml:space="preserve"> </w:t>
      </w:r>
      <w:r w:rsidR="0DE5C5C3">
        <w:t xml:space="preserve">de services </w:t>
      </w:r>
      <w:r>
        <w:t>et les sorties graphiques associées</w:t>
      </w:r>
      <w:r w:rsidR="00136E04">
        <w:t xml:space="preserve"> (</w:t>
      </w:r>
      <w:r w:rsidR="00AC7876">
        <w:t>qualité et santé)</w:t>
      </w:r>
      <w:r>
        <w:t>,</w:t>
      </w:r>
    </w:p>
    <w:p w14:paraId="35656FA4" w14:textId="3F82692A" w:rsidR="00F5672E" w:rsidRPr="00AC6182" w:rsidRDefault="00136E04" w:rsidP="00F5672E">
      <w:pPr>
        <w:pStyle w:val="Paragraphedeliste"/>
        <w:numPr>
          <w:ilvl w:val="0"/>
          <w:numId w:val="3"/>
        </w:numPr>
      </w:pPr>
      <w:r w:rsidRPr="00AC6182">
        <w:t>Le</w:t>
      </w:r>
      <w:r w:rsidR="08DA31DC" w:rsidRPr="00AC6182">
        <w:t>s</w:t>
      </w:r>
      <w:r w:rsidRPr="00AC6182">
        <w:t xml:space="preserve"> score</w:t>
      </w:r>
      <w:r w:rsidR="6861E57B" w:rsidRPr="00AC6182">
        <w:t>s</w:t>
      </w:r>
      <w:r w:rsidRPr="00AC6182">
        <w:t xml:space="preserve"> IQSW-pro globa</w:t>
      </w:r>
      <w:r w:rsidR="2C883521" w:rsidRPr="00AC6182">
        <w:t>ux (IQSW et ISSW)</w:t>
      </w:r>
      <w:r w:rsidR="00AC7876" w:rsidRPr="00AC6182">
        <w:t>,</w:t>
      </w:r>
    </w:p>
    <w:p w14:paraId="256BB6B6" w14:textId="790F9B20" w:rsidR="005110FA" w:rsidRPr="00AC7876" w:rsidRDefault="00AC7876" w:rsidP="00AC7876">
      <w:pPr>
        <w:pStyle w:val="Paragraphedeliste"/>
        <w:numPr>
          <w:ilvl w:val="0"/>
          <w:numId w:val="3"/>
        </w:numPr>
      </w:pPr>
      <w:r w:rsidRPr="00AC7876">
        <w:t>Les recommandations et conseils d</w:t>
      </w:r>
      <w:r>
        <w:t>e gestion adaptés à l’état du sol.</w:t>
      </w:r>
    </w:p>
    <w:p w14:paraId="7DF271DC" w14:textId="247BB639" w:rsidR="001D0846" w:rsidRDefault="001D0846">
      <w:pPr>
        <w:jc w:val="left"/>
      </w:pPr>
      <w:r>
        <w:br w:type="page"/>
      </w:r>
    </w:p>
    <w:p w14:paraId="59CAB35E" w14:textId="111C27DC" w:rsidR="00EB53C4" w:rsidRDefault="00EB53C4" w:rsidP="004E0AA3">
      <w:pPr>
        <w:pStyle w:val="Titre1"/>
      </w:pPr>
      <w:bookmarkStart w:id="220" w:name="_Toc230267154"/>
      <w:bookmarkStart w:id="221" w:name="_Toc241478158"/>
      <w:r>
        <w:lastRenderedPageBreak/>
        <w:t>Bibliographie</w:t>
      </w:r>
      <w:bookmarkEnd w:id="220"/>
      <w:bookmarkEnd w:id="221"/>
    </w:p>
    <w:p w14:paraId="2435D7BC" w14:textId="77777777" w:rsidR="007F1D3E" w:rsidRPr="007F1D3E" w:rsidRDefault="00FF48D4" w:rsidP="007F1D3E">
      <w:pPr>
        <w:pStyle w:val="Bibliographie"/>
        <w:rPr>
          <w:lang w:val="en-GB"/>
        </w:rPr>
      </w:pPr>
      <w:r>
        <w:t xml:space="preserve"> </w:t>
      </w:r>
      <w:r w:rsidR="00CB5E37">
        <w:fldChar w:fldCharType="begin"/>
      </w:r>
      <w:r w:rsidR="007F1D3E">
        <w:instrText xml:space="preserve"> ADDIN ZOTERO_BIBL {"uncited":[],"omitted":[],"custom":[]} CSL_BIBLIOGRAPHY </w:instrText>
      </w:r>
      <w:r w:rsidR="00CB5E37">
        <w:fldChar w:fldCharType="separate"/>
      </w:r>
      <w:r w:rsidR="007F1D3E" w:rsidRPr="007F1D3E">
        <w:t xml:space="preserve">Ampoorter, E., De Frenne, P., Hermy, M., &amp; Verheyen, K. (2011). </w:t>
      </w:r>
      <w:r w:rsidR="007F1D3E" w:rsidRPr="007F1D3E">
        <w:rPr>
          <w:lang w:val="en-GB"/>
        </w:rPr>
        <w:t xml:space="preserve">Effects of soil compaction on growth and survival of tree saplings : A meta-analysis. </w:t>
      </w:r>
      <w:r w:rsidR="007F1D3E" w:rsidRPr="007F1D3E">
        <w:rPr>
          <w:i/>
          <w:iCs/>
          <w:lang w:val="en-GB"/>
        </w:rPr>
        <w:t>Basic and Applied Ecology</w:t>
      </w:r>
      <w:r w:rsidR="007F1D3E" w:rsidRPr="007F1D3E">
        <w:rPr>
          <w:lang w:val="en-GB"/>
        </w:rPr>
        <w:t xml:space="preserve">, </w:t>
      </w:r>
      <w:r w:rsidR="007F1D3E" w:rsidRPr="007F1D3E">
        <w:rPr>
          <w:i/>
          <w:iCs/>
          <w:lang w:val="en-GB"/>
        </w:rPr>
        <w:t>12</w:t>
      </w:r>
      <w:r w:rsidR="007F1D3E" w:rsidRPr="007F1D3E">
        <w:rPr>
          <w:lang w:val="en-GB"/>
        </w:rPr>
        <w:t>(5), 394</w:t>
      </w:r>
      <w:r w:rsidR="007F1D3E" w:rsidRPr="007F1D3E">
        <w:rPr>
          <w:rFonts w:ascii="Cambria Math" w:hAnsi="Cambria Math" w:cs="Cambria Math"/>
          <w:lang w:val="en-GB"/>
        </w:rPr>
        <w:t>‑</w:t>
      </w:r>
      <w:r w:rsidR="007F1D3E" w:rsidRPr="007F1D3E">
        <w:rPr>
          <w:lang w:val="en-GB"/>
        </w:rPr>
        <w:t>402. https://doi.org/10.1016/j.baae.2011.06.003</w:t>
      </w:r>
    </w:p>
    <w:p w14:paraId="40A20A5C" w14:textId="77777777" w:rsidR="007F1D3E" w:rsidRPr="007F1D3E" w:rsidRDefault="007F1D3E" w:rsidP="007F1D3E">
      <w:pPr>
        <w:pStyle w:val="Bibliographie"/>
      </w:pPr>
      <w:r w:rsidRPr="007F1D3E">
        <w:rPr>
          <w:lang w:val="en-GB"/>
        </w:rPr>
        <w:t xml:space="preserve">Bah, B., Engels, P., Legrain, X., &amp; Colinet, G. (2007). </w:t>
      </w:r>
      <w:r w:rsidRPr="007F1D3E">
        <w:rPr>
          <w:i/>
          <w:iCs/>
        </w:rPr>
        <w:t>Légende de la Carte Numérique des Sols de Wallonie (Belgique) sur base de la légende originale de la Carte des sols de la Belgique de l’IRSIA à 1/20.000</w:t>
      </w:r>
      <w:r w:rsidRPr="007F1D3E">
        <w:t>. Faculté universitaire des Sciences agronomiques de Gembloux – Laboratoire de Géopédologie, en relation avec le PCNSW (convention pour le compte de la Région Wallonne – DGA). https://www.fichierecologique.be/resources/LCNSW_V2.pdf</w:t>
      </w:r>
    </w:p>
    <w:p w14:paraId="237434B4" w14:textId="77777777" w:rsidR="007F1D3E" w:rsidRPr="007F1D3E" w:rsidRDefault="007F1D3E" w:rsidP="007F1D3E">
      <w:pPr>
        <w:pStyle w:val="Bibliographie"/>
        <w:rPr>
          <w:lang w:val="en-GB"/>
        </w:rPr>
      </w:pPr>
      <w:r w:rsidRPr="007F1D3E">
        <w:t xml:space="preserve">Baize, D., Duval, O., &amp; Richard, G. (2013). </w:t>
      </w:r>
      <w:r w:rsidRPr="007F1D3E">
        <w:rPr>
          <w:i/>
          <w:iCs/>
        </w:rPr>
        <w:t>Les sols et leurs structures</w:t>
      </w:r>
      <w:r w:rsidRPr="007F1D3E">
        <w:t xml:space="preserve">. </w:t>
      </w:r>
      <w:r w:rsidRPr="007F1D3E">
        <w:rPr>
          <w:lang w:val="en-GB"/>
        </w:rPr>
        <w:t>Editions Quae. https://hal.inrae.fr/hal-02805939</w:t>
      </w:r>
    </w:p>
    <w:p w14:paraId="3C16A998" w14:textId="77777777" w:rsidR="007F1D3E" w:rsidRPr="007F1D3E" w:rsidRDefault="007F1D3E" w:rsidP="007F1D3E">
      <w:pPr>
        <w:pStyle w:val="Bibliographie"/>
        <w:rPr>
          <w:lang w:val="en-GB"/>
        </w:rPr>
      </w:pPr>
      <w:r w:rsidRPr="007F1D3E">
        <w:rPr>
          <w:lang w:val="en-GB"/>
        </w:rPr>
        <w:t xml:space="preserve">Ball, B. C., Guimarães, R. M. L., Cloy, J. M., Hargreaves, P. R., Shepherd, T. G., &amp; McKenzie, B. M. (2017). Visual soil evaluation : A summary of some applications and potential developments for agriculture. </w:t>
      </w:r>
      <w:r w:rsidRPr="007F1D3E">
        <w:rPr>
          <w:i/>
          <w:iCs/>
          <w:lang w:val="en-GB"/>
        </w:rPr>
        <w:t>Soil and Tillage Research, Visual soil evaluation and soil compaction research</w:t>
      </w:r>
      <w:r w:rsidRPr="007F1D3E">
        <w:rPr>
          <w:lang w:val="en-GB"/>
        </w:rPr>
        <w:t xml:space="preserve">, </w:t>
      </w:r>
      <w:r w:rsidRPr="007F1D3E">
        <w:rPr>
          <w:i/>
          <w:iCs/>
          <w:lang w:val="en-GB"/>
        </w:rPr>
        <w:t>173</w:t>
      </w:r>
      <w:r w:rsidRPr="007F1D3E">
        <w:rPr>
          <w:lang w:val="en-GB"/>
        </w:rPr>
        <w:t>, 114</w:t>
      </w:r>
      <w:r w:rsidRPr="007F1D3E">
        <w:rPr>
          <w:rFonts w:ascii="Cambria Math" w:hAnsi="Cambria Math" w:cs="Cambria Math"/>
          <w:lang w:val="en-GB"/>
        </w:rPr>
        <w:t>‑</w:t>
      </w:r>
      <w:r w:rsidRPr="007F1D3E">
        <w:rPr>
          <w:lang w:val="en-GB"/>
        </w:rPr>
        <w:t>124. https://doi.org/10.1016/j.still.2016.07.006</w:t>
      </w:r>
    </w:p>
    <w:p w14:paraId="4C74FBA4" w14:textId="77777777" w:rsidR="007F1D3E" w:rsidRPr="007F1D3E" w:rsidRDefault="007F1D3E" w:rsidP="007F1D3E">
      <w:pPr>
        <w:pStyle w:val="Bibliographie"/>
        <w:rPr>
          <w:lang w:val="en-GB"/>
        </w:rPr>
      </w:pPr>
      <w:r w:rsidRPr="007F1D3E">
        <w:t xml:space="preserve">Baritz, R., Amelung, W., Trombetti, M., Hijbeek, R., Romkens, P., &amp; de Vries, W. (2023). </w:t>
      </w:r>
      <w:r w:rsidRPr="007F1D3E">
        <w:rPr>
          <w:i/>
          <w:iCs/>
          <w:lang w:val="en-GB"/>
        </w:rPr>
        <w:t>Soil monitoring in Europe : Indicators and thresholds for soil quality assessments</w:t>
      </w:r>
      <w:r w:rsidRPr="007F1D3E">
        <w:rPr>
          <w:lang w:val="en-GB"/>
        </w:rPr>
        <w:t xml:space="preserve"> (N</w:t>
      </w:r>
      <w:r w:rsidRPr="007F1D3E">
        <w:rPr>
          <w:vertAlign w:val="superscript"/>
          <w:lang w:val="en-GB"/>
        </w:rPr>
        <w:t>o</w:t>
      </w:r>
      <w:r w:rsidRPr="007F1D3E">
        <w:rPr>
          <w:lang w:val="en-GB"/>
        </w:rPr>
        <w:t xml:space="preserve"> 08/2022). European Environment Agency. https://data.europa.eu/doi/10.2800/956606</w:t>
      </w:r>
    </w:p>
    <w:p w14:paraId="3EE6B119" w14:textId="77777777" w:rsidR="007F1D3E" w:rsidRPr="007F1D3E" w:rsidRDefault="007F1D3E" w:rsidP="007F1D3E">
      <w:pPr>
        <w:pStyle w:val="Bibliographie"/>
        <w:rPr>
          <w:lang w:val="en-GB"/>
        </w:rPr>
      </w:pPr>
      <w:r w:rsidRPr="007F1D3E">
        <w:rPr>
          <w:lang w:val="en-GB"/>
        </w:rPr>
        <w:t xml:space="preserve">Baveye, P. C. (2021). Soil health at a crossroad. </w:t>
      </w:r>
      <w:r w:rsidRPr="007F1D3E">
        <w:rPr>
          <w:i/>
          <w:iCs/>
          <w:lang w:val="en-GB"/>
        </w:rPr>
        <w:t>Soil Use and Management</w:t>
      </w:r>
      <w:r w:rsidRPr="007F1D3E">
        <w:rPr>
          <w:lang w:val="en-GB"/>
        </w:rPr>
        <w:t xml:space="preserve">, </w:t>
      </w:r>
      <w:r w:rsidRPr="007F1D3E">
        <w:rPr>
          <w:i/>
          <w:iCs/>
          <w:lang w:val="en-GB"/>
        </w:rPr>
        <w:t>37</w:t>
      </w:r>
      <w:r w:rsidRPr="007F1D3E">
        <w:rPr>
          <w:lang w:val="en-GB"/>
        </w:rPr>
        <w:t>(2), 215</w:t>
      </w:r>
      <w:r w:rsidRPr="007F1D3E">
        <w:rPr>
          <w:rFonts w:ascii="Cambria Math" w:hAnsi="Cambria Math" w:cs="Cambria Math"/>
          <w:lang w:val="en-GB"/>
        </w:rPr>
        <w:t>‑</w:t>
      </w:r>
      <w:r w:rsidRPr="007F1D3E">
        <w:rPr>
          <w:lang w:val="en-GB"/>
        </w:rPr>
        <w:t>219. https://doi.org/10.1111/sum.12703</w:t>
      </w:r>
    </w:p>
    <w:p w14:paraId="3324E2DA" w14:textId="77777777" w:rsidR="007F1D3E" w:rsidRPr="007F1D3E" w:rsidRDefault="007F1D3E" w:rsidP="007F1D3E">
      <w:pPr>
        <w:pStyle w:val="Bibliographie"/>
      </w:pPr>
      <w:r w:rsidRPr="007F1D3E">
        <w:t xml:space="preserve">Bielders, C., Javaux, M., Roisin, C., &amp; Vanclooster, M. (2013). </w:t>
      </w:r>
      <w:r w:rsidRPr="007F1D3E">
        <w:rPr>
          <w:i/>
          <w:iCs/>
        </w:rPr>
        <w:t>Vers des indicateurs de fonctionnement du sol (INFOSOL) : Approche méthodologique de développement d’indicateurs pédologiques pour les fonctions édaphiques de régulation hydrique et de support physique pour les plantes</w:t>
      </w:r>
      <w:r w:rsidRPr="007F1D3E">
        <w:t xml:space="preserve"> (UCL-Université Catholique de Louvain). Article UCL-Université Catholique de Louvain. https://dial.uclouvain.be/pr/boreal/fr/object/boreal%3A127913</w:t>
      </w:r>
    </w:p>
    <w:p w14:paraId="291F85B6" w14:textId="77777777" w:rsidR="007F1D3E" w:rsidRPr="007F1D3E" w:rsidRDefault="007F1D3E" w:rsidP="007F1D3E">
      <w:pPr>
        <w:pStyle w:val="Bibliographie"/>
      </w:pPr>
      <w:r w:rsidRPr="007F1D3E">
        <w:lastRenderedPageBreak/>
        <w:t xml:space="preserve">Bruxelles Environnement. (2024). </w:t>
      </w:r>
      <w:r w:rsidRPr="007F1D3E">
        <w:rPr>
          <w:i/>
          <w:iCs/>
        </w:rPr>
        <w:t>Stratégie Good Soil—Vers une gestion intégrée et durable des sols bruxellois</w:t>
      </w:r>
      <w:r w:rsidRPr="007F1D3E">
        <w:t>. https://alfresco.environnement.brussels/share/s/vVqIl4nASkOJwrgNEQ5irQ</w:t>
      </w:r>
    </w:p>
    <w:p w14:paraId="395959A7" w14:textId="77777777" w:rsidR="007F1D3E" w:rsidRPr="007F1D3E" w:rsidRDefault="007F1D3E" w:rsidP="007F1D3E">
      <w:pPr>
        <w:pStyle w:val="Bibliographie"/>
      </w:pPr>
      <w:r w:rsidRPr="007F1D3E">
        <w:t xml:space="preserve">Bruxelles Environnement. (2026). </w:t>
      </w:r>
      <w:r w:rsidRPr="007F1D3E">
        <w:rPr>
          <w:i/>
          <w:iCs/>
        </w:rPr>
        <w:t>Les sols sains et les chantiers—Mesures de gestion intégrée du sol dans le cadre des chantiers de construction et du traitement des pollutions du sol</w:t>
      </w:r>
      <w:r w:rsidRPr="007F1D3E">
        <w:t>. https://alfresco.environnement.brussels/share/s/ujj2OU4sRwGQN2tDjeJgFw</w:t>
      </w:r>
    </w:p>
    <w:p w14:paraId="33D140E6" w14:textId="77777777" w:rsidR="007F1D3E" w:rsidRPr="007F1D3E" w:rsidRDefault="007F1D3E" w:rsidP="007F1D3E">
      <w:pPr>
        <w:pStyle w:val="Bibliographie"/>
        <w:rPr>
          <w:lang w:val="en-GB"/>
        </w:rPr>
      </w:pPr>
      <w:r w:rsidRPr="007F1D3E">
        <w:t xml:space="preserve">Calzolari, C., Ungaro, F., Maienza, A., Marchi, N., &amp; Tarocco, P. (2019). </w:t>
      </w:r>
      <w:r w:rsidRPr="007F1D3E">
        <w:rPr>
          <w:i/>
          <w:iCs/>
          <w:lang w:val="en-GB"/>
        </w:rPr>
        <w:t>Guidelines for assessing soil ecosystem services in urban environment and their management—LIFE15 ENV/IT/000225 GUIDELINES ACTION B1.3</w:t>
      </w:r>
      <w:r w:rsidRPr="007F1D3E">
        <w:rPr>
          <w:lang w:val="en-GB"/>
        </w:rPr>
        <w:t>. https://iris.cnr.it/handle/20.500.14243/362331</w:t>
      </w:r>
    </w:p>
    <w:p w14:paraId="7DB37A3D" w14:textId="77777777" w:rsidR="007F1D3E" w:rsidRPr="007F1D3E" w:rsidRDefault="007F1D3E" w:rsidP="007F1D3E">
      <w:pPr>
        <w:pStyle w:val="Bibliographie"/>
        <w:rPr>
          <w:lang w:val="en-GB"/>
        </w:rPr>
      </w:pPr>
      <w:r w:rsidRPr="007F1D3E">
        <w:rPr>
          <w:lang w:val="en-GB"/>
        </w:rPr>
        <w:t xml:space="preserve">Ceulemans, T., Stevens, C. J., Duchateau, L., Jacquemyn, H., Gowing, D. J. G., Merckx, R., Wallace, H., van Rooijen, N., Goethem, T., Bobbink, R., Dorland, E., Gaudnik, C., Alard, D., Corcket, E., Muller, S., Dise, N. B., Dupré, C., Diekmann, M., &amp; Honnay, O. (2014). Soil phosphorus constrains biodiversity across European grasslands. </w:t>
      </w:r>
      <w:r w:rsidRPr="007F1D3E">
        <w:rPr>
          <w:i/>
          <w:iCs/>
          <w:lang w:val="en-GB"/>
        </w:rPr>
        <w:t>Global Change Biology</w:t>
      </w:r>
      <w:r w:rsidRPr="007F1D3E">
        <w:rPr>
          <w:lang w:val="en-GB"/>
        </w:rPr>
        <w:t xml:space="preserve">, </w:t>
      </w:r>
      <w:r w:rsidRPr="007F1D3E">
        <w:rPr>
          <w:i/>
          <w:iCs/>
          <w:lang w:val="en-GB"/>
        </w:rPr>
        <w:t>20</w:t>
      </w:r>
      <w:r w:rsidRPr="007F1D3E">
        <w:rPr>
          <w:lang w:val="en-GB"/>
        </w:rPr>
        <w:t>(12), 3814</w:t>
      </w:r>
      <w:r w:rsidRPr="007F1D3E">
        <w:rPr>
          <w:rFonts w:ascii="Cambria Math" w:hAnsi="Cambria Math" w:cs="Cambria Math"/>
          <w:lang w:val="en-GB"/>
        </w:rPr>
        <w:t>‑</w:t>
      </w:r>
      <w:r w:rsidRPr="007F1D3E">
        <w:rPr>
          <w:lang w:val="en-GB"/>
        </w:rPr>
        <w:t>3822. https://doi.org/10.1111/gcb.12650</w:t>
      </w:r>
    </w:p>
    <w:p w14:paraId="69656953" w14:textId="77777777" w:rsidR="007F1D3E" w:rsidRPr="007F1D3E" w:rsidRDefault="007F1D3E" w:rsidP="007F1D3E">
      <w:pPr>
        <w:pStyle w:val="Bibliographie"/>
      </w:pPr>
      <w:r w:rsidRPr="007F1D3E">
        <w:rPr>
          <w:lang w:val="en-GB"/>
        </w:rPr>
        <w:t xml:space="preserve">Chartin, C., Kruger, I., Stevens, A., Wesemael, B. V., &amp; Carnol, M. (2015). </w:t>
      </w:r>
      <w:r w:rsidRPr="007F1D3E">
        <w:rPr>
          <w:i/>
          <w:iCs/>
        </w:rPr>
        <w:t>« Carbone organique, biomasse et activité microbienne des sols : Vers un indicateur de la qualité des sols en Wallonie »</w:t>
      </w:r>
      <w:r w:rsidRPr="007F1D3E">
        <w:t>.</w:t>
      </w:r>
    </w:p>
    <w:p w14:paraId="72867608" w14:textId="77777777" w:rsidR="007F1D3E" w:rsidRPr="007F1D3E" w:rsidRDefault="007F1D3E" w:rsidP="007F1D3E">
      <w:pPr>
        <w:pStyle w:val="Bibliographie"/>
      </w:pPr>
      <w:r w:rsidRPr="007F1D3E">
        <w:t xml:space="preserve">Chauvin, C. (2025). </w:t>
      </w:r>
      <w:r w:rsidRPr="007F1D3E">
        <w:rPr>
          <w:i/>
          <w:iCs/>
        </w:rPr>
        <w:t>La nématofaune : Un bio-indicateur pour suivre et évaluer le fonctionnement biologique des sols</w:t>
      </w:r>
      <w:r w:rsidRPr="007F1D3E">
        <w:t>. https://www.parcduverdon.fr/wp-content/uploads/2025/10/202509_JT_REGAIN_3.Qualite_biologique_nematodes_ELISOL.pdf</w:t>
      </w:r>
    </w:p>
    <w:p w14:paraId="2B6B0BCA" w14:textId="77777777" w:rsidR="007F1D3E" w:rsidRPr="007F1D3E" w:rsidRDefault="007F1D3E" w:rsidP="007F1D3E">
      <w:pPr>
        <w:pStyle w:val="Bibliographie"/>
        <w:rPr>
          <w:lang w:val="en-GB"/>
        </w:rPr>
      </w:pPr>
      <w:r w:rsidRPr="007F1D3E">
        <w:rPr>
          <w:lang w:val="en-GB"/>
        </w:rPr>
        <w:t xml:space="preserve">Chen, S., Arrouays, D., Angers, D. A., Martin, M. P., &amp; Walter, C. (2019). Soil carbon stocks under different land uses and the applicability of the soil carbon saturation concept. </w:t>
      </w:r>
      <w:r w:rsidRPr="007F1D3E">
        <w:rPr>
          <w:i/>
          <w:iCs/>
          <w:lang w:val="en-GB"/>
        </w:rPr>
        <w:t>Soil and Tillage Research, Soil Carbon and Climate Change: the 4 per Mille Initiative</w:t>
      </w:r>
      <w:r w:rsidRPr="007F1D3E">
        <w:rPr>
          <w:lang w:val="en-GB"/>
        </w:rPr>
        <w:t xml:space="preserve">, </w:t>
      </w:r>
      <w:r w:rsidRPr="007F1D3E">
        <w:rPr>
          <w:i/>
          <w:iCs/>
          <w:lang w:val="en-GB"/>
        </w:rPr>
        <w:t>188</w:t>
      </w:r>
      <w:r w:rsidRPr="007F1D3E">
        <w:rPr>
          <w:lang w:val="en-GB"/>
        </w:rPr>
        <w:t>, 53</w:t>
      </w:r>
      <w:r w:rsidRPr="007F1D3E">
        <w:rPr>
          <w:rFonts w:ascii="Cambria Math" w:hAnsi="Cambria Math" w:cs="Cambria Math"/>
          <w:lang w:val="en-GB"/>
        </w:rPr>
        <w:t>‑</w:t>
      </w:r>
      <w:r w:rsidRPr="007F1D3E">
        <w:rPr>
          <w:lang w:val="en-GB"/>
        </w:rPr>
        <w:t>58. https://doi.org/10.1016/j.still.2018.11.001</w:t>
      </w:r>
    </w:p>
    <w:p w14:paraId="44B01A07" w14:textId="77777777" w:rsidR="007F1D3E" w:rsidRPr="007F1D3E" w:rsidRDefault="007F1D3E" w:rsidP="007F1D3E">
      <w:pPr>
        <w:pStyle w:val="Bibliographie"/>
      </w:pPr>
      <w:r w:rsidRPr="007F1D3E">
        <w:rPr>
          <w:lang w:val="en-GB"/>
        </w:rPr>
        <w:t xml:space="preserve">Costantini, E. A. C. (2023). Possible policies and actions to protect the soil cultural and natural heritage of Europe. </w:t>
      </w:r>
      <w:r w:rsidRPr="007F1D3E">
        <w:rPr>
          <w:i/>
          <w:iCs/>
        </w:rPr>
        <w:t>Geoderma Regional</w:t>
      </w:r>
      <w:r w:rsidRPr="007F1D3E">
        <w:t xml:space="preserve">, </w:t>
      </w:r>
      <w:r w:rsidRPr="007F1D3E">
        <w:rPr>
          <w:i/>
          <w:iCs/>
        </w:rPr>
        <w:t>32</w:t>
      </w:r>
      <w:r w:rsidRPr="007F1D3E">
        <w:t>, e00599. https://doi.org/10.1016/j.geodrs.2022.e00599</w:t>
      </w:r>
    </w:p>
    <w:p w14:paraId="32E3499F" w14:textId="77777777" w:rsidR="007F1D3E" w:rsidRPr="007F1D3E" w:rsidRDefault="007F1D3E" w:rsidP="007F1D3E">
      <w:pPr>
        <w:pStyle w:val="Bibliographie"/>
      </w:pPr>
      <w:r w:rsidRPr="007F1D3E">
        <w:t xml:space="preserve">Cousin, I., Desrousseaux, M., Angers, D., Augusto, L., Ay, J.-S., Baysse-Lainé, A., Branchu, P., Brauman, A. A., Prévost-Bouré, N. C., Compagnone, C., Gros, R., Hermon, C., Keller, C., Laroche, B., </w:t>
      </w:r>
      <w:r w:rsidRPr="007F1D3E">
        <w:lastRenderedPageBreak/>
        <w:t xml:space="preserve">Meulemans, G., Montagne, D., Pérès, G., Saby, N. P. A., Vaudour, E., … Leenhardt, S. (2025). </w:t>
      </w:r>
      <w:r w:rsidRPr="007F1D3E">
        <w:rPr>
          <w:i/>
          <w:iCs/>
        </w:rPr>
        <w:t>Préserver la qualité des sols : Vers un référentiel d’indicateurs. Rapport d’étude</w:t>
      </w:r>
      <w:r w:rsidRPr="007F1D3E">
        <w:t xml:space="preserve"> (p. 780 p.) [Report, INRAE]. https://doi.org/10.17180/qnpx-x742</w:t>
      </w:r>
    </w:p>
    <w:p w14:paraId="548C32C0" w14:textId="77777777" w:rsidR="007F1D3E" w:rsidRPr="007F1D3E" w:rsidRDefault="007F1D3E" w:rsidP="007F1D3E">
      <w:pPr>
        <w:pStyle w:val="Bibliographie"/>
      </w:pPr>
      <w:r w:rsidRPr="007F1D3E">
        <w:t xml:space="preserve">Cugnon, T. (2025, novembre 19). </w:t>
      </w:r>
      <w:r w:rsidRPr="007F1D3E">
        <w:rPr>
          <w:i/>
          <w:iCs/>
        </w:rPr>
        <w:t>Saison 2 Agri-webinaire : « Comprendre son conseil de fertilisation » | Walakis</w:t>
      </w:r>
      <w:r w:rsidRPr="007F1D3E">
        <w:t>. https://walakis.be/fr/ressources/saison-2-agri-webinaire-comprendre-son-conseil-de-fertilisation</w:t>
      </w:r>
    </w:p>
    <w:p w14:paraId="2183CF5C" w14:textId="77777777" w:rsidR="007F1D3E" w:rsidRPr="007F1D3E" w:rsidRDefault="007F1D3E" w:rsidP="007F1D3E">
      <w:pPr>
        <w:pStyle w:val="Bibliographie"/>
      </w:pPr>
      <w:r w:rsidRPr="007F1D3E">
        <w:t xml:space="preserve">de Groot, R. S., Wilson, M. A., &amp; Boumans, R. M. J. (2002). </w:t>
      </w:r>
      <w:r w:rsidRPr="007F1D3E">
        <w:rPr>
          <w:lang w:val="en-GB"/>
        </w:rPr>
        <w:t xml:space="preserve">A typology for the classification, description and valuation of ecosystem functions, goods and services. </w:t>
      </w:r>
      <w:r w:rsidRPr="007F1D3E">
        <w:rPr>
          <w:i/>
          <w:iCs/>
        </w:rPr>
        <w:t>Ecological Economics</w:t>
      </w:r>
      <w:r w:rsidRPr="007F1D3E">
        <w:t xml:space="preserve">, </w:t>
      </w:r>
      <w:r w:rsidRPr="007F1D3E">
        <w:rPr>
          <w:i/>
          <w:iCs/>
        </w:rPr>
        <w:t>41</w:t>
      </w:r>
      <w:r w:rsidRPr="007F1D3E">
        <w:t>(3), 393</w:t>
      </w:r>
      <w:r w:rsidRPr="007F1D3E">
        <w:rPr>
          <w:rFonts w:ascii="Cambria Math" w:hAnsi="Cambria Math" w:cs="Cambria Math"/>
        </w:rPr>
        <w:t>‑</w:t>
      </w:r>
      <w:r w:rsidRPr="007F1D3E">
        <w:t>408. https://doi.org/10.1016/S0921-8009(02)00089-7</w:t>
      </w:r>
    </w:p>
    <w:p w14:paraId="58B6CD91" w14:textId="77777777" w:rsidR="007F1D3E" w:rsidRPr="007F1D3E" w:rsidRDefault="007F1D3E" w:rsidP="007F1D3E">
      <w:pPr>
        <w:pStyle w:val="Bibliographie"/>
      </w:pPr>
      <w:r w:rsidRPr="007F1D3E">
        <w:t xml:space="preserve">Dombret, L. (2022). Interpréter l’analyse de terre pour la culture maraîchère : Comprendre les résultats (3/3). </w:t>
      </w:r>
      <w:r w:rsidRPr="007F1D3E">
        <w:rPr>
          <w:i/>
          <w:iCs/>
        </w:rPr>
        <w:t>Biowallonie</w:t>
      </w:r>
      <w:r w:rsidRPr="007F1D3E">
        <w:t xml:space="preserve">, </w:t>
      </w:r>
      <w:r w:rsidRPr="007F1D3E">
        <w:rPr>
          <w:i/>
          <w:iCs/>
        </w:rPr>
        <w:t>Itinéraires BIO</w:t>
      </w:r>
      <w:r w:rsidRPr="007F1D3E">
        <w:t>(63). https://www.biowallonie.com/wp-content/uploads/2022/04/Brochure_A4_ITBIO63_web.pdf</w:t>
      </w:r>
    </w:p>
    <w:p w14:paraId="77F92903" w14:textId="77777777" w:rsidR="007F1D3E" w:rsidRPr="007F1D3E" w:rsidRDefault="007F1D3E" w:rsidP="007F1D3E">
      <w:pPr>
        <w:pStyle w:val="Bibliographie"/>
        <w:rPr>
          <w:lang w:val="en-GB"/>
        </w:rPr>
      </w:pPr>
      <w:r w:rsidRPr="007F1D3E">
        <w:rPr>
          <w:lang w:val="en-GB"/>
        </w:rPr>
        <w:t xml:space="preserve">Doran, J. W., &amp; Zeiss, M. R. (2000). Soil health and sustainability : Managing the biotic component of soil quality. </w:t>
      </w:r>
      <w:r w:rsidRPr="007F1D3E">
        <w:rPr>
          <w:i/>
          <w:iCs/>
          <w:lang w:val="en-GB"/>
        </w:rPr>
        <w:t>Applied Soil Ecology, Special issue: Managing the Biotic component of Soil Quality</w:t>
      </w:r>
      <w:r w:rsidRPr="007F1D3E">
        <w:rPr>
          <w:lang w:val="en-GB"/>
        </w:rPr>
        <w:t xml:space="preserve">, </w:t>
      </w:r>
      <w:r w:rsidRPr="007F1D3E">
        <w:rPr>
          <w:i/>
          <w:iCs/>
          <w:lang w:val="en-GB"/>
        </w:rPr>
        <w:t>15</w:t>
      </w:r>
      <w:r w:rsidRPr="007F1D3E">
        <w:rPr>
          <w:lang w:val="en-GB"/>
        </w:rPr>
        <w:t>(1), 3</w:t>
      </w:r>
      <w:r w:rsidRPr="007F1D3E">
        <w:rPr>
          <w:rFonts w:ascii="Cambria Math" w:hAnsi="Cambria Math" w:cs="Cambria Math"/>
          <w:lang w:val="en-GB"/>
        </w:rPr>
        <w:t>‑</w:t>
      </w:r>
      <w:r w:rsidRPr="007F1D3E">
        <w:rPr>
          <w:lang w:val="en-GB"/>
        </w:rPr>
        <w:t>11. https://doi.org/10.1016/S0929-1393(00)00067-6</w:t>
      </w:r>
    </w:p>
    <w:p w14:paraId="2CA7432A" w14:textId="77777777" w:rsidR="007F1D3E" w:rsidRPr="007F1D3E" w:rsidRDefault="007F1D3E" w:rsidP="007F1D3E">
      <w:pPr>
        <w:pStyle w:val="Bibliographie"/>
        <w:rPr>
          <w:lang w:val="en-GB"/>
        </w:rPr>
      </w:pPr>
      <w:r w:rsidRPr="007F1D3E">
        <w:rPr>
          <w:lang w:val="en-GB"/>
        </w:rPr>
        <w:t xml:space="preserve">Faber, J. H., Hanegraaf, M., Gillikin, A., Hendriks, C., Kuikman, P., Cousin, I., Bispo, A., Obiang-Ndong, G., Montagne, D., Taylor, A., Bengtsson, J., ten Damme, L., Meurer, K. H. E., &amp; Viketoft, M. (2022). </w:t>
      </w:r>
      <w:r w:rsidRPr="007F1D3E">
        <w:rPr>
          <w:i/>
          <w:iCs/>
          <w:lang w:val="en-GB"/>
        </w:rPr>
        <w:t>EJP SOIL Internal Project SIREN Deliverable 2 : Stocktaking for Agricultural Soil Quality and Ecosystem Services Indicators and their Reference Values (SIREN)</w:t>
      </w:r>
      <w:r w:rsidRPr="007F1D3E">
        <w:rPr>
          <w:lang w:val="en-GB"/>
        </w:rPr>
        <w:t>. https://doi.org/10.5281/zenodo.15187757</w:t>
      </w:r>
    </w:p>
    <w:p w14:paraId="27C86B77" w14:textId="77777777" w:rsidR="007F1D3E" w:rsidRPr="007F1D3E" w:rsidRDefault="007F1D3E" w:rsidP="007F1D3E">
      <w:pPr>
        <w:pStyle w:val="Bibliographie"/>
        <w:rPr>
          <w:lang w:val="en-GB"/>
        </w:rPr>
      </w:pPr>
      <w:r w:rsidRPr="007F1D3E">
        <w:rPr>
          <w:lang w:val="en-GB"/>
        </w:rPr>
        <w:t xml:space="preserve">FAO (Food and Agriculture Organization of the United Nations). (2026). </w:t>
      </w:r>
      <w:r w:rsidRPr="007F1D3E">
        <w:rPr>
          <w:i/>
          <w:iCs/>
          <w:lang w:val="en-GB"/>
        </w:rPr>
        <w:t>Global Soil Health</w:t>
      </w:r>
      <w:r w:rsidRPr="007F1D3E">
        <w:rPr>
          <w:lang w:val="en-GB"/>
        </w:rPr>
        <w:t>. FAO SOILS PORTAL. https://www.fao.org/soils-portal/soil-degradation-restoration/global-soil-health-indicators-and-assessment/global-soil-health/en/</w:t>
      </w:r>
    </w:p>
    <w:p w14:paraId="4ECF7977" w14:textId="77777777" w:rsidR="007F1D3E" w:rsidRPr="007F1D3E" w:rsidRDefault="007F1D3E" w:rsidP="007F1D3E">
      <w:pPr>
        <w:pStyle w:val="Bibliographie"/>
      </w:pPr>
      <w:r w:rsidRPr="007F1D3E">
        <w:rPr>
          <w:i/>
          <w:iCs/>
        </w:rPr>
        <w:t>Fichier écologique des essences</w:t>
      </w:r>
      <w:r w:rsidRPr="007F1D3E">
        <w:t>. (s. d.). Consulté 2 juin 2026, à l’adresse https://www.fichierecologique.be/#!/</w:t>
      </w:r>
    </w:p>
    <w:p w14:paraId="08739DC7" w14:textId="77777777" w:rsidR="007F1D3E" w:rsidRPr="007F1D3E" w:rsidRDefault="007F1D3E" w:rsidP="007F1D3E">
      <w:pPr>
        <w:pStyle w:val="Bibliographie"/>
        <w:rPr>
          <w:lang w:val="en-GB"/>
        </w:rPr>
      </w:pPr>
      <w:r w:rsidRPr="007F1D3E">
        <w:lastRenderedPageBreak/>
        <w:t xml:space="preserve">Genot, V., Renneson, M., Bock, L., &amp; Colinet, G. (2011). </w:t>
      </w:r>
      <w:r w:rsidRPr="007F1D3E">
        <w:rPr>
          <w:i/>
          <w:iCs/>
        </w:rPr>
        <w:t>Un conseil de fumure raisonné—Le cas du phosphore</w:t>
      </w:r>
      <w:r w:rsidRPr="007F1D3E">
        <w:t xml:space="preserve">. </w:t>
      </w:r>
      <w:r w:rsidRPr="007F1D3E">
        <w:rPr>
          <w:lang w:val="en-GB"/>
        </w:rPr>
        <w:t>REQUASUD. https://www.requasud.be/wp-content/uploads/2017/07/brochure_cr2451_requasud_ld.pdf</w:t>
      </w:r>
    </w:p>
    <w:p w14:paraId="5678A313" w14:textId="77777777" w:rsidR="007F1D3E" w:rsidRPr="007F1D3E" w:rsidRDefault="007F1D3E" w:rsidP="007F1D3E">
      <w:pPr>
        <w:pStyle w:val="Bibliographie"/>
      </w:pPr>
      <w:r w:rsidRPr="007F1D3E">
        <w:rPr>
          <w:lang w:val="en-GB"/>
        </w:rPr>
        <w:t xml:space="preserve">Géronnez, L., Vialay, G., &amp; Zaman, J. (2025). </w:t>
      </w:r>
      <w:r w:rsidRPr="007F1D3E">
        <w:rPr>
          <w:i/>
          <w:iCs/>
        </w:rPr>
        <w:t>Quelles actions possibles pour concilier le « zéro artificialisation nette » (ZAN) et accessibilité financière du logement ? Où produire si le sol compte ?</w:t>
      </w:r>
      <w:r w:rsidRPr="007F1D3E">
        <w:t xml:space="preserve"> (p. 44). SPW / EDIWALL. https://ediwall.wallonie.be/quelles-actions-possibles-pour-concilier-le-zero-artificialisation-nette-zan-et-accessibilite-financiere-du-logement-ou-produire-si-le-sol-compte-2025-135835</w:t>
      </w:r>
    </w:p>
    <w:p w14:paraId="6D14EA30" w14:textId="77777777" w:rsidR="007F1D3E" w:rsidRPr="007F1D3E" w:rsidRDefault="007F1D3E" w:rsidP="007F1D3E">
      <w:pPr>
        <w:pStyle w:val="Bibliographie"/>
      </w:pPr>
      <w:r w:rsidRPr="007F1D3E">
        <w:t xml:space="preserve">Gouvernement wallon. (2018). </w:t>
      </w:r>
      <w:r w:rsidRPr="007F1D3E">
        <w:rPr>
          <w:i/>
          <w:iCs/>
        </w:rPr>
        <w:t>Décret relatif à la gestion et à l’assainissement des sols du 1er mars 2018</w:t>
      </w:r>
      <w:r w:rsidRPr="007F1D3E">
        <w:t>. https://wallex.wallonie.be/eli/loi-decret/2018/03/01/2018070014/2018/04/01</w:t>
      </w:r>
    </w:p>
    <w:p w14:paraId="56692EEB" w14:textId="77777777" w:rsidR="007F1D3E" w:rsidRPr="007F1D3E" w:rsidRDefault="007F1D3E" w:rsidP="007F1D3E">
      <w:pPr>
        <w:pStyle w:val="Bibliographie"/>
      </w:pPr>
      <w:r w:rsidRPr="007F1D3E">
        <w:t xml:space="preserve">Graitson, E. (2006). Inventaire et caractérisation des sites calaminaires en Région Wallonne. </w:t>
      </w:r>
      <w:r w:rsidRPr="007F1D3E">
        <w:rPr>
          <w:i/>
          <w:iCs/>
        </w:rPr>
        <w:t>Natura Mosana</w:t>
      </w:r>
      <w:r w:rsidRPr="007F1D3E">
        <w:t xml:space="preserve">, </w:t>
      </w:r>
      <w:r w:rsidRPr="007F1D3E">
        <w:rPr>
          <w:i/>
          <w:iCs/>
        </w:rPr>
        <w:t>vol.58, n° 4</w:t>
      </w:r>
      <w:r w:rsidRPr="007F1D3E">
        <w:t>(1). https://orbi.uliege.be/handle/2268/32149</w:t>
      </w:r>
    </w:p>
    <w:p w14:paraId="1C39D466" w14:textId="77777777" w:rsidR="007F1D3E" w:rsidRPr="007F1D3E" w:rsidRDefault="007F1D3E" w:rsidP="007F1D3E">
      <w:pPr>
        <w:pStyle w:val="Bibliographie"/>
      </w:pPr>
      <w:r w:rsidRPr="007F1D3E">
        <w:t xml:space="preserve">Janssens, F., &amp; Peeters, A. (1999). </w:t>
      </w:r>
      <w:r w:rsidRPr="007F1D3E">
        <w:rPr>
          <w:i/>
          <w:iCs/>
        </w:rPr>
        <w:t>Talus et pré fleuris : Mode d’emploi. Un guide pour l’aménagement écologique d’espaces verts</w:t>
      </w:r>
      <w:r w:rsidRPr="007F1D3E">
        <w:t>. https://dial.uclouvain.be/pr/boreal/object/boreal:84530</w:t>
      </w:r>
    </w:p>
    <w:p w14:paraId="71961D86" w14:textId="77777777" w:rsidR="007F1D3E" w:rsidRPr="007F1D3E" w:rsidRDefault="007F1D3E" w:rsidP="007F1D3E">
      <w:pPr>
        <w:pStyle w:val="Bibliographie"/>
        <w:rPr>
          <w:lang w:val="en-GB"/>
        </w:rPr>
      </w:pPr>
      <w:r w:rsidRPr="007F1D3E">
        <w:rPr>
          <w:lang w:val="en-GB"/>
        </w:rPr>
        <w:t xml:space="preserve">Johannes, A., Matter, A., Schulin, R., Weisskopf, P., Baveye, P. C., &amp; Boivin, P. (2017). Optimal organic carbon values for soil structure quality of arable soils. Does clay content matter? </w:t>
      </w:r>
      <w:r w:rsidRPr="007F1D3E">
        <w:rPr>
          <w:i/>
          <w:iCs/>
          <w:lang w:val="en-GB"/>
        </w:rPr>
        <w:t>Geoderma</w:t>
      </w:r>
      <w:r w:rsidRPr="007F1D3E">
        <w:rPr>
          <w:lang w:val="en-GB"/>
        </w:rPr>
        <w:t xml:space="preserve">, </w:t>
      </w:r>
      <w:r w:rsidRPr="007F1D3E">
        <w:rPr>
          <w:i/>
          <w:iCs/>
          <w:lang w:val="en-GB"/>
        </w:rPr>
        <w:t>302</w:t>
      </w:r>
      <w:r w:rsidRPr="007F1D3E">
        <w:rPr>
          <w:lang w:val="en-GB"/>
        </w:rPr>
        <w:t>, 14</w:t>
      </w:r>
      <w:r w:rsidRPr="007F1D3E">
        <w:rPr>
          <w:rFonts w:ascii="Cambria Math" w:hAnsi="Cambria Math" w:cs="Cambria Math"/>
          <w:lang w:val="en-GB"/>
        </w:rPr>
        <w:t>‑</w:t>
      </w:r>
      <w:r w:rsidRPr="007F1D3E">
        <w:rPr>
          <w:lang w:val="en-GB"/>
        </w:rPr>
        <w:t>21. https://doi.org/10.1016/j.geoderma.2017.04.021</w:t>
      </w:r>
    </w:p>
    <w:p w14:paraId="26F7A108" w14:textId="77777777" w:rsidR="007F1D3E" w:rsidRPr="007F1D3E" w:rsidRDefault="007F1D3E" w:rsidP="007F1D3E">
      <w:pPr>
        <w:pStyle w:val="Bibliographie"/>
        <w:rPr>
          <w:lang w:val="en-GB"/>
        </w:rPr>
      </w:pPr>
      <w:r w:rsidRPr="007F1D3E">
        <w:rPr>
          <w:lang w:val="en-GB"/>
        </w:rPr>
        <w:t xml:space="preserve">Karlen, D. L., Mausbach, M. J., Doran, J. W., Cline, R. G., Harris, R. F., &amp; Schuman, G. E. (1997). Soil Quality : A Concept, Definition, and Framework for Evaluation (A Guest Editorial). </w:t>
      </w:r>
      <w:r w:rsidRPr="007F1D3E">
        <w:rPr>
          <w:i/>
          <w:iCs/>
          <w:lang w:val="en-GB"/>
        </w:rPr>
        <w:t>Soil Science Society of America Journal</w:t>
      </w:r>
      <w:r w:rsidRPr="007F1D3E">
        <w:rPr>
          <w:lang w:val="en-GB"/>
        </w:rPr>
        <w:t xml:space="preserve">, </w:t>
      </w:r>
      <w:r w:rsidRPr="007F1D3E">
        <w:rPr>
          <w:i/>
          <w:iCs/>
          <w:lang w:val="en-GB"/>
        </w:rPr>
        <w:t>61</w:t>
      </w:r>
      <w:r w:rsidRPr="007F1D3E">
        <w:rPr>
          <w:lang w:val="en-GB"/>
        </w:rPr>
        <w:t>(1), 4</w:t>
      </w:r>
      <w:r w:rsidRPr="007F1D3E">
        <w:rPr>
          <w:rFonts w:ascii="Cambria Math" w:hAnsi="Cambria Math" w:cs="Cambria Math"/>
          <w:lang w:val="en-GB"/>
        </w:rPr>
        <w:t>‑</w:t>
      </w:r>
      <w:r w:rsidRPr="007F1D3E">
        <w:rPr>
          <w:lang w:val="en-GB"/>
        </w:rPr>
        <w:t>10. https://doi.org/10.2136/sssaj1997.03615995006100010001x</w:t>
      </w:r>
    </w:p>
    <w:p w14:paraId="04E9736C" w14:textId="77777777" w:rsidR="007F1D3E" w:rsidRPr="007F1D3E" w:rsidRDefault="007F1D3E" w:rsidP="007F1D3E">
      <w:pPr>
        <w:pStyle w:val="Bibliographie"/>
        <w:rPr>
          <w:lang w:val="en-GB"/>
        </w:rPr>
      </w:pPr>
      <w:r w:rsidRPr="007F1D3E">
        <w:rPr>
          <w:lang w:val="en-GB"/>
        </w:rPr>
        <w:t xml:space="preserve">Kay, B. D. (1990). Rates of Change of Soil Structure Under Different Cropping Systems. In B. A. Stewart (Éd.), </w:t>
      </w:r>
      <w:r w:rsidRPr="007F1D3E">
        <w:rPr>
          <w:i/>
          <w:iCs/>
          <w:lang w:val="en-GB"/>
        </w:rPr>
        <w:t>Advances in Soil Science 12 : Volume 12</w:t>
      </w:r>
      <w:r w:rsidRPr="007F1D3E">
        <w:rPr>
          <w:lang w:val="en-GB"/>
        </w:rPr>
        <w:t xml:space="preserve"> (p. 1</w:t>
      </w:r>
      <w:r w:rsidRPr="007F1D3E">
        <w:rPr>
          <w:rFonts w:ascii="Cambria Math" w:hAnsi="Cambria Math" w:cs="Cambria Math"/>
          <w:lang w:val="en-GB"/>
        </w:rPr>
        <w:t>‑</w:t>
      </w:r>
      <w:r w:rsidRPr="007F1D3E">
        <w:rPr>
          <w:lang w:val="en-GB"/>
        </w:rPr>
        <w:t>52). Springer. https://doi.org/10.1007/978-1-4612-3316-9_1</w:t>
      </w:r>
    </w:p>
    <w:p w14:paraId="0AFD9C9A" w14:textId="77777777" w:rsidR="007F1D3E" w:rsidRPr="007F1D3E" w:rsidRDefault="007F1D3E" w:rsidP="007F1D3E">
      <w:pPr>
        <w:pStyle w:val="Bibliographie"/>
        <w:rPr>
          <w:lang w:val="en-GB"/>
        </w:rPr>
      </w:pPr>
      <w:r w:rsidRPr="007F1D3E">
        <w:rPr>
          <w:lang w:val="en-GB"/>
        </w:rPr>
        <w:lastRenderedPageBreak/>
        <w:t xml:space="preserve">Kibblewhite, M. G., Ritz, K., &amp; Swift, M. J. (2008). Soil health in agricultural systems. </w:t>
      </w:r>
      <w:r w:rsidRPr="007F1D3E">
        <w:rPr>
          <w:i/>
          <w:iCs/>
          <w:lang w:val="en-GB"/>
        </w:rPr>
        <w:t>Philosophical Transactions of the Royal Society of London. Series B, Biological Sciences</w:t>
      </w:r>
      <w:r w:rsidRPr="007F1D3E">
        <w:rPr>
          <w:lang w:val="en-GB"/>
        </w:rPr>
        <w:t xml:space="preserve">, </w:t>
      </w:r>
      <w:r w:rsidRPr="007F1D3E">
        <w:rPr>
          <w:i/>
          <w:iCs/>
          <w:lang w:val="en-GB"/>
        </w:rPr>
        <w:t>363</w:t>
      </w:r>
      <w:r w:rsidRPr="007F1D3E">
        <w:rPr>
          <w:lang w:val="en-GB"/>
        </w:rPr>
        <w:t>(1492), 685</w:t>
      </w:r>
      <w:r w:rsidRPr="007F1D3E">
        <w:rPr>
          <w:rFonts w:ascii="Cambria Math" w:hAnsi="Cambria Math" w:cs="Cambria Math"/>
          <w:lang w:val="en-GB"/>
        </w:rPr>
        <w:t>‑</w:t>
      </w:r>
      <w:r w:rsidRPr="007F1D3E">
        <w:rPr>
          <w:lang w:val="en-GB"/>
        </w:rPr>
        <w:t>701. https://doi.org/10.1098/rstb.2007.2178</w:t>
      </w:r>
    </w:p>
    <w:p w14:paraId="3E6D736C" w14:textId="77777777" w:rsidR="007F1D3E" w:rsidRPr="007F1D3E" w:rsidRDefault="007F1D3E" w:rsidP="007F1D3E">
      <w:pPr>
        <w:pStyle w:val="Bibliographie"/>
        <w:rPr>
          <w:lang w:val="en-GB"/>
        </w:rPr>
      </w:pPr>
      <w:r w:rsidRPr="007F1D3E">
        <w:rPr>
          <w:lang w:val="en-GB"/>
        </w:rPr>
        <w:t xml:space="preserve">Laliberté, E., Grace, J. B., Huston, M. A., Lambers, H., Teste, F. P., Turner, B. L., &amp; Wardle, D. A. (2013). How does pedogenesis drive plant diversity? </w:t>
      </w:r>
      <w:r w:rsidRPr="007F1D3E">
        <w:rPr>
          <w:i/>
          <w:iCs/>
          <w:lang w:val="en-GB"/>
        </w:rPr>
        <w:t>Trends in Ecology &amp; Evolution</w:t>
      </w:r>
      <w:r w:rsidRPr="007F1D3E">
        <w:rPr>
          <w:lang w:val="en-GB"/>
        </w:rPr>
        <w:t xml:space="preserve">, </w:t>
      </w:r>
      <w:r w:rsidRPr="007F1D3E">
        <w:rPr>
          <w:i/>
          <w:iCs/>
          <w:lang w:val="en-GB"/>
        </w:rPr>
        <w:t>28</w:t>
      </w:r>
      <w:r w:rsidRPr="007F1D3E">
        <w:rPr>
          <w:lang w:val="en-GB"/>
        </w:rPr>
        <w:t>(6), 331</w:t>
      </w:r>
      <w:r w:rsidRPr="007F1D3E">
        <w:rPr>
          <w:rFonts w:ascii="Cambria Math" w:hAnsi="Cambria Math" w:cs="Cambria Math"/>
          <w:lang w:val="en-GB"/>
        </w:rPr>
        <w:t>‑</w:t>
      </w:r>
      <w:r w:rsidRPr="007F1D3E">
        <w:rPr>
          <w:lang w:val="en-GB"/>
        </w:rPr>
        <w:t>340. https://doi.org/10.1016/j.tree.2013.02.008</w:t>
      </w:r>
    </w:p>
    <w:p w14:paraId="07F1C7E9" w14:textId="77777777" w:rsidR="007F1D3E" w:rsidRPr="007F1D3E" w:rsidRDefault="007F1D3E" w:rsidP="007F1D3E">
      <w:pPr>
        <w:pStyle w:val="Bibliographie"/>
      </w:pPr>
      <w:r w:rsidRPr="007F1D3E">
        <w:t xml:space="preserve">Le Guedard, M., Bessoule, J.-J., Faure, O., Fayolle, G., Nau, J.-F., Villenave, C., Ceremonie, H., Pauget, B., &amp; Peres, G. (2017). </w:t>
      </w:r>
      <w:r w:rsidRPr="007F1D3E">
        <w:rPr>
          <w:i/>
          <w:iCs/>
        </w:rPr>
        <w:t>La librairie ADEME - Bio-indicateurs de l’état des sols (Les)</w:t>
      </w:r>
      <w:r w:rsidRPr="007F1D3E">
        <w:t xml:space="preserve"> (ADERA, LEB Aquitaine Transfert, CNRS BORDEAUX, ECOLE NATIONALE SUPERIEURE DES MINES DE SAINT-ETIENNE, EODD Ingénieurs Conseils, &amp; AGROCAMPUS OUEST, Éds.; N</w:t>
      </w:r>
      <w:r w:rsidRPr="007F1D3E">
        <w:rPr>
          <w:vertAlign w:val="superscript"/>
        </w:rPr>
        <w:t>o</w:t>
      </w:r>
      <w:r w:rsidRPr="007F1D3E">
        <w:t xml:space="preserve"> 010216). https://librairie.ademe.fr/urbanisme-territoires-et-sols/1971-bio-indicateurs-de-l-etat-des-sols-les-9791029708244.html</w:t>
      </w:r>
    </w:p>
    <w:p w14:paraId="618EE8AB" w14:textId="77777777" w:rsidR="007F1D3E" w:rsidRPr="007F1D3E" w:rsidRDefault="007F1D3E" w:rsidP="007F1D3E">
      <w:pPr>
        <w:pStyle w:val="Bibliographie"/>
        <w:rPr>
          <w:lang w:val="en-GB"/>
        </w:rPr>
      </w:pPr>
      <w:r w:rsidRPr="007F1D3E">
        <w:rPr>
          <w:lang w:val="en-GB"/>
        </w:rPr>
        <w:t xml:space="preserve">Lehmann, J., Bossio, D. A., Kögel-Knabner, I., &amp; Rillig, M. C. (2020). The concept and future prospects of soil health. </w:t>
      </w:r>
      <w:r w:rsidRPr="007F1D3E">
        <w:rPr>
          <w:i/>
          <w:iCs/>
          <w:lang w:val="en-GB"/>
        </w:rPr>
        <w:t>Nature Reviews Earth &amp; Environment</w:t>
      </w:r>
      <w:r w:rsidRPr="007F1D3E">
        <w:rPr>
          <w:lang w:val="en-GB"/>
        </w:rPr>
        <w:t xml:space="preserve">, </w:t>
      </w:r>
      <w:r w:rsidRPr="007F1D3E">
        <w:rPr>
          <w:i/>
          <w:iCs/>
          <w:lang w:val="en-GB"/>
        </w:rPr>
        <w:t>1</w:t>
      </w:r>
      <w:r w:rsidRPr="007F1D3E">
        <w:rPr>
          <w:lang w:val="en-GB"/>
        </w:rPr>
        <w:t>(10), 544</w:t>
      </w:r>
      <w:r w:rsidRPr="007F1D3E">
        <w:rPr>
          <w:rFonts w:ascii="Cambria Math" w:hAnsi="Cambria Math" w:cs="Cambria Math"/>
          <w:lang w:val="en-GB"/>
        </w:rPr>
        <w:t>‑</w:t>
      </w:r>
      <w:r w:rsidRPr="007F1D3E">
        <w:rPr>
          <w:lang w:val="en-GB"/>
        </w:rPr>
        <w:t>553. https://doi.org/10.1038/s43017-020-0080-8</w:t>
      </w:r>
    </w:p>
    <w:p w14:paraId="4280DCB6" w14:textId="77777777" w:rsidR="007F1D3E" w:rsidRPr="007F1D3E" w:rsidRDefault="007F1D3E" w:rsidP="007F1D3E">
      <w:pPr>
        <w:pStyle w:val="Bibliographie"/>
        <w:rPr>
          <w:lang w:val="en-GB"/>
        </w:rPr>
      </w:pPr>
      <w:r w:rsidRPr="007F1D3E">
        <w:t xml:space="preserve">Mariage, C. (2019). </w:t>
      </w:r>
      <w:r w:rsidRPr="007F1D3E">
        <w:rPr>
          <w:i/>
          <w:iCs/>
        </w:rPr>
        <w:t>Les matières organiques et la fertilité du sol</w:t>
      </w:r>
      <w:r w:rsidRPr="007F1D3E">
        <w:t xml:space="preserve">. </w:t>
      </w:r>
      <w:r w:rsidRPr="007F1D3E">
        <w:rPr>
          <w:lang w:val="en-GB"/>
        </w:rPr>
        <w:t>REQUASUD. https://www.requasud.be/assets/pdf/publications/presentations/fiche_explicative_carbone_v01.pdf</w:t>
      </w:r>
    </w:p>
    <w:p w14:paraId="649FFDDE" w14:textId="77777777" w:rsidR="007F1D3E" w:rsidRPr="007F1D3E" w:rsidRDefault="007F1D3E" w:rsidP="007F1D3E">
      <w:pPr>
        <w:pStyle w:val="Bibliographie"/>
        <w:rPr>
          <w:lang w:val="en-GB"/>
        </w:rPr>
      </w:pPr>
      <w:r w:rsidRPr="007F1D3E">
        <w:rPr>
          <w:lang w:val="en-GB"/>
        </w:rPr>
        <w:t xml:space="preserve">Miller, R., Busch, J., Friedrich, K., Fritzsch, D., Goldschmitt, M., Handke, K., Pflanz, D., Sauer, S., &amp; Vorderbrügge, T. (2023). </w:t>
      </w:r>
      <w:r w:rsidRPr="007F1D3E">
        <w:rPr>
          <w:i/>
          <w:iCs/>
          <w:lang w:val="en-GB"/>
        </w:rPr>
        <w:t>Kompensation des Schutzguts Boden in Planungs- und Genehmigungsverfahren—Arbeitshilfe zur Ermittlung des Kompensationsbedarfs für das Schutzgut Boden in Hessen und Rheinland-Pfalz</w:t>
      </w:r>
      <w:r w:rsidRPr="007F1D3E">
        <w:rPr>
          <w:lang w:val="en-GB"/>
        </w:rPr>
        <w:t>. Umwelt und Geologie Böden und Bodenschutz in Hessen, Heft 16. https://www.hlnug.de/themen/boden/vorsorge/bodenschutz-in-der-planung/kompensation-schutzgut-boden</w:t>
      </w:r>
    </w:p>
    <w:p w14:paraId="68DB1FFD" w14:textId="77777777" w:rsidR="007F1D3E" w:rsidRPr="007F1D3E" w:rsidRDefault="007F1D3E" w:rsidP="007F1D3E">
      <w:pPr>
        <w:pStyle w:val="Bibliographie"/>
        <w:rPr>
          <w:lang w:val="en-GB"/>
        </w:rPr>
      </w:pPr>
      <w:r w:rsidRPr="007F1D3E">
        <w:rPr>
          <w:lang w:val="en-GB"/>
        </w:rPr>
        <w:t xml:space="preserve">Mukherjee, A., &amp; Lal, R. (2014). Comparison of Soil Quality Index Using Three Methods. </w:t>
      </w:r>
      <w:r w:rsidRPr="007F1D3E">
        <w:rPr>
          <w:i/>
          <w:iCs/>
          <w:lang w:val="en-GB"/>
        </w:rPr>
        <w:t>PLOS ONE</w:t>
      </w:r>
      <w:r w:rsidRPr="007F1D3E">
        <w:rPr>
          <w:lang w:val="en-GB"/>
        </w:rPr>
        <w:t xml:space="preserve">, </w:t>
      </w:r>
      <w:r w:rsidRPr="007F1D3E">
        <w:rPr>
          <w:i/>
          <w:iCs/>
          <w:lang w:val="en-GB"/>
        </w:rPr>
        <w:t>9</w:t>
      </w:r>
      <w:r w:rsidRPr="007F1D3E">
        <w:rPr>
          <w:lang w:val="en-GB"/>
        </w:rPr>
        <w:t>(8), e105981. https://doi.org/10.1371/journal.pone.0105981</w:t>
      </w:r>
    </w:p>
    <w:p w14:paraId="39670DCB" w14:textId="77777777" w:rsidR="007F1D3E" w:rsidRPr="007F1D3E" w:rsidRDefault="007F1D3E" w:rsidP="007F1D3E">
      <w:pPr>
        <w:pStyle w:val="Bibliographie"/>
        <w:rPr>
          <w:lang w:val="en-GB"/>
        </w:rPr>
      </w:pPr>
      <w:r w:rsidRPr="007F1D3E">
        <w:rPr>
          <w:lang w:val="en-GB"/>
        </w:rPr>
        <w:lastRenderedPageBreak/>
        <w:t xml:space="preserve">O’Geen, A. T. (2013). </w:t>
      </w:r>
      <w:r w:rsidRPr="007F1D3E">
        <w:rPr>
          <w:i/>
          <w:iCs/>
          <w:lang w:val="en-GB"/>
        </w:rPr>
        <w:t>Soil Water Dynamics</w:t>
      </w:r>
      <w:r w:rsidRPr="007F1D3E">
        <w:rPr>
          <w:lang w:val="en-GB"/>
        </w:rPr>
        <w:t>. Nature Education Knowledge 4(5):9. https://www.nature.com/scitable/knowledge/library/soil-water-dynamics-103089121/</w:t>
      </w:r>
    </w:p>
    <w:p w14:paraId="4188F944" w14:textId="77777777" w:rsidR="007F1D3E" w:rsidRPr="007F1D3E" w:rsidRDefault="007F1D3E" w:rsidP="007F1D3E">
      <w:pPr>
        <w:pStyle w:val="Bibliographie"/>
        <w:rPr>
          <w:lang w:val="en-GB"/>
        </w:rPr>
      </w:pPr>
      <w:r w:rsidRPr="007F1D3E">
        <w:rPr>
          <w:lang w:val="en-GB"/>
        </w:rPr>
        <w:t xml:space="preserve">Rabot, E., Guiresse, M., Pittatore, Y., Angelini, M., Keller, C., &amp; Lagacherie, P. (2022). Development and spatialization of a soil potential multifunctionality index for agriculture (Agri-SPMI) at the regional scale. Case study in the Occitanie region (France). </w:t>
      </w:r>
      <w:r w:rsidRPr="007F1D3E">
        <w:rPr>
          <w:i/>
          <w:iCs/>
          <w:lang w:val="en-GB"/>
        </w:rPr>
        <w:t>Soil Security</w:t>
      </w:r>
      <w:r w:rsidRPr="007F1D3E">
        <w:rPr>
          <w:lang w:val="en-GB"/>
        </w:rPr>
        <w:t xml:space="preserve">, </w:t>
      </w:r>
      <w:r w:rsidRPr="007F1D3E">
        <w:rPr>
          <w:i/>
          <w:iCs/>
          <w:lang w:val="en-GB"/>
        </w:rPr>
        <w:t>6</w:t>
      </w:r>
      <w:r w:rsidRPr="007F1D3E">
        <w:rPr>
          <w:lang w:val="en-GB"/>
        </w:rPr>
        <w:t>, 100034. https://doi.org/10.1016/j.soisec.2022.100034</w:t>
      </w:r>
    </w:p>
    <w:p w14:paraId="3ECF7B59" w14:textId="77777777" w:rsidR="007F1D3E" w:rsidRPr="007F1D3E" w:rsidRDefault="007F1D3E" w:rsidP="007F1D3E">
      <w:pPr>
        <w:pStyle w:val="Bibliographie"/>
      </w:pPr>
      <w:r w:rsidRPr="007F1D3E">
        <w:t xml:space="preserve">SPW. (2026). </w:t>
      </w:r>
      <w:r w:rsidRPr="007F1D3E">
        <w:rPr>
          <w:i/>
          <w:iCs/>
        </w:rPr>
        <w:t>MAEC Sol—MR14—Portail de l’agriculture wallonne</w:t>
      </w:r>
      <w:r w:rsidRPr="007F1D3E">
        <w:t>. Agriculture en Wallonie. https://agriculture.wallonie.be/home/aides/pac-2023-2027-description-des-interventions/mesures-agro-environnementales-et-climatiques/maec-sol---mr14.html</w:t>
      </w:r>
    </w:p>
    <w:p w14:paraId="38BBD069" w14:textId="77777777" w:rsidR="007F1D3E" w:rsidRPr="007F1D3E" w:rsidRDefault="007F1D3E" w:rsidP="007F1D3E">
      <w:pPr>
        <w:pStyle w:val="Bibliographie"/>
      </w:pPr>
      <w:r w:rsidRPr="007F1D3E">
        <w:t xml:space="preserve">SPW Mobilité Infrastructures. (2026). </w:t>
      </w:r>
      <w:r w:rsidRPr="007F1D3E">
        <w:rPr>
          <w:i/>
          <w:iCs/>
        </w:rPr>
        <w:t>Cahier des Charges type Qualiroutes—Chapitre C : Matériaux et produits de construction</w:t>
      </w:r>
      <w:r w:rsidRPr="007F1D3E">
        <w:t xml:space="preserve"> (Version approuvé par le Gouvernement wallon en date du 20 juillet 2011). Service Public de Wallonie. https://infrastructures.wallonie.be/cms/render/live/fr/sites/routes/pouvoirs-locaux/nos-thematiques/routes/qualite--construction/qualiroutes.html</w:t>
      </w:r>
    </w:p>
    <w:p w14:paraId="18372623" w14:textId="77777777" w:rsidR="007F1D3E" w:rsidRPr="007F1D3E" w:rsidRDefault="007F1D3E" w:rsidP="007F1D3E">
      <w:pPr>
        <w:pStyle w:val="Bibliographie"/>
      </w:pPr>
      <w:r w:rsidRPr="007F1D3E">
        <w:t xml:space="preserve">UE 2025/2360. (2025). </w:t>
      </w:r>
      <w:r w:rsidRPr="007F1D3E">
        <w:rPr>
          <w:i/>
          <w:iCs/>
        </w:rPr>
        <w:t>Directive (UE) 2025/2360 du Parlement européen et du Conseil du 12 novembre 2025 relative à la surveillance et à la résilience des sols (directive sur la surveillance des sols)</w:t>
      </w:r>
      <w:r w:rsidRPr="007F1D3E">
        <w:t>. https://eur-lex.europa.eu/eli/dir/2025/2360/oj?eliuri=eli%3Adir%3A2025%3A2360%3Aoj&amp;locale=fr</w:t>
      </w:r>
    </w:p>
    <w:p w14:paraId="16BEC5F7" w14:textId="77777777" w:rsidR="007F1D3E" w:rsidRPr="007F1D3E" w:rsidRDefault="007F1D3E" w:rsidP="007F1D3E">
      <w:pPr>
        <w:pStyle w:val="Bibliographie"/>
      </w:pPr>
      <w:r w:rsidRPr="007F1D3E">
        <w:t xml:space="preserve">UE COM/2021/699. (2021). </w:t>
      </w:r>
      <w:r w:rsidRPr="007F1D3E">
        <w:rPr>
          <w:i/>
          <w:iCs/>
        </w:rPr>
        <w:t>Stratégie de l’UE pour la protection des sols à l’horizon 2030</w:t>
      </w:r>
      <w:r w:rsidRPr="007F1D3E">
        <w:t>. https://eur-lex.europa.eu/legal-content/FR/TXT/?uri=CELEX%3A52021DC0699&amp;lang1=FR&amp;from=EN&amp;lang3=choose&amp;lang2=choose&amp;_csrf=a78b6a5f-f9e9-44c3-85cc-836ba47b3c12</w:t>
      </w:r>
    </w:p>
    <w:p w14:paraId="2FBD3F84" w14:textId="77777777" w:rsidR="007F1D3E" w:rsidRPr="007F1D3E" w:rsidRDefault="007F1D3E" w:rsidP="007F1D3E">
      <w:pPr>
        <w:pStyle w:val="Bibliographie"/>
        <w:rPr>
          <w:lang w:val="en-GB"/>
        </w:rPr>
      </w:pPr>
      <w:r w:rsidRPr="007F1D3E">
        <w:rPr>
          <w:lang w:val="en-GB"/>
        </w:rPr>
        <w:t xml:space="preserve">Vogel, H.-J., Eberhardt, E., Franko, U., Lang, B., Ließ, M., Weller, U., Wiesmeier, M., &amp; Wollschläger, U. (2019). Quantitative Evaluation of Soil Functions : Potential and State. </w:t>
      </w:r>
      <w:r w:rsidRPr="007F1D3E">
        <w:rPr>
          <w:i/>
          <w:iCs/>
          <w:lang w:val="en-GB"/>
        </w:rPr>
        <w:t>Frontiers in Environmental Science</w:t>
      </w:r>
      <w:r w:rsidRPr="007F1D3E">
        <w:rPr>
          <w:lang w:val="en-GB"/>
        </w:rPr>
        <w:t xml:space="preserve">, </w:t>
      </w:r>
      <w:r w:rsidRPr="007F1D3E">
        <w:rPr>
          <w:i/>
          <w:iCs/>
          <w:lang w:val="en-GB"/>
        </w:rPr>
        <w:t>7</w:t>
      </w:r>
      <w:r w:rsidRPr="007F1D3E">
        <w:rPr>
          <w:lang w:val="en-GB"/>
        </w:rPr>
        <w:t>. https://doi.org/10.3389/fenvs.2019.00164</w:t>
      </w:r>
    </w:p>
    <w:p w14:paraId="0A3A79EE" w14:textId="77777777" w:rsidR="007F1D3E" w:rsidRPr="007F1D3E" w:rsidRDefault="007F1D3E" w:rsidP="007F1D3E">
      <w:pPr>
        <w:pStyle w:val="Bibliographie"/>
        <w:rPr>
          <w:lang w:val="en-GB"/>
        </w:rPr>
      </w:pPr>
      <w:r w:rsidRPr="007F1D3E">
        <w:rPr>
          <w:lang w:val="en-GB"/>
        </w:rPr>
        <w:lastRenderedPageBreak/>
        <w:t xml:space="preserve">Weninger, T., Ramler, D., Bondi, G., Asins, S., O’Sullivan, L., Assennato, F., Astover, A., Bispo, A., Borůvka, L., Buttafuoco, G., Calzolari, C., Castanheira, N., Cousin, I., van den Elsen, E., Foldal, C., Hessel, R., Kadžiulienė, Ž., Kukk, L., Molina, M. J., … Klimkowicz-Pawlas, A. (2024). Do we speak one language on the way to sustainable soil management in Europe? A terminology check via an EU-wide survey. </w:t>
      </w:r>
      <w:r w:rsidRPr="007F1D3E">
        <w:rPr>
          <w:i/>
          <w:iCs/>
          <w:lang w:val="en-GB"/>
        </w:rPr>
        <w:t>European Journal of Soil Science</w:t>
      </w:r>
      <w:r w:rsidRPr="007F1D3E">
        <w:rPr>
          <w:lang w:val="en-GB"/>
        </w:rPr>
        <w:t xml:space="preserve">, </w:t>
      </w:r>
      <w:r w:rsidRPr="007F1D3E">
        <w:rPr>
          <w:i/>
          <w:iCs/>
          <w:lang w:val="en-GB"/>
        </w:rPr>
        <w:t>75</w:t>
      </w:r>
      <w:r w:rsidRPr="007F1D3E">
        <w:rPr>
          <w:lang w:val="en-GB"/>
        </w:rPr>
        <w:t>(2), e13476. https://doi.org/10.1111/ejss.13476</w:t>
      </w:r>
    </w:p>
    <w:p w14:paraId="0064642D" w14:textId="77777777" w:rsidR="007F1D3E" w:rsidRPr="007F1D3E" w:rsidRDefault="007F1D3E" w:rsidP="007F1D3E">
      <w:pPr>
        <w:pStyle w:val="Bibliographie"/>
      </w:pPr>
      <w:r w:rsidRPr="007F1D3E">
        <w:rPr>
          <w:lang w:val="en-GB"/>
        </w:rPr>
        <w:t xml:space="preserve">Wienhold, Karlen, Andrews, &amp; Stott. (2009). Protocol for indicator scoring in the soil management assessment framework (SMAF). </w:t>
      </w:r>
      <w:r w:rsidRPr="007F1D3E">
        <w:rPr>
          <w:i/>
          <w:iCs/>
        </w:rPr>
        <w:t>ResearchGate</w:t>
      </w:r>
      <w:r w:rsidRPr="007F1D3E">
        <w:t>. https://doi.org/10.1017/S1742170509990093</w:t>
      </w:r>
    </w:p>
    <w:p w14:paraId="3B73438D" w14:textId="5A27FE2A" w:rsidR="00347D0A" w:rsidRPr="007E364E" w:rsidRDefault="00CB5E37" w:rsidP="00EB114A">
      <w:pPr>
        <w:pStyle w:val="Bibliographie"/>
        <w:rPr>
          <w:lang w:val="en-GB"/>
        </w:rPr>
      </w:pPr>
      <w:r>
        <w:fldChar w:fldCharType="end"/>
      </w:r>
    </w:p>
    <w:p w14:paraId="57BA89AB" w14:textId="2462EE83" w:rsidR="0021405A" w:rsidRPr="007E364E" w:rsidRDefault="0021405A" w:rsidP="0021405A">
      <w:pPr>
        <w:jc w:val="left"/>
        <w:rPr>
          <w:lang w:val="en-GB"/>
        </w:rPr>
      </w:pPr>
      <w:r w:rsidRPr="007E364E">
        <w:rPr>
          <w:lang w:val="en-GB"/>
        </w:rPr>
        <w:br w:type="page"/>
      </w:r>
    </w:p>
    <w:p w14:paraId="4842C021" w14:textId="77777777" w:rsidR="0021405A" w:rsidRDefault="0021405A" w:rsidP="0021405A">
      <w:pPr>
        <w:pStyle w:val="Titre1"/>
      </w:pPr>
      <w:bookmarkStart w:id="222" w:name="_Toc241478159"/>
      <w:r>
        <w:lastRenderedPageBreak/>
        <w:t>Financement et porteurs de projet</w:t>
      </w:r>
      <w:bookmarkEnd w:id="222"/>
    </w:p>
    <w:p w14:paraId="6888849A" w14:textId="38C69B5D" w:rsidR="0021405A" w:rsidRDefault="0021405A" w:rsidP="0021405A">
      <w:r w:rsidRPr="000626B8">
        <w:t>L’I</w:t>
      </w:r>
      <w:r>
        <w:t>ndice de Qualité des Sols Wallons (I</w:t>
      </w:r>
      <w:r w:rsidRPr="000626B8">
        <w:t>QSW-pro</w:t>
      </w:r>
      <w:r>
        <w:t>)</w:t>
      </w:r>
      <w:r w:rsidRPr="000626B8">
        <w:t xml:space="preserve"> a été dével</w:t>
      </w:r>
      <w:r>
        <w:t xml:space="preserve">oppé dans le cadre d’un projet financé par le Plan de relance de la Wallonie (Convention </w:t>
      </w:r>
      <w:r w:rsidRPr="00E01F5C">
        <w:t>O3.07.05-23-1343</w:t>
      </w:r>
      <w:r>
        <w:t>) et porté par la Direction de la Protection des Sols (DPS), SPW ARNE. L’outil a été développé par un consortium formé par l’UCLouvain, le Centre wallon de recherches agronomiques (CRA-W) et le bureau d’études ARIES Consultants.</w:t>
      </w:r>
    </w:p>
    <w:p w14:paraId="385E5EDF" w14:textId="18DFCAD8" w:rsidR="0051081A" w:rsidRDefault="0051081A" w:rsidP="0051081A">
      <w:pPr>
        <w:jc w:val="left"/>
      </w:pPr>
      <w:r>
        <w:br w:type="page"/>
      </w:r>
    </w:p>
    <w:p w14:paraId="3C3513D7" w14:textId="2883EF85" w:rsidR="0021405A" w:rsidRDefault="0021405A" w:rsidP="0021405A">
      <w:pPr>
        <w:pStyle w:val="Titre1"/>
      </w:pPr>
      <w:bookmarkStart w:id="223" w:name="_Toc241478160"/>
      <w:r>
        <w:lastRenderedPageBreak/>
        <w:t>Remerciements</w:t>
      </w:r>
      <w:bookmarkEnd w:id="223"/>
    </w:p>
    <w:p w14:paraId="5B46EEC1" w14:textId="5CDB882B" w:rsidR="0021405A" w:rsidRDefault="0021405A" w:rsidP="0021405A">
      <w:r>
        <w:t>Nous tenions à adresser nos sincères remerciements à toutes les parties prenantes ayant contribué au projet. Tout d’abord, la Région wallonne pour son soutien financier à travers le plan de relance de la Wallonie (PRW 115.2.), ainsi qu’à la Direction de la Protection des Sols (DPS, SPW ARNE)</w:t>
      </w:r>
      <w:r w:rsidR="00967817">
        <w:t xml:space="preserve"> et tout particulièrement à Michel Amand, </w:t>
      </w:r>
      <w:r w:rsidR="00496349">
        <w:t xml:space="preserve">Meggie Carte, </w:t>
      </w:r>
      <w:r w:rsidR="00A35BB5" w:rsidRPr="00A35BB5">
        <w:t xml:space="preserve">Benoit Vanderhofstadt </w:t>
      </w:r>
      <w:r w:rsidR="00A66D64">
        <w:t>et Esther Goidts</w:t>
      </w:r>
      <w:r w:rsidR="00496349">
        <w:t xml:space="preserve"> </w:t>
      </w:r>
      <w:r>
        <w:t xml:space="preserve">qui </w:t>
      </w:r>
      <w:r w:rsidR="00967817">
        <w:t>ont</w:t>
      </w:r>
      <w:r>
        <w:t xml:space="preserve"> permis d’établir les lignes directrices essentielles au développement de l’outil. Merci également aux </w:t>
      </w:r>
      <w:r w:rsidR="00663888">
        <w:t xml:space="preserve">autres </w:t>
      </w:r>
      <w:r>
        <w:t>membres du</w:t>
      </w:r>
      <w:r w:rsidR="008B1A4C">
        <w:t xml:space="preserve"> </w:t>
      </w:r>
      <w:r>
        <w:t>C</w:t>
      </w:r>
      <w:r w:rsidR="008B1A4C">
        <w:t>omité</w:t>
      </w:r>
      <w:r>
        <w:t xml:space="preserve"> </w:t>
      </w:r>
      <w:r w:rsidR="008B1A4C">
        <w:t xml:space="preserve">d’Accompagnement </w:t>
      </w:r>
      <w:r>
        <w:t>pour leurs éclairages, qui ont permis de maintenir une cohérence avec les développements en cours en Région wallonne</w:t>
      </w:r>
      <w:r w:rsidR="00E23D42">
        <w:t xml:space="preserve"> : </w:t>
      </w:r>
      <w:r w:rsidR="00A136F5" w:rsidRPr="00A136F5">
        <w:t>Joëlle Bastin</w:t>
      </w:r>
      <w:r w:rsidR="0099036A">
        <w:t xml:space="preserve"> (</w:t>
      </w:r>
      <w:r w:rsidR="0099036A" w:rsidRPr="0099036A">
        <w:t>SPW-ARNE-DSD</w:t>
      </w:r>
      <w:r w:rsidR="0099036A">
        <w:t>)</w:t>
      </w:r>
      <w:r w:rsidR="00714FE7">
        <w:t xml:space="preserve">, </w:t>
      </w:r>
      <w:r w:rsidR="00714FE7" w:rsidRPr="00714FE7">
        <w:t>Patrick Engels</w:t>
      </w:r>
      <w:r w:rsidR="000613AB">
        <w:t xml:space="preserve"> (</w:t>
      </w:r>
      <w:r w:rsidR="000613AB" w:rsidRPr="000613AB">
        <w:t>SPW-ARNE-DEMNA-DCD</w:t>
      </w:r>
      <w:r w:rsidR="000613AB">
        <w:t>)</w:t>
      </w:r>
      <w:r w:rsidR="00714FE7">
        <w:t xml:space="preserve">, </w:t>
      </w:r>
      <w:r w:rsidR="00C01248" w:rsidRPr="00C01248">
        <w:t>Emmanuel Maes</w:t>
      </w:r>
      <w:r w:rsidR="00E76D7C">
        <w:t xml:space="preserve"> (</w:t>
      </w:r>
      <w:r w:rsidR="00E76D7C" w:rsidRPr="00E76D7C">
        <w:t>SPW-ARNE-DEMNA-DEE</w:t>
      </w:r>
      <w:r w:rsidR="00E76D7C">
        <w:t>)</w:t>
      </w:r>
      <w:r w:rsidR="00C01248">
        <w:t>,</w:t>
      </w:r>
      <w:r w:rsidR="003E6764">
        <w:t xml:space="preserve"> </w:t>
      </w:r>
      <w:r w:rsidR="003E6764" w:rsidRPr="003E6764">
        <w:t>Hélène Cordonnier</w:t>
      </w:r>
      <w:r w:rsidR="006163F5">
        <w:t xml:space="preserve"> et</w:t>
      </w:r>
      <w:r w:rsidR="003E6764">
        <w:t xml:space="preserve"> </w:t>
      </w:r>
      <w:r w:rsidR="00BE31E4" w:rsidRPr="00BE31E4">
        <w:t>Brieuc Michel</w:t>
      </w:r>
      <w:r w:rsidR="006163F5">
        <w:t xml:space="preserve"> (</w:t>
      </w:r>
      <w:r w:rsidR="006163F5" w:rsidRPr="006163F5">
        <w:t>SPW-ARNE-DDRCB-GISER</w:t>
      </w:r>
      <w:r w:rsidR="006163F5">
        <w:t>)</w:t>
      </w:r>
      <w:r w:rsidR="00BE31E4">
        <w:t xml:space="preserve">, </w:t>
      </w:r>
      <w:r w:rsidR="002F458B" w:rsidRPr="002F458B">
        <w:t>Pierre Courtois</w:t>
      </w:r>
      <w:r w:rsidR="00B3364B">
        <w:t xml:space="preserve"> (</w:t>
      </w:r>
      <w:r w:rsidR="00B3364B" w:rsidRPr="00B3364B">
        <w:t>SPW-ARNE-DDRCB-DRD</w:t>
      </w:r>
      <w:r w:rsidR="00B3364B">
        <w:t>)</w:t>
      </w:r>
      <w:r w:rsidR="002F458B">
        <w:t xml:space="preserve">, </w:t>
      </w:r>
      <w:r w:rsidR="00E752A7" w:rsidRPr="00E752A7">
        <w:t>Arnaud Stas</w:t>
      </w:r>
      <w:r w:rsidR="00B3364B">
        <w:t xml:space="preserve"> </w:t>
      </w:r>
      <w:r w:rsidR="00570B54">
        <w:t>et</w:t>
      </w:r>
      <w:r w:rsidR="00E752A7">
        <w:t xml:space="preserve"> </w:t>
      </w:r>
      <w:r w:rsidR="00F02EED" w:rsidRPr="00F02EED">
        <w:t>Arnaud Warin</w:t>
      </w:r>
      <w:r w:rsidR="00570B54">
        <w:t xml:space="preserve"> (</w:t>
      </w:r>
      <w:r w:rsidR="007E2E78" w:rsidRPr="007E2E78">
        <w:t>SPW-ARNE-DEE</w:t>
      </w:r>
      <w:r w:rsidR="00570B54">
        <w:t>)</w:t>
      </w:r>
      <w:r w:rsidR="00F02EED">
        <w:t xml:space="preserve">, </w:t>
      </w:r>
      <w:r w:rsidR="00290BC8" w:rsidRPr="00290BC8">
        <w:t>Grégoire Delneuville</w:t>
      </w:r>
      <w:r w:rsidR="007E2E78">
        <w:t xml:space="preserve"> et </w:t>
      </w:r>
      <w:r w:rsidR="000D3FBC" w:rsidRPr="000D3FBC">
        <w:t>Hélène Laurent</w:t>
      </w:r>
      <w:r w:rsidR="0041449E">
        <w:t xml:space="preserve"> (</w:t>
      </w:r>
      <w:r w:rsidR="0041449E" w:rsidRPr="0041449E">
        <w:t>SPW-ARNE-DSD-DAS</w:t>
      </w:r>
      <w:r w:rsidR="0041449E">
        <w:t>)</w:t>
      </w:r>
      <w:r w:rsidR="000D3FBC">
        <w:t xml:space="preserve">, </w:t>
      </w:r>
      <w:r w:rsidR="003D4FE7" w:rsidRPr="003D4FE7">
        <w:t>Sylviane Thomas</w:t>
      </w:r>
      <w:r w:rsidR="0048160B">
        <w:t xml:space="preserve"> (</w:t>
      </w:r>
      <w:r w:rsidR="0048160B" w:rsidRPr="0048160B">
        <w:t>AwAC</w:t>
      </w:r>
      <w:r w:rsidR="0048160B">
        <w:t>)</w:t>
      </w:r>
      <w:r w:rsidR="003D4FE7">
        <w:t xml:space="preserve">, </w:t>
      </w:r>
      <w:r w:rsidR="0032503D" w:rsidRPr="0032503D">
        <w:t>Eloïse Pignon</w:t>
      </w:r>
      <w:r w:rsidR="00835CAC">
        <w:t xml:space="preserve"> (</w:t>
      </w:r>
      <w:r w:rsidR="008B1A4C">
        <w:t>c</w:t>
      </w:r>
      <w:r w:rsidR="00835CAC" w:rsidRPr="00835CAC">
        <w:t>abinet Coppieters</w:t>
      </w:r>
      <w:r w:rsidR="00835CAC">
        <w:t>)</w:t>
      </w:r>
      <w:r w:rsidR="0032503D">
        <w:t xml:space="preserve">, </w:t>
      </w:r>
      <w:r w:rsidR="0036654A" w:rsidRPr="0036654A">
        <w:t>Malorie Renneson</w:t>
      </w:r>
      <w:r w:rsidR="00F939CB">
        <w:t xml:space="preserve"> (</w:t>
      </w:r>
      <w:r w:rsidR="00F939CB" w:rsidRPr="00F939CB">
        <w:t>CPAR La Hulpe</w:t>
      </w:r>
      <w:r w:rsidR="00F939CB">
        <w:t>)</w:t>
      </w:r>
      <w:r w:rsidR="00C67A65">
        <w:t xml:space="preserve">, </w:t>
      </w:r>
      <w:r w:rsidR="00C67A65" w:rsidRPr="00C67A65">
        <w:t>Florence Ferber</w:t>
      </w:r>
      <w:r w:rsidR="00F939CB">
        <w:t xml:space="preserve"> (CRA-W)</w:t>
      </w:r>
      <w:r w:rsidR="00C67A65">
        <w:t>.</w:t>
      </w:r>
    </w:p>
    <w:p w14:paraId="4B423F2D" w14:textId="77777777" w:rsidR="0021405A" w:rsidRDefault="0021405A" w:rsidP="0021405A">
      <w:r>
        <w:t>Nous remercions nos collègues, membres du consortium « interne », à savoir Arnaud Delfairière (ARIES Consultants) pour la gestion de la campagne de terrain et ses recherches bibliographiques ; Frédérique Hupin (journaliste indépendante) pour sa vision, ses idées sur la stratégie de communication et sa contribution significative dans l’établissement du réseau d’acteurs sol wallons. Merci à Christophe Rousseau (CRIE de Villers-la-Ville) pour avoir apporté une vision inspirante en lien avec les enjeux de communication. Merci à eux pour leur aide précieuse dans l’organisation des séances de consultation des parties prenantes.</w:t>
      </w:r>
    </w:p>
    <w:p w14:paraId="477E6BC0" w14:textId="77777777" w:rsidR="0021405A" w:rsidRDefault="0021405A" w:rsidP="0021405A">
      <w:r>
        <w:t>Nous sommes également très reconnaissants envers nos partenaires proches, tous les membres du consortium qui ont apporté leur pierre à l’édifice de l’IQSW-pro, à travers de nombreuses réunions passionnantes et riches en idées novatrices : Charles Bielders, Hugues Titeux, Mathieu Javaux et Quentin Ponette (UCLouvain) ; merci à nos collègues (CRA-W) des projets PRW connexes, Véronique Leclercq (PRW 115.1), Caroline Chartin (PRW 114 et 115.1), Florian Brigode (PRW 115.3) et Bruno Huygebaert, coordinateur des projets.</w:t>
      </w:r>
    </w:p>
    <w:p w14:paraId="57F88CC0" w14:textId="151E270E" w:rsidR="0021405A" w:rsidRDefault="0021405A" w:rsidP="0021405A">
      <w:r>
        <w:t>Merci également à Romane Dupont, Pierre Langouche et Antoine Sulon qui ont réalisé leur travail de fin d’études au sein de la faculté des bioingénieurs</w:t>
      </w:r>
      <w:r w:rsidR="004C2C94">
        <w:t xml:space="preserve"> de l’UCLouvain</w:t>
      </w:r>
      <w:r>
        <w:t xml:space="preserve"> sur la thématique des indices de qualité des sols en Wallonie. Leur travail a largement contribué à consolider l’outil à travers des questions de recherche pertinentes.</w:t>
      </w:r>
    </w:p>
    <w:p w14:paraId="753C8015" w14:textId="77777777" w:rsidR="0021405A" w:rsidRDefault="0021405A" w:rsidP="0021405A">
      <w:r>
        <w:t xml:space="preserve">Nous remercions également les prestataires d’analyse avec qui nous avons eu l’occasion d’échanger et de consolider la méthodologie, en particulier John Rivière et </w:t>
      </w:r>
      <w:r w:rsidRPr="00CC057B">
        <w:t xml:space="preserve">Déborah Lanterbecq </w:t>
      </w:r>
      <w:r>
        <w:t>(HEPH Condorcet) pour leurs contributions scientifiques au sujet de l’interprétation des indicateurs microbiens.</w:t>
      </w:r>
    </w:p>
    <w:p w14:paraId="4EF56677" w14:textId="2D0A99C5" w:rsidR="0021405A" w:rsidRPr="0021405A" w:rsidRDefault="0021405A" w:rsidP="0021405A">
      <w:r>
        <w:t>Nous souhaitons également exprimer toute notre gratitude à toutes les personnes qui ont contribué au projet en participant aux séances de consultation des parties prenantes (colloque de lancement, groupes de réflexion) ou simplement à travers des échanges informels inspirants. De ces échanges ont découlé des avancées méthodologiques qui constituent des pierres angulaires de l’outil final.</w:t>
      </w:r>
    </w:p>
    <w:sectPr w:rsidR="0021405A" w:rsidRPr="0021405A" w:rsidSect="009B5F57">
      <w:pgSz w:w="11906" w:h="16838"/>
      <w:pgMar w:top="1418" w:right="1418" w:bottom="1418" w:left="1418"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E3377" w14:textId="77777777" w:rsidR="00AA1F57" w:rsidRDefault="00AA1F57" w:rsidP="0051203A">
      <w:pPr>
        <w:spacing w:after="0" w:line="240" w:lineRule="auto"/>
      </w:pPr>
      <w:r>
        <w:separator/>
      </w:r>
    </w:p>
  </w:endnote>
  <w:endnote w:type="continuationSeparator" w:id="0">
    <w:p w14:paraId="39172B77" w14:textId="77777777" w:rsidR="00AA1F57" w:rsidRDefault="00AA1F57" w:rsidP="00512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Narrow">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C6E6" w14:textId="77777777" w:rsidR="00626511" w:rsidRDefault="0062651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0814" w14:textId="45496226" w:rsidR="0051203A" w:rsidRPr="009B5F57" w:rsidRDefault="009B5F57" w:rsidP="009B5F57">
    <w:pPr>
      <w:pStyle w:val="Pieddepage"/>
    </w:pPr>
    <w: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9B5F57" w14:paraId="3DBB360A" w14:textId="77777777" w:rsidTr="009B5F57">
      <w:tc>
        <w:tcPr>
          <w:tcW w:w="846" w:type="dxa"/>
          <w:shd w:val="clear" w:color="auto" w:fill="9BA823"/>
        </w:tcPr>
        <w:p w14:paraId="35D5EFC3" w14:textId="77777777" w:rsidR="009B5F57" w:rsidRDefault="009B5F57">
          <w:pPr>
            <w:pStyle w:val="Pieddepage"/>
            <w:rPr>
              <w:color w:val="9BA823"/>
              <w:sz w:val="18"/>
              <w:szCs w:val="18"/>
            </w:rPr>
          </w:pPr>
        </w:p>
      </w:tc>
      <w:tc>
        <w:tcPr>
          <w:tcW w:w="8214" w:type="dxa"/>
          <w:tcBorders>
            <w:top w:val="single" w:sz="24" w:space="0" w:color="9BA823"/>
          </w:tcBorders>
        </w:tcPr>
        <w:p w14:paraId="6B5BD9B0" w14:textId="7A4FB97A" w:rsidR="009B5F57" w:rsidRDefault="009B5F57">
          <w:pPr>
            <w:pStyle w:val="Pieddepage"/>
            <w:rPr>
              <w:color w:val="9BA823"/>
              <w:sz w:val="18"/>
              <w:szCs w:val="18"/>
            </w:rPr>
          </w:pPr>
          <w:r w:rsidRPr="00E7400C">
            <w:rPr>
              <w:sz w:val="18"/>
              <w:szCs w:val="18"/>
            </w:rPr>
            <w:t xml:space="preserve">Service public de Wallonie | </w:t>
          </w:r>
          <w:r w:rsidRPr="00E7400C">
            <w:rPr>
              <w:color w:val="9BA823"/>
              <w:sz w:val="18"/>
              <w:szCs w:val="18"/>
            </w:rPr>
            <w:t>SPW Agriculture, Ressources naturelles et Environnement</w:t>
          </w:r>
        </w:p>
      </w:tc>
    </w:tr>
  </w:tbl>
  <w:p w14:paraId="18105FEF" w14:textId="30C1382E" w:rsidR="009B5F57" w:rsidRPr="009B5F57" w:rsidRDefault="009B5F57">
    <w:pPr>
      <w:pStyle w:val="Pieddepage"/>
      <w:rPr>
        <w:color w:val="9BA823"/>
        <w:sz w:val="2"/>
        <w:szCs w:val="2"/>
      </w:rPr>
    </w:pPr>
  </w:p>
  <w:p w14:paraId="4421BA9F" w14:textId="72765663" w:rsidR="009B5F57" w:rsidRPr="00E7400C" w:rsidRDefault="009B5F57" w:rsidP="009B5F57">
    <w:pPr>
      <w:pStyle w:val="Pieddepage"/>
      <w:jc w:val="right"/>
      <w:rPr>
        <w:sz w:val="18"/>
        <w:szCs w:val="18"/>
      </w:rPr>
    </w:pPr>
    <w:r w:rsidRPr="009B5F57">
      <w:rPr>
        <w:sz w:val="18"/>
        <w:szCs w:val="18"/>
      </w:rPr>
      <w:fldChar w:fldCharType="begin"/>
    </w:r>
    <w:r w:rsidRPr="009B5F57">
      <w:rPr>
        <w:sz w:val="18"/>
        <w:szCs w:val="18"/>
      </w:rPr>
      <w:instrText>PAGE   \* MERGEFORMAT</w:instrText>
    </w:r>
    <w:r w:rsidRPr="009B5F57">
      <w:rPr>
        <w:sz w:val="18"/>
        <w:szCs w:val="18"/>
      </w:rPr>
      <w:fldChar w:fldCharType="separate"/>
    </w:r>
    <w:r w:rsidRPr="009B5F57">
      <w:rPr>
        <w:sz w:val="18"/>
        <w:szCs w:val="18"/>
        <w:lang w:val="fr-FR"/>
      </w:rPr>
      <w:t>1</w:t>
    </w:r>
    <w:r w:rsidRPr="009B5F57">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28D0" w14:textId="77777777" w:rsidR="00626511" w:rsidRDefault="006265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F639B" w14:textId="77777777" w:rsidR="00AA1F57" w:rsidRDefault="00AA1F57" w:rsidP="0051203A">
      <w:pPr>
        <w:spacing w:after="0" w:line="240" w:lineRule="auto"/>
      </w:pPr>
      <w:r>
        <w:separator/>
      </w:r>
    </w:p>
  </w:footnote>
  <w:footnote w:type="continuationSeparator" w:id="0">
    <w:p w14:paraId="2E1251A0" w14:textId="77777777" w:rsidR="00AA1F57" w:rsidRDefault="00AA1F57" w:rsidP="0051203A">
      <w:pPr>
        <w:spacing w:after="0" w:line="240" w:lineRule="auto"/>
      </w:pPr>
      <w:r>
        <w:continuationSeparator/>
      </w:r>
    </w:p>
  </w:footnote>
  <w:footnote w:id="1">
    <w:p w14:paraId="327ADA8E" w14:textId="011234BC" w:rsidR="00597A59" w:rsidRPr="00597A59" w:rsidRDefault="00597A59">
      <w:pPr>
        <w:pStyle w:val="Notedebasdepage"/>
      </w:pPr>
      <w:r w:rsidRPr="003513E1">
        <w:rPr>
          <w:rStyle w:val="Appelnotedebasdep"/>
        </w:rPr>
        <w:footnoteRef/>
      </w:r>
      <w:r>
        <w:t xml:space="preserve"> </w:t>
      </w:r>
      <w:r w:rsidR="00210D78">
        <w:t xml:space="preserve">Parallèlement au volet professionnel, un volet « citoyen » a mené à la création de l’IQSW-citoyen, un outil </w:t>
      </w:r>
      <w:r w:rsidR="0040641B">
        <w:t>de diagnostic de la qualité du sol destiné au grand public.</w:t>
      </w:r>
    </w:p>
  </w:footnote>
  <w:footnote w:id="2">
    <w:p w14:paraId="76D45F22" w14:textId="312CF2AA" w:rsidR="007E364E" w:rsidRPr="007E364E" w:rsidRDefault="007E364E">
      <w:pPr>
        <w:pStyle w:val="Notedebasdepage"/>
      </w:pPr>
      <w:r>
        <w:rPr>
          <w:rStyle w:val="Appelnotedebasdep"/>
        </w:rPr>
        <w:footnoteRef/>
      </w:r>
      <w:r>
        <w:t xml:space="preserve"> </w:t>
      </w:r>
      <w:r w:rsidRPr="007E364E">
        <w:t xml:space="preserve">Le </w:t>
      </w:r>
      <w:r>
        <w:t>Décret sols, en vigueur en Wallonie,</w:t>
      </w:r>
      <w:r w:rsidRPr="007E364E">
        <w:t xml:space="preserve"> vise à </w:t>
      </w:r>
      <w:r w:rsidR="00962821">
        <w:t>« </w:t>
      </w:r>
      <w:r w:rsidRPr="007E364E">
        <w:t>préserver et à améliorer la qualité du sol, à prévenir l'appauvrissement du sol ainsi que l'apparition de la pollution du sol, à identifier les sources potentielles de pollution, à organiser les investigations permettant d'établir l'existence d'une pollution et à déterminer les modalités de l'assainissement des sols pollués</w:t>
      </w:r>
      <w:r w:rsidR="00962821">
        <w:t> »</w:t>
      </w:r>
      <w:r w:rsidRPr="007E364E">
        <w:t>.</w:t>
      </w:r>
      <w:r>
        <w:t xml:space="preserve"> Texte accessible via </w:t>
      </w:r>
      <w:hyperlink r:id="rId1" w:history="1">
        <w:r w:rsidR="00D41282" w:rsidRPr="00C55ABA">
          <w:rPr>
            <w:rStyle w:val="Lienhypertexte"/>
          </w:rPr>
          <w:t>https://wallex.wallonie.be/eli/loi-decret/2018/03/01/2018070014/2018/04/01</w:t>
        </w:r>
      </w:hyperlink>
      <w:r w:rsidR="00D41282">
        <w:t xml:space="preserve">. </w:t>
      </w:r>
      <w:r w:rsidR="00173F14">
        <w:t xml:space="preserve">Le Décret sols distingue les usages de sol selon cinq grands types : </w:t>
      </w:r>
      <w:r w:rsidR="00C10F62">
        <w:t xml:space="preserve">type I </w:t>
      </w:r>
      <w:r w:rsidR="00D9351B">
        <w:t>N</w:t>
      </w:r>
      <w:r w:rsidR="00C10F62">
        <w:t xml:space="preserve">aturel, type II </w:t>
      </w:r>
      <w:r w:rsidR="00D9351B">
        <w:t>Agricole, type III Résidentiel, type IV Récréatif et commercial, type V Industriel</w:t>
      </w:r>
      <w:r w:rsidR="00531914">
        <w:t xml:space="preserve"> (</w:t>
      </w:r>
      <w:r w:rsidR="00D9351B">
        <w:t>table de correspondance disponible en A</w:t>
      </w:r>
      <w:r w:rsidR="00531914">
        <w:t>nnexes 2 et 3</w:t>
      </w:r>
      <w:r w:rsidR="00D9351B">
        <w:t xml:space="preserve"> du décret</w:t>
      </w:r>
      <w:r w:rsidR="00531914">
        <w:t>).</w:t>
      </w:r>
    </w:p>
  </w:footnote>
  <w:footnote w:id="3">
    <w:p w14:paraId="4C3AB9AB" w14:textId="7A0441A4" w:rsidR="00A25C09" w:rsidRPr="00A25C09" w:rsidRDefault="00A25C09">
      <w:pPr>
        <w:pStyle w:val="Notedebasdepage"/>
      </w:pPr>
      <w:r>
        <w:rPr>
          <w:rStyle w:val="Appelnotedebasdep"/>
        </w:rPr>
        <w:footnoteRef/>
      </w:r>
      <w:r>
        <w:t xml:space="preserve"> </w:t>
      </w:r>
      <w:r w:rsidR="00A837F0">
        <w:t xml:space="preserve">Guide de Référence pour l’Étude de Risques (GRER), </w:t>
      </w:r>
      <w:r>
        <w:t xml:space="preserve">Code Wallon </w:t>
      </w:r>
      <w:r w:rsidR="00FB4ED0">
        <w:t>de Bonnes Pratiques (CWBP), a</w:t>
      </w:r>
      <w:r>
        <w:t xml:space="preserve">ccessible sur </w:t>
      </w:r>
      <w:hyperlink r:id="rId2" w:history="1">
        <w:r w:rsidRPr="00C55ABA">
          <w:rPr>
            <w:rStyle w:val="Lienhypertexte"/>
          </w:rPr>
          <w:t>https://environnement.wallonie.be/home/milieux/sol/les-professionnels-du-sol/experts-et-labos/outils-de-reference/cwbp/etude-de-risque.html</w:t>
        </w:r>
      </w:hyperlink>
      <w:r>
        <w:t xml:space="preserve">. </w:t>
      </w:r>
    </w:p>
  </w:footnote>
  <w:footnote w:id="4">
    <w:p w14:paraId="7EEE3115" w14:textId="44C71D04" w:rsidR="00892410" w:rsidRPr="00B91575" w:rsidRDefault="00892410" w:rsidP="00892410">
      <w:pPr>
        <w:pStyle w:val="Notedebasdepage"/>
      </w:pPr>
      <w:r>
        <w:rPr>
          <w:rStyle w:val="Appelnotedebasdep"/>
        </w:rPr>
        <w:footnoteRef/>
      </w:r>
      <w:r>
        <w:t xml:space="preserve"> La MAEC « Sol » </w:t>
      </w:r>
      <w:r w:rsidRPr="00A017CA">
        <w:t>(MR14)</w:t>
      </w:r>
      <w:r>
        <w:t xml:space="preserve"> est une mesure </w:t>
      </w:r>
      <w:r w:rsidRPr="00A017CA">
        <w:t>agro-environnementale et climatique</w:t>
      </w:r>
      <w:r>
        <w:t xml:space="preserve"> visant à </w:t>
      </w:r>
      <w:r w:rsidRPr="00416B90">
        <w:t>compenser les coûts d’amélioration et de maintien du taux de carbone organique dans les sols de l’exploitation à un niveau qui reflète une situation favorable en termes de qualité du sol</w:t>
      </w:r>
      <w:r>
        <w:t xml:space="preserve"> </w:t>
      </w:r>
      <w:r>
        <w:fldChar w:fldCharType="begin"/>
      </w:r>
      <w:r w:rsidR="00432908">
        <w:instrText xml:space="preserve"> ADDIN ZOTERO_ITEM CSL_CITATION {"citationID":"BorzusBJ","properties":{"unsorted":false,"formattedCitation":"(SPW, 2026)","plainCitation":"(SPW, 2026)","noteIndex":4},"citationItems":[{"id":576,"uris":["http://zotero.org/groups/5684833/items/BV6WX899"],"itemData":{"id":576,"type":"webpage","container-title":"Agriculture en Wallonie","language":"fr","title":"MAEC Sol - MR14 - Portail de l'agriculture wallonne","URL":"https://agriculture.wallonie.be/home/aides/pac-2023-2027-description-des-interventions/mesures-agro-environnementales-et-climatiques/maec-sol---mr14.html","author":[{"family":"SPW","given":""}],"accessed":{"date-parts":[["2026",6,8]]},"issued":{"date-parts":[["2026"]]}}}],"schema":"https://github.com/citation-style-language/schema/raw/master/csl-citation.json"} </w:instrText>
      </w:r>
      <w:r>
        <w:fldChar w:fldCharType="separate"/>
      </w:r>
      <w:r w:rsidRPr="00062D8F">
        <w:rPr>
          <w:rFonts w:cs="Calibri"/>
        </w:rPr>
        <w:t>(SPW, 2026)</w:t>
      </w:r>
      <w:r>
        <w:fldChar w:fldCharType="end"/>
      </w:r>
      <w:r>
        <w:t>.</w:t>
      </w:r>
    </w:p>
  </w:footnote>
  <w:footnote w:id="5">
    <w:p w14:paraId="6E7F3C19" w14:textId="71E36C85" w:rsidR="004F0509" w:rsidRPr="004F0509" w:rsidRDefault="004F0509">
      <w:pPr>
        <w:pStyle w:val="Notedebasdepage"/>
      </w:pPr>
      <w:r>
        <w:rPr>
          <w:rStyle w:val="Appelnotedebasdep"/>
        </w:rPr>
        <w:footnoteRef/>
      </w:r>
      <w:r>
        <w:t xml:space="preserve"> </w:t>
      </w:r>
      <w:r w:rsidR="00C2424C">
        <w:t>Les auteurs font généralement appel au terme « scoring function » en anglais.</w:t>
      </w:r>
    </w:p>
  </w:footnote>
  <w:footnote w:id="6">
    <w:p w14:paraId="12DDFA67" w14:textId="77777777" w:rsidR="00892410" w:rsidRPr="00DA41C4" w:rsidRDefault="00892410" w:rsidP="00892410">
      <w:pPr>
        <w:pStyle w:val="Notedebasdepage"/>
      </w:pPr>
      <w:r w:rsidRPr="003513E1">
        <w:rPr>
          <w:rStyle w:val="Appelnotedebasdep"/>
        </w:rPr>
        <w:footnoteRef/>
      </w:r>
      <w:r>
        <w:t xml:space="preserve"> Parmi ces sites, une dizaine a été revisitée pour capturer une première image de la variabilité temporelle des paramètres.</w:t>
      </w:r>
    </w:p>
  </w:footnote>
  <w:footnote w:id="7">
    <w:p w14:paraId="359FFD86" w14:textId="79BB6D27" w:rsidR="00671608" w:rsidRPr="00671608" w:rsidRDefault="00671608">
      <w:pPr>
        <w:pStyle w:val="Notedebasdepage"/>
      </w:pPr>
      <w:r>
        <w:rPr>
          <w:rStyle w:val="Appelnotedebasdep"/>
        </w:rPr>
        <w:footnoteRef/>
      </w:r>
      <w:r>
        <w:t xml:space="preserve"> </w:t>
      </w:r>
      <w:r w:rsidR="00F1708B">
        <w:t xml:space="preserve">Comme précisé plus loin (voir partie </w:t>
      </w:r>
      <w:r w:rsidR="00F1708B">
        <w:fldChar w:fldCharType="begin"/>
      </w:r>
      <w:r w:rsidR="00F1708B">
        <w:instrText xml:space="preserve"> REF _Ref241073950 \r \h </w:instrText>
      </w:r>
      <w:r w:rsidR="00F1708B">
        <w:fldChar w:fldCharType="separate"/>
      </w:r>
      <w:r w:rsidR="00724334">
        <w:t>4.3.5.1</w:t>
      </w:r>
      <w:r w:rsidR="00F1708B">
        <w:fldChar w:fldCharType="end"/>
      </w:r>
      <w:r w:rsidR="00F1708B">
        <w:t>), l</w:t>
      </w:r>
      <w:r w:rsidR="00F1708B" w:rsidRPr="00F1708B">
        <w:t xml:space="preserve">e sous-service </w:t>
      </w:r>
      <w:r w:rsidR="00F1708B" w:rsidRPr="00F1708B">
        <w:rPr>
          <w:i/>
          <w:iCs/>
        </w:rPr>
        <w:t>Production – cultures</w:t>
      </w:r>
      <w:r w:rsidR="00F1708B" w:rsidRPr="00F1708B">
        <w:t xml:space="preserve"> correspond aux critères d’une terre dite « arable »</w:t>
      </w:r>
      <w:r w:rsidR="00F1708B">
        <w:t>.</w:t>
      </w:r>
    </w:p>
  </w:footnote>
  <w:footnote w:id="8">
    <w:p w14:paraId="748CF4D9" w14:textId="019CD2BF" w:rsidR="00083D93" w:rsidRPr="00D6307A" w:rsidRDefault="00083D93">
      <w:pPr>
        <w:pStyle w:val="Notedebasdepage"/>
      </w:pPr>
      <w:r>
        <w:rPr>
          <w:rStyle w:val="Appelnotedebasdep"/>
        </w:rPr>
        <w:footnoteRef/>
      </w:r>
      <w:r>
        <w:t xml:space="preserve"> </w:t>
      </w:r>
      <w:r w:rsidR="00D6307A">
        <w:t xml:space="preserve">À la différence des autres services, celui-ci n’est pas </w:t>
      </w:r>
      <w:r w:rsidR="00194DDE">
        <w:t xml:space="preserve">scoré quantitativement, mais uniquement interprété qualitativement, voir partie </w:t>
      </w:r>
      <w:r w:rsidR="00194DDE">
        <w:fldChar w:fldCharType="begin"/>
      </w:r>
      <w:r w:rsidR="00194DDE">
        <w:instrText xml:space="preserve"> REF _Ref241069708 \r \h </w:instrText>
      </w:r>
      <w:r w:rsidR="00194DDE">
        <w:fldChar w:fldCharType="separate"/>
      </w:r>
      <w:r w:rsidR="00724334">
        <w:t>4.7</w:t>
      </w:r>
      <w:r w:rsidR="00194DDE">
        <w:fldChar w:fldCharType="end"/>
      </w:r>
      <w:r w:rsidR="00194DDE">
        <w:t xml:space="preserve">. </w:t>
      </w:r>
    </w:p>
  </w:footnote>
  <w:footnote w:id="9">
    <w:p w14:paraId="339F57BE" w14:textId="3780358A" w:rsidR="00E74D2D" w:rsidRPr="00E74D2D" w:rsidRDefault="00E74D2D">
      <w:pPr>
        <w:pStyle w:val="Notedebasdepage"/>
      </w:pPr>
      <w:r>
        <w:rPr>
          <w:rStyle w:val="Appelnotedebasdep"/>
        </w:rPr>
        <w:footnoteRef/>
      </w:r>
      <w:r>
        <w:t xml:space="preserve"> Bien que les seuils d’interprétation pour l’évaluation des fonctions </w:t>
      </w:r>
      <w:r w:rsidR="00A21E2F">
        <w:rPr>
          <w:i/>
          <w:iCs/>
        </w:rPr>
        <w:t>Fourniture en nutriments</w:t>
      </w:r>
      <w:r w:rsidR="007E4233">
        <w:t xml:space="preserve">, </w:t>
      </w:r>
      <w:r w:rsidR="007E4233" w:rsidRPr="007E4233">
        <w:rPr>
          <w:i/>
          <w:iCs/>
        </w:rPr>
        <w:t>Fourniture d’eau</w:t>
      </w:r>
      <w:r w:rsidR="007E4233">
        <w:t xml:space="preserve"> et </w:t>
      </w:r>
      <w:r w:rsidR="007E4233" w:rsidRPr="007E4233">
        <w:rPr>
          <w:i/>
          <w:iCs/>
        </w:rPr>
        <w:t>Structure</w:t>
      </w:r>
      <w:r w:rsidR="007E4233">
        <w:t xml:space="preserve"> pour les potagers soient les mêmes que ceux utilisés pour les cultures, les valeurs de risque employées pour </w:t>
      </w:r>
      <w:r w:rsidR="00165D8C">
        <w:t>calculer le coefficient de contrainte correspondent à un usage type III pour les potagers et type II pour les cultures</w:t>
      </w:r>
      <w:r w:rsidR="00012D54">
        <w:t xml:space="preserve"> (voir partie </w:t>
      </w:r>
      <w:r w:rsidR="00012D54">
        <w:fldChar w:fldCharType="begin"/>
      </w:r>
      <w:r w:rsidR="00012D54">
        <w:instrText xml:space="preserve"> REF _Ref232256841 \r \h </w:instrText>
      </w:r>
      <w:r w:rsidR="00012D54">
        <w:fldChar w:fldCharType="separate"/>
      </w:r>
      <w:r w:rsidR="001A7BE1">
        <w:t>4.3.2.1</w:t>
      </w:r>
      <w:r w:rsidR="00012D54">
        <w:fldChar w:fldCharType="end"/>
      </w:r>
      <w:r w:rsidR="00165D8C">
        <w:t>.</w:t>
      </w:r>
      <w:r w:rsidR="00012D54">
        <w:t>)</w:t>
      </w:r>
    </w:p>
  </w:footnote>
  <w:footnote w:id="10">
    <w:p w14:paraId="6ED9D44B" w14:textId="159372FA" w:rsidR="005130E1" w:rsidRPr="005130E1" w:rsidRDefault="005130E1">
      <w:pPr>
        <w:pStyle w:val="Notedebasdepage"/>
      </w:pPr>
      <w:r>
        <w:rPr>
          <w:rStyle w:val="Appelnotedebasdep"/>
        </w:rPr>
        <w:footnoteRef/>
      </w:r>
      <w:r>
        <w:t xml:space="preserve"> </w:t>
      </w:r>
      <w:hyperlink r:id="rId3" w:history="1">
        <w:r w:rsidRPr="006C5942">
          <w:rPr>
            <w:rStyle w:val="Lienhypertexte"/>
          </w:rPr>
          <w:t>https://geoportail.wallonie.be/catalogue/b18318eb-5e91-48ae-a6a5-6f49d06b15a1.html</w:t>
        </w:r>
      </w:hyperlink>
      <w:r>
        <w:t xml:space="preserve"> </w:t>
      </w:r>
    </w:p>
  </w:footnote>
  <w:footnote w:id="11">
    <w:p w14:paraId="4BAB72F8" w14:textId="2EABFC40" w:rsidR="00311503" w:rsidRPr="00311503" w:rsidRDefault="00311503">
      <w:pPr>
        <w:pStyle w:val="Notedebasdepage"/>
        <w:rPr>
          <w:lang w:val="fr-FR"/>
        </w:rPr>
      </w:pPr>
      <w:r>
        <w:rPr>
          <w:rStyle w:val="Appelnotedebasdep"/>
        </w:rPr>
        <w:footnoteRef/>
      </w:r>
      <w:r>
        <w:t xml:space="preserve"> </w:t>
      </w:r>
      <w:hyperlink r:id="rId4" w:history="1">
        <w:r w:rsidRPr="006C5942">
          <w:rPr>
            <w:rStyle w:val="Lienhypertexte"/>
          </w:rPr>
          <w:t>https://geoportail.wallonie.be/catalogue/9e11aa59-e36e-4440-99e9-8da32abbee83.html</w:t>
        </w:r>
      </w:hyperlink>
      <w:r>
        <w:t xml:space="preserve"> </w:t>
      </w:r>
    </w:p>
  </w:footnote>
  <w:footnote w:id="12">
    <w:p w14:paraId="27A60429" w14:textId="77777777" w:rsidR="00087DF7" w:rsidRPr="00653B01" w:rsidRDefault="00087DF7" w:rsidP="00087DF7">
      <w:pPr>
        <w:pStyle w:val="Notedebasdepage"/>
        <w:rPr>
          <w:lang w:val="fr-FR"/>
        </w:rPr>
      </w:pPr>
      <w:r w:rsidRPr="00E26B8A">
        <w:rPr>
          <w:rStyle w:val="Appelnotedebasdep"/>
        </w:rPr>
        <w:footnoteRef/>
      </w:r>
      <w:r>
        <w:t xml:space="preserve"> Plus d’informations sur </w:t>
      </w:r>
      <w:hyperlink r:id="rId5" w:history="1">
        <w:r w:rsidRPr="00107A48">
          <w:rPr>
            <w:rStyle w:val="Lienhypertexte"/>
          </w:rPr>
          <w:t>https://qualite-sols.ch/</w:t>
        </w:r>
      </w:hyperlink>
      <w:r>
        <w:t xml:space="preserve"> </w:t>
      </w:r>
    </w:p>
  </w:footnote>
  <w:footnote w:id="13">
    <w:p w14:paraId="4BF89BF1" w14:textId="77777777" w:rsidR="006E08A0" w:rsidRPr="00125CF6" w:rsidRDefault="006E08A0" w:rsidP="006E08A0">
      <w:pPr>
        <w:pStyle w:val="Notedebasdepage"/>
        <w:rPr>
          <w:lang w:val="fr-FR"/>
        </w:rPr>
      </w:pPr>
      <w:r w:rsidRPr="00E26B8A">
        <w:rPr>
          <w:rStyle w:val="Appelnotedebasdep"/>
        </w:rPr>
        <w:footnoteRef/>
      </w:r>
      <w:r>
        <w:t xml:space="preserve"> </w:t>
      </w:r>
      <w:hyperlink r:id="rId6" w:history="1">
        <w:r w:rsidRPr="00107A48">
          <w:rPr>
            <w:rStyle w:val="Lienhypertexte"/>
          </w:rPr>
          <w:t>https://www.ecologie.gouv.fr/politiques-publiques/artificialisation-sols</w:t>
        </w:r>
      </w:hyperlink>
      <w:r>
        <w:t xml:space="preserve"> </w:t>
      </w:r>
    </w:p>
  </w:footnote>
  <w:footnote w:id="14">
    <w:p w14:paraId="24224A7A" w14:textId="4093E381" w:rsidR="00751F0B" w:rsidRPr="001D60BA" w:rsidRDefault="00751F0B">
      <w:pPr>
        <w:pStyle w:val="Notedebasdepage"/>
      </w:pPr>
      <w:r>
        <w:rPr>
          <w:rStyle w:val="Appelnotedebasdep"/>
        </w:rPr>
        <w:footnoteRef/>
      </w:r>
      <w:r>
        <w:t xml:space="preserve"> </w:t>
      </w:r>
      <w:r w:rsidR="001D60BA">
        <w:t>G</w:t>
      </w:r>
      <w:r w:rsidR="001D60BA" w:rsidRPr="001D60BA">
        <w:t xml:space="preserve">uide de </w:t>
      </w:r>
      <w:r w:rsidR="001D60BA">
        <w:t>R</w:t>
      </w:r>
      <w:r w:rsidR="001D60BA" w:rsidRPr="001D60BA">
        <w:t>éférence pour l'</w:t>
      </w:r>
      <w:r w:rsidR="001D60BA">
        <w:t>É</w:t>
      </w:r>
      <w:r w:rsidR="001D60BA" w:rsidRPr="001D60BA">
        <w:t xml:space="preserve">tude de </w:t>
      </w:r>
      <w:r w:rsidR="001D60BA">
        <w:t>C</w:t>
      </w:r>
      <w:r w:rsidR="001D60BA" w:rsidRPr="001D60BA">
        <w:t>aractérisation</w:t>
      </w:r>
      <w:r w:rsidR="009E65DF">
        <w:t xml:space="preserve"> (GREC), Code Wallon de Bonnes Pratiques (CWBP), accessible sur </w:t>
      </w:r>
      <w:hyperlink r:id="rId7" w:history="1">
        <w:r w:rsidR="0061036C" w:rsidRPr="00C801B7">
          <w:rPr>
            <w:rStyle w:val="Lienhypertexte"/>
          </w:rPr>
          <w:t>https://environnement.wallonie.be/home/milieux/sol/les-professionnels-du-sol/experts-et-labos/outils-de-reference/cwbp/etude-de-caracterisation.html</w:t>
        </w:r>
      </w:hyperlink>
      <w:r w:rsidR="009E65DF">
        <w:t>.</w:t>
      </w:r>
      <w:r w:rsidR="0061036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595F" w14:textId="77777777" w:rsidR="00626511" w:rsidRDefault="0062651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CC81" w14:textId="35B4ED58" w:rsidR="0051203A" w:rsidRDefault="004E37AB">
    <w:pPr>
      <w:pStyle w:val="En-tte"/>
    </w:pPr>
    <w:r>
      <w:rPr>
        <w:noProof/>
      </w:rPr>
      <mc:AlternateContent>
        <mc:Choice Requires="wps">
          <w:drawing>
            <wp:anchor distT="0" distB="0" distL="114300" distR="114300" simplePos="0" relativeHeight="251660288" behindDoc="0" locked="0" layoutInCell="0" allowOverlap="1" wp14:anchorId="23FECFC3" wp14:editId="41D630E4">
              <wp:simplePos x="0" y="0"/>
              <wp:positionH relativeFrom="margin">
                <wp:align>left</wp:align>
              </wp:positionH>
              <wp:positionV relativeFrom="topMargin">
                <wp:align>center</wp:align>
              </wp:positionV>
              <wp:extent cx="5943600" cy="173736"/>
              <wp:effectExtent l="0" t="0" r="0" b="635"/>
              <wp:wrapNone/>
              <wp:docPr id="220"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CEEE5" w14:textId="0B329DC6" w:rsidR="004E37AB" w:rsidRPr="00F50C6B" w:rsidRDefault="00F50C6B">
                          <w:pPr>
                            <w:spacing w:after="0" w:line="240" w:lineRule="auto"/>
                            <w:jc w:val="right"/>
                            <w:rPr>
                              <w:lang w:val="fr-FR"/>
                            </w:rPr>
                          </w:pPr>
                          <w:r>
                            <w:rPr>
                              <w:lang w:val="fr-FR"/>
                            </w:rPr>
                            <w:t>Guide méthodologique IQSW-pro</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3FECFC3" id="_x0000_t202" coordsize="21600,21600" o:spt="202" path="m,l,21600r21600,l21600,xe">
              <v:stroke joinstyle="miter"/>
              <v:path gradientshapeok="t" o:connecttype="rect"/>
            </v:shapetype>
            <v:shape id="Zone de texte 229" o:spid="_x0000_s1027"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615CEEE5" w14:textId="0B329DC6" w:rsidR="004E37AB" w:rsidRPr="00F50C6B" w:rsidRDefault="00F50C6B">
                    <w:pPr>
                      <w:spacing w:after="0" w:line="240" w:lineRule="auto"/>
                      <w:jc w:val="right"/>
                      <w:rPr>
                        <w:lang w:val="fr-FR"/>
                      </w:rPr>
                    </w:pPr>
                    <w:r>
                      <w:rPr>
                        <w:lang w:val="fr-FR"/>
                      </w:rPr>
                      <w:t>Guide méthodologique IQSW-pro</w:t>
                    </w:r>
                  </w:p>
                </w:txbxContent>
              </v:textbox>
              <w10:wrap anchorx="margin" anchory="margin"/>
            </v:shape>
          </w:pict>
        </mc:Fallback>
      </mc:AlternateContent>
    </w:r>
    <w:r>
      <w:rPr>
        <w:noProof/>
      </w:rPr>
      <mc:AlternateContent>
        <mc:Choice Requires="wps">
          <w:drawing>
            <wp:anchor distT="0" distB="0" distL="114300" distR="114300" simplePos="0" relativeHeight="251657216" behindDoc="0" locked="0" layoutInCell="0" allowOverlap="1" wp14:anchorId="0A13407E" wp14:editId="335A40F1">
              <wp:simplePos x="0" y="0"/>
              <wp:positionH relativeFrom="page">
                <wp:align>right</wp:align>
              </wp:positionH>
              <wp:positionV relativeFrom="topMargin">
                <wp:align>center</wp:align>
              </wp:positionV>
              <wp:extent cx="911860" cy="170815"/>
              <wp:effectExtent l="0" t="0" r="0" b="635"/>
              <wp:wrapNone/>
              <wp:docPr id="221"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9BA823"/>
                      </a:solidFill>
                      <a:ln>
                        <a:noFill/>
                      </a:ln>
                    </wps:spPr>
                    <wps:txbx>
                      <w:txbxContent>
                        <w:p w14:paraId="4545A693" w14:textId="703E5F6C" w:rsidR="004E37AB" w:rsidRDefault="004E37AB">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A13407E" id="Zone de texte 231" o:spid="_x0000_s1028" type="#_x0000_t202" style="position:absolute;left:0;text-align:left;margin-left:20.6pt;margin-top:0;width:71.8pt;height:13.45pt;z-index:25165721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" o:allowincell="f" fillcolor="#9ba823" stroked="f">
              <v:textbox style="mso-fit-shape-to-text:t" inset=",0,,0">
                <w:txbxContent>
                  <w:p w14:paraId="4545A693" w14:textId="703E5F6C" w:rsidR="004E37AB" w:rsidRDefault="004E37AB">
                    <w:pPr>
                      <w:spacing w:after="0" w:line="240" w:lineRule="auto"/>
                      <w:rPr>
                        <w:color w:val="FFFFFF" w:themeColor="background1"/>
                      </w:rPr>
                    </w:pP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6AAD" w14:textId="77777777" w:rsidR="00626511" w:rsidRDefault="0062651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54AF04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8E4D58"/>
    <w:multiLevelType w:val="hybridMultilevel"/>
    <w:tmpl w:val="F370D032"/>
    <w:lvl w:ilvl="0" w:tplc="080C0001">
      <w:start w:val="1"/>
      <w:numFmt w:val="bullet"/>
      <w:lvlText w:val=""/>
      <w:lvlJc w:val="left"/>
      <w:pPr>
        <w:ind w:left="774" w:hanging="360"/>
      </w:pPr>
      <w:rPr>
        <w:rFonts w:ascii="Symbol" w:hAnsi="Symbol" w:hint="default"/>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2" w15:restartNumberingAfterBreak="0">
    <w:nsid w:val="0788233E"/>
    <w:multiLevelType w:val="hybridMultilevel"/>
    <w:tmpl w:val="517ED6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D4119A8"/>
    <w:multiLevelType w:val="hybridMultilevel"/>
    <w:tmpl w:val="54C684DC"/>
    <w:lvl w:ilvl="0" w:tplc="21BA50EE">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E225512"/>
    <w:multiLevelType w:val="hybridMultilevel"/>
    <w:tmpl w:val="1A2C5800"/>
    <w:lvl w:ilvl="0" w:tplc="7A546988">
      <w:start w:val="105"/>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2E929BD"/>
    <w:multiLevelType w:val="hybridMultilevel"/>
    <w:tmpl w:val="070A807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16CF48AD"/>
    <w:multiLevelType w:val="hybridMultilevel"/>
    <w:tmpl w:val="F23CA256"/>
    <w:lvl w:ilvl="0" w:tplc="5FE0805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7F701CE"/>
    <w:multiLevelType w:val="hybridMultilevel"/>
    <w:tmpl w:val="F1BA2A0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94A50A5"/>
    <w:multiLevelType w:val="multilevel"/>
    <w:tmpl w:val="CAA6F960"/>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1.%3."/>
      <w:lvlJc w:val="left"/>
      <w:pPr>
        <w:ind w:left="2160" w:hanging="360"/>
      </w:pPr>
      <w:rPr>
        <w:rFonts w:hint="default"/>
      </w:rPr>
    </w:lvl>
    <w:lvl w:ilvl="3">
      <w:start w:val="1"/>
      <w:numFmt w:val="decimal"/>
      <w:pStyle w:val="Titre4"/>
      <w:lvlText w:val="1.1.1.%4."/>
      <w:lvlJc w:val="left"/>
      <w:pPr>
        <w:ind w:left="2880" w:hanging="360"/>
      </w:pPr>
      <w:rPr>
        <w:rFonts w:hint="default"/>
      </w:rPr>
    </w:lvl>
    <w:lvl w:ilvl="4">
      <w:start w:val="1"/>
      <w:numFmt w:val="none"/>
      <w:pStyle w:val="Titre5"/>
      <w:lvlText w:val=""/>
      <w:lvlJc w:val="left"/>
      <w:pPr>
        <w:ind w:left="3600" w:hanging="360"/>
      </w:pPr>
      <w:rPr>
        <w:rFont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B3330E1"/>
    <w:multiLevelType w:val="hybridMultilevel"/>
    <w:tmpl w:val="B79A3044"/>
    <w:lvl w:ilvl="0" w:tplc="7A546988">
      <w:start w:val="105"/>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F2054EC"/>
    <w:multiLevelType w:val="hybridMultilevel"/>
    <w:tmpl w:val="53F65DC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3790787"/>
    <w:multiLevelType w:val="hybridMultilevel"/>
    <w:tmpl w:val="FF866810"/>
    <w:lvl w:ilvl="0" w:tplc="9660890C">
      <w:start w:val="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3A22BA6"/>
    <w:multiLevelType w:val="hybridMultilevel"/>
    <w:tmpl w:val="28D8449E"/>
    <w:lvl w:ilvl="0" w:tplc="ECCE230E">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77D23CF"/>
    <w:multiLevelType w:val="multilevel"/>
    <w:tmpl w:val="DE22436C"/>
    <w:lvl w:ilvl="0">
      <w:start w:val="1"/>
      <w:numFmt w:val="decimal"/>
      <w:lvlText w:val="%1."/>
      <w:lvlJc w:val="left"/>
      <w:pPr>
        <w:ind w:left="675" w:hanging="675"/>
      </w:pPr>
      <w:rPr>
        <w:rFonts w:hint="default"/>
      </w:rPr>
    </w:lvl>
    <w:lvl w:ilvl="1">
      <w:start w:val="1"/>
      <w:numFmt w:val="decimal"/>
      <w:lvlText w:val="%1.%2."/>
      <w:lvlJc w:val="left"/>
      <w:pPr>
        <w:ind w:left="720" w:hanging="720"/>
      </w:pPr>
      <w:rPr>
        <w:rFonts w:ascii="Calibri" w:hAnsi="Calibri" w:cs="Calibri"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03A6566"/>
    <w:multiLevelType w:val="hybridMultilevel"/>
    <w:tmpl w:val="A12CBB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153056E"/>
    <w:multiLevelType w:val="hybridMultilevel"/>
    <w:tmpl w:val="0A407AC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341B329F"/>
    <w:multiLevelType w:val="hybridMultilevel"/>
    <w:tmpl w:val="7244141C"/>
    <w:lvl w:ilvl="0" w:tplc="3012A7EE">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AE65BDF"/>
    <w:multiLevelType w:val="hybridMultilevel"/>
    <w:tmpl w:val="8F7C23D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3F4E60E6"/>
    <w:multiLevelType w:val="hybridMultilevel"/>
    <w:tmpl w:val="53EA96D8"/>
    <w:lvl w:ilvl="0" w:tplc="1624D26E">
      <w:start w:val="2"/>
      <w:numFmt w:val="bullet"/>
      <w:lvlText w:val="-"/>
      <w:lvlJc w:val="left"/>
      <w:pPr>
        <w:ind w:left="720" w:hanging="360"/>
      </w:pPr>
      <w:rPr>
        <w:rFonts w:ascii="Aptos" w:eastAsiaTheme="minorHAnsi" w:hAnsi="Apto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3140C51"/>
    <w:multiLevelType w:val="hybridMultilevel"/>
    <w:tmpl w:val="56741B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4AE7C4C"/>
    <w:multiLevelType w:val="hybridMultilevel"/>
    <w:tmpl w:val="7D12A97C"/>
    <w:lvl w:ilvl="0" w:tplc="9660890C">
      <w:start w:val="4"/>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1" w15:restartNumberingAfterBreak="0">
    <w:nsid w:val="45480B7D"/>
    <w:multiLevelType w:val="hybridMultilevel"/>
    <w:tmpl w:val="4898436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5737CD3"/>
    <w:multiLevelType w:val="hybridMultilevel"/>
    <w:tmpl w:val="1332BE6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99F1932"/>
    <w:multiLevelType w:val="hybridMultilevel"/>
    <w:tmpl w:val="A0CAE26E"/>
    <w:lvl w:ilvl="0" w:tplc="869C9B10">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C3379FC"/>
    <w:multiLevelType w:val="multilevel"/>
    <w:tmpl w:val="474489DA"/>
    <w:lvl w:ilvl="0">
      <w:start w:val="1"/>
      <w:numFmt w:val="decimal"/>
      <w:lvlText w:val="(%1)"/>
      <w:lvlJc w:val="left"/>
      <w:pPr>
        <w:ind w:left="675" w:hanging="675"/>
      </w:pPr>
      <w:rPr>
        <w:rFonts w:ascii="Calibri" w:eastAsiaTheme="minorHAnsi" w:hAnsi="Calibri" w:cstheme="minorBidi"/>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CFD5880"/>
    <w:multiLevelType w:val="hybridMultilevel"/>
    <w:tmpl w:val="8F9E1948"/>
    <w:lvl w:ilvl="0" w:tplc="A2EE1C88">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6" w15:restartNumberingAfterBreak="0">
    <w:nsid w:val="4E8A500B"/>
    <w:multiLevelType w:val="hybridMultilevel"/>
    <w:tmpl w:val="F3D60D6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21E0A41"/>
    <w:multiLevelType w:val="hybridMultilevel"/>
    <w:tmpl w:val="3C923C12"/>
    <w:lvl w:ilvl="0" w:tplc="2094170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53EF31D2"/>
    <w:multiLevelType w:val="hybridMultilevel"/>
    <w:tmpl w:val="F2F2BC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7E368CB"/>
    <w:multiLevelType w:val="hybridMultilevel"/>
    <w:tmpl w:val="E1F4CD4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0A85957"/>
    <w:multiLevelType w:val="hybridMultilevel"/>
    <w:tmpl w:val="428074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61A41B77"/>
    <w:multiLevelType w:val="hybridMultilevel"/>
    <w:tmpl w:val="E1B6BA74"/>
    <w:lvl w:ilvl="0" w:tplc="080C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2" w15:restartNumberingAfterBreak="0">
    <w:nsid w:val="63CC4C9D"/>
    <w:multiLevelType w:val="hybridMultilevel"/>
    <w:tmpl w:val="93D2891E"/>
    <w:lvl w:ilvl="0" w:tplc="7A546988">
      <w:start w:val="105"/>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67BF4A20"/>
    <w:multiLevelType w:val="hybridMultilevel"/>
    <w:tmpl w:val="80E6766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E410C78"/>
    <w:multiLevelType w:val="hybridMultilevel"/>
    <w:tmpl w:val="25B2AB74"/>
    <w:lvl w:ilvl="0" w:tplc="08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1C42E96"/>
    <w:multiLevelType w:val="hybridMultilevel"/>
    <w:tmpl w:val="DB747FB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742A3566"/>
    <w:multiLevelType w:val="multilevel"/>
    <w:tmpl w:val="DE22436C"/>
    <w:lvl w:ilvl="0">
      <w:start w:val="1"/>
      <w:numFmt w:val="decimal"/>
      <w:lvlText w:val="%1."/>
      <w:lvlJc w:val="left"/>
      <w:pPr>
        <w:ind w:left="675" w:hanging="675"/>
      </w:pPr>
      <w:rPr>
        <w:rFonts w:hint="default"/>
      </w:rPr>
    </w:lvl>
    <w:lvl w:ilvl="1">
      <w:start w:val="1"/>
      <w:numFmt w:val="decimal"/>
      <w:lvlText w:val="%1.%2."/>
      <w:lvlJc w:val="left"/>
      <w:pPr>
        <w:ind w:left="720" w:hanging="720"/>
      </w:pPr>
      <w:rPr>
        <w:rFonts w:ascii="Calibri" w:hAnsi="Calibri" w:cs="Calibri"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6EA492D"/>
    <w:multiLevelType w:val="hybridMultilevel"/>
    <w:tmpl w:val="DEBA246E"/>
    <w:lvl w:ilvl="0" w:tplc="3012A7EE">
      <w:start w:val="3"/>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8" w15:restartNumberingAfterBreak="0">
    <w:nsid w:val="7CB035FB"/>
    <w:multiLevelType w:val="multilevel"/>
    <w:tmpl w:val="3878DE06"/>
    <w:styleLink w:val="Listeactuelle1"/>
    <w:lvl w:ilvl="0">
      <w:start w:val="1"/>
      <w:numFmt w:val="decimal"/>
      <w:lvlText w:val="%1."/>
      <w:lvlJc w:val="left"/>
      <w:pPr>
        <w:ind w:left="720" w:hanging="360"/>
      </w:pPr>
      <w:rPr>
        <w:rFonts w:ascii="Calibri" w:eastAsiaTheme="majorEastAsia" w:hAnsi="Calibri" w:cstheme="majorBid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269313669">
    <w:abstractNumId w:val="29"/>
  </w:num>
  <w:num w:numId="2" w16cid:durableId="1308903472">
    <w:abstractNumId w:val="10"/>
  </w:num>
  <w:num w:numId="3" w16cid:durableId="2132436675">
    <w:abstractNumId w:val="18"/>
  </w:num>
  <w:num w:numId="4" w16cid:durableId="1857500959">
    <w:abstractNumId w:val="26"/>
  </w:num>
  <w:num w:numId="5" w16cid:durableId="268047054">
    <w:abstractNumId w:val="7"/>
  </w:num>
  <w:num w:numId="6" w16cid:durableId="1753116669">
    <w:abstractNumId w:val="2"/>
  </w:num>
  <w:num w:numId="7" w16cid:durableId="2085833560">
    <w:abstractNumId w:val="4"/>
  </w:num>
  <w:num w:numId="8" w16cid:durableId="1079600889">
    <w:abstractNumId w:val="8"/>
  </w:num>
  <w:num w:numId="9" w16cid:durableId="1715619317">
    <w:abstractNumId w:val="5"/>
  </w:num>
  <w:num w:numId="10" w16cid:durableId="1836454690">
    <w:abstractNumId w:val="17"/>
  </w:num>
  <w:num w:numId="11" w16cid:durableId="799231427">
    <w:abstractNumId w:val="38"/>
  </w:num>
  <w:num w:numId="12" w16cid:durableId="1445617990">
    <w:abstractNumId w:val="36"/>
  </w:num>
  <w:num w:numId="13" w16cid:durableId="245695621">
    <w:abstractNumId w:val="37"/>
  </w:num>
  <w:num w:numId="14" w16cid:durableId="1670601299">
    <w:abstractNumId w:val="31"/>
  </w:num>
  <w:num w:numId="15" w16cid:durableId="245187304">
    <w:abstractNumId w:val="34"/>
  </w:num>
  <w:num w:numId="16" w16cid:durableId="2036614780">
    <w:abstractNumId w:val="23"/>
  </w:num>
  <w:num w:numId="17" w16cid:durableId="1182164535">
    <w:abstractNumId w:val="9"/>
  </w:num>
  <w:num w:numId="18" w16cid:durableId="789131662">
    <w:abstractNumId w:val="32"/>
  </w:num>
  <w:num w:numId="19" w16cid:durableId="1913738346">
    <w:abstractNumId w:val="6"/>
  </w:num>
  <w:num w:numId="20" w16cid:durableId="1670600875">
    <w:abstractNumId w:val="30"/>
  </w:num>
  <w:num w:numId="21" w16cid:durableId="2021540939">
    <w:abstractNumId w:val="14"/>
  </w:num>
  <w:num w:numId="22" w16cid:durableId="1864636441">
    <w:abstractNumId w:val="16"/>
  </w:num>
  <w:num w:numId="23" w16cid:durableId="24647225">
    <w:abstractNumId w:val="24"/>
  </w:num>
  <w:num w:numId="24" w16cid:durableId="2107918200">
    <w:abstractNumId w:val="27"/>
  </w:num>
  <w:num w:numId="25" w16cid:durableId="523592495">
    <w:abstractNumId w:val="28"/>
  </w:num>
  <w:num w:numId="26" w16cid:durableId="2037341876">
    <w:abstractNumId w:val="0"/>
  </w:num>
  <w:num w:numId="27" w16cid:durableId="1370648380">
    <w:abstractNumId w:val="3"/>
  </w:num>
  <w:num w:numId="28" w16cid:durableId="1689209148">
    <w:abstractNumId w:val="19"/>
  </w:num>
  <w:num w:numId="29" w16cid:durableId="610555264">
    <w:abstractNumId w:val="11"/>
  </w:num>
  <w:num w:numId="30" w16cid:durableId="671566141">
    <w:abstractNumId w:val="12"/>
  </w:num>
  <w:num w:numId="31" w16cid:durableId="796873771">
    <w:abstractNumId w:val="20"/>
  </w:num>
  <w:num w:numId="32" w16cid:durableId="1251280260">
    <w:abstractNumId w:val="25"/>
  </w:num>
  <w:num w:numId="33" w16cid:durableId="1961691676">
    <w:abstractNumId w:val="1"/>
  </w:num>
  <w:num w:numId="34" w16cid:durableId="486215594">
    <w:abstractNumId w:val="8"/>
  </w:num>
  <w:num w:numId="35" w16cid:durableId="1622495867">
    <w:abstractNumId w:val="35"/>
  </w:num>
  <w:num w:numId="36" w16cid:durableId="1217469882">
    <w:abstractNumId w:val="13"/>
  </w:num>
  <w:num w:numId="37" w16cid:durableId="928584787">
    <w:abstractNumId w:val="33"/>
  </w:num>
  <w:num w:numId="38" w16cid:durableId="2004308685">
    <w:abstractNumId w:val="22"/>
  </w:num>
  <w:num w:numId="39" w16cid:durableId="1871380697">
    <w:abstractNumId w:val="15"/>
  </w:num>
  <w:num w:numId="40" w16cid:durableId="1179125998">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03A"/>
    <w:rsid w:val="00001066"/>
    <w:rsid w:val="00001C66"/>
    <w:rsid w:val="0000294D"/>
    <w:rsid w:val="0000352D"/>
    <w:rsid w:val="00004040"/>
    <w:rsid w:val="00004707"/>
    <w:rsid w:val="000059BE"/>
    <w:rsid w:val="00005D14"/>
    <w:rsid w:val="00006DB2"/>
    <w:rsid w:val="0000762B"/>
    <w:rsid w:val="00007667"/>
    <w:rsid w:val="00007C87"/>
    <w:rsid w:val="000100FD"/>
    <w:rsid w:val="00010291"/>
    <w:rsid w:val="00010820"/>
    <w:rsid w:val="0001197B"/>
    <w:rsid w:val="00011C3C"/>
    <w:rsid w:val="0001265A"/>
    <w:rsid w:val="0001294B"/>
    <w:rsid w:val="00012AA7"/>
    <w:rsid w:val="00012D54"/>
    <w:rsid w:val="00012DBE"/>
    <w:rsid w:val="00013272"/>
    <w:rsid w:val="000132B8"/>
    <w:rsid w:val="00013A2B"/>
    <w:rsid w:val="00013ECE"/>
    <w:rsid w:val="000145A5"/>
    <w:rsid w:val="000148EF"/>
    <w:rsid w:val="000149A8"/>
    <w:rsid w:val="000149C6"/>
    <w:rsid w:val="000154ED"/>
    <w:rsid w:val="00015655"/>
    <w:rsid w:val="00015861"/>
    <w:rsid w:val="000159A6"/>
    <w:rsid w:val="00015B51"/>
    <w:rsid w:val="00015FF5"/>
    <w:rsid w:val="00016379"/>
    <w:rsid w:val="0001696A"/>
    <w:rsid w:val="000171B6"/>
    <w:rsid w:val="00017DD2"/>
    <w:rsid w:val="00020060"/>
    <w:rsid w:val="0002079A"/>
    <w:rsid w:val="000209DE"/>
    <w:rsid w:val="00020CC4"/>
    <w:rsid w:val="00020E65"/>
    <w:rsid w:val="00020EB3"/>
    <w:rsid w:val="00021EBF"/>
    <w:rsid w:val="00022007"/>
    <w:rsid w:val="000224AA"/>
    <w:rsid w:val="00023085"/>
    <w:rsid w:val="00023385"/>
    <w:rsid w:val="000234AD"/>
    <w:rsid w:val="00023891"/>
    <w:rsid w:val="00023DA9"/>
    <w:rsid w:val="00024405"/>
    <w:rsid w:val="0002445E"/>
    <w:rsid w:val="00024810"/>
    <w:rsid w:val="000255DF"/>
    <w:rsid w:val="00025CCE"/>
    <w:rsid w:val="00025E78"/>
    <w:rsid w:val="00026F75"/>
    <w:rsid w:val="00027968"/>
    <w:rsid w:val="00027AA6"/>
    <w:rsid w:val="00030771"/>
    <w:rsid w:val="00030846"/>
    <w:rsid w:val="00030CBA"/>
    <w:rsid w:val="0003177C"/>
    <w:rsid w:val="00031CF8"/>
    <w:rsid w:val="00031FAC"/>
    <w:rsid w:val="00032B22"/>
    <w:rsid w:val="00032D0A"/>
    <w:rsid w:val="000332CB"/>
    <w:rsid w:val="0003353A"/>
    <w:rsid w:val="00034075"/>
    <w:rsid w:val="000353F2"/>
    <w:rsid w:val="0003569C"/>
    <w:rsid w:val="000357DD"/>
    <w:rsid w:val="00035F92"/>
    <w:rsid w:val="00036A23"/>
    <w:rsid w:val="000377D3"/>
    <w:rsid w:val="00037AE6"/>
    <w:rsid w:val="00037CD1"/>
    <w:rsid w:val="00037E8A"/>
    <w:rsid w:val="00040703"/>
    <w:rsid w:val="00040766"/>
    <w:rsid w:val="000408EC"/>
    <w:rsid w:val="00040A3C"/>
    <w:rsid w:val="0004115A"/>
    <w:rsid w:val="0004177F"/>
    <w:rsid w:val="00041800"/>
    <w:rsid w:val="00041A10"/>
    <w:rsid w:val="00041D9F"/>
    <w:rsid w:val="00042CD8"/>
    <w:rsid w:val="000434BC"/>
    <w:rsid w:val="000436F2"/>
    <w:rsid w:val="00043D8F"/>
    <w:rsid w:val="00043EDD"/>
    <w:rsid w:val="00044431"/>
    <w:rsid w:val="00044A08"/>
    <w:rsid w:val="00044C0E"/>
    <w:rsid w:val="00045414"/>
    <w:rsid w:val="00045449"/>
    <w:rsid w:val="0004599F"/>
    <w:rsid w:val="00045B08"/>
    <w:rsid w:val="00045BE3"/>
    <w:rsid w:val="000466BB"/>
    <w:rsid w:val="00046B41"/>
    <w:rsid w:val="00046D39"/>
    <w:rsid w:val="00047546"/>
    <w:rsid w:val="00047BC6"/>
    <w:rsid w:val="00047CCF"/>
    <w:rsid w:val="00050851"/>
    <w:rsid w:val="000508C6"/>
    <w:rsid w:val="00050BE5"/>
    <w:rsid w:val="00050F1C"/>
    <w:rsid w:val="00050FC8"/>
    <w:rsid w:val="00051500"/>
    <w:rsid w:val="00051FA0"/>
    <w:rsid w:val="000532FC"/>
    <w:rsid w:val="00053AB4"/>
    <w:rsid w:val="00053B7C"/>
    <w:rsid w:val="0005416C"/>
    <w:rsid w:val="00054304"/>
    <w:rsid w:val="00054335"/>
    <w:rsid w:val="00054E89"/>
    <w:rsid w:val="00054EFA"/>
    <w:rsid w:val="0005522D"/>
    <w:rsid w:val="000554EF"/>
    <w:rsid w:val="00056031"/>
    <w:rsid w:val="00056296"/>
    <w:rsid w:val="000568E3"/>
    <w:rsid w:val="000571F9"/>
    <w:rsid w:val="00057288"/>
    <w:rsid w:val="0005733D"/>
    <w:rsid w:val="0005742F"/>
    <w:rsid w:val="000574FF"/>
    <w:rsid w:val="000577C6"/>
    <w:rsid w:val="0005790F"/>
    <w:rsid w:val="00057C21"/>
    <w:rsid w:val="000601F7"/>
    <w:rsid w:val="0006034D"/>
    <w:rsid w:val="00060879"/>
    <w:rsid w:val="00060BA4"/>
    <w:rsid w:val="000613AB"/>
    <w:rsid w:val="0006164F"/>
    <w:rsid w:val="000619EF"/>
    <w:rsid w:val="00061B37"/>
    <w:rsid w:val="00061BE7"/>
    <w:rsid w:val="000624AD"/>
    <w:rsid w:val="0006252C"/>
    <w:rsid w:val="000626B8"/>
    <w:rsid w:val="00062D8F"/>
    <w:rsid w:val="00062E63"/>
    <w:rsid w:val="000631CD"/>
    <w:rsid w:val="000637BB"/>
    <w:rsid w:val="00064065"/>
    <w:rsid w:val="00064448"/>
    <w:rsid w:val="00064981"/>
    <w:rsid w:val="00064AB2"/>
    <w:rsid w:val="0006524B"/>
    <w:rsid w:val="00065B27"/>
    <w:rsid w:val="000661A3"/>
    <w:rsid w:val="00066505"/>
    <w:rsid w:val="0006684F"/>
    <w:rsid w:val="00067261"/>
    <w:rsid w:val="000714F7"/>
    <w:rsid w:val="00071504"/>
    <w:rsid w:val="00071C0F"/>
    <w:rsid w:val="000720C5"/>
    <w:rsid w:val="0007306A"/>
    <w:rsid w:val="000735DD"/>
    <w:rsid w:val="00073FBB"/>
    <w:rsid w:val="00074261"/>
    <w:rsid w:val="0007443E"/>
    <w:rsid w:val="0007461C"/>
    <w:rsid w:val="00074952"/>
    <w:rsid w:val="00074CB6"/>
    <w:rsid w:val="00075AC5"/>
    <w:rsid w:val="000760C6"/>
    <w:rsid w:val="00076150"/>
    <w:rsid w:val="0007686B"/>
    <w:rsid w:val="000769C6"/>
    <w:rsid w:val="00076B81"/>
    <w:rsid w:val="00076EB7"/>
    <w:rsid w:val="000772C0"/>
    <w:rsid w:val="00077462"/>
    <w:rsid w:val="00077A78"/>
    <w:rsid w:val="0008021B"/>
    <w:rsid w:val="00080246"/>
    <w:rsid w:val="00081C68"/>
    <w:rsid w:val="00082201"/>
    <w:rsid w:val="000828BE"/>
    <w:rsid w:val="00082CBF"/>
    <w:rsid w:val="00082D71"/>
    <w:rsid w:val="00082FB8"/>
    <w:rsid w:val="0008305C"/>
    <w:rsid w:val="00083D93"/>
    <w:rsid w:val="000841E3"/>
    <w:rsid w:val="000848E8"/>
    <w:rsid w:val="00084FC0"/>
    <w:rsid w:val="0008503F"/>
    <w:rsid w:val="0008519F"/>
    <w:rsid w:val="000856C9"/>
    <w:rsid w:val="00085CB7"/>
    <w:rsid w:val="00086651"/>
    <w:rsid w:val="0008789E"/>
    <w:rsid w:val="00087D58"/>
    <w:rsid w:val="00087DF7"/>
    <w:rsid w:val="00090F50"/>
    <w:rsid w:val="00092263"/>
    <w:rsid w:val="00092860"/>
    <w:rsid w:val="000929CD"/>
    <w:rsid w:val="0009321A"/>
    <w:rsid w:val="000932A3"/>
    <w:rsid w:val="0009351D"/>
    <w:rsid w:val="0009372D"/>
    <w:rsid w:val="00093758"/>
    <w:rsid w:val="000937CF"/>
    <w:rsid w:val="00094086"/>
    <w:rsid w:val="00094567"/>
    <w:rsid w:val="00095933"/>
    <w:rsid w:val="00095D4E"/>
    <w:rsid w:val="00096497"/>
    <w:rsid w:val="00096873"/>
    <w:rsid w:val="00096E85"/>
    <w:rsid w:val="00097612"/>
    <w:rsid w:val="00097B59"/>
    <w:rsid w:val="000A01AA"/>
    <w:rsid w:val="000A01E0"/>
    <w:rsid w:val="000A0208"/>
    <w:rsid w:val="000A08F8"/>
    <w:rsid w:val="000A104B"/>
    <w:rsid w:val="000A1B91"/>
    <w:rsid w:val="000A2458"/>
    <w:rsid w:val="000A2BB8"/>
    <w:rsid w:val="000A2F34"/>
    <w:rsid w:val="000A3F5C"/>
    <w:rsid w:val="000A4227"/>
    <w:rsid w:val="000A43B7"/>
    <w:rsid w:val="000A4433"/>
    <w:rsid w:val="000A4712"/>
    <w:rsid w:val="000A481B"/>
    <w:rsid w:val="000A484A"/>
    <w:rsid w:val="000A4AAF"/>
    <w:rsid w:val="000A4F42"/>
    <w:rsid w:val="000A56F2"/>
    <w:rsid w:val="000A58D6"/>
    <w:rsid w:val="000A592E"/>
    <w:rsid w:val="000A5994"/>
    <w:rsid w:val="000A5F4B"/>
    <w:rsid w:val="000A6332"/>
    <w:rsid w:val="000A6E48"/>
    <w:rsid w:val="000A6FCA"/>
    <w:rsid w:val="000A7E27"/>
    <w:rsid w:val="000B085F"/>
    <w:rsid w:val="000B1654"/>
    <w:rsid w:val="000B190E"/>
    <w:rsid w:val="000B1B5A"/>
    <w:rsid w:val="000B1BD0"/>
    <w:rsid w:val="000B1DF5"/>
    <w:rsid w:val="000B2243"/>
    <w:rsid w:val="000B224C"/>
    <w:rsid w:val="000B29F6"/>
    <w:rsid w:val="000B2F21"/>
    <w:rsid w:val="000B4118"/>
    <w:rsid w:val="000B4599"/>
    <w:rsid w:val="000B4FB6"/>
    <w:rsid w:val="000B51D9"/>
    <w:rsid w:val="000B52F5"/>
    <w:rsid w:val="000B5E63"/>
    <w:rsid w:val="000B7CF8"/>
    <w:rsid w:val="000B7D1B"/>
    <w:rsid w:val="000C0179"/>
    <w:rsid w:val="000C018E"/>
    <w:rsid w:val="000C0232"/>
    <w:rsid w:val="000C044A"/>
    <w:rsid w:val="000C0A98"/>
    <w:rsid w:val="000C1A6D"/>
    <w:rsid w:val="000C1AF5"/>
    <w:rsid w:val="000C1BD2"/>
    <w:rsid w:val="000C1FA2"/>
    <w:rsid w:val="000C38E8"/>
    <w:rsid w:val="000C3AC6"/>
    <w:rsid w:val="000C3BC8"/>
    <w:rsid w:val="000C4896"/>
    <w:rsid w:val="000C4D05"/>
    <w:rsid w:val="000C4DEA"/>
    <w:rsid w:val="000C527B"/>
    <w:rsid w:val="000C579D"/>
    <w:rsid w:val="000C5A0F"/>
    <w:rsid w:val="000C5A99"/>
    <w:rsid w:val="000C63AF"/>
    <w:rsid w:val="000C6444"/>
    <w:rsid w:val="000C687B"/>
    <w:rsid w:val="000C69D1"/>
    <w:rsid w:val="000C6A7B"/>
    <w:rsid w:val="000C757F"/>
    <w:rsid w:val="000C759D"/>
    <w:rsid w:val="000C786F"/>
    <w:rsid w:val="000D0500"/>
    <w:rsid w:val="000D0F9C"/>
    <w:rsid w:val="000D181A"/>
    <w:rsid w:val="000D25A8"/>
    <w:rsid w:val="000D2AE3"/>
    <w:rsid w:val="000D2C0F"/>
    <w:rsid w:val="000D3493"/>
    <w:rsid w:val="000D36C2"/>
    <w:rsid w:val="000D3B7F"/>
    <w:rsid w:val="000D3FBC"/>
    <w:rsid w:val="000D4001"/>
    <w:rsid w:val="000D4386"/>
    <w:rsid w:val="000D4836"/>
    <w:rsid w:val="000D4A72"/>
    <w:rsid w:val="000D59CF"/>
    <w:rsid w:val="000D65EB"/>
    <w:rsid w:val="000D65EE"/>
    <w:rsid w:val="000D6845"/>
    <w:rsid w:val="000D7739"/>
    <w:rsid w:val="000E0A9C"/>
    <w:rsid w:val="000E0BBD"/>
    <w:rsid w:val="000E0CA1"/>
    <w:rsid w:val="000E1711"/>
    <w:rsid w:val="000E1D98"/>
    <w:rsid w:val="000E1DF7"/>
    <w:rsid w:val="000E1E1B"/>
    <w:rsid w:val="000E3415"/>
    <w:rsid w:val="000E3938"/>
    <w:rsid w:val="000E3CBD"/>
    <w:rsid w:val="000E3E02"/>
    <w:rsid w:val="000E3E10"/>
    <w:rsid w:val="000E3F63"/>
    <w:rsid w:val="000E4747"/>
    <w:rsid w:val="000E489F"/>
    <w:rsid w:val="000E4BC0"/>
    <w:rsid w:val="000E4D2B"/>
    <w:rsid w:val="000E530C"/>
    <w:rsid w:val="000E5E44"/>
    <w:rsid w:val="000E6286"/>
    <w:rsid w:val="000E6289"/>
    <w:rsid w:val="000E7D0F"/>
    <w:rsid w:val="000F00CA"/>
    <w:rsid w:val="000F02E9"/>
    <w:rsid w:val="000F1B0D"/>
    <w:rsid w:val="000F1B8A"/>
    <w:rsid w:val="000F25C7"/>
    <w:rsid w:val="000F2CC5"/>
    <w:rsid w:val="000F2FFC"/>
    <w:rsid w:val="000F3625"/>
    <w:rsid w:val="000F38A3"/>
    <w:rsid w:val="000F3FAA"/>
    <w:rsid w:val="000F4DBE"/>
    <w:rsid w:val="000F5718"/>
    <w:rsid w:val="000F5C3B"/>
    <w:rsid w:val="000F6258"/>
    <w:rsid w:val="000F6E17"/>
    <w:rsid w:val="000F70E1"/>
    <w:rsid w:val="000F7744"/>
    <w:rsid w:val="000F7FB1"/>
    <w:rsid w:val="00100DB9"/>
    <w:rsid w:val="00101236"/>
    <w:rsid w:val="0010199A"/>
    <w:rsid w:val="00101C82"/>
    <w:rsid w:val="00102042"/>
    <w:rsid w:val="00102550"/>
    <w:rsid w:val="00102560"/>
    <w:rsid w:val="00103388"/>
    <w:rsid w:val="001038B3"/>
    <w:rsid w:val="001038C1"/>
    <w:rsid w:val="00104C3A"/>
    <w:rsid w:val="0010513B"/>
    <w:rsid w:val="001064C8"/>
    <w:rsid w:val="00106823"/>
    <w:rsid w:val="001068C0"/>
    <w:rsid w:val="00106DC0"/>
    <w:rsid w:val="00107905"/>
    <w:rsid w:val="00107989"/>
    <w:rsid w:val="00107DA1"/>
    <w:rsid w:val="00110176"/>
    <w:rsid w:val="0011112F"/>
    <w:rsid w:val="0011114F"/>
    <w:rsid w:val="00111B96"/>
    <w:rsid w:val="001128B0"/>
    <w:rsid w:val="00112BFE"/>
    <w:rsid w:val="001130DF"/>
    <w:rsid w:val="0011373E"/>
    <w:rsid w:val="00113E92"/>
    <w:rsid w:val="00114349"/>
    <w:rsid w:val="00114476"/>
    <w:rsid w:val="00114AD5"/>
    <w:rsid w:val="00114B42"/>
    <w:rsid w:val="00114F28"/>
    <w:rsid w:val="00115448"/>
    <w:rsid w:val="00115548"/>
    <w:rsid w:val="0011555B"/>
    <w:rsid w:val="00115CAE"/>
    <w:rsid w:val="00115DCB"/>
    <w:rsid w:val="00115E8F"/>
    <w:rsid w:val="00116548"/>
    <w:rsid w:val="001168FF"/>
    <w:rsid w:val="00116C8B"/>
    <w:rsid w:val="00116DB6"/>
    <w:rsid w:val="0011717B"/>
    <w:rsid w:val="0011728A"/>
    <w:rsid w:val="0011736B"/>
    <w:rsid w:val="00117980"/>
    <w:rsid w:val="00117A94"/>
    <w:rsid w:val="0011894E"/>
    <w:rsid w:val="0012038D"/>
    <w:rsid w:val="0012164B"/>
    <w:rsid w:val="0012193C"/>
    <w:rsid w:val="00122E18"/>
    <w:rsid w:val="00123263"/>
    <w:rsid w:val="001232D0"/>
    <w:rsid w:val="00124B17"/>
    <w:rsid w:val="00124BA8"/>
    <w:rsid w:val="00125808"/>
    <w:rsid w:val="00126005"/>
    <w:rsid w:val="00126490"/>
    <w:rsid w:val="00126A14"/>
    <w:rsid w:val="00126F9C"/>
    <w:rsid w:val="001271CB"/>
    <w:rsid w:val="0012799A"/>
    <w:rsid w:val="001279EA"/>
    <w:rsid w:val="00127A41"/>
    <w:rsid w:val="00127B1D"/>
    <w:rsid w:val="00130055"/>
    <w:rsid w:val="001302AF"/>
    <w:rsid w:val="00130509"/>
    <w:rsid w:val="00130A1E"/>
    <w:rsid w:val="00130B19"/>
    <w:rsid w:val="001314A2"/>
    <w:rsid w:val="00131E10"/>
    <w:rsid w:val="00132105"/>
    <w:rsid w:val="001323E2"/>
    <w:rsid w:val="001323F0"/>
    <w:rsid w:val="001331D5"/>
    <w:rsid w:val="00133877"/>
    <w:rsid w:val="00134699"/>
    <w:rsid w:val="0013519A"/>
    <w:rsid w:val="0013532E"/>
    <w:rsid w:val="00135E8D"/>
    <w:rsid w:val="00136E04"/>
    <w:rsid w:val="00137203"/>
    <w:rsid w:val="001375D6"/>
    <w:rsid w:val="00137898"/>
    <w:rsid w:val="00137AE6"/>
    <w:rsid w:val="00137FD6"/>
    <w:rsid w:val="00140C8D"/>
    <w:rsid w:val="001423D9"/>
    <w:rsid w:val="00143096"/>
    <w:rsid w:val="00143138"/>
    <w:rsid w:val="0014313F"/>
    <w:rsid w:val="001436E3"/>
    <w:rsid w:val="0014377D"/>
    <w:rsid w:val="001437C0"/>
    <w:rsid w:val="00143BEF"/>
    <w:rsid w:val="0014459C"/>
    <w:rsid w:val="00144D55"/>
    <w:rsid w:val="001451DE"/>
    <w:rsid w:val="0014550A"/>
    <w:rsid w:val="00145576"/>
    <w:rsid w:val="00145647"/>
    <w:rsid w:val="00145878"/>
    <w:rsid w:val="00145A43"/>
    <w:rsid w:val="00145B8C"/>
    <w:rsid w:val="00145E17"/>
    <w:rsid w:val="0014617D"/>
    <w:rsid w:val="001464A1"/>
    <w:rsid w:val="00146EAB"/>
    <w:rsid w:val="0014734E"/>
    <w:rsid w:val="001478D6"/>
    <w:rsid w:val="00147950"/>
    <w:rsid w:val="00147AC4"/>
    <w:rsid w:val="00147D6E"/>
    <w:rsid w:val="00147E39"/>
    <w:rsid w:val="001502BC"/>
    <w:rsid w:val="00150326"/>
    <w:rsid w:val="001505B9"/>
    <w:rsid w:val="001506C4"/>
    <w:rsid w:val="00150D33"/>
    <w:rsid w:val="00150E6A"/>
    <w:rsid w:val="00150F87"/>
    <w:rsid w:val="001513A5"/>
    <w:rsid w:val="0015147A"/>
    <w:rsid w:val="001514E8"/>
    <w:rsid w:val="00151629"/>
    <w:rsid w:val="00151A98"/>
    <w:rsid w:val="001525B8"/>
    <w:rsid w:val="001528CE"/>
    <w:rsid w:val="00152DFD"/>
    <w:rsid w:val="00153084"/>
    <w:rsid w:val="00153127"/>
    <w:rsid w:val="0015319F"/>
    <w:rsid w:val="001533F8"/>
    <w:rsid w:val="00153B38"/>
    <w:rsid w:val="00153F74"/>
    <w:rsid w:val="001543DC"/>
    <w:rsid w:val="00155420"/>
    <w:rsid w:val="00155855"/>
    <w:rsid w:val="00156751"/>
    <w:rsid w:val="001568A9"/>
    <w:rsid w:val="00157535"/>
    <w:rsid w:val="00160505"/>
    <w:rsid w:val="001606BD"/>
    <w:rsid w:val="001606E6"/>
    <w:rsid w:val="00160792"/>
    <w:rsid w:val="001608D5"/>
    <w:rsid w:val="00160903"/>
    <w:rsid w:val="00160E08"/>
    <w:rsid w:val="00161384"/>
    <w:rsid w:val="00161739"/>
    <w:rsid w:val="001620D3"/>
    <w:rsid w:val="001626AA"/>
    <w:rsid w:val="001627F4"/>
    <w:rsid w:val="00162883"/>
    <w:rsid w:val="0016289D"/>
    <w:rsid w:val="00162A12"/>
    <w:rsid w:val="00162DBF"/>
    <w:rsid w:val="00163B5F"/>
    <w:rsid w:val="001640B6"/>
    <w:rsid w:val="0016556F"/>
    <w:rsid w:val="00165D8C"/>
    <w:rsid w:val="00166A8E"/>
    <w:rsid w:val="00166CA9"/>
    <w:rsid w:val="001672EC"/>
    <w:rsid w:val="00167B04"/>
    <w:rsid w:val="00167C2B"/>
    <w:rsid w:val="001701A2"/>
    <w:rsid w:val="00170DE7"/>
    <w:rsid w:val="0017140C"/>
    <w:rsid w:val="001717A3"/>
    <w:rsid w:val="00171FBB"/>
    <w:rsid w:val="00172A00"/>
    <w:rsid w:val="00173F14"/>
    <w:rsid w:val="00174180"/>
    <w:rsid w:val="00174553"/>
    <w:rsid w:val="00175350"/>
    <w:rsid w:val="00175627"/>
    <w:rsid w:val="00175906"/>
    <w:rsid w:val="0017598D"/>
    <w:rsid w:val="00175E4C"/>
    <w:rsid w:val="00176076"/>
    <w:rsid w:val="00176C25"/>
    <w:rsid w:val="001774B9"/>
    <w:rsid w:val="0017777D"/>
    <w:rsid w:val="00177925"/>
    <w:rsid w:val="00177953"/>
    <w:rsid w:val="0017ADEF"/>
    <w:rsid w:val="00180568"/>
    <w:rsid w:val="0018089A"/>
    <w:rsid w:val="00180EFD"/>
    <w:rsid w:val="00181C45"/>
    <w:rsid w:val="00181D4B"/>
    <w:rsid w:val="0018289F"/>
    <w:rsid w:val="00182E0F"/>
    <w:rsid w:val="00183169"/>
    <w:rsid w:val="00183BFC"/>
    <w:rsid w:val="00184B45"/>
    <w:rsid w:val="00184FAC"/>
    <w:rsid w:val="001855B2"/>
    <w:rsid w:val="0018567A"/>
    <w:rsid w:val="00185CDA"/>
    <w:rsid w:val="00185E99"/>
    <w:rsid w:val="001866A4"/>
    <w:rsid w:val="0018710B"/>
    <w:rsid w:val="00187868"/>
    <w:rsid w:val="00190277"/>
    <w:rsid w:val="00190288"/>
    <w:rsid w:val="001906A0"/>
    <w:rsid w:val="00190764"/>
    <w:rsid w:val="00190FF2"/>
    <w:rsid w:val="00192799"/>
    <w:rsid w:val="001929D2"/>
    <w:rsid w:val="00192AAB"/>
    <w:rsid w:val="00192AC8"/>
    <w:rsid w:val="00192B0C"/>
    <w:rsid w:val="00192C42"/>
    <w:rsid w:val="00193783"/>
    <w:rsid w:val="00193907"/>
    <w:rsid w:val="00193DEB"/>
    <w:rsid w:val="00193EDB"/>
    <w:rsid w:val="00193F59"/>
    <w:rsid w:val="00194381"/>
    <w:rsid w:val="001944F2"/>
    <w:rsid w:val="00194D3D"/>
    <w:rsid w:val="00194DDE"/>
    <w:rsid w:val="00195286"/>
    <w:rsid w:val="00195713"/>
    <w:rsid w:val="00195A36"/>
    <w:rsid w:val="001960BD"/>
    <w:rsid w:val="001961B4"/>
    <w:rsid w:val="00196588"/>
    <w:rsid w:val="001969D5"/>
    <w:rsid w:val="00196FAF"/>
    <w:rsid w:val="00197AEB"/>
    <w:rsid w:val="00197BA0"/>
    <w:rsid w:val="001A09B7"/>
    <w:rsid w:val="001A0E2F"/>
    <w:rsid w:val="001A0FCC"/>
    <w:rsid w:val="001A11E6"/>
    <w:rsid w:val="001A1257"/>
    <w:rsid w:val="001A12DA"/>
    <w:rsid w:val="001A13E1"/>
    <w:rsid w:val="001A1813"/>
    <w:rsid w:val="001A2205"/>
    <w:rsid w:val="001A2677"/>
    <w:rsid w:val="001A26A7"/>
    <w:rsid w:val="001A3F44"/>
    <w:rsid w:val="001A431F"/>
    <w:rsid w:val="001A449F"/>
    <w:rsid w:val="001A610C"/>
    <w:rsid w:val="001A6717"/>
    <w:rsid w:val="001A6728"/>
    <w:rsid w:val="001A6D2E"/>
    <w:rsid w:val="001A7627"/>
    <w:rsid w:val="001A7BE1"/>
    <w:rsid w:val="001A7C0D"/>
    <w:rsid w:val="001B04FC"/>
    <w:rsid w:val="001B08C1"/>
    <w:rsid w:val="001B0A2A"/>
    <w:rsid w:val="001B0D4A"/>
    <w:rsid w:val="001B0D98"/>
    <w:rsid w:val="001B0E14"/>
    <w:rsid w:val="001B1E1D"/>
    <w:rsid w:val="001B2067"/>
    <w:rsid w:val="001B2B1D"/>
    <w:rsid w:val="001B3522"/>
    <w:rsid w:val="001B3E13"/>
    <w:rsid w:val="001B407C"/>
    <w:rsid w:val="001B409F"/>
    <w:rsid w:val="001B4191"/>
    <w:rsid w:val="001B430C"/>
    <w:rsid w:val="001B44AC"/>
    <w:rsid w:val="001B49FB"/>
    <w:rsid w:val="001B5DBF"/>
    <w:rsid w:val="001B63AF"/>
    <w:rsid w:val="001B68D0"/>
    <w:rsid w:val="001B6CE3"/>
    <w:rsid w:val="001B6FA5"/>
    <w:rsid w:val="001B74DF"/>
    <w:rsid w:val="001B7AD0"/>
    <w:rsid w:val="001C0293"/>
    <w:rsid w:val="001C0541"/>
    <w:rsid w:val="001C056F"/>
    <w:rsid w:val="001C064F"/>
    <w:rsid w:val="001C06AC"/>
    <w:rsid w:val="001C1B19"/>
    <w:rsid w:val="001C1C2C"/>
    <w:rsid w:val="001C2061"/>
    <w:rsid w:val="001C2230"/>
    <w:rsid w:val="001C2DC2"/>
    <w:rsid w:val="001C2F0B"/>
    <w:rsid w:val="001C332E"/>
    <w:rsid w:val="001C391B"/>
    <w:rsid w:val="001C3A11"/>
    <w:rsid w:val="001C3A22"/>
    <w:rsid w:val="001C4420"/>
    <w:rsid w:val="001C4783"/>
    <w:rsid w:val="001C561C"/>
    <w:rsid w:val="001C626A"/>
    <w:rsid w:val="001C6505"/>
    <w:rsid w:val="001C6643"/>
    <w:rsid w:val="001C66CE"/>
    <w:rsid w:val="001C6732"/>
    <w:rsid w:val="001C6911"/>
    <w:rsid w:val="001C6D21"/>
    <w:rsid w:val="001C6F06"/>
    <w:rsid w:val="001C7379"/>
    <w:rsid w:val="001C740F"/>
    <w:rsid w:val="001C7526"/>
    <w:rsid w:val="001C767E"/>
    <w:rsid w:val="001C778B"/>
    <w:rsid w:val="001C779C"/>
    <w:rsid w:val="001C792E"/>
    <w:rsid w:val="001D0591"/>
    <w:rsid w:val="001D0846"/>
    <w:rsid w:val="001D0BC8"/>
    <w:rsid w:val="001D0C58"/>
    <w:rsid w:val="001D0E34"/>
    <w:rsid w:val="001D0EC9"/>
    <w:rsid w:val="001D1AD3"/>
    <w:rsid w:val="001D1AD9"/>
    <w:rsid w:val="001D1C12"/>
    <w:rsid w:val="001D222D"/>
    <w:rsid w:val="001D264C"/>
    <w:rsid w:val="001D26AE"/>
    <w:rsid w:val="001D3863"/>
    <w:rsid w:val="001D3916"/>
    <w:rsid w:val="001D46FB"/>
    <w:rsid w:val="001D4C77"/>
    <w:rsid w:val="001D4E19"/>
    <w:rsid w:val="001D4F31"/>
    <w:rsid w:val="001D5455"/>
    <w:rsid w:val="001D5CB6"/>
    <w:rsid w:val="001D60BA"/>
    <w:rsid w:val="001D60C8"/>
    <w:rsid w:val="001D615E"/>
    <w:rsid w:val="001D648F"/>
    <w:rsid w:val="001D685A"/>
    <w:rsid w:val="001D72D8"/>
    <w:rsid w:val="001D74B7"/>
    <w:rsid w:val="001E05D0"/>
    <w:rsid w:val="001E0E2E"/>
    <w:rsid w:val="001E1024"/>
    <w:rsid w:val="001E18F0"/>
    <w:rsid w:val="001E1A0D"/>
    <w:rsid w:val="001E1A80"/>
    <w:rsid w:val="001E1B54"/>
    <w:rsid w:val="001E1C75"/>
    <w:rsid w:val="001E2787"/>
    <w:rsid w:val="001E2863"/>
    <w:rsid w:val="001E2CE4"/>
    <w:rsid w:val="001E3A16"/>
    <w:rsid w:val="001E3C00"/>
    <w:rsid w:val="001E3C85"/>
    <w:rsid w:val="001E456C"/>
    <w:rsid w:val="001E4745"/>
    <w:rsid w:val="001E4C1D"/>
    <w:rsid w:val="001E5953"/>
    <w:rsid w:val="001E635D"/>
    <w:rsid w:val="001E6858"/>
    <w:rsid w:val="001E6A9A"/>
    <w:rsid w:val="001E7609"/>
    <w:rsid w:val="001F0247"/>
    <w:rsid w:val="001F111E"/>
    <w:rsid w:val="001F12E0"/>
    <w:rsid w:val="001F1506"/>
    <w:rsid w:val="001F24E0"/>
    <w:rsid w:val="001F24FE"/>
    <w:rsid w:val="001F2D1C"/>
    <w:rsid w:val="001F2FFD"/>
    <w:rsid w:val="001F32D3"/>
    <w:rsid w:val="001F3372"/>
    <w:rsid w:val="001F35D1"/>
    <w:rsid w:val="001F35F0"/>
    <w:rsid w:val="001F3BCE"/>
    <w:rsid w:val="001F4078"/>
    <w:rsid w:val="001F42A2"/>
    <w:rsid w:val="001F45AC"/>
    <w:rsid w:val="001F56F2"/>
    <w:rsid w:val="001F5FDF"/>
    <w:rsid w:val="001F6473"/>
    <w:rsid w:val="001F64E3"/>
    <w:rsid w:val="001F65F2"/>
    <w:rsid w:val="001F6E3C"/>
    <w:rsid w:val="001F77E4"/>
    <w:rsid w:val="001F7ADC"/>
    <w:rsid w:val="00200256"/>
    <w:rsid w:val="002002E2"/>
    <w:rsid w:val="002006F8"/>
    <w:rsid w:val="0020197D"/>
    <w:rsid w:val="002024CE"/>
    <w:rsid w:val="00202748"/>
    <w:rsid w:val="002040FB"/>
    <w:rsid w:val="0020451F"/>
    <w:rsid w:val="002046A5"/>
    <w:rsid w:val="00204C1E"/>
    <w:rsid w:val="0020533E"/>
    <w:rsid w:val="0020541F"/>
    <w:rsid w:val="002056D2"/>
    <w:rsid w:val="0020594B"/>
    <w:rsid w:val="00205ED9"/>
    <w:rsid w:val="002065A7"/>
    <w:rsid w:val="00206EA0"/>
    <w:rsid w:val="0021086E"/>
    <w:rsid w:val="00210D78"/>
    <w:rsid w:val="0021101F"/>
    <w:rsid w:val="00211300"/>
    <w:rsid w:val="00211330"/>
    <w:rsid w:val="00211597"/>
    <w:rsid w:val="00211DB4"/>
    <w:rsid w:val="00212A21"/>
    <w:rsid w:val="00212D05"/>
    <w:rsid w:val="00212EC9"/>
    <w:rsid w:val="00213FB4"/>
    <w:rsid w:val="0021405A"/>
    <w:rsid w:val="002142E6"/>
    <w:rsid w:val="00214EF0"/>
    <w:rsid w:val="00215645"/>
    <w:rsid w:val="0021577C"/>
    <w:rsid w:val="002158EE"/>
    <w:rsid w:val="00215909"/>
    <w:rsid w:val="002159D6"/>
    <w:rsid w:val="00215D15"/>
    <w:rsid w:val="0021610D"/>
    <w:rsid w:val="0021638A"/>
    <w:rsid w:val="0021659F"/>
    <w:rsid w:val="00216AF7"/>
    <w:rsid w:val="00216CCB"/>
    <w:rsid w:val="00217190"/>
    <w:rsid w:val="002172EC"/>
    <w:rsid w:val="0022002E"/>
    <w:rsid w:val="002206A7"/>
    <w:rsid w:val="00220840"/>
    <w:rsid w:val="00220D02"/>
    <w:rsid w:val="00221844"/>
    <w:rsid w:val="00221D9D"/>
    <w:rsid w:val="002224EE"/>
    <w:rsid w:val="00222557"/>
    <w:rsid w:val="00223671"/>
    <w:rsid w:val="002238DC"/>
    <w:rsid w:val="00223CFC"/>
    <w:rsid w:val="00223E97"/>
    <w:rsid w:val="00223EDE"/>
    <w:rsid w:val="00223F7B"/>
    <w:rsid w:val="002247E8"/>
    <w:rsid w:val="00224B24"/>
    <w:rsid w:val="00224F12"/>
    <w:rsid w:val="0022525C"/>
    <w:rsid w:val="0022535A"/>
    <w:rsid w:val="002254E3"/>
    <w:rsid w:val="0022583F"/>
    <w:rsid w:val="00226476"/>
    <w:rsid w:val="002264D3"/>
    <w:rsid w:val="00226CD1"/>
    <w:rsid w:val="002279F2"/>
    <w:rsid w:val="00227AF3"/>
    <w:rsid w:val="0023032E"/>
    <w:rsid w:val="002304E5"/>
    <w:rsid w:val="00230797"/>
    <w:rsid w:val="002308F4"/>
    <w:rsid w:val="00230C55"/>
    <w:rsid w:val="002313DB"/>
    <w:rsid w:val="002315F4"/>
    <w:rsid w:val="0023163D"/>
    <w:rsid w:val="00231A45"/>
    <w:rsid w:val="00231A77"/>
    <w:rsid w:val="00231F18"/>
    <w:rsid w:val="00232414"/>
    <w:rsid w:val="00232500"/>
    <w:rsid w:val="00232979"/>
    <w:rsid w:val="00232B84"/>
    <w:rsid w:val="00232D92"/>
    <w:rsid w:val="00232E07"/>
    <w:rsid w:val="00232E61"/>
    <w:rsid w:val="00232F43"/>
    <w:rsid w:val="00233204"/>
    <w:rsid w:val="002335C9"/>
    <w:rsid w:val="0023398E"/>
    <w:rsid w:val="00233DB8"/>
    <w:rsid w:val="002342DC"/>
    <w:rsid w:val="002357D8"/>
    <w:rsid w:val="00235C6C"/>
    <w:rsid w:val="00235D39"/>
    <w:rsid w:val="002360AB"/>
    <w:rsid w:val="00236AB5"/>
    <w:rsid w:val="0023709E"/>
    <w:rsid w:val="00237598"/>
    <w:rsid w:val="002401E9"/>
    <w:rsid w:val="00240377"/>
    <w:rsid w:val="00240423"/>
    <w:rsid w:val="00240AF6"/>
    <w:rsid w:val="00240D22"/>
    <w:rsid w:val="00241BCC"/>
    <w:rsid w:val="00241C7A"/>
    <w:rsid w:val="00241FD8"/>
    <w:rsid w:val="002429EC"/>
    <w:rsid w:val="00243057"/>
    <w:rsid w:val="002437CB"/>
    <w:rsid w:val="0024441C"/>
    <w:rsid w:val="0024452B"/>
    <w:rsid w:val="002445F5"/>
    <w:rsid w:val="00244C00"/>
    <w:rsid w:val="00244C53"/>
    <w:rsid w:val="00245884"/>
    <w:rsid w:val="002460F0"/>
    <w:rsid w:val="0024694E"/>
    <w:rsid w:val="00246D1D"/>
    <w:rsid w:val="00247002"/>
    <w:rsid w:val="002479C7"/>
    <w:rsid w:val="00247B49"/>
    <w:rsid w:val="002506CA"/>
    <w:rsid w:val="00250C58"/>
    <w:rsid w:val="00251095"/>
    <w:rsid w:val="002516CE"/>
    <w:rsid w:val="00251821"/>
    <w:rsid w:val="00251CFC"/>
    <w:rsid w:val="00251EFC"/>
    <w:rsid w:val="002524A2"/>
    <w:rsid w:val="00252EF4"/>
    <w:rsid w:val="00253016"/>
    <w:rsid w:val="002531E1"/>
    <w:rsid w:val="0025331D"/>
    <w:rsid w:val="00253903"/>
    <w:rsid w:val="00253B0B"/>
    <w:rsid w:val="00253E0D"/>
    <w:rsid w:val="00253F02"/>
    <w:rsid w:val="00253F54"/>
    <w:rsid w:val="00254332"/>
    <w:rsid w:val="002544BE"/>
    <w:rsid w:val="002559F2"/>
    <w:rsid w:val="00255E60"/>
    <w:rsid w:val="00255F33"/>
    <w:rsid w:val="00256928"/>
    <w:rsid w:val="00256EF5"/>
    <w:rsid w:val="002578D1"/>
    <w:rsid w:val="002579B6"/>
    <w:rsid w:val="00257E38"/>
    <w:rsid w:val="002600AD"/>
    <w:rsid w:val="00260E67"/>
    <w:rsid w:val="00261496"/>
    <w:rsid w:val="00261794"/>
    <w:rsid w:val="002619BB"/>
    <w:rsid w:val="00261A1B"/>
    <w:rsid w:val="00261C30"/>
    <w:rsid w:val="00261CE1"/>
    <w:rsid w:val="002621D1"/>
    <w:rsid w:val="002625F9"/>
    <w:rsid w:val="00262B53"/>
    <w:rsid w:val="00263472"/>
    <w:rsid w:val="002639DF"/>
    <w:rsid w:val="00263C94"/>
    <w:rsid w:val="00264005"/>
    <w:rsid w:val="00264712"/>
    <w:rsid w:val="0026500A"/>
    <w:rsid w:val="002652F6"/>
    <w:rsid w:val="002666D6"/>
    <w:rsid w:val="00266715"/>
    <w:rsid w:val="00266716"/>
    <w:rsid w:val="00266D4D"/>
    <w:rsid w:val="00266E88"/>
    <w:rsid w:val="0026760A"/>
    <w:rsid w:val="00270AC3"/>
    <w:rsid w:val="0027101B"/>
    <w:rsid w:val="00271453"/>
    <w:rsid w:val="0027173C"/>
    <w:rsid w:val="00271DF4"/>
    <w:rsid w:val="00272310"/>
    <w:rsid w:val="00272700"/>
    <w:rsid w:val="00273639"/>
    <w:rsid w:val="002738EB"/>
    <w:rsid w:val="00273CF1"/>
    <w:rsid w:val="00274242"/>
    <w:rsid w:val="0027448F"/>
    <w:rsid w:val="00274B45"/>
    <w:rsid w:val="002751FA"/>
    <w:rsid w:val="0027544F"/>
    <w:rsid w:val="00275565"/>
    <w:rsid w:val="002755CD"/>
    <w:rsid w:val="002766BD"/>
    <w:rsid w:val="002768AC"/>
    <w:rsid w:val="00276B75"/>
    <w:rsid w:val="00276C07"/>
    <w:rsid w:val="00276C4A"/>
    <w:rsid w:val="00276CA2"/>
    <w:rsid w:val="002776CB"/>
    <w:rsid w:val="00277AA8"/>
    <w:rsid w:val="002806B4"/>
    <w:rsid w:val="002807D0"/>
    <w:rsid w:val="0028085E"/>
    <w:rsid w:val="00280976"/>
    <w:rsid w:val="0028097A"/>
    <w:rsid w:val="00281475"/>
    <w:rsid w:val="002815AF"/>
    <w:rsid w:val="002820A8"/>
    <w:rsid w:val="00282B6B"/>
    <w:rsid w:val="00282C4F"/>
    <w:rsid w:val="00283043"/>
    <w:rsid w:val="002830D7"/>
    <w:rsid w:val="0028312E"/>
    <w:rsid w:val="00283BDB"/>
    <w:rsid w:val="00284329"/>
    <w:rsid w:val="00285057"/>
    <w:rsid w:val="00285DD4"/>
    <w:rsid w:val="0028619F"/>
    <w:rsid w:val="002865A4"/>
    <w:rsid w:val="0028666A"/>
    <w:rsid w:val="0028683D"/>
    <w:rsid w:val="00286972"/>
    <w:rsid w:val="00286B27"/>
    <w:rsid w:val="00287071"/>
    <w:rsid w:val="00287584"/>
    <w:rsid w:val="00287DE3"/>
    <w:rsid w:val="00290BC8"/>
    <w:rsid w:val="00290E4D"/>
    <w:rsid w:val="00291296"/>
    <w:rsid w:val="00291360"/>
    <w:rsid w:val="00292E52"/>
    <w:rsid w:val="00292FBE"/>
    <w:rsid w:val="002936C3"/>
    <w:rsid w:val="00293EF0"/>
    <w:rsid w:val="00294553"/>
    <w:rsid w:val="00294686"/>
    <w:rsid w:val="002948EB"/>
    <w:rsid w:val="00295654"/>
    <w:rsid w:val="00296208"/>
    <w:rsid w:val="002969BC"/>
    <w:rsid w:val="00296A1A"/>
    <w:rsid w:val="00296DC3"/>
    <w:rsid w:val="002975CC"/>
    <w:rsid w:val="0029BD5B"/>
    <w:rsid w:val="002A09FF"/>
    <w:rsid w:val="002A1824"/>
    <w:rsid w:val="002A1DAA"/>
    <w:rsid w:val="002A1DD5"/>
    <w:rsid w:val="002A1E40"/>
    <w:rsid w:val="002A1FE1"/>
    <w:rsid w:val="002A2787"/>
    <w:rsid w:val="002A2F02"/>
    <w:rsid w:val="002A388E"/>
    <w:rsid w:val="002A3B09"/>
    <w:rsid w:val="002A3D72"/>
    <w:rsid w:val="002A471B"/>
    <w:rsid w:val="002A5932"/>
    <w:rsid w:val="002A59B0"/>
    <w:rsid w:val="002A71E8"/>
    <w:rsid w:val="002A7CFB"/>
    <w:rsid w:val="002B03B1"/>
    <w:rsid w:val="002B03B9"/>
    <w:rsid w:val="002B0E02"/>
    <w:rsid w:val="002B1137"/>
    <w:rsid w:val="002B11D3"/>
    <w:rsid w:val="002B1423"/>
    <w:rsid w:val="002B1D33"/>
    <w:rsid w:val="002B2CA2"/>
    <w:rsid w:val="002B2D01"/>
    <w:rsid w:val="002B3049"/>
    <w:rsid w:val="002B345A"/>
    <w:rsid w:val="002B35A6"/>
    <w:rsid w:val="002B40D4"/>
    <w:rsid w:val="002B410D"/>
    <w:rsid w:val="002B4718"/>
    <w:rsid w:val="002B4E55"/>
    <w:rsid w:val="002B522F"/>
    <w:rsid w:val="002B52A6"/>
    <w:rsid w:val="002B5400"/>
    <w:rsid w:val="002B5825"/>
    <w:rsid w:val="002B59A7"/>
    <w:rsid w:val="002B5DFE"/>
    <w:rsid w:val="002B6231"/>
    <w:rsid w:val="002B6C81"/>
    <w:rsid w:val="002B6D51"/>
    <w:rsid w:val="002B6DAE"/>
    <w:rsid w:val="002B77DF"/>
    <w:rsid w:val="002B7BD1"/>
    <w:rsid w:val="002B7BE2"/>
    <w:rsid w:val="002B7C20"/>
    <w:rsid w:val="002B7CFC"/>
    <w:rsid w:val="002B7EEB"/>
    <w:rsid w:val="002C0201"/>
    <w:rsid w:val="002C035E"/>
    <w:rsid w:val="002C09F5"/>
    <w:rsid w:val="002C1226"/>
    <w:rsid w:val="002C1676"/>
    <w:rsid w:val="002C1D4C"/>
    <w:rsid w:val="002C22AD"/>
    <w:rsid w:val="002C23BB"/>
    <w:rsid w:val="002C2418"/>
    <w:rsid w:val="002C2A40"/>
    <w:rsid w:val="002C373B"/>
    <w:rsid w:val="002C3C18"/>
    <w:rsid w:val="002C425A"/>
    <w:rsid w:val="002C47E6"/>
    <w:rsid w:val="002C4B63"/>
    <w:rsid w:val="002C4D3B"/>
    <w:rsid w:val="002C4F5E"/>
    <w:rsid w:val="002C53B8"/>
    <w:rsid w:val="002C53C2"/>
    <w:rsid w:val="002C59E4"/>
    <w:rsid w:val="002C5C39"/>
    <w:rsid w:val="002C694C"/>
    <w:rsid w:val="002C6C9A"/>
    <w:rsid w:val="002C70F5"/>
    <w:rsid w:val="002C7E54"/>
    <w:rsid w:val="002D0294"/>
    <w:rsid w:val="002D03F1"/>
    <w:rsid w:val="002D05F7"/>
    <w:rsid w:val="002D0A70"/>
    <w:rsid w:val="002D0BFF"/>
    <w:rsid w:val="002D1734"/>
    <w:rsid w:val="002D2CE7"/>
    <w:rsid w:val="002D2D09"/>
    <w:rsid w:val="002D2D24"/>
    <w:rsid w:val="002D2D34"/>
    <w:rsid w:val="002D41FF"/>
    <w:rsid w:val="002D43E1"/>
    <w:rsid w:val="002D4679"/>
    <w:rsid w:val="002D48D9"/>
    <w:rsid w:val="002D49C6"/>
    <w:rsid w:val="002D57CC"/>
    <w:rsid w:val="002D593E"/>
    <w:rsid w:val="002D5C61"/>
    <w:rsid w:val="002D6A5D"/>
    <w:rsid w:val="002D7242"/>
    <w:rsid w:val="002D72DA"/>
    <w:rsid w:val="002D766B"/>
    <w:rsid w:val="002D7744"/>
    <w:rsid w:val="002D7839"/>
    <w:rsid w:val="002D78F7"/>
    <w:rsid w:val="002D790A"/>
    <w:rsid w:val="002D7C19"/>
    <w:rsid w:val="002D7C97"/>
    <w:rsid w:val="002E00B9"/>
    <w:rsid w:val="002E02A5"/>
    <w:rsid w:val="002E0384"/>
    <w:rsid w:val="002E045A"/>
    <w:rsid w:val="002E05F5"/>
    <w:rsid w:val="002E0F5A"/>
    <w:rsid w:val="002E1479"/>
    <w:rsid w:val="002E1C3B"/>
    <w:rsid w:val="002E1FC5"/>
    <w:rsid w:val="002E20A1"/>
    <w:rsid w:val="002E21BE"/>
    <w:rsid w:val="002E2717"/>
    <w:rsid w:val="002E3BF5"/>
    <w:rsid w:val="002E3C97"/>
    <w:rsid w:val="002E3DAD"/>
    <w:rsid w:val="002E41D3"/>
    <w:rsid w:val="002E42F9"/>
    <w:rsid w:val="002E43FD"/>
    <w:rsid w:val="002E4C9D"/>
    <w:rsid w:val="002E4DEE"/>
    <w:rsid w:val="002E5225"/>
    <w:rsid w:val="002E539F"/>
    <w:rsid w:val="002E6F3F"/>
    <w:rsid w:val="002E746F"/>
    <w:rsid w:val="002E7C53"/>
    <w:rsid w:val="002F01CC"/>
    <w:rsid w:val="002F033D"/>
    <w:rsid w:val="002F0629"/>
    <w:rsid w:val="002F0783"/>
    <w:rsid w:val="002F0882"/>
    <w:rsid w:val="002F0E00"/>
    <w:rsid w:val="002F0F27"/>
    <w:rsid w:val="002F12E9"/>
    <w:rsid w:val="002F13A2"/>
    <w:rsid w:val="002F163C"/>
    <w:rsid w:val="002F1C3A"/>
    <w:rsid w:val="002F1CFB"/>
    <w:rsid w:val="002F21B9"/>
    <w:rsid w:val="002F2339"/>
    <w:rsid w:val="002F2BBB"/>
    <w:rsid w:val="002F3828"/>
    <w:rsid w:val="002F428F"/>
    <w:rsid w:val="002F458B"/>
    <w:rsid w:val="002F4EEF"/>
    <w:rsid w:val="002F5973"/>
    <w:rsid w:val="002F5BF8"/>
    <w:rsid w:val="002F5CF9"/>
    <w:rsid w:val="002F6214"/>
    <w:rsid w:val="002F6329"/>
    <w:rsid w:val="002F6404"/>
    <w:rsid w:val="002F69C1"/>
    <w:rsid w:val="00300459"/>
    <w:rsid w:val="003028F8"/>
    <w:rsid w:val="00303208"/>
    <w:rsid w:val="00303C48"/>
    <w:rsid w:val="0030468A"/>
    <w:rsid w:val="0030488C"/>
    <w:rsid w:val="003049D9"/>
    <w:rsid w:val="00304D8E"/>
    <w:rsid w:val="0030589A"/>
    <w:rsid w:val="00306074"/>
    <w:rsid w:val="0030611B"/>
    <w:rsid w:val="003064A6"/>
    <w:rsid w:val="00306AE9"/>
    <w:rsid w:val="00306EC8"/>
    <w:rsid w:val="0030740A"/>
    <w:rsid w:val="00307BC9"/>
    <w:rsid w:val="00307ED0"/>
    <w:rsid w:val="003108D9"/>
    <w:rsid w:val="00310975"/>
    <w:rsid w:val="003110B5"/>
    <w:rsid w:val="0031145C"/>
    <w:rsid w:val="00311503"/>
    <w:rsid w:val="0031237F"/>
    <w:rsid w:val="00312807"/>
    <w:rsid w:val="0031297D"/>
    <w:rsid w:val="00312EA2"/>
    <w:rsid w:val="00312EAD"/>
    <w:rsid w:val="00312FB4"/>
    <w:rsid w:val="003136D9"/>
    <w:rsid w:val="00313899"/>
    <w:rsid w:val="00313B05"/>
    <w:rsid w:val="003142D9"/>
    <w:rsid w:val="003144B6"/>
    <w:rsid w:val="003144C8"/>
    <w:rsid w:val="00314761"/>
    <w:rsid w:val="00314C25"/>
    <w:rsid w:val="00314C37"/>
    <w:rsid w:val="00314D61"/>
    <w:rsid w:val="00314EEA"/>
    <w:rsid w:val="003151B9"/>
    <w:rsid w:val="003158BB"/>
    <w:rsid w:val="003160FD"/>
    <w:rsid w:val="00316981"/>
    <w:rsid w:val="00316A78"/>
    <w:rsid w:val="00316E1F"/>
    <w:rsid w:val="0031708A"/>
    <w:rsid w:val="00317101"/>
    <w:rsid w:val="00317A11"/>
    <w:rsid w:val="00320345"/>
    <w:rsid w:val="00320610"/>
    <w:rsid w:val="00321E6A"/>
    <w:rsid w:val="0032237A"/>
    <w:rsid w:val="003223EB"/>
    <w:rsid w:val="003234C6"/>
    <w:rsid w:val="0032376F"/>
    <w:rsid w:val="00323789"/>
    <w:rsid w:val="0032390C"/>
    <w:rsid w:val="0032401D"/>
    <w:rsid w:val="003245BE"/>
    <w:rsid w:val="00324695"/>
    <w:rsid w:val="00324886"/>
    <w:rsid w:val="0032499A"/>
    <w:rsid w:val="0032503D"/>
    <w:rsid w:val="00325116"/>
    <w:rsid w:val="0032559C"/>
    <w:rsid w:val="00325760"/>
    <w:rsid w:val="0032582E"/>
    <w:rsid w:val="00325EDF"/>
    <w:rsid w:val="00326484"/>
    <w:rsid w:val="0032669B"/>
    <w:rsid w:val="00327096"/>
    <w:rsid w:val="00327490"/>
    <w:rsid w:val="00327F00"/>
    <w:rsid w:val="0033086E"/>
    <w:rsid w:val="00331163"/>
    <w:rsid w:val="0033182B"/>
    <w:rsid w:val="00331A70"/>
    <w:rsid w:val="0033240C"/>
    <w:rsid w:val="0033273D"/>
    <w:rsid w:val="00332936"/>
    <w:rsid w:val="00333016"/>
    <w:rsid w:val="00333071"/>
    <w:rsid w:val="003331CA"/>
    <w:rsid w:val="003335AB"/>
    <w:rsid w:val="00333852"/>
    <w:rsid w:val="00333DE6"/>
    <w:rsid w:val="003346CA"/>
    <w:rsid w:val="00334DE4"/>
    <w:rsid w:val="00334E4A"/>
    <w:rsid w:val="00335731"/>
    <w:rsid w:val="00335FE6"/>
    <w:rsid w:val="00336398"/>
    <w:rsid w:val="0033708F"/>
    <w:rsid w:val="003408D5"/>
    <w:rsid w:val="003410C6"/>
    <w:rsid w:val="003412C1"/>
    <w:rsid w:val="003420EA"/>
    <w:rsid w:val="003424A2"/>
    <w:rsid w:val="00342B76"/>
    <w:rsid w:val="00342E69"/>
    <w:rsid w:val="003430F1"/>
    <w:rsid w:val="003431CD"/>
    <w:rsid w:val="00343231"/>
    <w:rsid w:val="003435BF"/>
    <w:rsid w:val="00343898"/>
    <w:rsid w:val="0034426E"/>
    <w:rsid w:val="00344315"/>
    <w:rsid w:val="0034537C"/>
    <w:rsid w:val="00345A69"/>
    <w:rsid w:val="00345C53"/>
    <w:rsid w:val="00345DA8"/>
    <w:rsid w:val="003462A8"/>
    <w:rsid w:val="003469D5"/>
    <w:rsid w:val="00346B2E"/>
    <w:rsid w:val="00346C4A"/>
    <w:rsid w:val="003472A3"/>
    <w:rsid w:val="00347579"/>
    <w:rsid w:val="00347859"/>
    <w:rsid w:val="00347B8B"/>
    <w:rsid w:val="00347D0A"/>
    <w:rsid w:val="00350FB8"/>
    <w:rsid w:val="00351190"/>
    <w:rsid w:val="003513E1"/>
    <w:rsid w:val="00352D6C"/>
    <w:rsid w:val="0035317F"/>
    <w:rsid w:val="003536C9"/>
    <w:rsid w:val="00353AC1"/>
    <w:rsid w:val="00353C28"/>
    <w:rsid w:val="00353FB6"/>
    <w:rsid w:val="003543CA"/>
    <w:rsid w:val="00354696"/>
    <w:rsid w:val="00354BEC"/>
    <w:rsid w:val="00354E9E"/>
    <w:rsid w:val="00355BEE"/>
    <w:rsid w:val="00355FA3"/>
    <w:rsid w:val="00356FF1"/>
    <w:rsid w:val="00357DA4"/>
    <w:rsid w:val="00360233"/>
    <w:rsid w:val="0036047D"/>
    <w:rsid w:val="00360B0E"/>
    <w:rsid w:val="00360C7A"/>
    <w:rsid w:val="00361860"/>
    <w:rsid w:val="00361BF8"/>
    <w:rsid w:val="0036310F"/>
    <w:rsid w:val="00363863"/>
    <w:rsid w:val="00363D2C"/>
    <w:rsid w:val="00363FA3"/>
    <w:rsid w:val="00364308"/>
    <w:rsid w:val="003652A2"/>
    <w:rsid w:val="00365AF0"/>
    <w:rsid w:val="00365CD4"/>
    <w:rsid w:val="0036654A"/>
    <w:rsid w:val="00366F25"/>
    <w:rsid w:val="0036708C"/>
    <w:rsid w:val="00367451"/>
    <w:rsid w:val="0036758F"/>
    <w:rsid w:val="0036775E"/>
    <w:rsid w:val="00367BDF"/>
    <w:rsid w:val="00367D0E"/>
    <w:rsid w:val="003700E7"/>
    <w:rsid w:val="00370772"/>
    <w:rsid w:val="0037195A"/>
    <w:rsid w:val="003722F4"/>
    <w:rsid w:val="003726A2"/>
    <w:rsid w:val="00372A32"/>
    <w:rsid w:val="00372E2E"/>
    <w:rsid w:val="00373590"/>
    <w:rsid w:val="00373896"/>
    <w:rsid w:val="00373A72"/>
    <w:rsid w:val="00373A9D"/>
    <w:rsid w:val="00373AD4"/>
    <w:rsid w:val="003740F9"/>
    <w:rsid w:val="00375514"/>
    <w:rsid w:val="003758E8"/>
    <w:rsid w:val="00375B9A"/>
    <w:rsid w:val="00375D0A"/>
    <w:rsid w:val="00375DE1"/>
    <w:rsid w:val="00376004"/>
    <w:rsid w:val="003771E3"/>
    <w:rsid w:val="00377A1A"/>
    <w:rsid w:val="0038000A"/>
    <w:rsid w:val="00381BD6"/>
    <w:rsid w:val="00381C96"/>
    <w:rsid w:val="00381E64"/>
    <w:rsid w:val="0038264F"/>
    <w:rsid w:val="00382BE7"/>
    <w:rsid w:val="00382C4F"/>
    <w:rsid w:val="00382EE5"/>
    <w:rsid w:val="00383598"/>
    <w:rsid w:val="00383DAA"/>
    <w:rsid w:val="00383DF0"/>
    <w:rsid w:val="00383F86"/>
    <w:rsid w:val="00384261"/>
    <w:rsid w:val="00384E84"/>
    <w:rsid w:val="003856F9"/>
    <w:rsid w:val="00385FFB"/>
    <w:rsid w:val="003863D0"/>
    <w:rsid w:val="00386559"/>
    <w:rsid w:val="003869F4"/>
    <w:rsid w:val="00386B16"/>
    <w:rsid w:val="0038739C"/>
    <w:rsid w:val="00387696"/>
    <w:rsid w:val="00387A66"/>
    <w:rsid w:val="00387D2D"/>
    <w:rsid w:val="00390055"/>
    <w:rsid w:val="00390200"/>
    <w:rsid w:val="00390595"/>
    <w:rsid w:val="00390704"/>
    <w:rsid w:val="00390965"/>
    <w:rsid w:val="00390E72"/>
    <w:rsid w:val="00391D91"/>
    <w:rsid w:val="00393461"/>
    <w:rsid w:val="00393C05"/>
    <w:rsid w:val="00393FE8"/>
    <w:rsid w:val="00394518"/>
    <w:rsid w:val="00394C59"/>
    <w:rsid w:val="00395216"/>
    <w:rsid w:val="00395F76"/>
    <w:rsid w:val="00395F78"/>
    <w:rsid w:val="003960C5"/>
    <w:rsid w:val="0039632F"/>
    <w:rsid w:val="0039749B"/>
    <w:rsid w:val="003974CB"/>
    <w:rsid w:val="00397681"/>
    <w:rsid w:val="003A0C16"/>
    <w:rsid w:val="003A0DF4"/>
    <w:rsid w:val="003A0E83"/>
    <w:rsid w:val="003A158D"/>
    <w:rsid w:val="003A15BD"/>
    <w:rsid w:val="003A185B"/>
    <w:rsid w:val="003A1A36"/>
    <w:rsid w:val="003A21FB"/>
    <w:rsid w:val="003A2C6E"/>
    <w:rsid w:val="003A378E"/>
    <w:rsid w:val="003A3CBF"/>
    <w:rsid w:val="003A48A6"/>
    <w:rsid w:val="003A5802"/>
    <w:rsid w:val="003A6372"/>
    <w:rsid w:val="003A71FC"/>
    <w:rsid w:val="003A73DF"/>
    <w:rsid w:val="003A75E2"/>
    <w:rsid w:val="003A761F"/>
    <w:rsid w:val="003A7761"/>
    <w:rsid w:val="003A79D5"/>
    <w:rsid w:val="003A7C03"/>
    <w:rsid w:val="003A7E10"/>
    <w:rsid w:val="003B0803"/>
    <w:rsid w:val="003B08FB"/>
    <w:rsid w:val="003B1179"/>
    <w:rsid w:val="003B1370"/>
    <w:rsid w:val="003B14A0"/>
    <w:rsid w:val="003B1600"/>
    <w:rsid w:val="003B161E"/>
    <w:rsid w:val="003B2B7C"/>
    <w:rsid w:val="003B2D91"/>
    <w:rsid w:val="003B37BF"/>
    <w:rsid w:val="003B41E7"/>
    <w:rsid w:val="003B4658"/>
    <w:rsid w:val="003B5157"/>
    <w:rsid w:val="003B5A59"/>
    <w:rsid w:val="003B5B4E"/>
    <w:rsid w:val="003B5E96"/>
    <w:rsid w:val="003B67FB"/>
    <w:rsid w:val="003B7918"/>
    <w:rsid w:val="003B7B33"/>
    <w:rsid w:val="003B7B6B"/>
    <w:rsid w:val="003C05AA"/>
    <w:rsid w:val="003C0AE6"/>
    <w:rsid w:val="003C12BF"/>
    <w:rsid w:val="003C1E93"/>
    <w:rsid w:val="003C23A1"/>
    <w:rsid w:val="003C3622"/>
    <w:rsid w:val="003C37B6"/>
    <w:rsid w:val="003C395B"/>
    <w:rsid w:val="003C3B29"/>
    <w:rsid w:val="003C4658"/>
    <w:rsid w:val="003C4F78"/>
    <w:rsid w:val="003C5FB1"/>
    <w:rsid w:val="003C626B"/>
    <w:rsid w:val="003C6A9C"/>
    <w:rsid w:val="003C6D21"/>
    <w:rsid w:val="003C6FF8"/>
    <w:rsid w:val="003C7801"/>
    <w:rsid w:val="003C7DD9"/>
    <w:rsid w:val="003D0194"/>
    <w:rsid w:val="003D062C"/>
    <w:rsid w:val="003D09C0"/>
    <w:rsid w:val="003D0A1D"/>
    <w:rsid w:val="003D0CF9"/>
    <w:rsid w:val="003D0F40"/>
    <w:rsid w:val="003D1C31"/>
    <w:rsid w:val="003D1CE2"/>
    <w:rsid w:val="003D1DEF"/>
    <w:rsid w:val="003D1E08"/>
    <w:rsid w:val="003D2072"/>
    <w:rsid w:val="003D20C5"/>
    <w:rsid w:val="003D25DB"/>
    <w:rsid w:val="003D2818"/>
    <w:rsid w:val="003D292A"/>
    <w:rsid w:val="003D2EE0"/>
    <w:rsid w:val="003D323E"/>
    <w:rsid w:val="003D32BD"/>
    <w:rsid w:val="003D32C4"/>
    <w:rsid w:val="003D369C"/>
    <w:rsid w:val="003D4102"/>
    <w:rsid w:val="003D4157"/>
    <w:rsid w:val="003D4217"/>
    <w:rsid w:val="003D4776"/>
    <w:rsid w:val="003D4D49"/>
    <w:rsid w:val="003D4E1C"/>
    <w:rsid w:val="003D4FE7"/>
    <w:rsid w:val="003D5C80"/>
    <w:rsid w:val="003D5C84"/>
    <w:rsid w:val="003D62F2"/>
    <w:rsid w:val="003D634F"/>
    <w:rsid w:val="003D654E"/>
    <w:rsid w:val="003D66E2"/>
    <w:rsid w:val="003D6FEB"/>
    <w:rsid w:val="003D7731"/>
    <w:rsid w:val="003D782B"/>
    <w:rsid w:val="003D7F8A"/>
    <w:rsid w:val="003E0375"/>
    <w:rsid w:val="003E098A"/>
    <w:rsid w:val="003E121F"/>
    <w:rsid w:val="003E1761"/>
    <w:rsid w:val="003E24EF"/>
    <w:rsid w:val="003E2897"/>
    <w:rsid w:val="003E32CF"/>
    <w:rsid w:val="003E357A"/>
    <w:rsid w:val="003E3888"/>
    <w:rsid w:val="003E3E9D"/>
    <w:rsid w:val="003E3EBF"/>
    <w:rsid w:val="003E43E6"/>
    <w:rsid w:val="003E4582"/>
    <w:rsid w:val="003E4739"/>
    <w:rsid w:val="003E500A"/>
    <w:rsid w:val="003E56C7"/>
    <w:rsid w:val="003E5B5F"/>
    <w:rsid w:val="003E5DF8"/>
    <w:rsid w:val="003E6764"/>
    <w:rsid w:val="003E6B2C"/>
    <w:rsid w:val="003E737A"/>
    <w:rsid w:val="003F020E"/>
    <w:rsid w:val="003F0374"/>
    <w:rsid w:val="003F0E5F"/>
    <w:rsid w:val="003F0EB2"/>
    <w:rsid w:val="003F1F27"/>
    <w:rsid w:val="003F2202"/>
    <w:rsid w:val="003F226E"/>
    <w:rsid w:val="003F2415"/>
    <w:rsid w:val="003F241D"/>
    <w:rsid w:val="003F2C0C"/>
    <w:rsid w:val="003F31D8"/>
    <w:rsid w:val="003F3F1E"/>
    <w:rsid w:val="003F4262"/>
    <w:rsid w:val="003F526D"/>
    <w:rsid w:val="003F57E1"/>
    <w:rsid w:val="003F5A7B"/>
    <w:rsid w:val="003F5E8E"/>
    <w:rsid w:val="003F5F01"/>
    <w:rsid w:val="003F6609"/>
    <w:rsid w:val="003F6E56"/>
    <w:rsid w:val="003F6FAE"/>
    <w:rsid w:val="003F7421"/>
    <w:rsid w:val="003F7731"/>
    <w:rsid w:val="003F7C4F"/>
    <w:rsid w:val="003F7F51"/>
    <w:rsid w:val="00400092"/>
    <w:rsid w:val="00400639"/>
    <w:rsid w:val="004007CE"/>
    <w:rsid w:val="00400A64"/>
    <w:rsid w:val="00401221"/>
    <w:rsid w:val="00401A93"/>
    <w:rsid w:val="00401D59"/>
    <w:rsid w:val="00401FB8"/>
    <w:rsid w:val="00402131"/>
    <w:rsid w:val="004023C7"/>
    <w:rsid w:val="004024B7"/>
    <w:rsid w:val="004027FE"/>
    <w:rsid w:val="00402968"/>
    <w:rsid w:val="00402A02"/>
    <w:rsid w:val="00403184"/>
    <w:rsid w:val="004034B5"/>
    <w:rsid w:val="004043D5"/>
    <w:rsid w:val="00404E11"/>
    <w:rsid w:val="004054D5"/>
    <w:rsid w:val="00405BC2"/>
    <w:rsid w:val="0040641B"/>
    <w:rsid w:val="00406577"/>
    <w:rsid w:val="00411C89"/>
    <w:rsid w:val="00412369"/>
    <w:rsid w:val="004126FE"/>
    <w:rsid w:val="00412A5C"/>
    <w:rsid w:val="0041317D"/>
    <w:rsid w:val="0041354D"/>
    <w:rsid w:val="00413D29"/>
    <w:rsid w:val="00414399"/>
    <w:rsid w:val="0041449E"/>
    <w:rsid w:val="004156AD"/>
    <w:rsid w:val="00415FFF"/>
    <w:rsid w:val="00416272"/>
    <w:rsid w:val="0041643C"/>
    <w:rsid w:val="0041651A"/>
    <w:rsid w:val="00416B90"/>
    <w:rsid w:val="0041707C"/>
    <w:rsid w:val="00417110"/>
    <w:rsid w:val="00421531"/>
    <w:rsid w:val="00421DD5"/>
    <w:rsid w:val="00423651"/>
    <w:rsid w:val="00423996"/>
    <w:rsid w:val="00423C23"/>
    <w:rsid w:val="00423F4C"/>
    <w:rsid w:val="00424332"/>
    <w:rsid w:val="00424E80"/>
    <w:rsid w:val="0042551B"/>
    <w:rsid w:val="004259AF"/>
    <w:rsid w:val="00426283"/>
    <w:rsid w:val="00427931"/>
    <w:rsid w:val="00427F36"/>
    <w:rsid w:val="004306AE"/>
    <w:rsid w:val="00430704"/>
    <w:rsid w:val="004307ED"/>
    <w:rsid w:val="004309CE"/>
    <w:rsid w:val="00430DB0"/>
    <w:rsid w:val="00431010"/>
    <w:rsid w:val="004317A3"/>
    <w:rsid w:val="00431D15"/>
    <w:rsid w:val="00432233"/>
    <w:rsid w:val="0043277E"/>
    <w:rsid w:val="00432908"/>
    <w:rsid w:val="00432A1C"/>
    <w:rsid w:val="00432A7D"/>
    <w:rsid w:val="00433542"/>
    <w:rsid w:val="004335D3"/>
    <w:rsid w:val="004335FB"/>
    <w:rsid w:val="004338F7"/>
    <w:rsid w:val="0043394B"/>
    <w:rsid w:val="00433F8E"/>
    <w:rsid w:val="004340E6"/>
    <w:rsid w:val="004340EF"/>
    <w:rsid w:val="00434C7D"/>
    <w:rsid w:val="004350DD"/>
    <w:rsid w:val="004357E9"/>
    <w:rsid w:val="0043592E"/>
    <w:rsid w:val="004359D7"/>
    <w:rsid w:val="00435DE1"/>
    <w:rsid w:val="004362E2"/>
    <w:rsid w:val="00436332"/>
    <w:rsid w:val="00436DD7"/>
    <w:rsid w:val="0043716A"/>
    <w:rsid w:val="00437B6A"/>
    <w:rsid w:val="00437F08"/>
    <w:rsid w:val="00440024"/>
    <w:rsid w:val="00440AE5"/>
    <w:rsid w:val="00440CA2"/>
    <w:rsid w:val="00440F15"/>
    <w:rsid w:val="00441D34"/>
    <w:rsid w:val="00441D9A"/>
    <w:rsid w:val="00442200"/>
    <w:rsid w:val="0044288C"/>
    <w:rsid w:val="0044299A"/>
    <w:rsid w:val="00442C57"/>
    <w:rsid w:val="00442E9E"/>
    <w:rsid w:val="004444C9"/>
    <w:rsid w:val="004456AF"/>
    <w:rsid w:val="00445A32"/>
    <w:rsid w:val="00445E7A"/>
    <w:rsid w:val="0044626D"/>
    <w:rsid w:val="004463C7"/>
    <w:rsid w:val="00446944"/>
    <w:rsid w:val="00446C47"/>
    <w:rsid w:val="0044715F"/>
    <w:rsid w:val="00447402"/>
    <w:rsid w:val="0045017E"/>
    <w:rsid w:val="00450383"/>
    <w:rsid w:val="004503EC"/>
    <w:rsid w:val="00450A39"/>
    <w:rsid w:val="00450E33"/>
    <w:rsid w:val="004514DF"/>
    <w:rsid w:val="004515A0"/>
    <w:rsid w:val="0045163C"/>
    <w:rsid w:val="00451F24"/>
    <w:rsid w:val="004526A3"/>
    <w:rsid w:val="0045298A"/>
    <w:rsid w:val="00452D69"/>
    <w:rsid w:val="00452D8C"/>
    <w:rsid w:val="00453497"/>
    <w:rsid w:val="00453537"/>
    <w:rsid w:val="0045423E"/>
    <w:rsid w:val="00454285"/>
    <w:rsid w:val="004548EC"/>
    <w:rsid w:val="004549A9"/>
    <w:rsid w:val="00454A50"/>
    <w:rsid w:val="00454CB6"/>
    <w:rsid w:val="00455702"/>
    <w:rsid w:val="00455866"/>
    <w:rsid w:val="00455922"/>
    <w:rsid w:val="0045613C"/>
    <w:rsid w:val="00457D7B"/>
    <w:rsid w:val="00460498"/>
    <w:rsid w:val="0046076C"/>
    <w:rsid w:val="00460C15"/>
    <w:rsid w:val="00460EEE"/>
    <w:rsid w:val="00461B0D"/>
    <w:rsid w:val="00461B54"/>
    <w:rsid w:val="004622EF"/>
    <w:rsid w:val="004629B7"/>
    <w:rsid w:val="00462E05"/>
    <w:rsid w:val="00464436"/>
    <w:rsid w:val="00464F88"/>
    <w:rsid w:val="00465039"/>
    <w:rsid w:val="00465A43"/>
    <w:rsid w:val="004664F1"/>
    <w:rsid w:val="004665E7"/>
    <w:rsid w:val="00466669"/>
    <w:rsid w:val="00466D12"/>
    <w:rsid w:val="0046723B"/>
    <w:rsid w:val="00467681"/>
    <w:rsid w:val="00467881"/>
    <w:rsid w:val="004679A3"/>
    <w:rsid w:val="00467F05"/>
    <w:rsid w:val="0047031E"/>
    <w:rsid w:val="00470EF8"/>
    <w:rsid w:val="00470F36"/>
    <w:rsid w:val="00471009"/>
    <w:rsid w:val="00472F64"/>
    <w:rsid w:val="00473153"/>
    <w:rsid w:val="004732B1"/>
    <w:rsid w:val="0047354D"/>
    <w:rsid w:val="004737BB"/>
    <w:rsid w:val="00473AB3"/>
    <w:rsid w:val="00474379"/>
    <w:rsid w:val="004747FE"/>
    <w:rsid w:val="004754A4"/>
    <w:rsid w:val="00475529"/>
    <w:rsid w:val="00475A89"/>
    <w:rsid w:val="00475CF4"/>
    <w:rsid w:val="0047609A"/>
    <w:rsid w:val="00476119"/>
    <w:rsid w:val="00476BD0"/>
    <w:rsid w:val="00476F81"/>
    <w:rsid w:val="0047726C"/>
    <w:rsid w:val="004772CA"/>
    <w:rsid w:val="004773F2"/>
    <w:rsid w:val="00477B3C"/>
    <w:rsid w:val="004805BC"/>
    <w:rsid w:val="00480654"/>
    <w:rsid w:val="00480D2C"/>
    <w:rsid w:val="0048160B"/>
    <w:rsid w:val="00481784"/>
    <w:rsid w:val="004819F6"/>
    <w:rsid w:val="00481BC9"/>
    <w:rsid w:val="00481FC7"/>
    <w:rsid w:val="00482DFA"/>
    <w:rsid w:val="004834CA"/>
    <w:rsid w:val="00483858"/>
    <w:rsid w:val="00483ACA"/>
    <w:rsid w:val="004847BE"/>
    <w:rsid w:val="00484BE0"/>
    <w:rsid w:val="00484E0A"/>
    <w:rsid w:val="00485216"/>
    <w:rsid w:val="00485491"/>
    <w:rsid w:val="00485838"/>
    <w:rsid w:val="004858C9"/>
    <w:rsid w:val="004858D7"/>
    <w:rsid w:val="00485CF2"/>
    <w:rsid w:val="00485D60"/>
    <w:rsid w:val="00487213"/>
    <w:rsid w:val="004906DC"/>
    <w:rsid w:val="00491604"/>
    <w:rsid w:val="00491883"/>
    <w:rsid w:val="0049189D"/>
    <w:rsid w:val="004918F8"/>
    <w:rsid w:val="00491E60"/>
    <w:rsid w:val="004920DE"/>
    <w:rsid w:val="0049308C"/>
    <w:rsid w:val="00493508"/>
    <w:rsid w:val="0049353F"/>
    <w:rsid w:val="004937EF"/>
    <w:rsid w:val="00493A0D"/>
    <w:rsid w:val="0049495E"/>
    <w:rsid w:val="00495616"/>
    <w:rsid w:val="00495BFB"/>
    <w:rsid w:val="00496349"/>
    <w:rsid w:val="00496B99"/>
    <w:rsid w:val="004971E3"/>
    <w:rsid w:val="004975F3"/>
    <w:rsid w:val="00497945"/>
    <w:rsid w:val="004A056A"/>
    <w:rsid w:val="004A0C0B"/>
    <w:rsid w:val="004A0E78"/>
    <w:rsid w:val="004A0E7B"/>
    <w:rsid w:val="004A13F6"/>
    <w:rsid w:val="004A15B2"/>
    <w:rsid w:val="004A1603"/>
    <w:rsid w:val="004A1E3E"/>
    <w:rsid w:val="004A23B1"/>
    <w:rsid w:val="004A346D"/>
    <w:rsid w:val="004A3E8E"/>
    <w:rsid w:val="004A439D"/>
    <w:rsid w:val="004A4B79"/>
    <w:rsid w:val="004A4F07"/>
    <w:rsid w:val="004A52C3"/>
    <w:rsid w:val="004A54BF"/>
    <w:rsid w:val="004A591C"/>
    <w:rsid w:val="004A5BF2"/>
    <w:rsid w:val="004A6040"/>
    <w:rsid w:val="004A61B1"/>
    <w:rsid w:val="004A6A3D"/>
    <w:rsid w:val="004A71ED"/>
    <w:rsid w:val="004A7A87"/>
    <w:rsid w:val="004A7B21"/>
    <w:rsid w:val="004A7C30"/>
    <w:rsid w:val="004A7E7E"/>
    <w:rsid w:val="004A7EF0"/>
    <w:rsid w:val="004B005A"/>
    <w:rsid w:val="004B05A3"/>
    <w:rsid w:val="004B0CC9"/>
    <w:rsid w:val="004B155B"/>
    <w:rsid w:val="004B2140"/>
    <w:rsid w:val="004B2445"/>
    <w:rsid w:val="004B2895"/>
    <w:rsid w:val="004B291E"/>
    <w:rsid w:val="004B3816"/>
    <w:rsid w:val="004B38B0"/>
    <w:rsid w:val="004B3AF1"/>
    <w:rsid w:val="004B3DC8"/>
    <w:rsid w:val="004B3E2F"/>
    <w:rsid w:val="004B503E"/>
    <w:rsid w:val="004B50E5"/>
    <w:rsid w:val="004B6BE5"/>
    <w:rsid w:val="004B7436"/>
    <w:rsid w:val="004B753A"/>
    <w:rsid w:val="004B7DF8"/>
    <w:rsid w:val="004C09AB"/>
    <w:rsid w:val="004C0A94"/>
    <w:rsid w:val="004C0DE4"/>
    <w:rsid w:val="004C1728"/>
    <w:rsid w:val="004C1D54"/>
    <w:rsid w:val="004C1ECB"/>
    <w:rsid w:val="004C201C"/>
    <w:rsid w:val="004C2621"/>
    <w:rsid w:val="004C2C94"/>
    <w:rsid w:val="004C2EDC"/>
    <w:rsid w:val="004C38C4"/>
    <w:rsid w:val="004C4500"/>
    <w:rsid w:val="004C56D7"/>
    <w:rsid w:val="004C5911"/>
    <w:rsid w:val="004C5AAA"/>
    <w:rsid w:val="004C5E57"/>
    <w:rsid w:val="004C5ED9"/>
    <w:rsid w:val="004C616B"/>
    <w:rsid w:val="004C6545"/>
    <w:rsid w:val="004C6A21"/>
    <w:rsid w:val="004C6CB2"/>
    <w:rsid w:val="004C6D4A"/>
    <w:rsid w:val="004C727B"/>
    <w:rsid w:val="004C7A4A"/>
    <w:rsid w:val="004C7A92"/>
    <w:rsid w:val="004C7FE7"/>
    <w:rsid w:val="004D0223"/>
    <w:rsid w:val="004D0931"/>
    <w:rsid w:val="004D178A"/>
    <w:rsid w:val="004D1BC9"/>
    <w:rsid w:val="004D1F0E"/>
    <w:rsid w:val="004D251F"/>
    <w:rsid w:val="004D2835"/>
    <w:rsid w:val="004D297D"/>
    <w:rsid w:val="004D342E"/>
    <w:rsid w:val="004D3F7C"/>
    <w:rsid w:val="004D492D"/>
    <w:rsid w:val="004D5523"/>
    <w:rsid w:val="004D57D6"/>
    <w:rsid w:val="004D6852"/>
    <w:rsid w:val="004D7184"/>
    <w:rsid w:val="004D7233"/>
    <w:rsid w:val="004D7BED"/>
    <w:rsid w:val="004D7CE2"/>
    <w:rsid w:val="004D7D73"/>
    <w:rsid w:val="004D7EE9"/>
    <w:rsid w:val="004E001A"/>
    <w:rsid w:val="004E00BD"/>
    <w:rsid w:val="004E02A5"/>
    <w:rsid w:val="004E0533"/>
    <w:rsid w:val="004E0AA3"/>
    <w:rsid w:val="004E151F"/>
    <w:rsid w:val="004E1DEF"/>
    <w:rsid w:val="004E2488"/>
    <w:rsid w:val="004E34B4"/>
    <w:rsid w:val="004E37AB"/>
    <w:rsid w:val="004E3AD4"/>
    <w:rsid w:val="004E417D"/>
    <w:rsid w:val="004E4E14"/>
    <w:rsid w:val="004E52A9"/>
    <w:rsid w:val="004E5493"/>
    <w:rsid w:val="004E5728"/>
    <w:rsid w:val="004E5C5A"/>
    <w:rsid w:val="004E5D9F"/>
    <w:rsid w:val="004E5F55"/>
    <w:rsid w:val="004E6804"/>
    <w:rsid w:val="004E6938"/>
    <w:rsid w:val="004F0509"/>
    <w:rsid w:val="004F0549"/>
    <w:rsid w:val="004F069D"/>
    <w:rsid w:val="004F0AF7"/>
    <w:rsid w:val="004F0E6E"/>
    <w:rsid w:val="004F0EF3"/>
    <w:rsid w:val="004F1265"/>
    <w:rsid w:val="004F1925"/>
    <w:rsid w:val="004F1D5D"/>
    <w:rsid w:val="004F1E9A"/>
    <w:rsid w:val="004F2748"/>
    <w:rsid w:val="004F2815"/>
    <w:rsid w:val="004F3486"/>
    <w:rsid w:val="004F3683"/>
    <w:rsid w:val="004F40D1"/>
    <w:rsid w:val="004F4228"/>
    <w:rsid w:val="004F4AFD"/>
    <w:rsid w:val="004F55C1"/>
    <w:rsid w:val="004F5AA6"/>
    <w:rsid w:val="004F5D3F"/>
    <w:rsid w:val="004F68C4"/>
    <w:rsid w:val="004F7729"/>
    <w:rsid w:val="00500007"/>
    <w:rsid w:val="00500A1A"/>
    <w:rsid w:val="00500A55"/>
    <w:rsid w:val="005014B6"/>
    <w:rsid w:val="0050182F"/>
    <w:rsid w:val="005019E0"/>
    <w:rsid w:val="00501A01"/>
    <w:rsid w:val="00501EE5"/>
    <w:rsid w:val="0050200A"/>
    <w:rsid w:val="005021F0"/>
    <w:rsid w:val="00502670"/>
    <w:rsid w:val="00502BD3"/>
    <w:rsid w:val="00502F77"/>
    <w:rsid w:val="0050305A"/>
    <w:rsid w:val="0050338D"/>
    <w:rsid w:val="0050347D"/>
    <w:rsid w:val="005045D4"/>
    <w:rsid w:val="005046F1"/>
    <w:rsid w:val="00505754"/>
    <w:rsid w:val="00505A21"/>
    <w:rsid w:val="00505EC2"/>
    <w:rsid w:val="005061D1"/>
    <w:rsid w:val="00506A5A"/>
    <w:rsid w:val="00506AEF"/>
    <w:rsid w:val="00507221"/>
    <w:rsid w:val="00507326"/>
    <w:rsid w:val="00507691"/>
    <w:rsid w:val="005077A1"/>
    <w:rsid w:val="00510253"/>
    <w:rsid w:val="0051081A"/>
    <w:rsid w:val="0051099E"/>
    <w:rsid w:val="0051100D"/>
    <w:rsid w:val="005110FA"/>
    <w:rsid w:val="005111E0"/>
    <w:rsid w:val="00511658"/>
    <w:rsid w:val="00511A7D"/>
    <w:rsid w:val="0051203A"/>
    <w:rsid w:val="005130CB"/>
    <w:rsid w:val="005130E1"/>
    <w:rsid w:val="005133CA"/>
    <w:rsid w:val="00513FAE"/>
    <w:rsid w:val="005141E9"/>
    <w:rsid w:val="00514426"/>
    <w:rsid w:val="00514EB7"/>
    <w:rsid w:val="00515454"/>
    <w:rsid w:val="005154CC"/>
    <w:rsid w:val="00515A8F"/>
    <w:rsid w:val="00515EC7"/>
    <w:rsid w:val="00516097"/>
    <w:rsid w:val="00516153"/>
    <w:rsid w:val="005163B2"/>
    <w:rsid w:val="0051646B"/>
    <w:rsid w:val="005167FC"/>
    <w:rsid w:val="00516801"/>
    <w:rsid w:val="00516DE3"/>
    <w:rsid w:val="00520225"/>
    <w:rsid w:val="005204F0"/>
    <w:rsid w:val="00521C74"/>
    <w:rsid w:val="00521CFC"/>
    <w:rsid w:val="00521F1C"/>
    <w:rsid w:val="005229A9"/>
    <w:rsid w:val="00522AAE"/>
    <w:rsid w:val="00523145"/>
    <w:rsid w:val="005232AF"/>
    <w:rsid w:val="005235B7"/>
    <w:rsid w:val="00523AD9"/>
    <w:rsid w:val="00523B13"/>
    <w:rsid w:val="00523B88"/>
    <w:rsid w:val="00523E5F"/>
    <w:rsid w:val="00523FBB"/>
    <w:rsid w:val="00524378"/>
    <w:rsid w:val="005251EF"/>
    <w:rsid w:val="00525291"/>
    <w:rsid w:val="005252AA"/>
    <w:rsid w:val="00525542"/>
    <w:rsid w:val="00525CB4"/>
    <w:rsid w:val="00526198"/>
    <w:rsid w:val="00526357"/>
    <w:rsid w:val="00526CA6"/>
    <w:rsid w:val="00526EDD"/>
    <w:rsid w:val="005278AB"/>
    <w:rsid w:val="0053036C"/>
    <w:rsid w:val="0053040D"/>
    <w:rsid w:val="00530AF8"/>
    <w:rsid w:val="00531454"/>
    <w:rsid w:val="00531914"/>
    <w:rsid w:val="00531AEA"/>
    <w:rsid w:val="00531FC4"/>
    <w:rsid w:val="00532038"/>
    <w:rsid w:val="00532089"/>
    <w:rsid w:val="00532375"/>
    <w:rsid w:val="0053242F"/>
    <w:rsid w:val="005325CF"/>
    <w:rsid w:val="00532AF9"/>
    <w:rsid w:val="00532FD7"/>
    <w:rsid w:val="005332C8"/>
    <w:rsid w:val="00534134"/>
    <w:rsid w:val="00535645"/>
    <w:rsid w:val="005365BB"/>
    <w:rsid w:val="00536FD2"/>
    <w:rsid w:val="005379B4"/>
    <w:rsid w:val="00537C27"/>
    <w:rsid w:val="00537CC7"/>
    <w:rsid w:val="00540970"/>
    <w:rsid w:val="00540F3D"/>
    <w:rsid w:val="0054190E"/>
    <w:rsid w:val="00541DBE"/>
    <w:rsid w:val="005420B7"/>
    <w:rsid w:val="005423BE"/>
    <w:rsid w:val="005427A3"/>
    <w:rsid w:val="00543639"/>
    <w:rsid w:val="00543CEC"/>
    <w:rsid w:val="00544469"/>
    <w:rsid w:val="005451A5"/>
    <w:rsid w:val="005455B5"/>
    <w:rsid w:val="005455EA"/>
    <w:rsid w:val="0054587A"/>
    <w:rsid w:val="005458D4"/>
    <w:rsid w:val="00545D3A"/>
    <w:rsid w:val="00546CA5"/>
    <w:rsid w:val="00547A12"/>
    <w:rsid w:val="005502AF"/>
    <w:rsid w:val="0055030B"/>
    <w:rsid w:val="00550970"/>
    <w:rsid w:val="00550DEE"/>
    <w:rsid w:val="00551069"/>
    <w:rsid w:val="00551154"/>
    <w:rsid w:val="00551E13"/>
    <w:rsid w:val="00551F80"/>
    <w:rsid w:val="005520A5"/>
    <w:rsid w:val="00552C9D"/>
    <w:rsid w:val="00553765"/>
    <w:rsid w:val="005537D0"/>
    <w:rsid w:val="005538B3"/>
    <w:rsid w:val="00553C5D"/>
    <w:rsid w:val="00554A2C"/>
    <w:rsid w:val="00554B47"/>
    <w:rsid w:val="00554F07"/>
    <w:rsid w:val="00555768"/>
    <w:rsid w:val="00555C73"/>
    <w:rsid w:val="00555D58"/>
    <w:rsid w:val="00556ADF"/>
    <w:rsid w:val="00557069"/>
    <w:rsid w:val="0055744F"/>
    <w:rsid w:val="00557693"/>
    <w:rsid w:val="0056028C"/>
    <w:rsid w:val="005603AD"/>
    <w:rsid w:val="00560570"/>
    <w:rsid w:val="00562647"/>
    <w:rsid w:val="00562B66"/>
    <w:rsid w:val="00562B84"/>
    <w:rsid w:val="00562E50"/>
    <w:rsid w:val="005636F3"/>
    <w:rsid w:val="005639D6"/>
    <w:rsid w:val="00563A40"/>
    <w:rsid w:val="00563AB9"/>
    <w:rsid w:val="00563EC2"/>
    <w:rsid w:val="00563ED2"/>
    <w:rsid w:val="005643F0"/>
    <w:rsid w:val="00564433"/>
    <w:rsid w:val="005644E9"/>
    <w:rsid w:val="00564BD6"/>
    <w:rsid w:val="00565136"/>
    <w:rsid w:val="0056616F"/>
    <w:rsid w:val="0056701C"/>
    <w:rsid w:val="00567294"/>
    <w:rsid w:val="00567FE7"/>
    <w:rsid w:val="0057012F"/>
    <w:rsid w:val="00570688"/>
    <w:rsid w:val="0057083E"/>
    <w:rsid w:val="00570AF7"/>
    <w:rsid w:val="00570B54"/>
    <w:rsid w:val="00571E0F"/>
    <w:rsid w:val="00573307"/>
    <w:rsid w:val="0057401E"/>
    <w:rsid w:val="00574033"/>
    <w:rsid w:val="005742FE"/>
    <w:rsid w:val="00574ECF"/>
    <w:rsid w:val="00575372"/>
    <w:rsid w:val="00575B03"/>
    <w:rsid w:val="00575D64"/>
    <w:rsid w:val="0057656D"/>
    <w:rsid w:val="0057779E"/>
    <w:rsid w:val="005779C8"/>
    <w:rsid w:val="00577C8B"/>
    <w:rsid w:val="0058104B"/>
    <w:rsid w:val="00581531"/>
    <w:rsid w:val="00581657"/>
    <w:rsid w:val="005824CF"/>
    <w:rsid w:val="00583050"/>
    <w:rsid w:val="00583392"/>
    <w:rsid w:val="00584369"/>
    <w:rsid w:val="00584CA2"/>
    <w:rsid w:val="00585D2B"/>
    <w:rsid w:val="00585FEF"/>
    <w:rsid w:val="005862F7"/>
    <w:rsid w:val="00586C10"/>
    <w:rsid w:val="005872B2"/>
    <w:rsid w:val="00587C1D"/>
    <w:rsid w:val="00587EC6"/>
    <w:rsid w:val="00591102"/>
    <w:rsid w:val="005912A6"/>
    <w:rsid w:val="00592081"/>
    <w:rsid w:val="0059278B"/>
    <w:rsid w:val="0059280D"/>
    <w:rsid w:val="0059302B"/>
    <w:rsid w:val="0059332D"/>
    <w:rsid w:val="00593CB4"/>
    <w:rsid w:val="0059439A"/>
    <w:rsid w:val="0059516C"/>
    <w:rsid w:val="005964FF"/>
    <w:rsid w:val="005967DC"/>
    <w:rsid w:val="00596FA1"/>
    <w:rsid w:val="0059730B"/>
    <w:rsid w:val="0059769E"/>
    <w:rsid w:val="00597A59"/>
    <w:rsid w:val="005A055D"/>
    <w:rsid w:val="005A08E2"/>
    <w:rsid w:val="005A0ED0"/>
    <w:rsid w:val="005A129E"/>
    <w:rsid w:val="005A1458"/>
    <w:rsid w:val="005A25A8"/>
    <w:rsid w:val="005A2BBD"/>
    <w:rsid w:val="005A3620"/>
    <w:rsid w:val="005A3791"/>
    <w:rsid w:val="005A3D7B"/>
    <w:rsid w:val="005A4045"/>
    <w:rsid w:val="005A51EE"/>
    <w:rsid w:val="005A6131"/>
    <w:rsid w:val="005A69D1"/>
    <w:rsid w:val="005B00D3"/>
    <w:rsid w:val="005B0209"/>
    <w:rsid w:val="005B0245"/>
    <w:rsid w:val="005B0550"/>
    <w:rsid w:val="005B0836"/>
    <w:rsid w:val="005B1F1B"/>
    <w:rsid w:val="005B284B"/>
    <w:rsid w:val="005B28D9"/>
    <w:rsid w:val="005B2E8D"/>
    <w:rsid w:val="005B2EF5"/>
    <w:rsid w:val="005B2EF8"/>
    <w:rsid w:val="005B4FF3"/>
    <w:rsid w:val="005B53C5"/>
    <w:rsid w:val="005B566C"/>
    <w:rsid w:val="005B5A3F"/>
    <w:rsid w:val="005B5D27"/>
    <w:rsid w:val="005B6429"/>
    <w:rsid w:val="005B6D62"/>
    <w:rsid w:val="005B7295"/>
    <w:rsid w:val="005B74BF"/>
    <w:rsid w:val="005C05BF"/>
    <w:rsid w:val="005C0874"/>
    <w:rsid w:val="005C0900"/>
    <w:rsid w:val="005C0AE3"/>
    <w:rsid w:val="005C102D"/>
    <w:rsid w:val="005C106C"/>
    <w:rsid w:val="005C14D2"/>
    <w:rsid w:val="005C176A"/>
    <w:rsid w:val="005C1F20"/>
    <w:rsid w:val="005C32C2"/>
    <w:rsid w:val="005C34E5"/>
    <w:rsid w:val="005C3F9B"/>
    <w:rsid w:val="005C4122"/>
    <w:rsid w:val="005C482F"/>
    <w:rsid w:val="005C4E39"/>
    <w:rsid w:val="005C510B"/>
    <w:rsid w:val="005C5307"/>
    <w:rsid w:val="005C6785"/>
    <w:rsid w:val="005C726A"/>
    <w:rsid w:val="005C7B09"/>
    <w:rsid w:val="005C7C81"/>
    <w:rsid w:val="005C7DC7"/>
    <w:rsid w:val="005C7E23"/>
    <w:rsid w:val="005C7F5A"/>
    <w:rsid w:val="005C7F85"/>
    <w:rsid w:val="005D0773"/>
    <w:rsid w:val="005D0788"/>
    <w:rsid w:val="005D0AED"/>
    <w:rsid w:val="005D0B54"/>
    <w:rsid w:val="005D0FAF"/>
    <w:rsid w:val="005D224B"/>
    <w:rsid w:val="005D2967"/>
    <w:rsid w:val="005D2D45"/>
    <w:rsid w:val="005D3942"/>
    <w:rsid w:val="005D3A06"/>
    <w:rsid w:val="005D405D"/>
    <w:rsid w:val="005D486B"/>
    <w:rsid w:val="005D4E3E"/>
    <w:rsid w:val="005D525C"/>
    <w:rsid w:val="005D58AD"/>
    <w:rsid w:val="005D5E33"/>
    <w:rsid w:val="005D6863"/>
    <w:rsid w:val="005D6A52"/>
    <w:rsid w:val="005D6D0A"/>
    <w:rsid w:val="005D6D57"/>
    <w:rsid w:val="005D7578"/>
    <w:rsid w:val="005E0589"/>
    <w:rsid w:val="005E11E3"/>
    <w:rsid w:val="005E1408"/>
    <w:rsid w:val="005E178A"/>
    <w:rsid w:val="005E22DC"/>
    <w:rsid w:val="005E272E"/>
    <w:rsid w:val="005E27EF"/>
    <w:rsid w:val="005E291F"/>
    <w:rsid w:val="005E2A10"/>
    <w:rsid w:val="005E31B8"/>
    <w:rsid w:val="005E4284"/>
    <w:rsid w:val="005E458B"/>
    <w:rsid w:val="005E4711"/>
    <w:rsid w:val="005E47CD"/>
    <w:rsid w:val="005E4A1C"/>
    <w:rsid w:val="005E5327"/>
    <w:rsid w:val="005E534E"/>
    <w:rsid w:val="005E576F"/>
    <w:rsid w:val="005E5AD3"/>
    <w:rsid w:val="005E5C24"/>
    <w:rsid w:val="005E5E7F"/>
    <w:rsid w:val="005E604F"/>
    <w:rsid w:val="005E6CA4"/>
    <w:rsid w:val="005E6F02"/>
    <w:rsid w:val="005E6F0E"/>
    <w:rsid w:val="005E7283"/>
    <w:rsid w:val="005E73B5"/>
    <w:rsid w:val="005E7CBC"/>
    <w:rsid w:val="005F05CA"/>
    <w:rsid w:val="005F0761"/>
    <w:rsid w:val="005F0885"/>
    <w:rsid w:val="005F1140"/>
    <w:rsid w:val="005F1167"/>
    <w:rsid w:val="005F1A97"/>
    <w:rsid w:val="005F1E68"/>
    <w:rsid w:val="005F20BE"/>
    <w:rsid w:val="005F2237"/>
    <w:rsid w:val="005F24B1"/>
    <w:rsid w:val="005F26FC"/>
    <w:rsid w:val="005F28DD"/>
    <w:rsid w:val="005F28EA"/>
    <w:rsid w:val="005F2D93"/>
    <w:rsid w:val="005F333C"/>
    <w:rsid w:val="005F345D"/>
    <w:rsid w:val="005F348D"/>
    <w:rsid w:val="005F3949"/>
    <w:rsid w:val="005F3A3E"/>
    <w:rsid w:val="005F4CFB"/>
    <w:rsid w:val="005F51F5"/>
    <w:rsid w:val="005F54C6"/>
    <w:rsid w:val="005F5609"/>
    <w:rsid w:val="005F5A25"/>
    <w:rsid w:val="005F63EE"/>
    <w:rsid w:val="005F667C"/>
    <w:rsid w:val="005F69D9"/>
    <w:rsid w:val="005F6B32"/>
    <w:rsid w:val="005F6CC0"/>
    <w:rsid w:val="005F6E18"/>
    <w:rsid w:val="005F7DF2"/>
    <w:rsid w:val="005F7ED7"/>
    <w:rsid w:val="006001B3"/>
    <w:rsid w:val="00600451"/>
    <w:rsid w:val="00600670"/>
    <w:rsid w:val="006006F6"/>
    <w:rsid w:val="00600DB1"/>
    <w:rsid w:val="006022FD"/>
    <w:rsid w:val="00602CAE"/>
    <w:rsid w:val="00602ECE"/>
    <w:rsid w:val="00603032"/>
    <w:rsid w:val="00604C45"/>
    <w:rsid w:val="00604FCA"/>
    <w:rsid w:val="00605048"/>
    <w:rsid w:val="006052FA"/>
    <w:rsid w:val="006054CC"/>
    <w:rsid w:val="006054EE"/>
    <w:rsid w:val="00606127"/>
    <w:rsid w:val="006061F1"/>
    <w:rsid w:val="00606579"/>
    <w:rsid w:val="00606AE5"/>
    <w:rsid w:val="00606BB0"/>
    <w:rsid w:val="00606DB7"/>
    <w:rsid w:val="0060724E"/>
    <w:rsid w:val="006074CA"/>
    <w:rsid w:val="00607CF0"/>
    <w:rsid w:val="006102FD"/>
    <w:rsid w:val="0061036C"/>
    <w:rsid w:val="00611490"/>
    <w:rsid w:val="00611638"/>
    <w:rsid w:val="00611828"/>
    <w:rsid w:val="00611C37"/>
    <w:rsid w:val="006120DC"/>
    <w:rsid w:val="0061246A"/>
    <w:rsid w:val="00612553"/>
    <w:rsid w:val="00613713"/>
    <w:rsid w:val="00613CE0"/>
    <w:rsid w:val="006143DE"/>
    <w:rsid w:val="006146F4"/>
    <w:rsid w:val="00614BD6"/>
    <w:rsid w:val="00614CA4"/>
    <w:rsid w:val="0061532D"/>
    <w:rsid w:val="0061570C"/>
    <w:rsid w:val="00616339"/>
    <w:rsid w:val="006163F5"/>
    <w:rsid w:val="00616709"/>
    <w:rsid w:val="00616D8B"/>
    <w:rsid w:val="006170F6"/>
    <w:rsid w:val="006177A2"/>
    <w:rsid w:val="0061796D"/>
    <w:rsid w:val="00617CEF"/>
    <w:rsid w:val="0061BDF3"/>
    <w:rsid w:val="00620336"/>
    <w:rsid w:val="00620558"/>
    <w:rsid w:val="00620C83"/>
    <w:rsid w:val="00620CF5"/>
    <w:rsid w:val="006217F8"/>
    <w:rsid w:val="006221B6"/>
    <w:rsid w:val="0062357B"/>
    <w:rsid w:val="00623903"/>
    <w:rsid w:val="00624181"/>
    <w:rsid w:val="00624757"/>
    <w:rsid w:val="0062479F"/>
    <w:rsid w:val="00624901"/>
    <w:rsid w:val="00624BA1"/>
    <w:rsid w:val="006255B2"/>
    <w:rsid w:val="00625C2C"/>
    <w:rsid w:val="00625C92"/>
    <w:rsid w:val="00626231"/>
    <w:rsid w:val="00626273"/>
    <w:rsid w:val="00626511"/>
    <w:rsid w:val="00626C40"/>
    <w:rsid w:val="006271DE"/>
    <w:rsid w:val="00627BB2"/>
    <w:rsid w:val="00627BF4"/>
    <w:rsid w:val="00627EDF"/>
    <w:rsid w:val="00630426"/>
    <w:rsid w:val="00630586"/>
    <w:rsid w:val="006305D0"/>
    <w:rsid w:val="00630911"/>
    <w:rsid w:val="006309FD"/>
    <w:rsid w:val="006316D5"/>
    <w:rsid w:val="006316E9"/>
    <w:rsid w:val="00631BE6"/>
    <w:rsid w:val="00631D8B"/>
    <w:rsid w:val="00632027"/>
    <w:rsid w:val="0063216B"/>
    <w:rsid w:val="0063296E"/>
    <w:rsid w:val="00632F11"/>
    <w:rsid w:val="00633359"/>
    <w:rsid w:val="00633FCF"/>
    <w:rsid w:val="00634261"/>
    <w:rsid w:val="00634733"/>
    <w:rsid w:val="006348F8"/>
    <w:rsid w:val="00634AB9"/>
    <w:rsid w:val="00634C41"/>
    <w:rsid w:val="00635759"/>
    <w:rsid w:val="00635881"/>
    <w:rsid w:val="00635E0C"/>
    <w:rsid w:val="00636515"/>
    <w:rsid w:val="006365C3"/>
    <w:rsid w:val="006368E4"/>
    <w:rsid w:val="006372D7"/>
    <w:rsid w:val="00637823"/>
    <w:rsid w:val="00637A98"/>
    <w:rsid w:val="00637C11"/>
    <w:rsid w:val="00637F60"/>
    <w:rsid w:val="0064048D"/>
    <w:rsid w:val="0064065E"/>
    <w:rsid w:val="00640C7E"/>
    <w:rsid w:val="0064146C"/>
    <w:rsid w:val="006422FD"/>
    <w:rsid w:val="0064257D"/>
    <w:rsid w:val="00642751"/>
    <w:rsid w:val="00642858"/>
    <w:rsid w:val="006428DA"/>
    <w:rsid w:val="0064391E"/>
    <w:rsid w:val="00643FEB"/>
    <w:rsid w:val="006454C5"/>
    <w:rsid w:val="00646434"/>
    <w:rsid w:val="00646BC2"/>
    <w:rsid w:val="00647007"/>
    <w:rsid w:val="00647087"/>
    <w:rsid w:val="006472FD"/>
    <w:rsid w:val="0064741C"/>
    <w:rsid w:val="00647D21"/>
    <w:rsid w:val="00647F71"/>
    <w:rsid w:val="0065036A"/>
    <w:rsid w:val="006506C3"/>
    <w:rsid w:val="00650859"/>
    <w:rsid w:val="00650C40"/>
    <w:rsid w:val="00650FB0"/>
    <w:rsid w:val="006516F5"/>
    <w:rsid w:val="00651939"/>
    <w:rsid w:val="00651FB8"/>
    <w:rsid w:val="00652067"/>
    <w:rsid w:val="00652562"/>
    <w:rsid w:val="00652794"/>
    <w:rsid w:val="006528B1"/>
    <w:rsid w:val="00652BFC"/>
    <w:rsid w:val="00652E0E"/>
    <w:rsid w:val="00653D2B"/>
    <w:rsid w:val="00653D87"/>
    <w:rsid w:val="00653EC5"/>
    <w:rsid w:val="0065414D"/>
    <w:rsid w:val="006552DA"/>
    <w:rsid w:val="0065543A"/>
    <w:rsid w:val="00655483"/>
    <w:rsid w:val="006557B9"/>
    <w:rsid w:val="0065698E"/>
    <w:rsid w:val="00656BA6"/>
    <w:rsid w:val="0065708D"/>
    <w:rsid w:val="006575EB"/>
    <w:rsid w:val="006579AE"/>
    <w:rsid w:val="006602E6"/>
    <w:rsid w:val="0066074B"/>
    <w:rsid w:val="0066091F"/>
    <w:rsid w:val="006614B5"/>
    <w:rsid w:val="006624A4"/>
    <w:rsid w:val="00662BE0"/>
    <w:rsid w:val="0066380F"/>
    <w:rsid w:val="00663863"/>
    <w:rsid w:val="00663888"/>
    <w:rsid w:val="00663958"/>
    <w:rsid w:val="00663B0E"/>
    <w:rsid w:val="00664677"/>
    <w:rsid w:val="0066565B"/>
    <w:rsid w:val="00665D2F"/>
    <w:rsid w:val="00666ADB"/>
    <w:rsid w:val="006674F4"/>
    <w:rsid w:val="00667B3E"/>
    <w:rsid w:val="00667CDC"/>
    <w:rsid w:val="00667E6A"/>
    <w:rsid w:val="00667F0F"/>
    <w:rsid w:val="0067058B"/>
    <w:rsid w:val="006705D5"/>
    <w:rsid w:val="00670E0D"/>
    <w:rsid w:val="00670FC0"/>
    <w:rsid w:val="00671043"/>
    <w:rsid w:val="00671608"/>
    <w:rsid w:val="0067272B"/>
    <w:rsid w:val="006728DF"/>
    <w:rsid w:val="00673925"/>
    <w:rsid w:val="00673AE3"/>
    <w:rsid w:val="00673AEA"/>
    <w:rsid w:val="00674009"/>
    <w:rsid w:val="00674AD5"/>
    <w:rsid w:val="00674BF8"/>
    <w:rsid w:val="006755F1"/>
    <w:rsid w:val="00675758"/>
    <w:rsid w:val="00675E5B"/>
    <w:rsid w:val="00676233"/>
    <w:rsid w:val="00677067"/>
    <w:rsid w:val="00677179"/>
    <w:rsid w:val="006772BF"/>
    <w:rsid w:val="0068063C"/>
    <w:rsid w:val="0068066B"/>
    <w:rsid w:val="006808B1"/>
    <w:rsid w:val="006812EF"/>
    <w:rsid w:val="00682914"/>
    <w:rsid w:val="00682A85"/>
    <w:rsid w:val="006831C8"/>
    <w:rsid w:val="0068330F"/>
    <w:rsid w:val="00683407"/>
    <w:rsid w:val="0068349E"/>
    <w:rsid w:val="00683A67"/>
    <w:rsid w:val="006855FE"/>
    <w:rsid w:val="00685A05"/>
    <w:rsid w:val="00685F25"/>
    <w:rsid w:val="006863CA"/>
    <w:rsid w:val="00686532"/>
    <w:rsid w:val="00686812"/>
    <w:rsid w:val="00686DB4"/>
    <w:rsid w:val="00687A16"/>
    <w:rsid w:val="00687B32"/>
    <w:rsid w:val="00687EED"/>
    <w:rsid w:val="00687FCF"/>
    <w:rsid w:val="006902A0"/>
    <w:rsid w:val="006903C7"/>
    <w:rsid w:val="006904EC"/>
    <w:rsid w:val="00690697"/>
    <w:rsid w:val="00690D0A"/>
    <w:rsid w:val="00691525"/>
    <w:rsid w:val="00691C2A"/>
    <w:rsid w:val="006925D7"/>
    <w:rsid w:val="00692FCD"/>
    <w:rsid w:val="00693339"/>
    <w:rsid w:val="006933CF"/>
    <w:rsid w:val="0069340D"/>
    <w:rsid w:val="0069346A"/>
    <w:rsid w:val="0069386E"/>
    <w:rsid w:val="00693AA1"/>
    <w:rsid w:val="00693BE5"/>
    <w:rsid w:val="00693E9D"/>
    <w:rsid w:val="00693F91"/>
    <w:rsid w:val="00694503"/>
    <w:rsid w:val="006947FC"/>
    <w:rsid w:val="00694DED"/>
    <w:rsid w:val="00694ECD"/>
    <w:rsid w:val="00695B81"/>
    <w:rsid w:val="00695D10"/>
    <w:rsid w:val="00696650"/>
    <w:rsid w:val="00696E5B"/>
    <w:rsid w:val="00697E03"/>
    <w:rsid w:val="006A02B2"/>
    <w:rsid w:val="006A06A9"/>
    <w:rsid w:val="006A0E3F"/>
    <w:rsid w:val="006A0E40"/>
    <w:rsid w:val="006A10C8"/>
    <w:rsid w:val="006A19E3"/>
    <w:rsid w:val="006A209F"/>
    <w:rsid w:val="006A2926"/>
    <w:rsid w:val="006A2E2E"/>
    <w:rsid w:val="006A2F9E"/>
    <w:rsid w:val="006A3626"/>
    <w:rsid w:val="006A3DCD"/>
    <w:rsid w:val="006A4307"/>
    <w:rsid w:val="006A45E9"/>
    <w:rsid w:val="006A460F"/>
    <w:rsid w:val="006A4C93"/>
    <w:rsid w:val="006A4DC0"/>
    <w:rsid w:val="006A5298"/>
    <w:rsid w:val="006A5A28"/>
    <w:rsid w:val="006A5C81"/>
    <w:rsid w:val="006A6196"/>
    <w:rsid w:val="006A6B8E"/>
    <w:rsid w:val="006A73F9"/>
    <w:rsid w:val="006A782A"/>
    <w:rsid w:val="006A7DD6"/>
    <w:rsid w:val="006B0BFF"/>
    <w:rsid w:val="006B1242"/>
    <w:rsid w:val="006B1C11"/>
    <w:rsid w:val="006B231D"/>
    <w:rsid w:val="006B2436"/>
    <w:rsid w:val="006B28E5"/>
    <w:rsid w:val="006B312A"/>
    <w:rsid w:val="006B33B0"/>
    <w:rsid w:val="006B3CE0"/>
    <w:rsid w:val="006B3F22"/>
    <w:rsid w:val="006B407E"/>
    <w:rsid w:val="006B4359"/>
    <w:rsid w:val="006B449F"/>
    <w:rsid w:val="006B45C0"/>
    <w:rsid w:val="006B4F81"/>
    <w:rsid w:val="006B533A"/>
    <w:rsid w:val="006B5608"/>
    <w:rsid w:val="006B5AB0"/>
    <w:rsid w:val="006B5C22"/>
    <w:rsid w:val="006B6013"/>
    <w:rsid w:val="006B72A6"/>
    <w:rsid w:val="006B73DE"/>
    <w:rsid w:val="006B75CF"/>
    <w:rsid w:val="006B76F4"/>
    <w:rsid w:val="006B7D19"/>
    <w:rsid w:val="006B7F6C"/>
    <w:rsid w:val="006C02A6"/>
    <w:rsid w:val="006C1377"/>
    <w:rsid w:val="006C13C1"/>
    <w:rsid w:val="006C1913"/>
    <w:rsid w:val="006C24AD"/>
    <w:rsid w:val="006C25F0"/>
    <w:rsid w:val="006C2949"/>
    <w:rsid w:val="006C29FF"/>
    <w:rsid w:val="006C2A59"/>
    <w:rsid w:val="006C3031"/>
    <w:rsid w:val="006C3C48"/>
    <w:rsid w:val="006C3CBB"/>
    <w:rsid w:val="006C3D2F"/>
    <w:rsid w:val="006C3E43"/>
    <w:rsid w:val="006C3F20"/>
    <w:rsid w:val="006C4B6C"/>
    <w:rsid w:val="006C5260"/>
    <w:rsid w:val="006C54F6"/>
    <w:rsid w:val="006C5555"/>
    <w:rsid w:val="006C63F0"/>
    <w:rsid w:val="006C6941"/>
    <w:rsid w:val="006C6D1F"/>
    <w:rsid w:val="006C7E51"/>
    <w:rsid w:val="006D05F7"/>
    <w:rsid w:val="006D0E0A"/>
    <w:rsid w:val="006D113A"/>
    <w:rsid w:val="006D18CD"/>
    <w:rsid w:val="006D1F9F"/>
    <w:rsid w:val="006D4568"/>
    <w:rsid w:val="006D45C8"/>
    <w:rsid w:val="006D5964"/>
    <w:rsid w:val="006D5A24"/>
    <w:rsid w:val="006D5AEA"/>
    <w:rsid w:val="006D6469"/>
    <w:rsid w:val="006D6D40"/>
    <w:rsid w:val="006D6F7F"/>
    <w:rsid w:val="006D7026"/>
    <w:rsid w:val="006D7292"/>
    <w:rsid w:val="006D769B"/>
    <w:rsid w:val="006D76EE"/>
    <w:rsid w:val="006D77C4"/>
    <w:rsid w:val="006E011B"/>
    <w:rsid w:val="006E054E"/>
    <w:rsid w:val="006E0820"/>
    <w:rsid w:val="006E08A0"/>
    <w:rsid w:val="006E109B"/>
    <w:rsid w:val="006E153F"/>
    <w:rsid w:val="006E1826"/>
    <w:rsid w:val="006E1A0F"/>
    <w:rsid w:val="006E1D5F"/>
    <w:rsid w:val="006E1E73"/>
    <w:rsid w:val="006E1ED2"/>
    <w:rsid w:val="006E29D2"/>
    <w:rsid w:val="006E2B73"/>
    <w:rsid w:val="006E34A9"/>
    <w:rsid w:val="006E3CDD"/>
    <w:rsid w:val="006E4751"/>
    <w:rsid w:val="006E6041"/>
    <w:rsid w:val="006E60CA"/>
    <w:rsid w:val="006E61E2"/>
    <w:rsid w:val="006E6263"/>
    <w:rsid w:val="006E64F7"/>
    <w:rsid w:val="006E6C62"/>
    <w:rsid w:val="006E7167"/>
    <w:rsid w:val="006E73C0"/>
    <w:rsid w:val="006E7D7C"/>
    <w:rsid w:val="006F03EB"/>
    <w:rsid w:val="006F040B"/>
    <w:rsid w:val="006F0D3E"/>
    <w:rsid w:val="006F0DEF"/>
    <w:rsid w:val="006F1367"/>
    <w:rsid w:val="006F1672"/>
    <w:rsid w:val="006F16AD"/>
    <w:rsid w:val="006F1D1E"/>
    <w:rsid w:val="006F1E15"/>
    <w:rsid w:val="006F1F22"/>
    <w:rsid w:val="006F24D5"/>
    <w:rsid w:val="006F276F"/>
    <w:rsid w:val="006F2C36"/>
    <w:rsid w:val="006F2DBD"/>
    <w:rsid w:val="006F2F53"/>
    <w:rsid w:val="006F3315"/>
    <w:rsid w:val="006F370E"/>
    <w:rsid w:val="006F375F"/>
    <w:rsid w:val="006F3D26"/>
    <w:rsid w:val="006F4355"/>
    <w:rsid w:val="006F5005"/>
    <w:rsid w:val="006F501B"/>
    <w:rsid w:val="006F50EE"/>
    <w:rsid w:val="006F53BE"/>
    <w:rsid w:val="006F5574"/>
    <w:rsid w:val="006F5834"/>
    <w:rsid w:val="006F5855"/>
    <w:rsid w:val="006F5892"/>
    <w:rsid w:val="006F5AB5"/>
    <w:rsid w:val="006F6F00"/>
    <w:rsid w:val="006F7191"/>
    <w:rsid w:val="006F77E7"/>
    <w:rsid w:val="00700264"/>
    <w:rsid w:val="0070036E"/>
    <w:rsid w:val="00701725"/>
    <w:rsid w:val="00701A5E"/>
    <w:rsid w:val="00701AA3"/>
    <w:rsid w:val="00701CC2"/>
    <w:rsid w:val="00702017"/>
    <w:rsid w:val="007028D2"/>
    <w:rsid w:val="00703AAF"/>
    <w:rsid w:val="00703FCB"/>
    <w:rsid w:val="00704F21"/>
    <w:rsid w:val="007050FD"/>
    <w:rsid w:val="00705979"/>
    <w:rsid w:val="00706878"/>
    <w:rsid w:val="00706A2D"/>
    <w:rsid w:val="00706A87"/>
    <w:rsid w:val="00707047"/>
    <w:rsid w:val="00707937"/>
    <w:rsid w:val="00707B10"/>
    <w:rsid w:val="00707EFE"/>
    <w:rsid w:val="007105E8"/>
    <w:rsid w:val="0071092F"/>
    <w:rsid w:val="007116FF"/>
    <w:rsid w:val="00711A17"/>
    <w:rsid w:val="00711FBE"/>
    <w:rsid w:val="0071293A"/>
    <w:rsid w:val="007129BF"/>
    <w:rsid w:val="00712AB8"/>
    <w:rsid w:val="00712EDD"/>
    <w:rsid w:val="00712F3B"/>
    <w:rsid w:val="007131C6"/>
    <w:rsid w:val="00713461"/>
    <w:rsid w:val="00713519"/>
    <w:rsid w:val="00713734"/>
    <w:rsid w:val="00714521"/>
    <w:rsid w:val="00714805"/>
    <w:rsid w:val="00714FE7"/>
    <w:rsid w:val="00715591"/>
    <w:rsid w:val="007155F2"/>
    <w:rsid w:val="00715A75"/>
    <w:rsid w:val="007166C0"/>
    <w:rsid w:val="00717A5E"/>
    <w:rsid w:val="00717D4D"/>
    <w:rsid w:val="007206A7"/>
    <w:rsid w:val="00720A12"/>
    <w:rsid w:val="007218B5"/>
    <w:rsid w:val="0072209A"/>
    <w:rsid w:val="007224C8"/>
    <w:rsid w:val="00722559"/>
    <w:rsid w:val="00722711"/>
    <w:rsid w:val="00722729"/>
    <w:rsid w:val="00722B1A"/>
    <w:rsid w:val="00724183"/>
    <w:rsid w:val="0072419A"/>
    <w:rsid w:val="00724334"/>
    <w:rsid w:val="0072437A"/>
    <w:rsid w:val="00724784"/>
    <w:rsid w:val="00724A86"/>
    <w:rsid w:val="00724BF5"/>
    <w:rsid w:val="00724F68"/>
    <w:rsid w:val="0072524A"/>
    <w:rsid w:val="0072543F"/>
    <w:rsid w:val="00726FDF"/>
    <w:rsid w:val="00727328"/>
    <w:rsid w:val="00727C5F"/>
    <w:rsid w:val="00731091"/>
    <w:rsid w:val="00731184"/>
    <w:rsid w:val="0073122C"/>
    <w:rsid w:val="0073144B"/>
    <w:rsid w:val="00732221"/>
    <w:rsid w:val="00732E14"/>
    <w:rsid w:val="0073314E"/>
    <w:rsid w:val="00733837"/>
    <w:rsid w:val="007342F6"/>
    <w:rsid w:val="0073563B"/>
    <w:rsid w:val="00735899"/>
    <w:rsid w:val="00735CD5"/>
    <w:rsid w:val="00735DFB"/>
    <w:rsid w:val="007364B5"/>
    <w:rsid w:val="007366B5"/>
    <w:rsid w:val="00736930"/>
    <w:rsid w:val="0073771B"/>
    <w:rsid w:val="00740385"/>
    <w:rsid w:val="007404D6"/>
    <w:rsid w:val="007405B1"/>
    <w:rsid w:val="00740B2E"/>
    <w:rsid w:val="00740B82"/>
    <w:rsid w:val="00740BDA"/>
    <w:rsid w:val="00740E1D"/>
    <w:rsid w:val="00741920"/>
    <w:rsid w:val="00741A20"/>
    <w:rsid w:val="00742434"/>
    <w:rsid w:val="00742D0D"/>
    <w:rsid w:val="00742D72"/>
    <w:rsid w:val="0074309F"/>
    <w:rsid w:val="007433FC"/>
    <w:rsid w:val="00743D7F"/>
    <w:rsid w:val="00745024"/>
    <w:rsid w:val="007450A2"/>
    <w:rsid w:val="0074541C"/>
    <w:rsid w:val="007458C3"/>
    <w:rsid w:val="00745F92"/>
    <w:rsid w:val="00746E85"/>
    <w:rsid w:val="00747305"/>
    <w:rsid w:val="0074732D"/>
    <w:rsid w:val="00750006"/>
    <w:rsid w:val="007507C6"/>
    <w:rsid w:val="00750B15"/>
    <w:rsid w:val="00750B70"/>
    <w:rsid w:val="0075147D"/>
    <w:rsid w:val="007516C9"/>
    <w:rsid w:val="00751F0B"/>
    <w:rsid w:val="007522C5"/>
    <w:rsid w:val="0075260E"/>
    <w:rsid w:val="0075290A"/>
    <w:rsid w:val="00752F97"/>
    <w:rsid w:val="00753738"/>
    <w:rsid w:val="00753C15"/>
    <w:rsid w:val="007543DD"/>
    <w:rsid w:val="00754468"/>
    <w:rsid w:val="0075446F"/>
    <w:rsid w:val="0075457A"/>
    <w:rsid w:val="007551B5"/>
    <w:rsid w:val="007554D9"/>
    <w:rsid w:val="00756163"/>
    <w:rsid w:val="00757091"/>
    <w:rsid w:val="007574CF"/>
    <w:rsid w:val="00757DAC"/>
    <w:rsid w:val="0076033C"/>
    <w:rsid w:val="007603A7"/>
    <w:rsid w:val="007612B9"/>
    <w:rsid w:val="00761879"/>
    <w:rsid w:val="00763B73"/>
    <w:rsid w:val="00763E72"/>
    <w:rsid w:val="0076406C"/>
    <w:rsid w:val="007647A4"/>
    <w:rsid w:val="00765745"/>
    <w:rsid w:val="007659A2"/>
    <w:rsid w:val="007661BA"/>
    <w:rsid w:val="007665A8"/>
    <w:rsid w:val="007669A1"/>
    <w:rsid w:val="00766A80"/>
    <w:rsid w:val="00766ABB"/>
    <w:rsid w:val="007677C6"/>
    <w:rsid w:val="007703FA"/>
    <w:rsid w:val="007710B6"/>
    <w:rsid w:val="007720AA"/>
    <w:rsid w:val="0077237B"/>
    <w:rsid w:val="0077259A"/>
    <w:rsid w:val="007726DC"/>
    <w:rsid w:val="00772DF4"/>
    <w:rsid w:val="0077358D"/>
    <w:rsid w:val="007738FA"/>
    <w:rsid w:val="0077397D"/>
    <w:rsid w:val="007744B1"/>
    <w:rsid w:val="0077457F"/>
    <w:rsid w:val="00774D27"/>
    <w:rsid w:val="00775112"/>
    <w:rsid w:val="007758C2"/>
    <w:rsid w:val="00775A23"/>
    <w:rsid w:val="00776B80"/>
    <w:rsid w:val="00776BB4"/>
    <w:rsid w:val="00776D4C"/>
    <w:rsid w:val="00776FEA"/>
    <w:rsid w:val="0077712C"/>
    <w:rsid w:val="007772E5"/>
    <w:rsid w:val="00777447"/>
    <w:rsid w:val="00777955"/>
    <w:rsid w:val="00777EBE"/>
    <w:rsid w:val="0078053B"/>
    <w:rsid w:val="007808CB"/>
    <w:rsid w:val="00780946"/>
    <w:rsid w:val="007821BD"/>
    <w:rsid w:val="00783372"/>
    <w:rsid w:val="0078376A"/>
    <w:rsid w:val="0078396D"/>
    <w:rsid w:val="00783BC7"/>
    <w:rsid w:val="00784418"/>
    <w:rsid w:val="00784553"/>
    <w:rsid w:val="00784AB4"/>
    <w:rsid w:val="00784AB6"/>
    <w:rsid w:val="0078583F"/>
    <w:rsid w:val="00786451"/>
    <w:rsid w:val="00786CFC"/>
    <w:rsid w:val="0078751C"/>
    <w:rsid w:val="0078786C"/>
    <w:rsid w:val="00787F5D"/>
    <w:rsid w:val="007901DF"/>
    <w:rsid w:val="007902AF"/>
    <w:rsid w:val="00791846"/>
    <w:rsid w:val="00791C1F"/>
    <w:rsid w:val="0079221C"/>
    <w:rsid w:val="00792814"/>
    <w:rsid w:val="007928B4"/>
    <w:rsid w:val="00792BD7"/>
    <w:rsid w:val="00793035"/>
    <w:rsid w:val="007930AD"/>
    <w:rsid w:val="00793470"/>
    <w:rsid w:val="00793825"/>
    <w:rsid w:val="00793AD3"/>
    <w:rsid w:val="007940A8"/>
    <w:rsid w:val="007940D3"/>
    <w:rsid w:val="007948C5"/>
    <w:rsid w:val="00794AF3"/>
    <w:rsid w:val="00796A33"/>
    <w:rsid w:val="0079784D"/>
    <w:rsid w:val="007978D0"/>
    <w:rsid w:val="00797CCF"/>
    <w:rsid w:val="00797F5D"/>
    <w:rsid w:val="007A027B"/>
    <w:rsid w:val="007A0318"/>
    <w:rsid w:val="007A0B4A"/>
    <w:rsid w:val="007A11D5"/>
    <w:rsid w:val="007A1352"/>
    <w:rsid w:val="007A1E4C"/>
    <w:rsid w:val="007A2A3B"/>
    <w:rsid w:val="007A2B06"/>
    <w:rsid w:val="007A2E85"/>
    <w:rsid w:val="007A334F"/>
    <w:rsid w:val="007A3DD6"/>
    <w:rsid w:val="007A3DE3"/>
    <w:rsid w:val="007A4610"/>
    <w:rsid w:val="007A4BC2"/>
    <w:rsid w:val="007A4C52"/>
    <w:rsid w:val="007A5ABF"/>
    <w:rsid w:val="007A5C09"/>
    <w:rsid w:val="007A6781"/>
    <w:rsid w:val="007A678A"/>
    <w:rsid w:val="007A6E48"/>
    <w:rsid w:val="007A7312"/>
    <w:rsid w:val="007A7EF2"/>
    <w:rsid w:val="007B0F06"/>
    <w:rsid w:val="007B13C9"/>
    <w:rsid w:val="007B217D"/>
    <w:rsid w:val="007B2282"/>
    <w:rsid w:val="007B2665"/>
    <w:rsid w:val="007B27F2"/>
    <w:rsid w:val="007B2991"/>
    <w:rsid w:val="007B3032"/>
    <w:rsid w:val="007B3938"/>
    <w:rsid w:val="007B3D06"/>
    <w:rsid w:val="007B42C4"/>
    <w:rsid w:val="007B4936"/>
    <w:rsid w:val="007B4A6A"/>
    <w:rsid w:val="007B4D75"/>
    <w:rsid w:val="007B5E6D"/>
    <w:rsid w:val="007B6140"/>
    <w:rsid w:val="007B777A"/>
    <w:rsid w:val="007B7912"/>
    <w:rsid w:val="007B7C85"/>
    <w:rsid w:val="007C00F7"/>
    <w:rsid w:val="007C0184"/>
    <w:rsid w:val="007C0A23"/>
    <w:rsid w:val="007C1112"/>
    <w:rsid w:val="007C2410"/>
    <w:rsid w:val="007C2AFB"/>
    <w:rsid w:val="007C2E3E"/>
    <w:rsid w:val="007C3450"/>
    <w:rsid w:val="007C427F"/>
    <w:rsid w:val="007C4536"/>
    <w:rsid w:val="007C4EA1"/>
    <w:rsid w:val="007C4FFF"/>
    <w:rsid w:val="007C52D6"/>
    <w:rsid w:val="007C57A4"/>
    <w:rsid w:val="007C5CE6"/>
    <w:rsid w:val="007C68C1"/>
    <w:rsid w:val="007C6C14"/>
    <w:rsid w:val="007D007E"/>
    <w:rsid w:val="007D0165"/>
    <w:rsid w:val="007D095B"/>
    <w:rsid w:val="007D0C81"/>
    <w:rsid w:val="007D0D4D"/>
    <w:rsid w:val="007D1D91"/>
    <w:rsid w:val="007D1F7D"/>
    <w:rsid w:val="007D23CD"/>
    <w:rsid w:val="007D26E2"/>
    <w:rsid w:val="007D27EB"/>
    <w:rsid w:val="007D2891"/>
    <w:rsid w:val="007D28B3"/>
    <w:rsid w:val="007D314D"/>
    <w:rsid w:val="007D3784"/>
    <w:rsid w:val="007D3A96"/>
    <w:rsid w:val="007D4029"/>
    <w:rsid w:val="007D485D"/>
    <w:rsid w:val="007D4E3C"/>
    <w:rsid w:val="007D54D1"/>
    <w:rsid w:val="007D558F"/>
    <w:rsid w:val="007D6409"/>
    <w:rsid w:val="007D6926"/>
    <w:rsid w:val="007D77CE"/>
    <w:rsid w:val="007D79C6"/>
    <w:rsid w:val="007E0023"/>
    <w:rsid w:val="007E05B7"/>
    <w:rsid w:val="007E0A86"/>
    <w:rsid w:val="007E1363"/>
    <w:rsid w:val="007E186B"/>
    <w:rsid w:val="007E1924"/>
    <w:rsid w:val="007E269B"/>
    <w:rsid w:val="007E2E78"/>
    <w:rsid w:val="007E364E"/>
    <w:rsid w:val="007E420F"/>
    <w:rsid w:val="007E4233"/>
    <w:rsid w:val="007E46B7"/>
    <w:rsid w:val="007E489E"/>
    <w:rsid w:val="007E519F"/>
    <w:rsid w:val="007E524F"/>
    <w:rsid w:val="007E52B7"/>
    <w:rsid w:val="007E5430"/>
    <w:rsid w:val="007E567B"/>
    <w:rsid w:val="007E65FE"/>
    <w:rsid w:val="007E6A47"/>
    <w:rsid w:val="007E6B09"/>
    <w:rsid w:val="007E7103"/>
    <w:rsid w:val="007E78CD"/>
    <w:rsid w:val="007E7CFA"/>
    <w:rsid w:val="007E7D27"/>
    <w:rsid w:val="007F0358"/>
    <w:rsid w:val="007F08DD"/>
    <w:rsid w:val="007F0B0D"/>
    <w:rsid w:val="007F0D21"/>
    <w:rsid w:val="007F0EAF"/>
    <w:rsid w:val="007F1342"/>
    <w:rsid w:val="007F183E"/>
    <w:rsid w:val="007F1D3E"/>
    <w:rsid w:val="007F1D8E"/>
    <w:rsid w:val="007F2A30"/>
    <w:rsid w:val="007F3189"/>
    <w:rsid w:val="007F322D"/>
    <w:rsid w:val="007F340B"/>
    <w:rsid w:val="007F36C3"/>
    <w:rsid w:val="007F389D"/>
    <w:rsid w:val="007F3B5F"/>
    <w:rsid w:val="007F4326"/>
    <w:rsid w:val="007F43FE"/>
    <w:rsid w:val="007F47E8"/>
    <w:rsid w:val="007F47F3"/>
    <w:rsid w:val="007F544F"/>
    <w:rsid w:val="007F573C"/>
    <w:rsid w:val="007F5C9F"/>
    <w:rsid w:val="007F616D"/>
    <w:rsid w:val="007F674C"/>
    <w:rsid w:val="007F6878"/>
    <w:rsid w:val="007F7280"/>
    <w:rsid w:val="007F75BF"/>
    <w:rsid w:val="007F7C35"/>
    <w:rsid w:val="007F7E1E"/>
    <w:rsid w:val="007F7F5F"/>
    <w:rsid w:val="0080003C"/>
    <w:rsid w:val="00800A59"/>
    <w:rsid w:val="00800C3C"/>
    <w:rsid w:val="00800DA8"/>
    <w:rsid w:val="00800F35"/>
    <w:rsid w:val="008012A4"/>
    <w:rsid w:val="00801E55"/>
    <w:rsid w:val="008020D4"/>
    <w:rsid w:val="00802F9F"/>
    <w:rsid w:val="008034C9"/>
    <w:rsid w:val="008042C1"/>
    <w:rsid w:val="0080439A"/>
    <w:rsid w:val="008048B6"/>
    <w:rsid w:val="0080503D"/>
    <w:rsid w:val="008051A8"/>
    <w:rsid w:val="00806344"/>
    <w:rsid w:val="008069D7"/>
    <w:rsid w:val="00806A9B"/>
    <w:rsid w:val="00807132"/>
    <w:rsid w:val="00807A24"/>
    <w:rsid w:val="00807A92"/>
    <w:rsid w:val="00810D78"/>
    <w:rsid w:val="00811EF6"/>
    <w:rsid w:val="00811F7C"/>
    <w:rsid w:val="008121C3"/>
    <w:rsid w:val="00812A92"/>
    <w:rsid w:val="00812B7B"/>
    <w:rsid w:val="00812EDC"/>
    <w:rsid w:val="00813201"/>
    <w:rsid w:val="00813B31"/>
    <w:rsid w:val="00814487"/>
    <w:rsid w:val="00814B95"/>
    <w:rsid w:val="00815681"/>
    <w:rsid w:val="0081593C"/>
    <w:rsid w:val="00815ABB"/>
    <w:rsid w:val="008166D3"/>
    <w:rsid w:val="0081679B"/>
    <w:rsid w:val="0081683D"/>
    <w:rsid w:val="00816AF1"/>
    <w:rsid w:val="00816C01"/>
    <w:rsid w:val="00816F11"/>
    <w:rsid w:val="0081703A"/>
    <w:rsid w:val="008171D4"/>
    <w:rsid w:val="0082000E"/>
    <w:rsid w:val="00820B05"/>
    <w:rsid w:val="008212BA"/>
    <w:rsid w:val="008214D5"/>
    <w:rsid w:val="00821799"/>
    <w:rsid w:val="00821BB7"/>
    <w:rsid w:val="00822337"/>
    <w:rsid w:val="00822639"/>
    <w:rsid w:val="00822659"/>
    <w:rsid w:val="00822EC3"/>
    <w:rsid w:val="00823028"/>
    <w:rsid w:val="008230BA"/>
    <w:rsid w:val="0082328C"/>
    <w:rsid w:val="00823E9F"/>
    <w:rsid w:val="00824534"/>
    <w:rsid w:val="008253A1"/>
    <w:rsid w:val="008254B0"/>
    <w:rsid w:val="00825A43"/>
    <w:rsid w:val="00825B00"/>
    <w:rsid w:val="00825B08"/>
    <w:rsid w:val="00825F39"/>
    <w:rsid w:val="00825F7A"/>
    <w:rsid w:val="0082641C"/>
    <w:rsid w:val="0082682B"/>
    <w:rsid w:val="00826FC6"/>
    <w:rsid w:val="00827652"/>
    <w:rsid w:val="00827759"/>
    <w:rsid w:val="008278B0"/>
    <w:rsid w:val="00827B01"/>
    <w:rsid w:val="00830024"/>
    <w:rsid w:val="0083023B"/>
    <w:rsid w:val="00830473"/>
    <w:rsid w:val="00831B7A"/>
    <w:rsid w:val="00831BFB"/>
    <w:rsid w:val="00831C0D"/>
    <w:rsid w:val="00831F97"/>
    <w:rsid w:val="0083343C"/>
    <w:rsid w:val="0083355F"/>
    <w:rsid w:val="00833750"/>
    <w:rsid w:val="00833ABC"/>
    <w:rsid w:val="00833DD2"/>
    <w:rsid w:val="008342D4"/>
    <w:rsid w:val="008347B6"/>
    <w:rsid w:val="00834ED1"/>
    <w:rsid w:val="00835703"/>
    <w:rsid w:val="00835834"/>
    <w:rsid w:val="00835A1E"/>
    <w:rsid w:val="00835CAC"/>
    <w:rsid w:val="0083634D"/>
    <w:rsid w:val="008363F9"/>
    <w:rsid w:val="0083659C"/>
    <w:rsid w:val="00836659"/>
    <w:rsid w:val="00837B40"/>
    <w:rsid w:val="00840133"/>
    <w:rsid w:val="008402FA"/>
    <w:rsid w:val="00840AA4"/>
    <w:rsid w:val="0084104B"/>
    <w:rsid w:val="00841292"/>
    <w:rsid w:val="008419DC"/>
    <w:rsid w:val="00841DC7"/>
    <w:rsid w:val="008423C9"/>
    <w:rsid w:val="008425DD"/>
    <w:rsid w:val="00842656"/>
    <w:rsid w:val="00842977"/>
    <w:rsid w:val="00842B30"/>
    <w:rsid w:val="00843068"/>
    <w:rsid w:val="008430C7"/>
    <w:rsid w:val="00843CEC"/>
    <w:rsid w:val="00844143"/>
    <w:rsid w:val="00844E31"/>
    <w:rsid w:val="00844F83"/>
    <w:rsid w:val="0084572F"/>
    <w:rsid w:val="00846141"/>
    <w:rsid w:val="008463DC"/>
    <w:rsid w:val="0084657F"/>
    <w:rsid w:val="00846C40"/>
    <w:rsid w:val="008470AE"/>
    <w:rsid w:val="008475FE"/>
    <w:rsid w:val="00847EF5"/>
    <w:rsid w:val="00847FBE"/>
    <w:rsid w:val="00850343"/>
    <w:rsid w:val="00850CEF"/>
    <w:rsid w:val="00851534"/>
    <w:rsid w:val="00851E61"/>
    <w:rsid w:val="00852A1A"/>
    <w:rsid w:val="00852F6E"/>
    <w:rsid w:val="0085344D"/>
    <w:rsid w:val="00853EC4"/>
    <w:rsid w:val="00854119"/>
    <w:rsid w:val="00854303"/>
    <w:rsid w:val="00854C38"/>
    <w:rsid w:val="00854D9D"/>
    <w:rsid w:val="00854EC7"/>
    <w:rsid w:val="0085577A"/>
    <w:rsid w:val="00855865"/>
    <w:rsid w:val="00855C91"/>
    <w:rsid w:val="008562C0"/>
    <w:rsid w:val="0085711D"/>
    <w:rsid w:val="0085737A"/>
    <w:rsid w:val="00857449"/>
    <w:rsid w:val="00857824"/>
    <w:rsid w:val="00857A07"/>
    <w:rsid w:val="00857DA9"/>
    <w:rsid w:val="00857DCB"/>
    <w:rsid w:val="008605B7"/>
    <w:rsid w:val="00861349"/>
    <w:rsid w:val="008613D1"/>
    <w:rsid w:val="008614CD"/>
    <w:rsid w:val="00861598"/>
    <w:rsid w:val="008618B5"/>
    <w:rsid w:val="00861A7D"/>
    <w:rsid w:val="00861B51"/>
    <w:rsid w:val="00861D29"/>
    <w:rsid w:val="00861DAE"/>
    <w:rsid w:val="00862297"/>
    <w:rsid w:val="00862D14"/>
    <w:rsid w:val="00862DD1"/>
    <w:rsid w:val="008630A2"/>
    <w:rsid w:val="00863166"/>
    <w:rsid w:val="008632B8"/>
    <w:rsid w:val="008646A6"/>
    <w:rsid w:val="00864882"/>
    <w:rsid w:val="0086524B"/>
    <w:rsid w:val="0086527F"/>
    <w:rsid w:val="00866A5D"/>
    <w:rsid w:val="008672F6"/>
    <w:rsid w:val="008678D2"/>
    <w:rsid w:val="00867DE8"/>
    <w:rsid w:val="00867E8F"/>
    <w:rsid w:val="008707B8"/>
    <w:rsid w:val="00870E7B"/>
    <w:rsid w:val="0087188C"/>
    <w:rsid w:val="00871C15"/>
    <w:rsid w:val="00871E3B"/>
    <w:rsid w:val="008732BD"/>
    <w:rsid w:val="00873848"/>
    <w:rsid w:val="00873EF6"/>
    <w:rsid w:val="0087421D"/>
    <w:rsid w:val="008744DD"/>
    <w:rsid w:val="008746FB"/>
    <w:rsid w:val="008747CB"/>
    <w:rsid w:val="00874847"/>
    <w:rsid w:val="00874910"/>
    <w:rsid w:val="00874A03"/>
    <w:rsid w:val="008753B2"/>
    <w:rsid w:val="00875D27"/>
    <w:rsid w:val="008762E6"/>
    <w:rsid w:val="008770D5"/>
    <w:rsid w:val="00877D6D"/>
    <w:rsid w:val="00880489"/>
    <w:rsid w:val="00881033"/>
    <w:rsid w:val="00881435"/>
    <w:rsid w:val="008816BA"/>
    <w:rsid w:val="008819B0"/>
    <w:rsid w:val="00881ADB"/>
    <w:rsid w:val="00882B27"/>
    <w:rsid w:val="00883850"/>
    <w:rsid w:val="00883F73"/>
    <w:rsid w:val="0088442D"/>
    <w:rsid w:val="00884567"/>
    <w:rsid w:val="008849DB"/>
    <w:rsid w:val="0088576F"/>
    <w:rsid w:val="008860F4"/>
    <w:rsid w:val="0088678C"/>
    <w:rsid w:val="00886961"/>
    <w:rsid w:val="00886F6E"/>
    <w:rsid w:val="008871B3"/>
    <w:rsid w:val="00887A5F"/>
    <w:rsid w:val="00887E3E"/>
    <w:rsid w:val="008901F3"/>
    <w:rsid w:val="00890993"/>
    <w:rsid w:val="00890B3E"/>
    <w:rsid w:val="0089186E"/>
    <w:rsid w:val="0089199F"/>
    <w:rsid w:val="008919C9"/>
    <w:rsid w:val="008919CB"/>
    <w:rsid w:val="00891C5D"/>
    <w:rsid w:val="00891CBB"/>
    <w:rsid w:val="00892410"/>
    <w:rsid w:val="00892569"/>
    <w:rsid w:val="008925DF"/>
    <w:rsid w:val="0089263B"/>
    <w:rsid w:val="00892709"/>
    <w:rsid w:val="0089278B"/>
    <w:rsid w:val="00892791"/>
    <w:rsid w:val="008928AB"/>
    <w:rsid w:val="008928B9"/>
    <w:rsid w:val="00892909"/>
    <w:rsid w:val="00892B27"/>
    <w:rsid w:val="008932E6"/>
    <w:rsid w:val="008935C9"/>
    <w:rsid w:val="008939E9"/>
    <w:rsid w:val="0089454F"/>
    <w:rsid w:val="00894626"/>
    <w:rsid w:val="008946CD"/>
    <w:rsid w:val="008948DB"/>
    <w:rsid w:val="00894B6C"/>
    <w:rsid w:val="008953EF"/>
    <w:rsid w:val="00895E56"/>
    <w:rsid w:val="00895E9D"/>
    <w:rsid w:val="00896513"/>
    <w:rsid w:val="00896B63"/>
    <w:rsid w:val="00896C8C"/>
    <w:rsid w:val="008976EC"/>
    <w:rsid w:val="00897E85"/>
    <w:rsid w:val="00897F42"/>
    <w:rsid w:val="008A008F"/>
    <w:rsid w:val="008A0234"/>
    <w:rsid w:val="008A08F2"/>
    <w:rsid w:val="008A11CC"/>
    <w:rsid w:val="008A144F"/>
    <w:rsid w:val="008A1E08"/>
    <w:rsid w:val="008A2380"/>
    <w:rsid w:val="008A25E7"/>
    <w:rsid w:val="008A331C"/>
    <w:rsid w:val="008A3711"/>
    <w:rsid w:val="008A3F34"/>
    <w:rsid w:val="008A4582"/>
    <w:rsid w:val="008A4DB8"/>
    <w:rsid w:val="008A4E60"/>
    <w:rsid w:val="008A53B7"/>
    <w:rsid w:val="008A6719"/>
    <w:rsid w:val="008A6E03"/>
    <w:rsid w:val="008A71B5"/>
    <w:rsid w:val="008A7616"/>
    <w:rsid w:val="008A7FE9"/>
    <w:rsid w:val="008B072D"/>
    <w:rsid w:val="008B094A"/>
    <w:rsid w:val="008B171E"/>
    <w:rsid w:val="008B1A4C"/>
    <w:rsid w:val="008B1CF4"/>
    <w:rsid w:val="008B1EBB"/>
    <w:rsid w:val="008B228D"/>
    <w:rsid w:val="008B2B08"/>
    <w:rsid w:val="008B3CB5"/>
    <w:rsid w:val="008B3E2F"/>
    <w:rsid w:val="008B486F"/>
    <w:rsid w:val="008B5C10"/>
    <w:rsid w:val="008B6EA8"/>
    <w:rsid w:val="008B7B11"/>
    <w:rsid w:val="008C070D"/>
    <w:rsid w:val="008C0E7C"/>
    <w:rsid w:val="008C155B"/>
    <w:rsid w:val="008C1DA4"/>
    <w:rsid w:val="008C2404"/>
    <w:rsid w:val="008C34E0"/>
    <w:rsid w:val="008C39CA"/>
    <w:rsid w:val="008C48C8"/>
    <w:rsid w:val="008C5362"/>
    <w:rsid w:val="008C5D08"/>
    <w:rsid w:val="008C6387"/>
    <w:rsid w:val="008C643D"/>
    <w:rsid w:val="008C68C2"/>
    <w:rsid w:val="008C7112"/>
    <w:rsid w:val="008C773D"/>
    <w:rsid w:val="008C7971"/>
    <w:rsid w:val="008D0536"/>
    <w:rsid w:val="008D05CB"/>
    <w:rsid w:val="008D08AF"/>
    <w:rsid w:val="008D0A7E"/>
    <w:rsid w:val="008D21B4"/>
    <w:rsid w:val="008D2269"/>
    <w:rsid w:val="008D2487"/>
    <w:rsid w:val="008D27F1"/>
    <w:rsid w:val="008D293B"/>
    <w:rsid w:val="008D2AF7"/>
    <w:rsid w:val="008D48AF"/>
    <w:rsid w:val="008D4947"/>
    <w:rsid w:val="008D4CDF"/>
    <w:rsid w:val="008D4FB0"/>
    <w:rsid w:val="008D5F70"/>
    <w:rsid w:val="008D60C9"/>
    <w:rsid w:val="008D60EC"/>
    <w:rsid w:val="008D6B55"/>
    <w:rsid w:val="008D6D61"/>
    <w:rsid w:val="008D7A99"/>
    <w:rsid w:val="008D7AFF"/>
    <w:rsid w:val="008D7E57"/>
    <w:rsid w:val="008D7FE0"/>
    <w:rsid w:val="008D7FF8"/>
    <w:rsid w:val="008E009B"/>
    <w:rsid w:val="008E013D"/>
    <w:rsid w:val="008E0171"/>
    <w:rsid w:val="008E03DA"/>
    <w:rsid w:val="008E18B1"/>
    <w:rsid w:val="008E1C5B"/>
    <w:rsid w:val="008E1CE1"/>
    <w:rsid w:val="008E2043"/>
    <w:rsid w:val="008E326C"/>
    <w:rsid w:val="008E3AA8"/>
    <w:rsid w:val="008E3C88"/>
    <w:rsid w:val="008E4264"/>
    <w:rsid w:val="008E4502"/>
    <w:rsid w:val="008E4580"/>
    <w:rsid w:val="008E4ABD"/>
    <w:rsid w:val="008E4AD4"/>
    <w:rsid w:val="008E4FCD"/>
    <w:rsid w:val="008E5830"/>
    <w:rsid w:val="008E634C"/>
    <w:rsid w:val="008E6434"/>
    <w:rsid w:val="008E67DF"/>
    <w:rsid w:val="008E6D18"/>
    <w:rsid w:val="008E7C1B"/>
    <w:rsid w:val="008F0090"/>
    <w:rsid w:val="008F0929"/>
    <w:rsid w:val="008F0CFC"/>
    <w:rsid w:val="008F1F37"/>
    <w:rsid w:val="008F2304"/>
    <w:rsid w:val="008F340E"/>
    <w:rsid w:val="008F360A"/>
    <w:rsid w:val="008F37CB"/>
    <w:rsid w:val="008F3B86"/>
    <w:rsid w:val="008F4419"/>
    <w:rsid w:val="008F4674"/>
    <w:rsid w:val="008F4A43"/>
    <w:rsid w:val="008F4BCB"/>
    <w:rsid w:val="008F4FFC"/>
    <w:rsid w:val="008F52AE"/>
    <w:rsid w:val="008F5384"/>
    <w:rsid w:val="008F554D"/>
    <w:rsid w:val="008F5E9B"/>
    <w:rsid w:val="008F6118"/>
    <w:rsid w:val="008F6312"/>
    <w:rsid w:val="008F70C3"/>
    <w:rsid w:val="008F761A"/>
    <w:rsid w:val="008F7834"/>
    <w:rsid w:val="009000E7"/>
    <w:rsid w:val="009008CC"/>
    <w:rsid w:val="009011FB"/>
    <w:rsid w:val="009017A9"/>
    <w:rsid w:val="009017AB"/>
    <w:rsid w:val="00901878"/>
    <w:rsid w:val="00901B98"/>
    <w:rsid w:val="00901F24"/>
    <w:rsid w:val="009020A8"/>
    <w:rsid w:val="00902200"/>
    <w:rsid w:val="0090278C"/>
    <w:rsid w:val="00902C8A"/>
    <w:rsid w:val="00903867"/>
    <w:rsid w:val="00904346"/>
    <w:rsid w:val="00904574"/>
    <w:rsid w:val="00904E09"/>
    <w:rsid w:val="00905311"/>
    <w:rsid w:val="0090545B"/>
    <w:rsid w:val="00905B4D"/>
    <w:rsid w:val="00905C8C"/>
    <w:rsid w:val="00905EEC"/>
    <w:rsid w:val="00905FEA"/>
    <w:rsid w:val="00906141"/>
    <w:rsid w:val="00906CB6"/>
    <w:rsid w:val="00907350"/>
    <w:rsid w:val="00907C81"/>
    <w:rsid w:val="00907F4D"/>
    <w:rsid w:val="00910633"/>
    <w:rsid w:val="009106CD"/>
    <w:rsid w:val="0091264A"/>
    <w:rsid w:val="0091293D"/>
    <w:rsid w:val="0091296C"/>
    <w:rsid w:val="00912F15"/>
    <w:rsid w:val="00912FAD"/>
    <w:rsid w:val="00913FBF"/>
    <w:rsid w:val="0091431E"/>
    <w:rsid w:val="00914B81"/>
    <w:rsid w:val="00914E10"/>
    <w:rsid w:val="00914E59"/>
    <w:rsid w:val="00914EFC"/>
    <w:rsid w:val="009151D7"/>
    <w:rsid w:val="00915341"/>
    <w:rsid w:val="009157DA"/>
    <w:rsid w:val="0091581E"/>
    <w:rsid w:val="00915BCA"/>
    <w:rsid w:val="00915FD6"/>
    <w:rsid w:val="00916251"/>
    <w:rsid w:val="00916826"/>
    <w:rsid w:val="00916AB5"/>
    <w:rsid w:val="00917451"/>
    <w:rsid w:val="009174EB"/>
    <w:rsid w:val="00917C63"/>
    <w:rsid w:val="00917D90"/>
    <w:rsid w:val="00920266"/>
    <w:rsid w:val="009204FC"/>
    <w:rsid w:val="00920D3D"/>
    <w:rsid w:val="009213D5"/>
    <w:rsid w:val="00921C96"/>
    <w:rsid w:val="00921C98"/>
    <w:rsid w:val="00921FB6"/>
    <w:rsid w:val="0092234C"/>
    <w:rsid w:val="009227B9"/>
    <w:rsid w:val="00922BB0"/>
    <w:rsid w:val="009233B3"/>
    <w:rsid w:val="009234C0"/>
    <w:rsid w:val="00924430"/>
    <w:rsid w:val="00925421"/>
    <w:rsid w:val="00925CB2"/>
    <w:rsid w:val="0092600B"/>
    <w:rsid w:val="009261B2"/>
    <w:rsid w:val="00926298"/>
    <w:rsid w:val="009271EE"/>
    <w:rsid w:val="00927B0B"/>
    <w:rsid w:val="00927B81"/>
    <w:rsid w:val="00931058"/>
    <w:rsid w:val="00931621"/>
    <w:rsid w:val="00931BF0"/>
    <w:rsid w:val="00932121"/>
    <w:rsid w:val="009327CA"/>
    <w:rsid w:val="00933874"/>
    <w:rsid w:val="00933ADA"/>
    <w:rsid w:val="00933CD6"/>
    <w:rsid w:val="00933FB9"/>
    <w:rsid w:val="009346C6"/>
    <w:rsid w:val="00934C96"/>
    <w:rsid w:val="0093528F"/>
    <w:rsid w:val="009355D4"/>
    <w:rsid w:val="009356A9"/>
    <w:rsid w:val="00935ECE"/>
    <w:rsid w:val="0093670F"/>
    <w:rsid w:val="00936804"/>
    <w:rsid w:val="00936B70"/>
    <w:rsid w:val="00936E66"/>
    <w:rsid w:val="009370DD"/>
    <w:rsid w:val="00937DC9"/>
    <w:rsid w:val="009405D0"/>
    <w:rsid w:val="0094068D"/>
    <w:rsid w:val="009407F2"/>
    <w:rsid w:val="009408E7"/>
    <w:rsid w:val="0094140F"/>
    <w:rsid w:val="00941631"/>
    <w:rsid w:val="00941A5E"/>
    <w:rsid w:val="00941AE8"/>
    <w:rsid w:val="00942D14"/>
    <w:rsid w:val="00943333"/>
    <w:rsid w:val="009436DB"/>
    <w:rsid w:val="0094392F"/>
    <w:rsid w:val="00943DBA"/>
    <w:rsid w:val="009441E7"/>
    <w:rsid w:val="0094523B"/>
    <w:rsid w:val="009457B3"/>
    <w:rsid w:val="009458FB"/>
    <w:rsid w:val="00945B4D"/>
    <w:rsid w:val="00945C3B"/>
    <w:rsid w:val="00945F6B"/>
    <w:rsid w:val="009460C7"/>
    <w:rsid w:val="009461AA"/>
    <w:rsid w:val="00946BA7"/>
    <w:rsid w:val="0094724E"/>
    <w:rsid w:val="00947526"/>
    <w:rsid w:val="009477F3"/>
    <w:rsid w:val="009478DD"/>
    <w:rsid w:val="00947B39"/>
    <w:rsid w:val="00947CE6"/>
    <w:rsid w:val="00947DC8"/>
    <w:rsid w:val="00947E6F"/>
    <w:rsid w:val="0095057F"/>
    <w:rsid w:val="00950888"/>
    <w:rsid w:val="00950D6A"/>
    <w:rsid w:val="00951589"/>
    <w:rsid w:val="009527B7"/>
    <w:rsid w:val="0095330B"/>
    <w:rsid w:val="00954A4D"/>
    <w:rsid w:val="00954EBB"/>
    <w:rsid w:val="00955215"/>
    <w:rsid w:val="0095566C"/>
    <w:rsid w:val="00955871"/>
    <w:rsid w:val="00955AE5"/>
    <w:rsid w:val="0095661F"/>
    <w:rsid w:val="0096035A"/>
    <w:rsid w:val="00960BDD"/>
    <w:rsid w:val="00960EC2"/>
    <w:rsid w:val="00961F9D"/>
    <w:rsid w:val="009627DC"/>
    <w:rsid w:val="00962821"/>
    <w:rsid w:val="00962E31"/>
    <w:rsid w:val="0096326A"/>
    <w:rsid w:val="0096327F"/>
    <w:rsid w:val="00963479"/>
    <w:rsid w:val="00963B6C"/>
    <w:rsid w:val="00963BE7"/>
    <w:rsid w:val="00963FD1"/>
    <w:rsid w:val="009642D7"/>
    <w:rsid w:val="0096481A"/>
    <w:rsid w:val="00964954"/>
    <w:rsid w:val="009649BE"/>
    <w:rsid w:val="009656F3"/>
    <w:rsid w:val="00965EBC"/>
    <w:rsid w:val="009660A9"/>
    <w:rsid w:val="0096628C"/>
    <w:rsid w:val="00966742"/>
    <w:rsid w:val="00966772"/>
    <w:rsid w:val="009667D7"/>
    <w:rsid w:val="00966F4A"/>
    <w:rsid w:val="00967817"/>
    <w:rsid w:val="00967A31"/>
    <w:rsid w:val="00967BFB"/>
    <w:rsid w:val="00970E75"/>
    <w:rsid w:val="009720C7"/>
    <w:rsid w:val="009733C8"/>
    <w:rsid w:val="00973617"/>
    <w:rsid w:val="009737E6"/>
    <w:rsid w:val="009739BB"/>
    <w:rsid w:val="00973FF8"/>
    <w:rsid w:val="009746A2"/>
    <w:rsid w:val="00974A2A"/>
    <w:rsid w:val="00974B16"/>
    <w:rsid w:val="00974C01"/>
    <w:rsid w:val="00974C6A"/>
    <w:rsid w:val="00974D96"/>
    <w:rsid w:val="00975625"/>
    <w:rsid w:val="009767CA"/>
    <w:rsid w:val="00977177"/>
    <w:rsid w:val="0097725F"/>
    <w:rsid w:val="0097770B"/>
    <w:rsid w:val="0098008F"/>
    <w:rsid w:val="00980370"/>
    <w:rsid w:val="009803B7"/>
    <w:rsid w:val="0098129C"/>
    <w:rsid w:val="00981E3A"/>
    <w:rsid w:val="0098217D"/>
    <w:rsid w:val="009821BF"/>
    <w:rsid w:val="00982655"/>
    <w:rsid w:val="009835D7"/>
    <w:rsid w:val="00983654"/>
    <w:rsid w:val="009837B8"/>
    <w:rsid w:val="009838F5"/>
    <w:rsid w:val="00984752"/>
    <w:rsid w:val="00985485"/>
    <w:rsid w:val="009855E8"/>
    <w:rsid w:val="00986212"/>
    <w:rsid w:val="00986482"/>
    <w:rsid w:val="0098665A"/>
    <w:rsid w:val="009876FD"/>
    <w:rsid w:val="00987BD8"/>
    <w:rsid w:val="0099036A"/>
    <w:rsid w:val="00990793"/>
    <w:rsid w:val="0099141F"/>
    <w:rsid w:val="00991A04"/>
    <w:rsid w:val="00991B38"/>
    <w:rsid w:val="00991E74"/>
    <w:rsid w:val="00991F7D"/>
    <w:rsid w:val="00992574"/>
    <w:rsid w:val="00992755"/>
    <w:rsid w:val="00992E8E"/>
    <w:rsid w:val="009932A0"/>
    <w:rsid w:val="00993A55"/>
    <w:rsid w:val="00994021"/>
    <w:rsid w:val="0099445E"/>
    <w:rsid w:val="0099572C"/>
    <w:rsid w:val="00995BB8"/>
    <w:rsid w:val="00995E0B"/>
    <w:rsid w:val="0099606A"/>
    <w:rsid w:val="009960D6"/>
    <w:rsid w:val="009966D8"/>
    <w:rsid w:val="009968BA"/>
    <w:rsid w:val="00996BE7"/>
    <w:rsid w:val="00997245"/>
    <w:rsid w:val="009976A0"/>
    <w:rsid w:val="0099777B"/>
    <w:rsid w:val="0099782E"/>
    <w:rsid w:val="00997972"/>
    <w:rsid w:val="009A01CC"/>
    <w:rsid w:val="009A04C2"/>
    <w:rsid w:val="009A2321"/>
    <w:rsid w:val="009A251B"/>
    <w:rsid w:val="009A27CE"/>
    <w:rsid w:val="009A2C85"/>
    <w:rsid w:val="009A335D"/>
    <w:rsid w:val="009A35B0"/>
    <w:rsid w:val="009A3656"/>
    <w:rsid w:val="009A39CD"/>
    <w:rsid w:val="009A3CE0"/>
    <w:rsid w:val="009A3F32"/>
    <w:rsid w:val="009A4821"/>
    <w:rsid w:val="009A49E5"/>
    <w:rsid w:val="009A4A18"/>
    <w:rsid w:val="009A4F67"/>
    <w:rsid w:val="009A4FDD"/>
    <w:rsid w:val="009A52CC"/>
    <w:rsid w:val="009A55B5"/>
    <w:rsid w:val="009A57C4"/>
    <w:rsid w:val="009A5DFB"/>
    <w:rsid w:val="009A5FC2"/>
    <w:rsid w:val="009A6111"/>
    <w:rsid w:val="009A6570"/>
    <w:rsid w:val="009A6CD4"/>
    <w:rsid w:val="009A7252"/>
    <w:rsid w:val="009A7D10"/>
    <w:rsid w:val="009A7FA1"/>
    <w:rsid w:val="009B0D76"/>
    <w:rsid w:val="009B103C"/>
    <w:rsid w:val="009B128A"/>
    <w:rsid w:val="009B19E2"/>
    <w:rsid w:val="009B309E"/>
    <w:rsid w:val="009B3EB5"/>
    <w:rsid w:val="009B40B7"/>
    <w:rsid w:val="009B4C78"/>
    <w:rsid w:val="009B5112"/>
    <w:rsid w:val="009B5835"/>
    <w:rsid w:val="009B5AE0"/>
    <w:rsid w:val="009B5F57"/>
    <w:rsid w:val="009B6B0C"/>
    <w:rsid w:val="009B7E04"/>
    <w:rsid w:val="009C0117"/>
    <w:rsid w:val="009C084A"/>
    <w:rsid w:val="009C0979"/>
    <w:rsid w:val="009C09DC"/>
    <w:rsid w:val="009C0D2E"/>
    <w:rsid w:val="009C1237"/>
    <w:rsid w:val="009C20BC"/>
    <w:rsid w:val="009C2809"/>
    <w:rsid w:val="009C2BC8"/>
    <w:rsid w:val="009C2D96"/>
    <w:rsid w:val="009C2F49"/>
    <w:rsid w:val="009C3F06"/>
    <w:rsid w:val="009C4691"/>
    <w:rsid w:val="009C4C22"/>
    <w:rsid w:val="009C4D62"/>
    <w:rsid w:val="009C4EC4"/>
    <w:rsid w:val="009C5354"/>
    <w:rsid w:val="009C5413"/>
    <w:rsid w:val="009C5654"/>
    <w:rsid w:val="009C5A2E"/>
    <w:rsid w:val="009C6742"/>
    <w:rsid w:val="009C699B"/>
    <w:rsid w:val="009C7311"/>
    <w:rsid w:val="009C7D7E"/>
    <w:rsid w:val="009D00CC"/>
    <w:rsid w:val="009D059C"/>
    <w:rsid w:val="009D05A1"/>
    <w:rsid w:val="009D08EE"/>
    <w:rsid w:val="009D0CB7"/>
    <w:rsid w:val="009D0E9E"/>
    <w:rsid w:val="009D0E9F"/>
    <w:rsid w:val="009D12B2"/>
    <w:rsid w:val="009D1BFD"/>
    <w:rsid w:val="009D1CB0"/>
    <w:rsid w:val="009D239D"/>
    <w:rsid w:val="009D2BCC"/>
    <w:rsid w:val="009D31CB"/>
    <w:rsid w:val="009D3503"/>
    <w:rsid w:val="009D3530"/>
    <w:rsid w:val="009D3EC4"/>
    <w:rsid w:val="009D3F4C"/>
    <w:rsid w:val="009D40FD"/>
    <w:rsid w:val="009D4244"/>
    <w:rsid w:val="009D4644"/>
    <w:rsid w:val="009D49A7"/>
    <w:rsid w:val="009D49FA"/>
    <w:rsid w:val="009D4A1B"/>
    <w:rsid w:val="009D4C48"/>
    <w:rsid w:val="009D51BC"/>
    <w:rsid w:val="009D5C22"/>
    <w:rsid w:val="009D6A33"/>
    <w:rsid w:val="009D6B6C"/>
    <w:rsid w:val="009D6D13"/>
    <w:rsid w:val="009D7155"/>
    <w:rsid w:val="009D73FE"/>
    <w:rsid w:val="009D7E9E"/>
    <w:rsid w:val="009D7F81"/>
    <w:rsid w:val="009E01DA"/>
    <w:rsid w:val="009E164F"/>
    <w:rsid w:val="009E1D1E"/>
    <w:rsid w:val="009E203A"/>
    <w:rsid w:val="009E2100"/>
    <w:rsid w:val="009E217B"/>
    <w:rsid w:val="009E279F"/>
    <w:rsid w:val="009E31EC"/>
    <w:rsid w:val="009E3D3D"/>
    <w:rsid w:val="009E41D0"/>
    <w:rsid w:val="009E4896"/>
    <w:rsid w:val="009E4C10"/>
    <w:rsid w:val="009E5978"/>
    <w:rsid w:val="009E59FE"/>
    <w:rsid w:val="009E5D4E"/>
    <w:rsid w:val="009E5DCD"/>
    <w:rsid w:val="009E65DF"/>
    <w:rsid w:val="009E68C2"/>
    <w:rsid w:val="009E6B8C"/>
    <w:rsid w:val="009E6D33"/>
    <w:rsid w:val="009E702D"/>
    <w:rsid w:val="009E7486"/>
    <w:rsid w:val="009E7850"/>
    <w:rsid w:val="009E794C"/>
    <w:rsid w:val="009F01CD"/>
    <w:rsid w:val="009F0B21"/>
    <w:rsid w:val="009F128D"/>
    <w:rsid w:val="009F1409"/>
    <w:rsid w:val="009F14C2"/>
    <w:rsid w:val="009F1CAB"/>
    <w:rsid w:val="009F1CB5"/>
    <w:rsid w:val="009F1CD2"/>
    <w:rsid w:val="009F31CE"/>
    <w:rsid w:val="009F345E"/>
    <w:rsid w:val="009F348F"/>
    <w:rsid w:val="009F3AC9"/>
    <w:rsid w:val="009F42FB"/>
    <w:rsid w:val="009F4EEF"/>
    <w:rsid w:val="009F58D2"/>
    <w:rsid w:val="009F610F"/>
    <w:rsid w:val="009F66E6"/>
    <w:rsid w:val="009F7AB1"/>
    <w:rsid w:val="00A00287"/>
    <w:rsid w:val="00A00849"/>
    <w:rsid w:val="00A017CA"/>
    <w:rsid w:val="00A019F3"/>
    <w:rsid w:val="00A02187"/>
    <w:rsid w:val="00A025C1"/>
    <w:rsid w:val="00A03169"/>
    <w:rsid w:val="00A03175"/>
    <w:rsid w:val="00A035E6"/>
    <w:rsid w:val="00A0393C"/>
    <w:rsid w:val="00A03ADD"/>
    <w:rsid w:val="00A04566"/>
    <w:rsid w:val="00A049C5"/>
    <w:rsid w:val="00A055F3"/>
    <w:rsid w:val="00A05B01"/>
    <w:rsid w:val="00A062F1"/>
    <w:rsid w:val="00A07652"/>
    <w:rsid w:val="00A07F33"/>
    <w:rsid w:val="00A11227"/>
    <w:rsid w:val="00A1146F"/>
    <w:rsid w:val="00A11E48"/>
    <w:rsid w:val="00A13208"/>
    <w:rsid w:val="00A13435"/>
    <w:rsid w:val="00A136F5"/>
    <w:rsid w:val="00A13A1F"/>
    <w:rsid w:val="00A13C1C"/>
    <w:rsid w:val="00A1408B"/>
    <w:rsid w:val="00A147C5"/>
    <w:rsid w:val="00A150BF"/>
    <w:rsid w:val="00A15372"/>
    <w:rsid w:val="00A1578F"/>
    <w:rsid w:val="00A15B1C"/>
    <w:rsid w:val="00A15F54"/>
    <w:rsid w:val="00A16E3B"/>
    <w:rsid w:val="00A170C5"/>
    <w:rsid w:val="00A17A1A"/>
    <w:rsid w:val="00A20751"/>
    <w:rsid w:val="00A20787"/>
    <w:rsid w:val="00A212FA"/>
    <w:rsid w:val="00A216BE"/>
    <w:rsid w:val="00A21927"/>
    <w:rsid w:val="00A21E2F"/>
    <w:rsid w:val="00A21F80"/>
    <w:rsid w:val="00A22A3D"/>
    <w:rsid w:val="00A238DF"/>
    <w:rsid w:val="00A24159"/>
    <w:rsid w:val="00A24278"/>
    <w:rsid w:val="00A246D8"/>
    <w:rsid w:val="00A248E5"/>
    <w:rsid w:val="00A24C44"/>
    <w:rsid w:val="00A2570D"/>
    <w:rsid w:val="00A257BE"/>
    <w:rsid w:val="00A257EA"/>
    <w:rsid w:val="00A25C09"/>
    <w:rsid w:val="00A25DF2"/>
    <w:rsid w:val="00A2681F"/>
    <w:rsid w:val="00A268D5"/>
    <w:rsid w:val="00A27553"/>
    <w:rsid w:val="00A279E5"/>
    <w:rsid w:val="00A27F70"/>
    <w:rsid w:val="00A3008C"/>
    <w:rsid w:val="00A316E7"/>
    <w:rsid w:val="00A31B0D"/>
    <w:rsid w:val="00A31DC3"/>
    <w:rsid w:val="00A32C83"/>
    <w:rsid w:val="00A335C9"/>
    <w:rsid w:val="00A348F6"/>
    <w:rsid w:val="00A34C77"/>
    <w:rsid w:val="00A351CD"/>
    <w:rsid w:val="00A35BB5"/>
    <w:rsid w:val="00A3627F"/>
    <w:rsid w:val="00A36984"/>
    <w:rsid w:val="00A3721B"/>
    <w:rsid w:val="00A37DDC"/>
    <w:rsid w:val="00A37EC5"/>
    <w:rsid w:val="00A37EF0"/>
    <w:rsid w:val="00A37F87"/>
    <w:rsid w:val="00A37F8B"/>
    <w:rsid w:val="00A37FA1"/>
    <w:rsid w:val="00A401AB"/>
    <w:rsid w:val="00A40DD8"/>
    <w:rsid w:val="00A4152A"/>
    <w:rsid w:val="00A415B8"/>
    <w:rsid w:val="00A41A5F"/>
    <w:rsid w:val="00A41D75"/>
    <w:rsid w:val="00A41EFB"/>
    <w:rsid w:val="00A420C0"/>
    <w:rsid w:val="00A43448"/>
    <w:rsid w:val="00A43FBE"/>
    <w:rsid w:val="00A44ECE"/>
    <w:rsid w:val="00A45033"/>
    <w:rsid w:val="00A46820"/>
    <w:rsid w:val="00A47493"/>
    <w:rsid w:val="00A47BFC"/>
    <w:rsid w:val="00A50242"/>
    <w:rsid w:val="00A5035B"/>
    <w:rsid w:val="00A50439"/>
    <w:rsid w:val="00A51355"/>
    <w:rsid w:val="00A51885"/>
    <w:rsid w:val="00A52264"/>
    <w:rsid w:val="00A52713"/>
    <w:rsid w:val="00A5274B"/>
    <w:rsid w:val="00A53E65"/>
    <w:rsid w:val="00A549ED"/>
    <w:rsid w:val="00A54B11"/>
    <w:rsid w:val="00A54DF5"/>
    <w:rsid w:val="00A55235"/>
    <w:rsid w:val="00A554EE"/>
    <w:rsid w:val="00A5568A"/>
    <w:rsid w:val="00A55D0A"/>
    <w:rsid w:val="00A55DA6"/>
    <w:rsid w:val="00A55EC9"/>
    <w:rsid w:val="00A55F4F"/>
    <w:rsid w:val="00A563B9"/>
    <w:rsid w:val="00A57021"/>
    <w:rsid w:val="00A572E6"/>
    <w:rsid w:val="00A579B4"/>
    <w:rsid w:val="00A57E5D"/>
    <w:rsid w:val="00A6008D"/>
    <w:rsid w:val="00A6096A"/>
    <w:rsid w:val="00A60DFE"/>
    <w:rsid w:val="00A60E2B"/>
    <w:rsid w:val="00A6102C"/>
    <w:rsid w:val="00A6149F"/>
    <w:rsid w:val="00A616A1"/>
    <w:rsid w:val="00A617BF"/>
    <w:rsid w:val="00A61A1E"/>
    <w:rsid w:val="00A62312"/>
    <w:rsid w:val="00A62DA9"/>
    <w:rsid w:val="00A62F6F"/>
    <w:rsid w:val="00A6312F"/>
    <w:rsid w:val="00A6332C"/>
    <w:rsid w:val="00A63966"/>
    <w:rsid w:val="00A64266"/>
    <w:rsid w:val="00A6492A"/>
    <w:rsid w:val="00A64B25"/>
    <w:rsid w:val="00A64B98"/>
    <w:rsid w:val="00A65BB5"/>
    <w:rsid w:val="00A65BBE"/>
    <w:rsid w:val="00A65E7C"/>
    <w:rsid w:val="00A66415"/>
    <w:rsid w:val="00A668B8"/>
    <w:rsid w:val="00A6693A"/>
    <w:rsid w:val="00A66D64"/>
    <w:rsid w:val="00A66E88"/>
    <w:rsid w:val="00A67000"/>
    <w:rsid w:val="00A67C72"/>
    <w:rsid w:val="00A67EA2"/>
    <w:rsid w:val="00A67EA5"/>
    <w:rsid w:val="00A7000E"/>
    <w:rsid w:val="00A70070"/>
    <w:rsid w:val="00A70518"/>
    <w:rsid w:val="00A70CDA"/>
    <w:rsid w:val="00A71233"/>
    <w:rsid w:val="00A71DDC"/>
    <w:rsid w:val="00A71E92"/>
    <w:rsid w:val="00A71EF6"/>
    <w:rsid w:val="00A725D3"/>
    <w:rsid w:val="00A72B07"/>
    <w:rsid w:val="00A72FE3"/>
    <w:rsid w:val="00A7310F"/>
    <w:rsid w:val="00A74117"/>
    <w:rsid w:val="00A744B5"/>
    <w:rsid w:val="00A744E1"/>
    <w:rsid w:val="00A74E81"/>
    <w:rsid w:val="00A75F28"/>
    <w:rsid w:val="00A767E1"/>
    <w:rsid w:val="00A76BC1"/>
    <w:rsid w:val="00A7716E"/>
    <w:rsid w:val="00A771A7"/>
    <w:rsid w:val="00A80442"/>
    <w:rsid w:val="00A81101"/>
    <w:rsid w:val="00A81493"/>
    <w:rsid w:val="00A8156C"/>
    <w:rsid w:val="00A8199E"/>
    <w:rsid w:val="00A82AF0"/>
    <w:rsid w:val="00A82BE6"/>
    <w:rsid w:val="00A82F78"/>
    <w:rsid w:val="00A837A5"/>
    <w:rsid w:val="00A837F0"/>
    <w:rsid w:val="00A84189"/>
    <w:rsid w:val="00A84343"/>
    <w:rsid w:val="00A84957"/>
    <w:rsid w:val="00A84E54"/>
    <w:rsid w:val="00A853BE"/>
    <w:rsid w:val="00A856D6"/>
    <w:rsid w:val="00A8587E"/>
    <w:rsid w:val="00A8610E"/>
    <w:rsid w:val="00A86597"/>
    <w:rsid w:val="00A870EF"/>
    <w:rsid w:val="00A875DC"/>
    <w:rsid w:val="00A87968"/>
    <w:rsid w:val="00A87F28"/>
    <w:rsid w:val="00A90922"/>
    <w:rsid w:val="00A90F70"/>
    <w:rsid w:val="00A915B2"/>
    <w:rsid w:val="00A91B43"/>
    <w:rsid w:val="00A91D1E"/>
    <w:rsid w:val="00A9235E"/>
    <w:rsid w:val="00A924E8"/>
    <w:rsid w:val="00A928ED"/>
    <w:rsid w:val="00A92A2A"/>
    <w:rsid w:val="00A92CB4"/>
    <w:rsid w:val="00A93546"/>
    <w:rsid w:val="00A939BE"/>
    <w:rsid w:val="00A93E7D"/>
    <w:rsid w:val="00A94059"/>
    <w:rsid w:val="00A948B7"/>
    <w:rsid w:val="00A948FE"/>
    <w:rsid w:val="00A95190"/>
    <w:rsid w:val="00A954FC"/>
    <w:rsid w:val="00A960F0"/>
    <w:rsid w:val="00A9624B"/>
    <w:rsid w:val="00A965E7"/>
    <w:rsid w:val="00A96AB7"/>
    <w:rsid w:val="00A96D7C"/>
    <w:rsid w:val="00A96F48"/>
    <w:rsid w:val="00A973A8"/>
    <w:rsid w:val="00A973AD"/>
    <w:rsid w:val="00AA0DCD"/>
    <w:rsid w:val="00AA12B7"/>
    <w:rsid w:val="00AA17CF"/>
    <w:rsid w:val="00AA1C2C"/>
    <w:rsid w:val="00AA1F57"/>
    <w:rsid w:val="00AA1F74"/>
    <w:rsid w:val="00AA229C"/>
    <w:rsid w:val="00AA2480"/>
    <w:rsid w:val="00AA2A4B"/>
    <w:rsid w:val="00AA2D49"/>
    <w:rsid w:val="00AA308F"/>
    <w:rsid w:val="00AA37E9"/>
    <w:rsid w:val="00AA392C"/>
    <w:rsid w:val="00AA4152"/>
    <w:rsid w:val="00AA4E83"/>
    <w:rsid w:val="00AA541B"/>
    <w:rsid w:val="00AA56CB"/>
    <w:rsid w:val="00AA5ED5"/>
    <w:rsid w:val="00AA5FB5"/>
    <w:rsid w:val="00AA63C8"/>
    <w:rsid w:val="00AA6589"/>
    <w:rsid w:val="00AA6930"/>
    <w:rsid w:val="00AA6CA0"/>
    <w:rsid w:val="00AA6F8C"/>
    <w:rsid w:val="00AA705E"/>
    <w:rsid w:val="00AB0106"/>
    <w:rsid w:val="00AB0CA5"/>
    <w:rsid w:val="00AB0DE0"/>
    <w:rsid w:val="00AB0F36"/>
    <w:rsid w:val="00AB1380"/>
    <w:rsid w:val="00AB1385"/>
    <w:rsid w:val="00AB15C9"/>
    <w:rsid w:val="00AB19BD"/>
    <w:rsid w:val="00AB2E46"/>
    <w:rsid w:val="00AB2F27"/>
    <w:rsid w:val="00AB300F"/>
    <w:rsid w:val="00AB31EC"/>
    <w:rsid w:val="00AB3584"/>
    <w:rsid w:val="00AB3D51"/>
    <w:rsid w:val="00AB4296"/>
    <w:rsid w:val="00AB507B"/>
    <w:rsid w:val="00AB54B6"/>
    <w:rsid w:val="00AB581D"/>
    <w:rsid w:val="00AB5AF4"/>
    <w:rsid w:val="00AB5BC1"/>
    <w:rsid w:val="00AB5CD3"/>
    <w:rsid w:val="00AB66CE"/>
    <w:rsid w:val="00AB7A2F"/>
    <w:rsid w:val="00AC02AE"/>
    <w:rsid w:val="00AC050A"/>
    <w:rsid w:val="00AC0982"/>
    <w:rsid w:val="00AC105C"/>
    <w:rsid w:val="00AC12C1"/>
    <w:rsid w:val="00AC1435"/>
    <w:rsid w:val="00AC1605"/>
    <w:rsid w:val="00AC1A27"/>
    <w:rsid w:val="00AC1E6A"/>
    <w:rsid w:val="00AC221A"/>
    <w:rsid w:val="00AC2EDA"/>
    <w:rsid w:val="00AC3069"/>
    <w:rsid w:val="00AC3189"/>
    <w:rsid w:val="00AC3D17"/>
    <w:rsid w:val="00AC3D26"/>
    <w:rsid w:val="00AC56F7"/>
    <w:rsid w:val="00AC6182"/>
    <w:rsid w:val="00AC7114"/>
    <w:rsid w:val="00AC7249"/>
    <w:rsid w:val="00AC740D"/>
    <w:rsid w:val="00AC7876"/>
    <w:rsid w:val="00AC7AE6"/>
    <w:rsid w:val="00ACDC4D"/>
    <w:rsid w:val="00AD0582"/>
    <w:rsid w:val="00AD0768"/>
    <w:rsid w:val="00AD0839"/>
    <w:rsid w:val="00AD0B4C"/>
    <w:rsid w:val="00AD0F1B"/>
    <w:rsid w:val="00AD16A9"/>
    <w:rsid w:val="00AD1BE3"/>
    <w:rsid w:val="00AD23A8"/>
    <w:rsid w:val="00AD2A4F"/>
    <w:rsid w:val="00AD2DA1"/>
    <w:rsid w:val="00AD3653"/>
    <w:rsid w:val="00AD3D7B"/>
    <w:rsid w:val="00AD3E45"/>
    <w:rsid w:val="00AD3EBC"/>
    <w:rsid w:val="00AD4C07"/>
    <w:rsid w:val="00AD4EDE"/>
    <w:rsid w:val="00AD553F"/>
    <w:rsid w:val="00AD55EB"/>
    <w:rsid w:val="00AD581C"/>
    <w:rsid w:val="00AD5E29"/>
    <w:rsid w:val="00AD5E43"/>
    <w:rsid w:val="00AD659E"/>
    <w:rsid w:val="00AD70B0"/>
    <w:rsid w:val="00AD7DD0"/>
    <w:rsid w:val="00AD7E83"/>
    <w:rsid w:val="00AD7F43"/>
    <w:rsid w:val="00AE054A"/>
    <w:rsid w:val="00AE07FC"/>
    <w:rsid w:val="00AE08F1"/>
    <w:rsid w:val="00AE0C49"/>
    <w:rsid w:val="00AE0E11"/>
    <w:rsid w:val="00AE13E8"/>
    <w:rsid w:val="00AE1D2B"/>
    <w:rsid w:val="00AE1D3A"/>
    <w:rsid w:val="00AE1EE1"/>
    <w:rsid w:val="00AE22F8"/>
    <w:rsid w:val="00AE2561"/>
    <w:rsid w:val="00AE28A2"/>
    <w:rsid w:val="00AE32D1"/>
    <w:rsid w:val="00AE4629"/>
    <w:rsid w:val="00AE48F1"/>
    <w:rsid w:val="00AE4B5B"/>
    <w:rsid w:val="00AE5B63"/>
    <w:rsid w:val="00AE6299"/>
    <w:rsid w:val="00AE63E4"/>
    <w:rsid w:val="00AE6A32"/>
    <w:rsid w:val="00AE710C"/>
    <w:rsid w:val="00AE73AF"/>
    <w:rsid w:val="00AE7428"/>
    <w:rsid w:val="00AE74C3"/>
    <w:rsid w:val="00AE78DE"/>
    <w:rsid w:val="00AE78ED"/>
    <w:rsid w:val="00AF088C"/>
    <w:rsid w:val="00AF13C4"/>
    <w:rsid w:val="00AF1B33"/>
    <w:rsid w:val="00AF1B78"/>
    <w:rsid w:val="00AF1BD6"/>
    <w:rsid w:val="00AF1DD3"/>
    <w:rsid w:val="00AF32E3"/>
    <w:rsid w:val="00AF35BA"/>
    <w:rsid w:val="00AF35BC"/>
    <w:rsid w:val="00AF378B"/>
    <w:rsid w:val="00AF3CD7"/>
    <w:rsid w:val="00AF4801"/>
    <w:rsid w:val="00AF4C22"/>
    <w:rsid w:val="00AF4E20"/>
    <w:rsid w:val="00AF4EBE"/>
    <w:rsid w:val="00AF4F42"/>
    <w:rsid w:val="00AF5631"/>
    <w:rsid w:val="00AF5708"/>
    <w:rsid w:val="00AF6DBD"/>
    <w:rsid w:val="00AF727C"/>
    <w:rsid w:val="00B00713"/>
    <w:rsid w:val="00B01ACC"/>
    <w:rsid w:val="00B0259A"/>
    <w:rsid w:val="00B02DE1"/>
    <w:rsid w:val="00B034D1"/>
    <w:rsid w:val="00B03C7E"/>
    <w:rsid w:val="00B04BAC"/>
    <w:rsid w:val="00B04F37"/>
    <w:rsid w:val="00B0504E"/>
    <w:rsid w:val="00B05762"/>
    <w:rsid w:val="00B0591B"/>
    <w:rsid w:val="00B0619C"/>
    <w:rsid w:val="00B06281"/>
    <w:rsid w:val="00B06688"/>
    <w:rsid w:val="00B0688A"/>
    <w:rsid w:val="00B06FF6"/>
    <w:rsid w:val="00B07418"/>
    <w:rsid w:val="00B07836"/>
    <w:rsid w:val="00B07A29"/>
    <w:rsid w:val="00B07BC7"/>
    <w:rsid w:val="00B101F2"/>
    <w:rsid w:val="00B10809"/>
    <w:rsid w:val="00B11112"/>
    <w:rsid w:val="00B11E09"/>
    <w:rsid w:val="00B1220D"/>
    <w:rsid w:val="00B1233B"/>
    <w:rsid w:val="00B126D6"/>
    <w:rsid w:val="00B12AB2"/>
    <w:rsid w:val="00B1338B"/>
    <w:rsid w:val="00B138F3"/>
    <w:rsid w:val="00B1428E"/>
    <w:rsid w:val="00B1442A"/>
    <w:rsid w:val="00B14AC8"/>
    <w:rsid w:val="00B14CF8"/>
    <w:rsid w:val="00B15BBF"/>
    <w:rsid w:val="00B15F00"/>
    <w:rsid w:val="00B16285"/>
    <w:rsid w:val="00B16C84"/>
    <w:rsid w:val="00B179B9"/>
    <w:rsid w:val="00B17AD5"/>
    <w:rsid w:val="00B17CBE"/>
    <w:rsid w:val="00B200D7"/>
    <w:rsid w:val="00B203F9"/>
    <w:rsid w:val="00B20705"/>
    <w:rsid w:val="00B208F0"/>
    <w:rsid w:val="00B20955"/>
    <w:rsid w:val="00B20DC6"/>
    <w:rsid w:val="00B2139C"/>
    <w:rsid w:val="00B21A78"/>
    <w:rsid w:val="00B220BB"/>
    <w:rsid w:val="00B224FD"/>
    <w:rsid w:val="00B22789"/>
    <w:rsid w:val="00B22930"/>
    <w:rsid w:val="00B23534"/>
    <w:rsid w:val="00B23D03"/>
    <w:rsid w:val="00B24016"/>
    <w:rsid w:val="00B242D7"/>
    <w:rsid w:val="00B25348"/>
    <w:rsid w:val="00B25943"/>
    <w:rsid w:val="00B26347"/>
    <w:rsid w:val="00B266B1"/>
    <w:rsid w:val="00B26831"/>
    <w:rsid w:val="00B2720B"/>
    <w:rsid w:val="00B27716"/>
    <w:rsid w:val="00B30904"/>
    <w:rsid w:val="00B30C42"/>
    <w:rsid w:val="00B31AFB"/>
    <w:rsid w:val="00B329B3"/>
    <w:rsid w:val="00B32E51"/>
    <w:rsid w:val="00B33472"/>
    <w:rsid w:val="00B3364B"/>
    <w:rsid w:val="00B33972"/>
    <w:rsid w:val="00B353E5"/>
    <w:rsid w:val="00B3607E"/>
    <w:rsid w:val="00B364BA"/>
    <w:rsid w:val="00B3662C"/>
    <w:rsid w:val="00B36D3E"/>
    <w:rsid w:val="00B37796"/>
    <w:rsid w:val="00B37AF6"/>
    <w:rsid w:val="00B37D7E"/>
    <w:rsid w:val="00B40B38"/>
    <w:rsid w:val="00B41692"/>
    <w:rsid w:val="00B4223B"/>
    <w:rsid w:val="00B4235A"/>
    <w:rsid w:val="00B42B3F"/>
    <w:rsid w:val="00B4417D"/>
    <w:rsid w:val="00B4427C"/>
    <w:rsid w:val="00B454EA"/>
    <w:rsid w:val="00B45A97"/>
    <w:rsid w:val="00B46249"/>
    <w:rsid w:val="00B46A87"/>
    <w:rsid w:val="00B47130"/>
    <w:rsid w:val="00B4756E"/>
    <w:rsid w:val="00B47E9E"/>
    <w:rsid w:val="00B5004C"/>
    <w:rsid w:val="00B50359"/>
    <w:rsid w:val="00B50EB0"/>
    <w:rsid w:val="00B51184"/>
    <w:rsid w:val="00B512FB"/>
    <w:rsid w:val="00B51F41"/>
    <w:rsid w:val="00B5285A"/>
    <w:rsid w:val="00B53072"/>
    <w:rsid w:val="00B53EA1"/>
    <w:rsid w:val="00B53F00"/>
    <w:rsid w:val="00B549DF"/>
    <w:rsid w:val="00B55369"/>
    <w:rsid w:val="00B55905"/>
    <w:rsid w:val="00B55938"/>
    <w:rsid w:val="00B55F01"/>
    <w:rsid w:val="00B561E9"/>
    <w:rsid w:val="00B562EB"/>
    <w:rsid w:val="00B571C3"/>
    <w:rsid w:val="00B57338"/>
    <w:rsid w:val="00B578AC"/>
    <w:rsid w:val="00B6105E"/>
    <w:rsid w:val="00B613FE"/>
    <w:rsid w:val="00B6158A"/>
    <w:rsid w:val="00B61B30"/>
    <w:rsid w:val="00B621DD"/>
    <w:rsid w:val="00B6236E"/>
    <w:rsid w:val="00B62647"/>
    <w:rsid w:val="00B6267A"/>
    <w:rsid w:val="00B62AB9"/>
    <w:rsid w:val="00B62DF2"/>
    <w:rsid w:val="00B62E8D"/>
    <w:rsid w:val="00B632D4"/>
    <w:rsid w:val="00B634B7"/>
    <w:rsid w:val="00B63684"/>
    <w:rsid w:val="00B6402E"/>
    <w:rsid w:val="00B641B9"/>
    <w:rsid w:val="00B6443E"/>
    <w:rsid w:val="00B66473"/>
    <w:rsid w:val="00B67007"/>
    <w:rsid w:val="00B7064A"/>
    <w:rsid w:val="00B706E3"/>
    <w:rsid w:val="00B70F3E"/>
    <w:rsid w:val="00B71BD9"/>
    <w:rsid w:val="00B72355"/>
    <w:rsid w:val="00B7295F"/>
    <w:rsid w:val="00B73906"/>
    <w:rsid w:val="00B74538"/>
    <w:rsid w:val="00B74A56"/>
    <w:rsid w:val="00B75BE6"/>
    <w:rsid w:val="00B764FB"/>
    <w:rsid w:val="00B769DF"/>
    <w:rsid w:val="00B7C037"/>
    <w:rsid w:val="00B80679"/>
    <w:rsid w:val="00B80AEC"/>
    <w:rsid w:val="00B8126C"/>
    <w:rsid w:val="00B8140F"/>
    <w:rsid w:val="00B81720"/>
    <w:rsid w:val="00B81C4B"/>
    <w:rsid w:val="00B82703"/>
    <w:rsid w:val="00B82819"/>
    <w:rsid w:val="00B837E5"/>
    <w:rsid w:val="00B840EB"/>
    <w:rsid w:val="00B8452A"/>
    <w:rsid w:val="00B850A7"/>
    <w:rsid w:val="00B854D0"/>
    <w:rsid w:val="00B854E5"/>
    <w:rsid w:val="00B85B44"/>
    <w:rsid w:val="00B8619C"/>
    <w:rsid w:val="00B86938"/>
    <w:rsid w:val="00B872EC"/>
    <w:rsid w:val="00B90F38"/>
    <w:rsid w:val="00B91575"/>
    <w:rsid w:val="00B92A31"/>
    <w:rsid w:val="00B92D09"/>
    <w:rsid w:val="00B92DF5"/>
    <w:rsid w:val="00B93047"/>
    <w:rsid w:val="00B93067"/>
    <w:rsid w:val="00B935D2"/>
    <w:rsid w:val="00B936F5"/>
    <w:rsid w:val="00B9377A"/>
    <w:rsid w:val="00B93ACD"/>
    <w:rsid w:val="00B948F5"/>
    <w:rsid w:val="00B94A0A"/>
    <w:rsid w:val="00B94C4C"/>
    <w:rsid w:val="00B94E98"/>
    <w:rsid w:val="00B96309"/>
    <w:rsid w:val="00B965A9"/>
    <w:rsid w:val="00B96C32"/>
    <w:rsid w:val="00B975DC"/>
    <w:rsid w:val="00BA02A1"/>
    <w:rsid w:val="00BA05B4"/>
    <w:rsid w:val="00BA06E6"/>
    <w:rsid w:val="00BA112C"/>
    <w:rsid w:val="00BA1211"/>
    <w:rsid w:val="00BA1523"/>
    <w:rsid w:val="00BA155F"/>
    <w:rsid w:val="00BA1C2F"/>
    <w:rsid w:val="00BA1D2E"/>
    <w:rsid w:val="00BA20CA"/>
    <w:rsid w:val="00BA238F"/>
    <w:rsid w:val="00BA3021"/>
    <w:rsid w:val="00BA31F0"/>
    <w:rsid w:val="00BA3373"/>
    <w:rsid w:val="00BA33BB"/>
    <w:rsid w:val="00BA3416"/>
    <w:rsid w:val="00BA394B"/>
    <w:rsid w:val="00BA4005"/>
    <w:rsid w:val="00BA40A3"/>
    <w:rsid w:val="00BA41EA"/>
    <w:rsid w:val="00BA43BA"/>
    <w:rsid w:val="00BA4457"/>
    <w:rsid w:val="00BA4F99"/>
    <w:rsid w:val="00BA5545"/>
    <w:rsid w:val="00BA58FD"/>
    <w:rsid w:val="00BA6B8E"/>
    <w:rsid w:val="00BA6FB6"/>
    <w:rsid w:val="00BA773F"/>
    <w:rsid w:val="00BA7B15"/>
    <w:rsid w:val="00BA7DAC"/>
    <w:rsid w:val="00BA7F70"/>
    <w:rsid w:val="00BB033F"/>
    <w:rsid w:val="00BB04B7"/>
    <w:rsid w:val="00BB0666"/>
    <w:rsid w:val="00BB088A"/>
    <w:rsid w:val="00BB08BD"/>
    <w:rsid w:val="00BB0D58"/>
    <w:rsid w:val="00BB0EAD"/>
    <w:rsid w:val="00BB1147"/>
    <w:rsid w:val="00BB1243"/>
    <w:rsid w:val="00BB346B"/>
    <w:rsid w:val="00BB370A"/>
    <w:rsid w:val="00BB375B"/>
    <w:rsid w:val="00BB397C"/>
    <w:rsid w:val="00BB3CBB"/>
    <w:rsid w:val="00BB3DFF"/>
    <w:rsid w:val="00BB3FCE"/>
    <w:rsid w:val="00BB3FE5"/>
    <w:rsid w:val="00BB4C86"/>
    <w:rsid w:val="00BB5282"/>
    <w:rsid w:val="00BB5319"/>
    <w:rsid w:val="00BB5C6F"/>
    <w:rsid w:val="00BB5C82"/>
    <w:rsid w:val="00BB5D52"/>
    <w:rsid w:val="00BB5FC6"/>
    <w:rsid w:val="00BB6534"/>
    <w:rsid w:val="00BB6B96"/>
    <w:rsid w:val="00BB6C01"/>
    <w:rsid w:val="00BB75EF"/>
    <w:rsid w:val="00BB7CED"/>
    <w:rsid w:val="00BC089F"/>
    <w:rsid w:val="00BC0E20"/>
    <w:rsid w:val="00BC1006"/>
    <w:rsid w:val="00BC12C5"/>
    <w:rsid w:val="00BC14B3"/>
    <w:rsid w:val="00BC1737"/>
    <w:rsid w:val="00BC2902"/>
    <w:rsid w:val="00BC2D22"/>
    <w:rsid w:val="00BC2E16"/>
    <w:rsid w:val="00BC30DC"/>
    <w:rsid w:val="00BC30EF"/>
    <w:rsid w:val="00BC4433"/>
    <w:rsid w:val="00BC44EA"/>
    <w:rsid w:val="00BC459A"/>
    <w:rsid w:val="00BC477C"/>
    <w:rsid w:val="00BC4B3D"/>
    <w:rsid w:val="00BC4D35"/>
    <w:rsid w:val="00BC5115"/>
    <w:rsid w:val="00BC5586"/>
    <w:rsid w:val="00BC5656"/>
    <w:rsid w:val="00BC577F"/>
    <w:rsid w:val="00BC5958"/>
    <w:rsid w:val="00BC5C5A"/>
    <w:rsid w:val="00BC640D"/>
    <w:rsid w:val="00BC662C"/>
    <w:rsid w:val="00BC69C4"/>
    <w:rsid w:val="00BC6CF4"/>
    <w:rsid w:val="00BC7372"/>
    <w:rsid w:val="00BC7888"/>
    <w:rsid w:val="00BC7CE9"/>
    <w:rsid w:val="00BD02C9"/>
    <w:rsid w:val="00BD0C33"/>
    <w:rsid w:val="00BD157F"/>
    <w:rsid w:val="00BD1A1B"/>
    <w:rsid w:val="00BD23A7"/>
    <w:rsid w:val="00BD25E8"/>
    <w:rsid w:val="00BD26C2"/>
    <w:rsid w:val="00BD2818"/>
    <w:rsid w:val="00BD2DB0"/>
    <w:rsid w:val="00BD396E"/>
    <w:rsid w:val="00BD3C80"/>
    <w:rsid w:val="00BD402E"/>
    <w:rsid w:val="00BD4409"/>
    <w:rsid w:val="00BD47F7"/>
    <w:rsid w:val="00BD4D54"/>
    <w:rsid w:val="00BD5017"/>
    <w:rsid w:val="00BD5390"/>
    <w:rsid w:val="00BD5E15"/>
    <w:rsid w:val="00BD779A"/>
    <w:rsid w:val="00BE032A"/>
    <w:rsid w:val="00BE0B95"/>
    <w:rsid w:val="00BE16F5"/>
    <w:rsid w:val="00BE1828"/>
    <w:rsid w:val="00BE1A4C"/>
    <w:rsid w:val="00BE1B43"/>
    <w:rsid w:val="00BE2A24"/>
    <w:rsid w:val="00BE31E4"/>
    <w:rsid w:val="00BE3439"/>
    <w:rsid w:val="00BE3516"/>
    <w:rsid w:val="00BE379E"/>
    <w:rsid w:val="00BE3D51"/>
    <w:rsid w:val="00BE3DBF"/>
    <w:rsid w:val="00BE44AF"/>
    <w:rsid w:val="00BE6FF7"/>
    <w:rsid w:val="00BE7549"/>
    <w:rsid w:val="00BE76DA"/>
    <w:rsid w:val="00BF011F"/>
    <w:rsid w:val="00BF076A"/>
    <w:rsid w:val="00BF0A96"/>
    <w:rsid w:val="00BF0D5D"/>
    <w:rsid w:val="00BF11A4"/>
    <w:rsid w:val="00BF1C00"/>
    <w:rsid w:val="00BF263F"/>
    <w:rsid w:val="00BF2AAA"/>
    <w:rsid w:val="00BF3690"/>
    <w:rsid w:val="00BF3894"/>
    <w:rsid w:val="00BF3CAF"/>
    <w:rsid w:val="00BF3F22"/>
    <w:rsid w:val="00BF40F4"/>
    <w:rsid w:val="00BF4456"/>
    <w:rsid w:val="00BF4516"/>
    <w:rsid w:val="00BF48DF"/>
    <w:rsid w:val="00BF49BB"/>
    <w:rsid w:val="00BF4D99"/>
    <w:rsid w:val="00BF52C5"/>
    <w:rsid w:val="00BF55A1"/>
    <w:rsid w:val="00BF5EF7"/>
    <w:rsid w:val="00BF61F9"/>
    <w:rsid w:val="00BF6323"/>
    <w:rsid w:val="00BF6371"/>
    <w:rsid w:val="00BF6F14"/>
    <w:rsid w:val="00BF7199"/>
    <w:rsid w:val="00BF7C19"/>
    <w:rsid w:val="00BF7FF2"/>
    <w:rsid w:val="00C00019"/>
    <w:rsid w:val="00C0080B"/>
    <w:rsid w:val="00C00D38"/>
    <w:rsid w:val="00C00DAA"/>
    <w:rsid w:val="00C00E64"/>
    <w:rsid w:val="00C01248"/>
    <w:rsid w:val="00C022EE"/>
    <w:rsid w:val="00C02660"/>
    <w:rsid w:val="00C02935"/>
    <w:rsid w:val="00C02A58"/>
    <w:rsid w:val="00C02DDF"/>
    <w:rsid w:val="00C0337C"/>
    <w:rsid w:val="00C033F7"/>
    <w:rsid w:val="00C03ABE"/>
    <w:rsid w:val="00C03C8D"/>
    <w:rsid w:val="00C03E8F"/>
    <w:rsid w:val="00C040B5"/>
    <w:rsid w:val="00C05564"/>
    <w:rsid w:val="00C05C11"/>
    <w:rsid w:val="00C05E48"/>
    <w:rsid w:val="00C06432"/>
    <w:rsid w:val="00C06472"/>
    <w:rsid w:val="00C0697E"/>
    <w:rsid w:val="00C06A36"/>
    <w:rsid w:val="00C0712C"/>
    <w:rsid w:val="00C073DC"/>
    <w:rsid w:val="00C0751F"/>
    <w:rsid w:val="00C079D6"/>
    <w:rsid w:val="00C103DD"/>
    <w:rsid w:val="00C10720"/>
    <w:rsid w:val="00C10AA3"/>
    <w:rsid w:val="00C10C0C"/>
    <w:rsid w:val="00C10F62"/>
    <w:rsid w:val="00C11216"/>
    <w:rsid w:val="00C117A2"/>
    <w:rsid w:val="00C119A1"/>
    <w:rsid w:val="00C11EFC"/>
    <w:rsid w:val="00C12279"/>
    <w:rsid w:val="00C1231B"/>
    <w:rsid w:val="00C12DA2"/>
    <w:rsid w:val="00C13702"/>
    <w:rsid w:val="00C1390C"/>
    <w:rsid w:val="00C14148"/>
    <w:rsid w:val="00C14257"/>
    <w:rsid w:val="00C142C8"/>
    <w:rsid w:val="00C14AD4"/>
    <w:rsid w:val="00C150FF"/>
    <w:rsid w:val="00C156AC"/>
    <w:rsid w:val="00C15714"/>
    <w:rsid w:val="00C16197"/>
    <w:rsid w:val="00C16300"/>
    <w:rsid w:val="00C1685B"/>
    <w:rsid w:val="00C16A7C"/>
    <w:rsid w:val="00C17492"/>
    <w:rsid w:val="00C17A4C"/>
    <w:rsid w:val="00C204D2"/>
    <w:rsid w:val="00C20A4B"/>
    <w:rsid w:val="00C20F47"/>
    <w:rsid w:val="00C2103C"/>
    <w:rsid w:val="00C211BB"/>
    <w:rsid w:val="00C2147D"/>
    <w:rsid w:val="00C2198D"/>
    <w:rsid w:val="00C21E59"/>
    <w:rsid w:val="00C22238"/>
    <w:rsid w:val="00C22736"/>
    <w:rsid w:val="00C22895"/>
    <w:rsid w:val="00C230C7"/>
    <w:rsid w:val="00C2336D"/>
    <w:rsid w:val="00C2350E"/>
    <w:rsid w:val="00C2390F"/>
    <w:rsid w:val="00C23A2C"/>
    <w:rsid w:val="00C23B49"/>
    <w:rsid w:val="00C241E4"/>
    <w:rsid w:val="00C2424C"/>
    <w:rsid w:val="00C247BE"/>
    <w:rsid w:val="00C24FF3"/>
    <w:rsid w:val="00C25527"/>
    <w:rsid w:val="00C25E87"/>
    <w:rsid w:val="00C25FB5"/>
    <w:rsid w:val="00C26C01"/>
    <w:rsid w:val="00C26D53"/>
    <w:rsid w:val="00C26F64"/>
    <w:rsid w:val="00C27CA8"/>
    <w:rsid w:val="00C30215"/>
    <w:rsid w:val="00C303B9"/>
    <w:rsid w:val="00C30712"/>
    <w:rsid w:val="00C30AF8"/>
    <w:rsid w:val="00C30BAD"/>
    <w:rsid w:val="00C30BD1"/>
    <w:rsid w:val="00C30E04"/>
    <w:rsid w:val="00C31352"/>
    <w:rsid w:val="00C3143A"/>
    <w:rsid w:val="00C316BD"/>
    <w:rsid w:val="00C31CA1"/>
    <w:rsid w:val="00C324F8"/>
    <w:rsid w:val="00C32CC1"/>
    <w:rsid w:val="00C33412"/>
    <w:rsid w:val="00C33D27"/>
    <w:rsid w:val="00C35654"/>
    <w:rsid w:val="00C3569F"/>
    <w:rsid w:val="00C358E7"/>
    <w:rsid w:val="00C36BC7"/>
    <w:rsid w:val="00C36CDD"/>
    <w:rsid w:val="00C36D9E"/>
    <w:rsid w:val="00C3720F"/>
    <w:rsid w:val="00C37384"/>
    <w:rsid w:val="00C3792C"/>
    <w:rsid w:val="00C37D3F"/>
    <w:rsid w:val="00C402E0"/>
    <w:rsid w:val="00C40493"/>
    <w:rsid w:val="00C406C4"/>
    <w:rsid w:val="00C40ED0"/>
    <w:rsid w:val="00C410E6"/>
    <w:rsid w:val="00C41496"/>
    <w:rsid w:val="00C416A4"/>
    <w:rsid w:val="00C418D0"/>
    <w:rsid w:val="00C420CA"/>
    <w:rsid w:val="00C422B5"/>
    <w:rsid w:val="00C42438"/>
    <w:rsid w:val="00C426CF"/>
    <w:rsid w:val="00C4273C"/>
    <w:rsid w:val="00C42831"/>
    <w:rsid w:val="00C42D06"/>
    <w:rsid w:val="00C42E17"/>
    <w:rsid w:val="00C4357B"/>
    <w:rsid w:val="00C43756"/>
    <w:rsid w:val="00C4397C"/>
    <w:rsid w:val="00C43D82"/>
    <w:rsid w:val="00C43EAA"/>
    <w:rsid w:val="00C44006"/>
    <w:rsid w:val="00C443D1"/>
    <w:rsid w:val="00C4460B"/>
    <w:rsid w:val="00C4477D"/>
    <w:rsid w:val="00C44F4B"/>
    <w:rsid w:val="00C4516C"/>
    <w:rsid w:val="00C4547D"/>
    <w:rsid w:val="00C454E3"/>
    <w:rsid w:val="00C45EAE"/>
    <w:rsid w:val="00C45F07"/>
    <w:rsid w:val="00C47493"/>
    <w:rsid w:val="00C5039B"/>
    <w:rsid w:val="00C50BD3"/>
    <w:rsid w:val="00C514D5"/>
    <w:rsid w:val="00C51B03"/>
    <w:rsid w:val="00C51B82"/>
    <w:rsid w:val="00C51DBB"/>
    <w:rsid w:val="00C51E4E"/>
    <w:rsid w:val="00C52278"/>
    <w:rsid w:val="00C52C57"/>
    <w:rsid w:val="00C52FF6"/>
    <w:rsid w:val="00C53FA1"/>
    <w:rsid w:val="00C54F08"/>
    <w:rsid w:val="00C550CD"/>
    <w:rsid w:val="00C551B6"/>
    <w:rsid w:val="00C556DA"/>
    <w:rsid w:val="00C55BBB"/>
    <w:rsid w:val="00C55F84"/>
    <w:rsid w:val="00C56B2C"/>
    <w:rsid w:val="00C5753A"/>
    <w:rsid w:val="00C60BD7"/>
    <w:rsid w:val="00C61B02"/>
    <w:rsid w:val="00C61E07"/>
    <w:rsid w:val="00C622FC"/>
    <w:rsid w:val="00C623EE"/>
    <w:rsid w:val="00C62CC8"/>
    <w:rsid w:val="00C63657"/>
    <w:rsid w:val="00C637AA"/>
    <w:rsid w:val="00C63AFC"/>
    <w:rsid w:val="00C63EC9"/>
    <w:rsid w:val="00C64351"/>
    <w:rsid w:val="00C64A17"/>
    <w:rsid w:val="00C64A3B"/>
    <w:rsid w:val="00C650D4"/>
    <w:rsid w:val="00C6567B"/>
    <w:rsid w:val="00C656A6"/>
    <w:rsid w:val="00C65B1D"/>
    <w:rsid w:val="00C66240"/>
    <w:rsid w:val="00C66860"/>
    <w:rsid w:val="00C66A0D"/>
    <w:rsid w:val="00C67086"/>
    <w:rsid w:val="00C67391"/>
    <w:rsid w:val="00C67450"/>
    <w:rsid w:val="00C67663"/>
    <w:rsid w:val="00C677B1"/>
    <w:rsid w:val="00C67A65"/>
    <w:rsid w:val="00C6A7E1"/>
    <w:rsid w:val="00C7044B"/>
    <w:rsid w:val="00C70DC6"/>
    <w:rsid w:val="00C72628"/>
    <w:rsid w:val="00C72794"/>
    <w:rsid w:val="00C72F18"/>
    <w:rsid w:val="00C7340B"/>
    <w:rsid w:val="00C73A05"/>
    <w:rsid w:val="00C73B42"/>
    <w:rsid w:val="00C73EE8"/>
    <w:rsid w:val="00C73FAF"/>
    <w:rsid w:val="00C74250"/>
    <w:rsid w:val="00C752F5"/>
    <w:rsid w:val="00C765B1"/>
    <w:rsid w:val="00C7666A"/>
    <w:rsid w:val="00C767F3"/>
    <w:rsid w:val="00C76E0C"/>
    <w:rsid w:val="00C76EFF"/>
    <w:rsid w:val="00C776ED"/>
    <w:rsid w:val="00C80000"/>
    <w:rsid w:val="00C8041F"/>
    <w:rsid w:val="00C80765"/>
    <w:rsid w:val="00C808EF"/>
    <w:rsid w:val="00C80D07"/>
    <w:rsid w:val="00C81627"/>
    <w:rsid w:val="00C81A43"/>
    <w:rsid w:val="00C81F6F"/>
    <w:rsid w:val="00C81F92"/>
    <w:rsid w:val="00C8231E"/>
    <w:rsid w:val="00C826F6"/>
    <w:rsid w:val="00C82C0F"/>
    <w:rsid w:val="00C82C5D"/>
    <w:rsid w:val="00C82D0E"/>
    <w:rsid w:val="00C8349D"/>
    <w:rsid w:val="00C83B53"/>
    <w:rsid w:val="00C83DF8"/>
    <w:rsid w:val="00C848A1"/>
    <w:rsid w:val="00C84991"/>
    <w:rsid w:val="00C84AEB"/>
    <w:rsid w:val="00C859DE"/>
    <w:rsid w:val="00C85A21"/>
    <w:rsid w:val="00C86456"/>
    <w:rsid w:val="00C86609"/>
    <w:rsid w:val="00C8674B"/>
    <w:rsid w:val="00C86D66"/>
    <w:rsid w:val="00C87189"/>
    <w:rsid w:val="00C872F9"/>
    <w:rsid w:val="00C873CE"/>
    <w:rsid w:val="00C874AD"/>
    <w:rsid w:val="00C877E4"/>
    <w:rsid w:val="00C87B27"/>
    <w:rsid w:val="00C87D63"/>
    <w:rsid w:val="00C90282"/>
    <w:rsid w:val="00C90327"/>
    <w:rsid w:val="00C903AA"/>
    <w:rsid w:val="00C90529"/>
    <w:rsid w:val="00C9055B"/>
    <w:rsid w:val="00C9107D"/>
    <w:rsid w:val="00C917CF"/>
    <w:rsid w:val="00C91A26"/>
    <w:rsid w:val="00C91AA8"/>
    <w:rsid w:val="00C91E38"/>
    <w:rsid w:val="00C929E8"/>
    <w:rsid w:val="00C93ADB"/>
    <w:rsid w:val="00C93C93"/>
    <w:rsid w:val="00C94454"/>
    <w:rsid w:val="00C94676"/>
    <w:rsid w:val="00C946B4"/>
    <w:rsid w:val="00C9480A"/>
    <w:rsid w:val="00C94C75"/>
    <w:rsid w:val="00C94CF7"/>
    <w:rsid w:val="00C950B4"/>
    <w:rsid w:val="00C95332"/>
    <w:rsid w:val="00C95457"/>
    <w:rsid w:val="00C9581E"/>
    <w:rsid w:val="00C95BB1"/>
    <w:rsid w:val="00C95D19"/>
    <w:rsid w:val="00C960B5"/>
    <w:rsid w:val="00C9612D"/>
    <w:rsid w:val="00C96501"/>
    <w:rsid w:val="00C96F6B"/>
    <w:rsid w:val="00C97046"/>
    <w:rsid w:val="00C974E8"/>
    <w:rsid w:val="00CA0ED1"/>
    <w:rsid w:val="00CA1F55"/>
    <w:rsid w:val="00CA20C2"/>
    <w:rsid w:val="00CA28DC"/>
    <w:rsid w:val="00CA292B"/>
    <w:rsid w:val="00CA2A5C"/>
    <w:rsid w:val="00CA2B55"/>
    <w:rsid w:val="00CA33A3"/>
    <w:rsid w:val="00CA3719"/>
    <w:rsid w:val="00CA409C"/>
    <w:rsid w:val="00CA4428"/>
    <w:rsid w:val="00CA4513"/>
    <w:rsid w:val="00CA4BE3"/>
    <w:rsid w:val="00CA4CD4"/>
    <w:rsid w:val="00CA4F32"/>
    <w:rsid w:val="00CA52B3"/>
    <w:rsid w:val="00CA5B59"/>
    <w:rsid w:val="00CA5F10"/>
    <w:rsid w:val="00CA630C"/>
    <w:rsid w:val="00CA6469"/>
    <w:rsid w:val="00CA6ACA"/>
    <w:rsid w:val="00CA7638"/>
    <w:rsid w:val="00CA7814"/>
    <w:rsid w:val="00CA7DAD"/>
    <w:rsid w:val="00CA7EE7"/>
    <w:rsid w:val="00CB02C5"/>
    <w:rsid w:val="00CB0570"/>
    <w:rsid w:val="00CB063A"/>
    <w:rsid w:val="00CB0956"/>
    <w:rsid w:val="00CB0D2E"/>
    <w:rsid w:val="00CB0D70"/>
    <w:rsid w:val="00CB188E"/>
    <w:rsid w:val="00CB21AF"/>
    <w:rsid w:val="00CB30E2"/>
    <w:rsid w:val="00CB3644"/>
    <w:rsid w:val="00CB3A9A"/>
    <w:rsid w:val="00CB3D3F"/>
    <w:rsid w:val="00CB4654"/>
    <w:rsid w:val="00CB4703"/>
    <w:rsid w:val="00CB4FF9"/>
    <w:rsid w:val="00CB5017"/>
    <w:rsid w:val="00CB55B2"/>
    <w:rsid w:val="00CB5E37"/>
    <w:rsid w:val="00CB5F20"/>
    <w:rsid w:val="00CB6D24"/>
    <w:rsid w:val="00CB7119"/>
    <w:rsid w:val="00CB7132"/>
    <w:rsid w:val="00CB715B"/>
    <w:rsid w:val="00CB7CE0"/>
    <w:rsid w:val="00CC00BD"/>
    <w:rsid w:val="00CC057B"/>
    <w:rsid w:val="00CC0970"/>
    <w:rsid w:val="00CC09AA"/>
    <w:rsid w:val="00CC10B0"/>
    <w:rsid w:val="00CC1461"/>
    <w:rsid w:val="00CC20E1"/>
    <w:rsid w:val="00CC215B"/>
    <w:rsid w:val="00CC250D"/>
    <w:rsid w:val="00CC528C"/>
    <w:rsid w:val="00CC5BE1"/>
    <w:rsid w:val="00CC65BF"/>
    <w:rsid w:val="00CC6C6B"/>
    <w:rsid w:val="00CC70C6"/>
    <w:rsid w:val="00CC726A"/>
    <w:rsid w:val="00CC75D5"/>
    <w:rsid w:val="00CD0027"/>
    <w:rsid w:val="00CD0408"/>
    <w:rsid w:val="00CD07E5"/>
    <w:rsid w:val="00CD1363"/>
    <w:rsid w:val="00CD166D"/>
    <w:rsid w:val="00CD1779"/>
    <w:rsid w:val="00CD18FE"/>
    <w:rsid w:val="00CD1B6A"/>
    <w:rsid w:val="00CD1D59"/>
    <w:rsid w:val="00CD1EAE"/>
    <w:rsid w:val="00CD20F1"/>
    <w:rsid w:val="00CD21A7"/>
    <w:rsid w:val="00CD2788"/>
    <w:rsid w:val="00CD2898"/>
    <w:rsid w:val="00CD2DFC"/>
    <w:rsid w:val="00CD2EF0"/>
    <w:rsid w:val="00CD2FE7"/>
    <w:rsid w:val="00CD3CB4"/>
    <w:rsid w:val="00CD3F2D"/>
    <w:rsid w:val="00CD3FC8"/>
    <w:rsid w:val="00CD4370"/>
    <w:rsid w:val="00CD4417"/>
    <w:rsid w:val="00CD4E1C"/>
    <w:rsid w:val="00CD558F"/>
    <w:rsid w:val="00CD5987"/>
    <w:rsid w:val="00CD5B99"/>
    <w:rsid w:val="00CD5F0E"/>
    <w:rsid w:val="00CD6216"/>
    <w:rsid w:val="00CD6290"/>
    <w:rsid w:val="00CD678D"/>
    <w:rsid w:val="00CD6E46"/>
    <w:rsid w:val="00CD79A7"/>
    <w:rsid w:val="00CD7E9A"/>
    <w:rsid w:val="00CE00B6"/>
    <w:rsid w:val="00CE06F1"/>
    <w:rsid w:val="00CE0714"/>
    <w:rsid w:val="00CE0779"/>
    <w:rsid w:val="00CE082C"/>
    <w:rsid w:val="00CE0D0A"/>
    <w:rsid w:val="00CE1B61"/>
    <w:rsid w:val="00CE2630"/>
    <w:rsid w:val="00CE2CD3"/>
    <w:rsid w:val="00CE30B3"/>
    <w:rsid w:val="00CE34F1"/>
    <w:rsid w:val="00CE3BE5"/>
    <w:rsid w:val="00CE4258"/>
    <w:rsid w:val="00CE4EF0"/>
    <w:rsid w:val="00CE516D"/>
    <w:rsid w:val="00CE6474"/>
    <w:rsid w:val="00CE662C"/>
    <w:rsid w:val="00CE6CB4"/>
    <w:rsid w:val="00CE730B"/>
    <w:rsid w:val="00CF01D5"/>
    <w:rsid w:val="00CF0256"/>
    <w:rsid w:val="00CF0600"/>
    <w:rsid w:val="00CF11F6"/>
    <w:rsid w:val="00CF12B7"/>
    <w:rsid w:val="00CF1FF7"/>
    <w:rsid w:val="00CF1FFF"/>
    <w:rsid w:val="00CF20AD"/>
    <w:rsid w:val="00CF219D"/>
    <w:rsid w:val="00CF2A68"/>
    <w:rsid w:val="00CF2C3C"/>
    <w:rsid w:val="00CF2F5B"/>
    <w:rsid w:val="00CF3385"/>
    <w:rsid w:val="00CF3B99"/>
    <w:rsid w:val="00CF4968"/>
    <w:rsid w:val="00CF4A34"/>
    <w:rsid w:val="00CF4C0F"/>
    <w:rsid w:val="00CF588C"/>
    <w:rsid w:val="00CF5FBB"/>
    <w:rsid w:val="00CF63AA"/>
    <w:rsid w:val="00CF65F9"/>
    <w:rsid w:val="00CF6979"/>
    <w:rsid w:val="00CF72F7"/>
    <w:rsid w:val="00CF7672"/>
    <w:rsid w:val="00D001E2"/>
    <w:rsid w:val="00D00534"/>
    <w:rsid w:val="00D00A83"/>
    <w:rsid w:val="00D00CC7"/>
    <w:rsid w:val="00D016B3"/>
    <w:rsid w:val="00D02637"/>
    <w:rsid w:val="00D03C89"/>
    <w:rsid w:val="00D0455F"/>
    <w:rsid w:val="00D049FB"/>
    <w:rsid w:val="00D04E95"/>
    <w:rsid w:val="00D051CA"/>
    <w:rsid w:val="00D05467"/>
    <w:rsid w:val="00D05598"/>
    <w:rsid w:val="00D056AD"/>
    <w:rsid w:val="00D056E3"/>
    <w:rsid w:val="00D05D5F"/>
    <w:rsid w:val="00D05FBF"/>
    <w:rsid w:val="00D05FDE"/>
    <w:rsid w:val="00D061B8"/>
    <w:rsid w:val="00D0649D"/>
    <w:rsid w:val="00D0653E"/>
    <w:rsid w:val="00D06A2F"/>
    <w:rsid w:val="00D06BBF"/>
    <w:rsid w:val="00D070DD"/>
    <w:rsid w:val="00D07282"/>
    <w:rsid w:val="00D072F7"/>
    <w:rsid w:val="00D07516"/>
    <w:rsid w:val="00D07873"/>
    <w:rsid w:val="00D07FC6"/>
    <w:rsid w:val="00D103AC"/>
    <w:rsid w:val="00D104A7"/>
    <w:rsid w:val="00D108F0"/>
    <w:rsid w:val="00D10BFC"/>
    <w:rsid w:val="00D10D06"/>
    <w:rsid w:val="00D11C09"/>
    <w:rsid w:val="00D1215C"/>
    <w:rsid w:val="00D126BF"/>
    <w:rsid w:val="00D12C18"/>
    <w:rsid w:val="00D12DDF"/>
    <w:rsid w:val="00D12EEE"/>
    <w:rsid w:val="00D12F6B"/>
    <w:rsid w:val="00D1333B"/>
    <w:rsid w:val="00D136E6"/>
    <w:rsid w:val="00D137A8"/>
    <w:rsid w:val="00D13C9B"/>
    <w:rsid w:val="00D14661"/>
    <w:rsid w:val="00D1520E"/>
    <w:rsid w:val="00D1547E"/>
    <w:rsid w:val="00D15BAB"/>
    <w:rsid w:val="00D15EDD"/>
    <w:rsid w:val="00D16C18"/>
    <w:rsid w:val="00D173C0"/>
    <w:rsid w:val="00D173DA"/>
    <w:rsid w:val="00D1741C"/>
    <w:rsid w:val="00D17430"/>
    <w:rsid w:val="00D17E07"/>
    <w:rsid w:val="00D203A1"/>
    <w:rsid w:val="00D20F30"/>
    <w:rsid w:val="00D216AC"/>
    <w:rsid w:val="00D22E1E"/>
    <w:rsid w:val="00D22EBD"/>
    <w:rsid w:val="00D231C2"/>
    <w:rsid w:val="00D235C9"/>
    <w:rsid w:val="00D23A71"/>
    <w:rsid w:val="00D23CD4"/>
    <w:rsid w:val="00D2412B"/>
    <w:rsid w:val="00D24334"/>
    <w:rsid w:val="00D244E2"/>
    <w:rsid w:val="00D24D7A"/>
    <w:rsid w:val="00D25292"/>
    <w:rsid w:val="00D25497"/>
    <w:rsid w:val="00D25593"/>
    <w:rsid w:val="00D25B63"/>
    <w:rsid w:val="00D25F9D"/>
    <w:rsid w:val="00D266A6"/>
    <w:rsid w:val="00D266E2"/>
    <w:rsid w:val="00D26A20"/>
    <w:rsid w:val="00D27032"/>
    <w:rsid w:val="00D27120"/>
    <w:rsid w:val="00D273A9"/>
    <w:rsid w:val="00D300FF"/>
    <w:rsid w:val="00D307CE"/>
    <w:rsid w:val="00D3095A"/>
    <w:rsid w:val="00D30FB8"/>
    <w:rsid w:val="00D31087"/>
    <w:rsid w:val="00D31C67"/>
    <w:rsid w:val="00D32B5D"/>
    <w:rsid w:val="00D32BE8"/>
    <w:rsid w:val="00D32C07"/>
    <w:rsid w:val="00D33269"/>
    <w:rsid w:val="00D33C50"/>
    <w:rsid w:val="00D33DA6"/>
    <w:rsid w:val="00D3402A"/>
    <w:rsid w:val="00D34648"/>
    <w:rsid w:val="00D34A91"/>
    <w:rsid w:val="00D34D72"/>
    <w:rsid w:val="00D35068"/>
    <w:rsid w:val="00D35088"/>
    <w:rsid w:val="00D3565E"/>
    <w:rsid w:val="00D35BE2"/>
    <w:rsid w:val="00D36880"/>
    <w:rsid w:val="00D36B4E"/>
    <w:rsid w:val="00D37264"/>
    <w:rsid w:val="00D378BC"/>
    <w:rsid w:val="00D37BC4"/>
    <w:rsid w:val="00D40257"/>
    <w:rsid w:val="00D40AF6"/>
    <w:rsid w:val="00D41282"/>
    <w:rsid w:val="00D419D6"/>
    <w:rsid w:val="00D41D36"/>
    <w:rsid w:val="00D41D8C"/>
    <w:rsid w:val="00D42439"/>
    <w:rsid w:val="00D42736"/>
    <w:rsid w:val="00D430BC"/>
    <w:rsid w:val="00D431EE"/>
    <w:rsid w:val="00D4369E"/>
    <w:rsid w:val="00D439E1"/>
    <w:rsid w:val="00D43AFA"/>
    <w:rsid w:val="00D4483E"/>
    <w:rsid w:val="00D448EA"/>
    <w:rsid w:val="00D450BB"/>
    <w:rsid w:val="00D4515F"/>
    <w:rsid w:val="00D45850"/>
    <w:rsid w:val="00D45898"/>
    <w:rsid w:val="00D474A0"/>
    <w:rsid w:val="00D504DE"/>
    <w:rsid w:val="00D50C09"/>
    <w:rsid w:val="00D51D52"/>
    <w:rsid w:val="00D51E42"/>
    <w:rsid w:val="00D5211F"/>
    <w:rsid w:val="00D522F1"/>
    <w:rsid w:val="00D5306D"/>
    <w:rsid w:val="00D5318F"/>
    <w:rsid w:val="00D5395A"/>
    <w:rsid w:val="00D53B09"/>
    <w:rsid w:val="00D55802"/>
    <w:rsid w:val="00D56253"/>
    <w:rsid w:val="00D56293"/>
    <w:rsid w:val="00D563AA"/>
    <w:rsid w:val="00D564A8"/>
    <w:rsid w:val="00D56C86"/>
    <w:rsid w:val="00D56DE8"/>
    <w:rsid w:val="00D57996"/>
    <w:rsid w:val="00D57A5E"/>
    <w:rsid w:val="00D57C65"/>
    <w:rsid w:val="00D57F1F"/>
    <w:rsid w:val="00D604A6"/>
    <w:rsid w:val="00D60E21"/>
    <w:rsid w:val="00D6104D"/>
    <w:rsid w:val="00D61B56"/>
    <w:rsid w:val="00D61F10"/>
    <w:rsid w:val="00D6257F"/>
    <w:rsid w:val="00D62681"/>
    <w:rsid w:val="00D6268D"/>
    <w:rsid w:val="00D62D05"/>
    <w:rsid w:val="00D62DAA"/>
    <w:rsid w:val="00D63052"/>
    <w:rsid w:val="00D6307A"/>
    <w:rsid w:val="00D630B8"/>
    <w:rsid w:val="00D63896"/>
    <w:rsid w:val="00D63F00"/>
    <w:rsid w:val="00D64C4B"/>
    <w:rsid w:val="00D64D38"/>
    <w:rsid w:val="00D658DB"/>
    <w:rsid w:val="00D65AAC"/>
    <w:rsid w:val="00D6642A"/>
    <w:rsid w:val="00D669A4"/>
    <w:rsid w:val="00D6709B"/>
    <w:rsid w:val="00D67B59"/>
    <w:rsid w:val="00D67C66"/>
    <w:rsid w:val="00D67EB5"/>
    <w:rsid w:val="00D70130"/>
    <w:rsid w:val="00D703D4"/>
    <w:rsid w:val="00D71865"/>
    <w:rsid w:val="00D7381A"/>
    <w:rsid w:val="00D73AA4"/>
    <w:rsid w:val="00D74544"/>
    <w:rsid w:val="00D74DCF"/>
    <w:rsid w:val="00D7519F"/>
    <w:rsid w:val="00D755B2"/>
    <w:rsid w:val="00D758CF"/>
    <w:rsid w:val="00D7597C"/>
    <w:rsid w:val="00D75C37"/>
    <w:rsid w:val="00D76B18"/>
    <w:rsid w:val="00D76CC5"/>
    <w:rsid w:val="00D76D56"/>
    <w:rsid w:val="00D771BE"/>
    <w:rsid w:val="00D772E9"/>
    <w:rsid w:val="00D775C9"/>
    <w:rsid w:val="00D80814"/>
    <w:rsid w:val="00D815C8"/>
    <w:rsid w:val="00D828F6"/>
    <w:rsid w:val="00D82D67"/>
    <w:rsid w:val="00D8315B"/>
    <w:rsid w:val="00D835EC"/>
    <w:rsid w:val="00D8372D"/>
    <w:rsid w:val="00D83E17"/>
    <w:rsid w:val="00D84B96"/>
    <w:rsid w:val="00D8555C"/>
    <w:rsid w:val="00D85A01"/>
    <w:rsid w:val="00D85EAB"/>
    <w:rsid w:val="00D85F50"/>
    <w:rsid w:val="00D85FA9"/>
    <w:rsid w:val="00D865C9"/>
    <w:rsid w:val="00D86996"/>
    <w:rsid w:val="00D9077B"/>
    <w:rsid w:val="00D90A37"/>
    <w:rsid w:val="00D91119"/>
    <w:rsid w:val="00D91BA2"/>
    <w:rsid w:val="00D920A2"/>
    <w:rsid w:val="00D9232E"/>
    <w:rsid w:val="00D9351B"/>
    <w:rsid w:val="00D958FE"/>
    <w:rsid w:val="00D96062"/>
    <w:rsid w:val="00D963D7"/>
    <w:rsid w:val="00D96550"/>
    <w:rsid w:val="00D96867"/>
    <w:rsid w:val="00D96E43"/>
    <w:rsid w:val="00D97331"/>
    <w:rsid w:val="00D976EC"/>
    <w:rsid w:val="00D979AF"/>
    <w:rsid w:val="00D97AF7"/>
    <w:rsid w:val="00D97C7C"/>
    <w:rsid w:val="00DA0021"/>
    <w:rsid w:val="00DA0240"/>
    <w:rsid w:val="00DA10A8"/>
    <w:rsid w:val="00DA15A6"/>
    <w:rsid w:val="00DA17B5"/>
    <w:rsid w:val="00DA1862"/>
    <w:rsid w:val="00DA1DB7"/>
    <w:rsid w:val="00DA270D"/>
    <w:rsid w:val="00DA293A"/>
    <w:rsid w:val="00DA2F5C"/>
    <w:rsid w:val="00DA35CF"/>
    <w:rsid w:val="00DA37F0"/>
    <w:rsid w:val="00DA3AFB"/>
    <w:rsid w:val="00DA407A"/>
    <w:rsid w:val="00DA409C"/>
    <w:rsid w:val="00DA41C4"/>
    <w:rsid w:val="00DA4D3B"/>
    <w:rsid w:val="00DA5179"/>
    <w:rsid w:val="00DA5A62"/>
    <w:rsid w:val="00DA5D59"/>
    <w:rsid w:val="00DA686B"/>
    <w:rsid w:val="00DA6B31"/>
    <w:rsid w:val="00DA6BD9"/>
    <w:rsid w:val="00DA729B"/>
    <w:rsid w:val="00DA72A6"/>
    <w:rsid w:val="00DA77BB"/>
    <w:rsid w:val="00DA7B68"/>
    <w:rsid w:val="00DA7C68"/>
    <w:rsid w:val="00DA7CCA"/>
    <w:rsid w:val="00DA7F2D"/>
    <w:rsid w:val="00DB01FC"/>
    <w:rsid w:val="00DB0A7A"/>
    <w:rsid w:val="00DB0ABE"/>
    <w:rsid w:val="00DB0AF8"/>
    <w:rsid w:val="00DB1706"/>
    <w:rsid w:val="00DB19A8"/>
    <w:rsid w:val="00DB395D"/>
    <w:rsid w:val="00DB41A8"/>
    <w:rsid w:val="00DB48C0"/>
    <w:rsid w:val="00DB4E6A"/>
    <w:rsid w:val="00DB5600"/>
    <w:rsid w:val="00DB5CB4"/>
    <w:rsid w:val="00DB5FB8"/>
    <w:rsid w:val="00DB63AF"/>
    <w:rsid w:val="00DB64EF"/>
    <w:rsid w:val="00DB6A36"/>
    <w:rsid w:val="00DB7AF9"/>
    <w:rsid w:val="00DB7B51"/>
    <w:rsid w:val="00DC008C"/>
    <w:rsid w:val="00DC0333"/>
    <w:rsid w:val="00DC03B5"/>
    <w:rsid w:val="00DC0420"/>
    <w:rsid w:val="00DC06FF"/>
    <w:rsid w:val="00DC0CB8"/>
    <w:rsid w:val="00DC1403"/>
    <w:rsid w:val="00DC3607"/>
    <w:rsid w:val="00DC416F"/>
    <w:rsid w:val="00DC5487"/>
    <w:rsid w:val="00DC59D6"/>
    <w:rsid w:val="00DC5AB8"/>
    <w:rsid w:val="00DC628C"/>
    <w:rsid w:val="00DC6C9D"/>
    <w:rsid w:val="00DC6DDE"/>
    <w:rsid w:val="00DC6E1A"/>
    <w:rsid w:val="00DC7258"/>
    <w:rsid w:val="00DC72F6"/>
    <w:rsid w:val="00DC7A00"/>
    <w:rsid w:val="00DC7D41"/>
    <w:rsid w:val="00DC7D47"/>
    <w:rsid w:val="00DD06DE"/>
    <w:rsid w:val="00DD1459"/>
    <w:rsid w:val="00DD18D8"/>
    <w:rsid w:val="00DD27C2"/>
    <w:rsid w:val="00DD28AB"/>
    <w:rsid w:val="00DD2AD5"/>
    <w:rsid w:val="00DD2ADC"/>
    <w:rsid w:val="00DD333C"/>
    <w:rsid w:val="00DD3A2A"/>
    <w:rsid w:val="00DD3E58"/>
    <w:rsid w:val="00DD4C86"/>
    <w:rsid w:val="00DD56FC"/>
    <w:rsid w:val="00DD5BFE"/>
    <w:rsid w:val="00DD77DB"/>
    <w:rsid w:val="00DE098C"/>
    <w:rsid w:val="00DE0995"/>
    <w:rsid w:val="00DE26DE"/>
    <w:rsid w:val="00DE28F1"/>
    <w:rsid w:val="00DE2A7A"/>
    <w:rsid w:val="00DE2D93"/>
    <w:rsid w:val="00DE300C"/>
    <w:rsid w:val="00DE3299"/>
    <w:rsid w:val="00DE334D"/>
    <w:rsid w:val="00DE36AA"/>
    <w:rsid w:val="00DE3875"/>
    <w:rsid w:val="00DE4110"/>
    <w:rsid w:val="00DE4550"/>
    <w:rsid w:val="00DE45DA"/>
    <w:rsid w:val="00DE479A"/>
    <w:rsid w:val="00DE5512"/>
    <w:rsid w:val="00DE5CA8"/>
    <w:rsid w:val="00DE5FB1"/>
    <w:rsid w:val="00DE6486"/>
    <w:rsid w:val="00DE659E"/>
    <w:rsid w:val="00DE6A28"/>
    <w:rsid w:val="00DE7196"/>
    <w:rsid w:val="00DE736D"/>
    <w:rsid w:val="00DE74E7"/>
    <w:rsid w:val="00DE7B39"/>
    <w:rsid w:val="00DE7F10"/>
    <w:rsid w:val="00DF010C"/>
    <w:rsid w:val="00DF19CC"/>
    <w:rsid w:val="00DF1DAB"/>
    <w:rsid w:val="00DF2F79"/>
    <w:rsid w:val="00DF3DD5"/>
    <w:rsid w:val="00DF42B9"/>
    <w:rsid w:val="00DF4FC1"/>
    <w:rsid w:val="00DF5631"/>
    <w:rsid w:val="00DF58B0"/>
    <w:rsid w:val="00DF6710"/>
    <w:rsid w:val="00DF6B3F"/>
    <w:rsid w:val="00DF7533"/>
    <w:rsid w:val="00DF7629"/>
    <w:rsid w:val="00DF7B20"/>
    <w:rsid w:val="00E007B2"/>
    <w:rsid w:val="00E0081C"/>
    <w:rsid w:val="00E00E24"/>
    <w:rsid w:val="00E010AF"/>
    <w:rsid w:val="00E01720"/>
    <w:rsid w:val="00E01A8C"/>
    <w:rsid w:val="00E01F5C"/>
    <w:rsid w:val="00E0218D"/>
    <w:rsid w:val="00E02841"/>
    <w:rsid w:val="00E03509"/>
    <w:rsid w:val="00E03F23"/>
    <w:rsid w:val="00E0411C"/>
    <w:rsid w:val="00E04E92"/>
    <w:rsid w:val="00E053C3"/>
    <w:rsid w:val="00E062C2"/>
    <w:rsid w:val="00E06367"/>
    <w:rsid w:val="00E0646E"/>
    <w:rsid w:val="00E067EE"/>
    <w:rsid w:val="00E072A4"/>
    <w:rsid w:val="00E073C7"/>
    <w:rsid w:val="00E07643"/>
    <w:rsid w:val="00E07A3F"/>
    <w:rsid w:val="00E1030B"/>
    <w:rsid w:val="00E11E30"/>
    <w:rsid w:val="00E11FA0"/>
    <w:rsid w:val="00E125D5"/>
    <w:rsid w:val="00E128DB"/>
    <w:rsid w:val="00E12E8C"/>
    <w:rsid w:val="00E13163"/>
    <w:rsid w:val="00E132E5"/>
    <w:rsid w:val="00E13BB9"/>
    <w:rsid w:val="00E15350"/>
    <w:rsid w:val="00E15523"/>
    <w:rsid w:val="00E15F64"/>
    <w:rsid w:val="00E16556"/>
    <w:rsid w:val="00E1681D"/>
    <w:rsid w:val="00E16F48"/>
    <w:rsid w:val="00E171EC"/>
    <w:rsid w:val="00E2000F"/>
    <w:rsid w:val="00E2050F"/>
    <w:rsid w:val="00E20767"/>
    <w:rsid w:val="00E209A3"/>
    <w:rsid w:val="00E20A2C"/>
    <w:rsid w:val="00E20A7A"/>
    <w:rsid w:val="00E21CE6"/>
    <w:rsid w:val="00E221AE"/>
    <w:rsid w:val="00E22675"/>
    <w:rsid w:val="00E22946"/>
    <w:rsid w:val="00E22E8E"/>
    <w:rsid w:val="00E2309A"/>
    <w:rsid w:val="00E23190"/>
    <w:rsid w:val="00E2325C"/>
    <w:rsid w:val="00E23369"/>
    <w:rsid w:val="00E23908"/>
    <w:rsid w:val="00E23D42"/>
    <w:rsid w:val="00E23F43"/>
    <w:rsid w:val="00E24F0A"/>
    <w:rsid w:val="00E25351"/>
    <w:rsid w:val="00E25EBD"/>
    <w:rsid w:val="00E25EC0"/>
    <w:rsid w:val="00E2624E"/>
    <w:rsid w:val="00E26379"/>
    <w:rsid w:val="00E26695"/>
    <w:rsid w:val="00E26DB0"/>
    <w:rsid w:val="00E26DDA"/>
    <w:rsid w:val="00E26F34"/>
    <w:rsid w:val="00E26F46"/>
    <w:rsid w:val="00E2725D"/>
    <w:rsid w:val="00E278EE"/>
    <w:rsid w:val="00E27D88"/>
    <w:rsid w:val="00E3001B"/>
    <w:rsid w:val="00E3002B"/>
    <w:rsid w:val="00E302C6"/>
    <w:rsid w:val="00E3095C"/>
    <w:rsid w:val="00E30F82"/>
    <w:rsid w:val="00E311CC"/>
    <w:rsid w:val="00E31224"/>
    <w:rsid w:val="00E3122C"/>
    <w:rsid w:val="00E31BCD"/>
    <w:rsid w:val="00E3216B"/>
    <w:rsid w:val="00E32F91"/>
    <w:rsid w:val="00E33695"/>
    <w:rsid w:val="00E338D5"/>
    <w:rsid w:val="00E33CC8"/>
    <w:rsid w:val="00E33EE5"/>
    <w:rsid w:val="00E342D4"/>
    <w:rsid w:val="00E347EF"/>
    <w:rsid w:val="00E34CC0"/>
    <w:rsid w:val="00E355DD"/>
    <w:rsid w:val="00E35CDD"/>
    <w:rsid w:val="00E35FCB"/>
    <w:rsid w:val="00E36175"/>
    <w:rsid w:val="00E36354"/>
    <w:rsid w:val="00E3669D"/>
    <w:rsid w:val="00E367B6"/>
    <w:rsid w:val="00E374D9"/>
    <w:rsid w:val="00E375BD"/>
    <w:rsid w:val="00E37762"/>
    <w:rsid w:val="00E40645"/>
    <w:rsid w:val="00E41222"/>
    <w:rsid w:val="00E41A13"/>
    <w:rsid w:val="00E41B56"/>
    <w:rsid w:val="00E421CC"/>
    <w:rsid w:val="00E42490"/>
    <w:rsid w:val="00E425E6"/>
    <w:rsid w:val="00E42C13"/>
    <w:rsid w:val="00E438BA"/>
    <w:rsid w:val="00E43C57"/>
    <w:rsid w:val="00E443D2"/>
    <w:rsid w:val="00E44966"/>
    <w:rsid w:val="00E44B96"/>
    <w:rsid w:val="00E45C0E"/>
    <w:rsid w:val="00E45E2D"/>
    <w:rsid w:val="00E46564"/>
    <w:rsid w:val="00E4673F"/>
    <w:rsid w:val="00E4681D"/>
    <w:rsid w:val="00E4707B"/>
    <w:rsid w:val="00E47416"/>
    <w:rsid w:val="00E4741A"/>
    <w:rsid w:val="00E47641"/>
    <w:rsid w:val="00E47BB4"/>
    <w:rsid w:val="00E50362"/>
    <w:rsid w:val="00E5039A"/>
    <w:rsid w:val="00E503D3"/>
    <w:rsid w:val="00E50CFC"/>
    <w:rsid w:val="00E5122F"/>
    <w:rsid w:val="00E51420"/>
    <w:rsid w:val="00E51D66"/>
    <w:rsid w:val="00E51E90"/>
    <w:rsid w:val="00E5234A"/>
    <w:rsid w:val="00E523BC"/>
    <w:rsid w:val="00E52599"/>
    <w:rsid w:val="00E52D1B"/>
    <w:rsid w:val="00E53A17"/>
    <w:rsid w:val="00E53CD7"/>
    <w:rsid w:val="00E53FA4"/>
    <w:rsid w:val="00E541ED"/>
    <w:rsid w:val="00E54CF4"/>
    <w:rsid w:val="00E54ED6"/>
    <w:rsid w:val="00E54EEB"/>
    <w:rsid w:val="00E55582"/>
    <w:rsid w:val="00E56224"/>
    <w:rsid w:val="00E56413"/>
    <w:rsid w:val="00E566F3"/>
    <w:rsid w:val="00E57BE9"/>
    <w:rsid w:val="00E6011D"/>
    <w:rsid w:val="00E6063D"/>
    <w:rsid w:val="00E61394"/>
    <w:rsid w:val="00E619C7"/>
    <w:rsid w:val="00E61AE3"/>
    <w:rsid w:val="00E61CF9"/>
    <w:rsid w:val="00E6232A"/>
    <w:rsid w:val="00E626D5"/>
    <w:rsid w:val="00E62880"/>
    <w:rsid w:val="00E62E54"/>
    <w:rsid w:val="00E63C03"/>
    <w:rsid w:val="00E63CFF"/>
    <w:rsid w:val="00E63E18"/>
    <w:rsid w:val="00E642D5"/>
    <w:rsid w:val="00E645D0"/>
    <w:rsid w:val="00E64A74"/>
    <w:rsid w:val="00E64FCB"/>
    <w:rsid w:val="00E65003"/>
    <w:rsid w:val="00E65135"/>
    <w:rsid w:val="00E65336"/>
    <w:rsid w:val="00E65593"/>
    <w:rsid w:val="00E656E0"/>
    <w:rsid w:val="00E65965"/>
    <w:rsid w:val="00E66089"/>
    <w:rsid w:val="00E66B80"/>
    <w:rsid w:val="00E66C45"/>
    <w:rsid w:val="00E673AF"/>
    <w:rsid w:val="00E67485"/>
    <w:rsid w:val="00E67BEC"/>
    <w:rsid w:val="00E703FF"/>
    <w:rsid w:val="00E705E2"/>
    <w:rsid w:val="00E70DEB"/>
    <w:rsid w:val="00E71C0E"/>
    <w:rsid w:val="00E71D82"/>
    <w:rsid w:val="00E721C8"/>
    <w:rsid w:val="00E72471"/>
    <w:rsid w:val="00E73426"/>
    <w:rsid w:val="00E73AB7"/>
    <w:rsid w:val="00E73EBC"/>
    <w:rsid w:val="00E73ECB"/>
    <w:rsid w:val="00E7400C"/>
    <w:rsid w:val="00E7406E"/>
    <w:rsid w:val="00E74BE7"/>
    <w:rsid w:val="00E74C17"/>
    <w:rsid w:val="00E74D2D"/>
    <w:rsid w:val="00E75131"/>
    <w:rsid w:val="00E7514F"/>
    <w:rsid w:val="00E752A7"/>
    <w:rsid w:val="00E75CA9"/>
    <w:rsid w:val="00E76D7C"/>
    <w:rsid w:val="00E771EF"/>
    <w:rsid w:val="00E773DD"/>
    <w:rsid w:val="00E776B7"/>
    <w:rsid w:val="00E80572"/>
    <w:rsid w:val="00E80718"/>
    <w:rsid w:val="00E80E53"/>
    <w:rsid w:val="00E80E9C"/>
    <w:rsid w:val="00E813CF"/>
    <w:rsid w:val="00E8144B"/>
    <w:rsid w:val="00E818DB"/>
    <w:rsid w:val="00E825F3"/>
    <w:rsid w:val="00E83254"/>
    <w:rsid w:val="00E83759"/>
    <w:rsid w:val="00E845A3"/>
    <w:rsid w:val="00E846EF"/>
    <w:rsid w:val="00E85593"/>
    <w:rsid w:val="00E857FB"/>
    <w:rsid w:val="00E85EE3"/>
    <w:rsid w:val="00E86162"/>
    <w:rsid w:val="00E865A6"/>
    <w:rsid w:val="00E86608"/>
    <w:rsid w:val="00E86BBF"/>
    <w:rsid w:val="00E86EFE"/>
    <w:rsid w:val="00E875F3"/>
    <w:rsid w:val="00E87722"/>
    <w:rsid w:val="00E87F1B"/>
    <w:rsid w:val="00E90737"/>
    <w:rsid w:val="00E90745"/>
    <w:rsid w:val="00E909A4"/>
    <w:rsid w:val="00E90A2B"/>
    <w:rsid w:val="00E90A61"/>
    <w:rsid w:val="00E90D23"/>
    <w:rsid w:val="00E912C4"/>
    <w:rsid w:val="00E92464"/>
    <w:rsid w:val="00E92F50"/>
    <w:rsid w:val="00E9316A"/>
    <w:rsid w:val="00E932E4"/>
    <w:rsid w:val="00E93609"/>
    <w:rsid w:val="00E93F3F"/>
    <w:rsid w:val="00E9448C"/>
    <w:rsid w:val="00E94C43"/>
    <w:rsid w:val="00E95008"/>
    <w:rsid w:val="00E956D7"/>
    <w:rsid w:val="00E95B83"/>
    <w:rsid w:val="00E95E74"/>
    <w:rsid w:val="00E974AE"/>
    <w:rsid w:val="00E97C78"/>
    <w:rsid w:val="00E97F50"/>
    <w:rsid w:val="00EA0078"/>
    <w:rsid w:val="00EA039B"/>
    <w:rsid w:val="00EA0FF3"/>
    <w:rsid w:val="00EA1092"/>
    <w:rsid w:val="00EA1314"/>
    <w:rsid w:val="00EA131C"/>
    <w:rsid w:val="00EA18E1"/>
    <w:rsid w:val="00EA1C8D"/>
    <w:rsid w:val="00EA1F00"/>
    <w:rsid w:val="00EA2678"/>
    <w:rsid w:val="00EA2AFC"/>
    <w:rsid w:val="00EA3D16"/>
    <w:rsid w:val="00EA45A4"/>
    <w:rsid w:val="00EA4D84"/>
    <w:rsid w:val="00EA5DE3"/>
    <w:rsid w:val="00EA7FDD"/>
    <w:rsid w:val="00EB0197"/>
    <w:rsid w:val="00EB10E2"/>
    <w:rsid w:val="00EB10EE"/>
    <w:rsid w:val="00EB114A"/>
    <w:rsid w:val="00EB1FA8"/>
    <w:rsid w:val="00EB23B5"/>
    <w:rsid w:val="00EB2CD4"/>
    <w:rsid w:val="00EB32DC"/>
    <w:rsid w:val="00EB3994"/>
    <w:rsid w:val="00EB3C25"/>
    <w:rsid w:val="00EB3ED2"/>
    <w:rsid w:val="00EB53C4"/>
    <w:rsid w:val="00EB5CE3"/>
    <w:rsid w:val="00EB6154"/>
    <w:rsid w:val="00EB70D3"/>
    <w:rsid w:val="00EB745B"/>
    <w:rsid w:val="00EB7DF4"/>
    <w:rsid w:val="00EC0E85"/>
    <w:rsid w:val="00EC0FFD"/>
    <w:rsid w:val="00EC10F1"/>
    <w:rsid w:val="00EC1389"/>
    <w:rsid w:val="00EC18C7"/>
    <w:rsid w:val="00EC2A09"/>
    <w:rsid w:val="00EC376A"/>
    <w:rsid w:val="00EC3B85"/>
    <w:rsid w:val="00EC3F12"/>
    <w:rsid w:val="00EC4E92"/>
    <w:rsid w:val="00EC5925"/>
    <w:rsid w:val="00EC5BB9"/>
    <w:rsid w:val="00EC60C4"/>
    <w:rsid w:val="00EC65F6"/>
    <w:rsid w:val="00EC6632"/>
    <w:rsid w:val="00EC6B1A"/>
    <w:rsid w:val="00EC6CD2"/>
    <w:rsid w:val="00EC78CE"/>
    <w:rsid w:val="00ED011E"/>
    <w:rsid w:val="00ED089B"/>
    <w:rsid w:val="00ED0EA4"/>
    <w:rsid w:val="00ED1D25"/>
    <w:rsid w:val="00ED1DE2"/>
    <w:rsid w:val="00ED215C"/>
    <w:rsid w:val="00ED22BE"/>
    <w:rsid w:val="00ED35A5"/>
    <w:rsid w:val="00ED36B6"/>
    <w:rsid w:val="00ED377F"/>
    <w:rsid w:val="00ED44AF"/>
    <w:rsid w:val="00ED533C"/>
    <w:rsid w:val="00ED59FF"/>
    <w:rsid w:val="00ED61F2"/>
    <w:rsid w:val="00ED663C"/>
    <w:rsid w:val="00ED6992"/>
    <w:rsid w:val="00ED6A22"/>
    <w:rsid w:val="00ED6EFC"/>
    <w:rsid w:val="00ED6F3F"/>
    <w:rsid w:val="00ED7075"/>
    <w:rsid w:val="00ED70C9"/>
    <w:rsid w:val="00ED738B"/>
    <w:rsid w:val="00ED7720"/>
    <w:rsid w:val="00ED7971"/>
    <w:rsid w:val="00ED7D00"/>
    <w:rsid w:val="00EE0A23"/>
    <w:rsid w:val="00EE11C5"/>
    <w:rsid w:val="00EE1627"/>
    <w:rsid w:val="00EE1F1B"/>
    <w:rsid w:val="00EE299A"/>
    <w:rsid w:val="00EE29C9"/>
    <w:rsid w:val="00EE2CA8"/>
    <w:rsid w:val="00EE2E32"/>
    <w:rsid w:val="00EE330C"/>
    <w:rsid w:val="00EE3319"/>
    <w:rsid w:val="00EE391C"/>
    <w:rsid w:val="00EE3B51"/>
    <w:rsid w:val="00EE40D7"/>
    <w:rsid w:val="00EE43CB"/>
    <w:rsid w:val="00EE44A4"/>
    <w:rsid w:val="00EE5218"/>
    <w:rsid w:val="00EE5465"/>
    <w:rsid w:val="00EE551E"/>
    <w:rsid w:val="00EE557C"/>
    <w:rsid w:val="00EE5811"/>
    <w:rsid w:val="00EE5F06"/>
    <w:rsid w:val="00EE6291"/>
    <w:rsid w:val="00EE6343"/>
    <w:rsid w:val="00EE66A7"/>
    <w:rsid w:val="00EE7047"/>
    <w:rsid w:val="00EE70F3"/>
    <w:rsid w:val="00EE7823"/>
    <w:rsid w:val="00EE792D"/>
    <w:rsid w:val="00EE7B61"/>
    <w:rsid w:val="00EE7CC3"/>
    <w:rsid w:val="00EE7D08"/>
    <w:rsid w:val="00EF0379"/>
    <w:rsid w:val="00EF053A"/>
    <w:rsid w:val="00EF1284"/>
    <w:rsid w:val="00EF1E21"/>
    <w:rsid w:val="00EF1E4F"/>
    <w:rsid w:val="00EF1FCA"/>
    <w:rsid w:val="00EF28C3"/>
    <w:rsid w:val="00EF2CB2"/>
    <w:rsid w:val="00EF2D17"/>
    <w:rsid w:val="00EF3067"/>
    <w:rsid w:val="00EF30F6"/>
    <w:rsid w:val="00EF3430"/>
    <w:rsid w:val="00EF349B"/>
    <w:rsid w:val="00EF36A2"/>
    <w:rsid w:val="00EF3907"/>
    <w:rsid w:val="00EF39B3"/>
    <w:rsid w:val="00EF3E11"/>
    <w:rsid w:val="00EF4216"/>
    <w:rsid w:val="00EF44A9"/>
    <w:rsid w:val="00EF4689"/>
    <w:rsid w:val="00EF4DD7"/>
    <w:rsid w:val="00EF5B08"/>
    <w:rsid w:val="00EF6057"/>
    <w:rsid w:val="00EF6805"/>
    <w:rsid w:val="00EF7473"/>
    <w:rsid w:val="00EF78AA"/>
    <w:rsid w:val="00EF78B5"/>
    <w:rsid w:val="00EF7C02"/>
    <w:rsid w:val="00F0105C"/>
    <w:rsid w:val="00F0118A"/>
    <w:rsid w:val="00F01946"/>
    <w:rsid w:val="00F01A7E"/>
    <w:rsid w:val="00F01DD9"/>
    <w:rsid w:val="00F022F8"/>
    <w:rsid w:val="00F025BA"/>
    <w:rsid w:val="00F025EF"/>
    <w:rsid w:val="00F02C7A"/>
    <w:rsid w:val="00F02D9C"/>
    <w:rsid w:val="00F02EED"/>
    <w:rsid w:val="00F031CB"/>
    <w:rsid w:val="00F035E6"/>
    <w:rsid w:val="00F0393E"/>
    <w:rsid w:val="00F03A5C"/>
    <w:rsid w:val="00F042AD"/>
    <w:rsid w:val="00F0432F"/>
    <w:rsid w:val="00F05D44"/>
    <w:rsid w:val="00F0643F"/>
    <w:rsid w:val="00F06490"/>
    <w:rsid w:val="00F06A64"/>
    <w:rsid w:val="00F06B28"/>
    <w:rsid w:val="00F07255"/>
    <w:rsid w:val="00F0790F"/>
    <w:rsid w:val="00F07BFF"/>
    <w:rsid w:val="00F104AA"/>
    <w:rsid w:val="00F10968"/>
    <w:rsid w:val="00F10EE0"/>
    <w:rsid w:val="00F11954"/>
    <w:rsid w:val="00F11A52"/>
    <w:rsid w:val="00F11CE4"/>
    <w:rsid w:val="00F12141"/>
    <w:rsid w:val="00F12248"/>
    <w:rsid w:val="00F1294D"/>
    <w:rsid w:val="00F1297B"/>
    <w:rsid w:val="00F12B95"/>
    <w:rsid w:val="00F13115"/>
    <w:rsid w:val="00F133B7"/>
    <w:rsid w:val="00F13DAA"/>
    <w:rsid w:val="00F13F50"/>
    <w:rsid w:val="00F14157"/>
    <w:rsid w:val="00F14927"/>
    <w:rsid w:val="00F14AC2"/>
    <w:rsid w:val="00F14FBB"/>
    <w:rsid w:val="00F151AD"/>
    <w:rsid w:val="00F153BF"/>
    <w:rsid w:val="00F15867"/>
    <w:rsid w:val="00F15CE2"/>
    <w:rsid w:val="00F16511"/>
    <w:rsid w:val="00F165AE"/>
    <w:rsid w:val="00F1708B"/>
    <w:rsid w:val="00F1791F"/>
    <w:rsid w:val="00F17C29"/>
    <w:rsid w:val="00F17C95"/>
    <w:rsid w:val="00F17E49"/>
    <w:rsid w:val="00F17F60"/>
    <w:rsid w:val="00F20C1B"/>
    <w:rsid w:val="00F20C44"/>
    <w:rsid w:val="00F214EF"/>
    <w:rsid w:val="00F218C8"/>
    <w:rsid w:val="00F22252"/>
    <w:rsid w:val="00F2257F"/>
    <w:rsid w:val="00F22AE2"/>
    <w:rsid w:val="00F2302A"/>
    <w:rsid w:val="00F234FE"/>
    <w:rsid w:val="00F23812"/>
    <w:rsid w:val="00F23A5D"/>
    <w:rsid w:val="00F23E8C"/>
    <w:rsid w:val="00F2410D"/>
    <w:rsid w:val="00F24885"/>
    <w:rsid w:val="00F2573D"/>
    <w:rsid w:val="00F25D02"/>
    <w:rsid w:val="00F2624E"/>
    <w:rsid w:val="00F26AD6"/>
    <w:rsid w:val="00F26E5E"/>
    <w:rsid w:val="00F26F91"/>
    <w:rsid w:val="00F271D0"/>
    <w:rsid w:val="00F30018"/>
    <w:rsid w:val="00F305F9"/>
    <w:rsid w:val="00F30766"/>
    <w:rsid w:val="00F30E41"/>
    <w:rsid w:val="00F312ED"/>
    <w:rsid w:val="00F31599"/>
    <w:rsid w:val="00F31748"/>
    <w:rsid w:val="00F31FB9"/>
    <w:rsid w:val="00F324B0"/>
    <w:rsid w:val="00F3273C"/>
    <w:rsid w:val="00F32882"/>
    <w:rsid w:val="00F32A61"/>
    <w:rsid w:val="00F32AEB"/>
    <w:rsid w:val="00F3310B"/>
    <w:rsid w:val="00F33647"/>
    <w:rsid w:val="00F3423B"/>
    <w:rsid w:val="00F342A9"/>
    <w:rsid w:val="00F345F3"/>
    <w:rsid w:val="00F34FA9"/>
    <w:rsid w:val="00F35114"/>
    <w:rsid w:val="00F35D31"/>
    <w:rsid w:val="00F36330"/>
    <w:rsid w:val="00F363EC"/>
    <w:rsid w:val="00F364BE"/>
    <w:rsid w:val="00F36841"/>
    <w:rsid w:val="00F36B75"/>
    <w:rsid w:val="00F36B8B"/>
    <w:rsid w:val="00F36CA7"/>
    <w:rsid w:val="00F36E64"/>
    <w:rsid w:val="00F370FB"/>
    <w:rsid w:val="00F37616"/>
    <w:rsid w:val="00F377B4"/>
    <w:rsid w:val="00F40640"/>
    <w:rsid w:val="00F41FD0"/>
    <w:rsid w:val="00F42103"/>
    <w:rsid w:val="00F4237B"/>
    <w:rsid w:val="00F423D5"/>
    <w:rsid w:val="00F42687"/>
    <w:rsid w:val="00F42BE4"/>
    <w:rsid w:val="00F431A5"/>
    <w:rsid w:val="00F43880"/>
    <w:rsid w:val="00F438DF"/>
    <w:rsid w:val="00F43A1B"/>
    <w:rsid w:val="00F43F83"/>
    <w:rsid w:val="00F44399"/>
    <w:rsid w:val="00F44BD4"/>
    <w:rsid w:val="00F4544C"/>
    <w:rsid w:val="00F4574C"/>
    <w:rsid w:val="00F4607F"/>
    <w:rsid w:val="00F4673D"/>
    <w:rsid w:val="00F46A6F"/>
    <w:rsid w:val="00F46AAA"/>
    <w:rsid w:val="00F46E1E"/>
    <w:rsid w:val="00F47154"/>
    <w:rsid w:val="00F47E96"/>
    <w:rsid w:val="00F502AE"/>
    <w:rsid w:val="00F502B7"/>
    <w:rsid w:val="00F50C6B"/>
    <w:rsid w:val="00F5101A"/>
    <w:rsid w:val="00F5126A"/>
    <w:rsid w:val="00F515A8"/>
    <w:rsid w:val="00F51FC7"/>
    <w:rsid w:val="00F53B2F"/>
    <w:rsid w:val="00F53F98"/>
    <w:rsid w:val="00F540ED"/>
    <w:rsid w:val="00F54295"/>
    <w:rsid w:val="00F544B3"/>
    <w:rsid w:val="00F54629"/>
    <w:rsid w:val="00F552F8"/>
    <w:rsid w:val="00F55488"/>
    <w:rsid w:val="00F5663A"/>
    <w:rsid w:val="00F5672E"/>
    <w:rsid w:val="00F575EB"/>
    <w:rsid w:val="00F57A30"/>
    <w:rsid w:val="00F57F61"/>
    <w:rsid w:val="00F600E1"/>
    <w:rsid w:val="00F60528"/>
    <w:rsid w:val="00F60634"/>
    <w:rsid w:val="00F606AE"/>
    <w:rsid w:val="00F6076C"/>
    <w:rsid w:val="00F6077E"/>
    <w:rsid w:val="00F607C6"/>
    <w:rsid w:val="00F60C88"/>
    <w:rsid w:val="00F614CF"/>
    <w:rsid w:val="00F619EF"/>
    <w:rsid w:val="00F6261D"/>
    <w:rsid w:val="00F63416"/>
    <w:rsid w:val="00F6378A"/>
    <w:rsid w:val="00F64D1C"/>
    <w:rsid w:val="00F64E33"/>
    <w:rsid w:val="00F64FF6"/>
    <w:rsid w:val="00F65C66"/>
    <w:rsid w:val="00F65D1B"/>
    <w:rsid w:val="00F66752"/>
    <w:rsid w:val="00F66B46"/>
    <w:rsid w:val="00F676D9"/>
    <w:rsid w:val="00F677E3"/>
    <w:rsid w:val="00F67815"/>
    <w:rsid w:val="00F67891"/>
    <w:rsid w:val="00F67986"/>
    <w:rsid w:val="00F6C7E9"/>
    <w:rsid w:val="00F701E2"/>
    <w:rsid w:val="00F70530"/>
    <w:rsid w:val="00F70624"/>
    <w:rsid w:val="00F70C76"/>
    <w:rsid w:val="00F70F4C"/>
    <w:rsid w:val="00F710D0"/>
    <w:rsid w:val="00F71673"/>
    <w:rsid w:val="00F71D98"/>
    <w:rsid w:val="00F7223A"/>
    <w:rsid w:val="00F7232F"/>
    <w:rsid w:val="00F72700"/>
    <w:rsid w:val="00F72F22"/>
    <w:rsid w:val="00F7333A"/>
    <w:rsid w:val="00F7361A"/>
    <w:rsid w:val="00F736E3"/>
    <w:rsid w:val="00F738B3"/>
    <w:rsid w:val="00F739F1"/>
    <w:rsid w:val="00F73A1C"/>
    <w:rsid w:val="00F7447B"/>
    <w:rsid w:val="00F7452D"/>
    <w:rsid w:val="00F74816"/>
    <w:rsid w:val="00F74BDE"/>
    <w:rsid w:val="00F75269"/>
    <w:rsid w:val="00F75802"/>
    <w:rsid w:val="00F75D74"/>
    <w:rsid w:val="00F75F65"/>
    <w:rsid w:val="00F7610A"/>
    <w:rsid w:val="00F762A8"/>
    <w:rsid w:val="00F76B44"/>
    <w:rsid w:val="00F76D99"/>
    <w:rsid w:val="00F76E43"/>
    <w:rsid w:val="00F76FBF"/>
    <w:rsid w:val="00F7714A"/>
    <w:rsid w:val="00F7725B"/>
    <w:rsid w:val="00F7753D"/>
    <w:rsid w:val="00F77D0C"/>
    <w:rsid w:val="00F80291"/>
    <w:rsid w:val="00F8054E"/>
    <w:rsid w:val="00F80A1B"/>
    <w:rsid w:val="00F811AF"/>
    <w:rsid w:val="00F81592"/>
    <w:rsid w:val="00F81C6C"/>
    <w:rsid w:val="00F81CE9"/>
    <w:rsid w:val="00F82235"/>
    <w:rsid w:val="00F82247"/>
    <w:rsid w:val="00F82587"/>
    <w:rsid w:val="00F83450"/>
    <w:rsid w:val="00F83A84"/>
    <w:rsid w:val="00F83ED2"/>
    <w:rsid w:val="00F84405"/>
    <w:rsid w:val="00F84A47"/>
    <w:rsid w:val="00F8562B"/>
    <w:rsid w:val="00F85896"/>
    <w:rsid w:val="00F86A0B"/>
    <w:rsid w:val="00F86F8B"/>
    <w:rsid w:val="00F87184"/>
    <w:rsid w:val="00F87625"/>
    <w:rsid w:val="00F878F7"/>
    <w:rsid w:val="00F87D8F"/>
    <w:rsid w:val="00F9007E"/>
    <w:rsid w:val="00F900EA"/>
    <w:rsid w:val="00F90507"/>
    <w:rsid w:val="00F90733"/>
    <w:rsid w:val="00F907F8"/>
    <w:rsid w:val="00F90F04"/>
    <w:rsid w:val="00F9104A"/>
    <w:rsid w:val="00F91119"/>
    <w:rsid w:val="00F92454"/>
    <w:rsid w:val="00F9331A"/>
    <w:rsid w:val="00F934C1"/>
    <w:rsid w:val="00F938D9"/>
    <w:rsid w:val="00F939C7"/>
    <w:rsid w:val="00F939CB"/>
    <w:rsid w:val="00F93B3B"/>
    <w:rsid w:val="00F94619"/>
    <w:rsid w:val="00F947A6"/>
    <w:rsid w:val="00F947E2"/>
    <w:rsid w:val="00F95551"/>
    <w:rsid w:val="00F95A5D"/>
    <w:rsid w:val="00F95C7A"/>
    <w:rsid w:val="00F961A5"/>
    <w:rsid w:val="00F9633F"/>
    <w:rsid w:val="00F965B9"/>
    <w:rsid w:val="00F96918"/>
    <w:rsid w:val="00F97192"/>
    <w:rsid w:val="00F979CB"/>
    <w:rsid w:val="00F97A72"/>
    <w:rsid w:val="00FA026A"/>
    <w:rsid w:val="00FA0446"/>
    <w:rsid w:val="00FA0BBC"/>
    <w:rsid w:val="00FA0CF1"/>
    <w:rsid w:val="00FA0F8D"/>
    <w:rsid w:val="00FA128B"/>
    <w:rsid w:val="00FA165F"/>
    <w:rsid w:val="00FA1A72"/>
    <w:rsid w:val="00FA1A99"/>
    <w:rsid w:val="00FA1CC2"/>
    <w:rsid w:val="00FA1DD8"/>
    <w:rsid w:val="00FA28FC"/>
    <w:rsid w:val="00FA2AF3"/>
    <w:rsid w:val="00FA331D"/>
    <w:rsid w:val="00FA3447"/>
    <w:rsid w:val="00FA4805"/>
    <w:rsid w:val="00FA51EC"/>
    <w:rsid w:val="00FA5423"/>
    <w:rsid w:val="00FA66DB"/>
    <w:rsid w:val="00FA6A41"/>
    <w:rsid w:val="00FA6ACA"/>
    <w:rsid w:val="00FA6BD0"/>
    <w:rsid w:val="00FA6EDA"/>
    <w:rsid w:val="00FA70B1"/>
    <w:rsid w:val="00FA72A9"/>
    <w:rsid w:val="00FA7A9E"/>
    <w:rsid w:val="00FB0CD0"/>
    <w:rsid w:val="00FB1E82"/>
    <w:rsid w:val="00FB2658"/>
    <w:rsid w:val="00FB29F3"/>
    <w:rsid w:val="00FB351F"/>
    <w:rsid w:val="00FB3563"/>
    <w:rsid w:val="00FB402D"/>
    <w:rsid w:val="00FB477B"/>
    <w:rsid w:val="00FB4A39"/>
    <w:rsid w:val="00FB4C93"/>
    <w:rsid w:val="00FB4ED0"/>
    <w:rsid w:val="00FB547C"/>
    <w:rsid w:val="00FB5B8D"/>
    <w:rsid w:val="00FB6483"/>
    <w:rsid w:val="00FB72DD"/>
    <w:rsid w:val="00FB7B9F"/>
    <w:rsid w:val="00FB7D20"/>
    <w:rsid w:val="00FB7E17"/>
    <w:rsid w:val="00FC021B"/>
    <w:rsid w:val="00FC04B1"/>
    <w:rsid w:val="00FC0D32"/>
    <w:rsid w:val="00FC0F14"/>
    <w:rsid w:val="00FC1084"/>
    <w:rsid w:val="00FC14B7"/>
    <w:rsid w:val="00FC1502"/>
    <w:rsid w:val="00FC1733"/>
    <w:rsid w:val="00FC1D43"/>
    <w:rsid w:val="00FC23E9"/>
    <w:rsid w:val="00FC2499"/>
    <w:rsid w:val="00FC24FF"/>
    <w:rsid w:val="00FC269C"/>
    <w:rsid w:val="00FC2E8B"/>
    <w:rsid w:val="00FC2ECE"/>
    <w:rsid w:val="00FC2FD3"/>
    <w:rsid w:val="00FC3238"/>
    <w:rsid w:val="00FC37FB"/>
    <w:rsid w:val="00FC4655"/>
    <w:rsid w:val="00FC4C2B"/>
    <w:rsid w:val="00FC4C62"/>
    <w:rsid w:val="00FC5129"/>
    <w:rsid w:val="00FC5803"/>
    <w:rsid w:val="00FC58E7"/>
    <w:rsid w:val="00FC5B61"/>
    <w:rsid w:val="00FC5D6A"/>
    <w:rsid w:val="00FC6066"/>
    <w:rsid w:val="00FC657A"/>
    <w:rsid w:val="00FC6D13"/>
    <w:rsid w:val="00FC7206"/>
    <w:rsid w:val="00FC72F5"/>
    <w:rsid w:val="00FC7412"/>
    <w:rsid w:val="00FC7AB5"/>
    <w:rsid w:val="00FD0677"/>
    <w:rsid w:val="00FD0B41"/>
    <w:rsid w:val="00FD0D65"/>
    <w:rsid w:val="00FD150D"/>
    <w:rsid w:val="00FD3344"/>
    <w:rsid w:val="00FD391F"/>
    <w:rsid w:val="00FD4030"/>
    <w:rsid w:val="00FD4424"/>
    <w:rsid w:val="00FD47BD"/>
    <w:rsid w:val="00FD4AB0"/>
    <w:rsid w:val="00FD531D"/>
    <w:rsid w:val="00FD61F1"/>
    <w:rsid w:val="00FD7E34"/>
    <w:rsid w:val="00FE0996"/>
    <w:rsid w:val="00FE100F"/>
    <w:rsid w:val="00FE15BB"/>
    <w:rsid w:val="00FE18A7"/>
    <w:rsid w:val="00FE19EF"/>
    <w:rsid w:val="00FE22EA"/>
    <w:rsid w:val="00FE2333"/>
    <w:rsid w:val="00FE23D7"/>
    <w:rsid w:val="00FE23E4"/>
    <w:rsid w:val="00FE2515"/>
    <w:rsid w:val="00FE25B7"/>
    <w:rsid w:val="00FE2A49"/>
    <w:rsid w:val="00FE3E28"/>
    <w:rsid w:val="00FE5C27"/>
    <w:rsid w:val="00FE606C"/>
    <w:rsid w:val="00FE620F"/>
    <w:rsid w:val="00FE6357"/>
    <w:rsid w:val="00FE6660"/>
    <w:rsid w:val="00FE6F71"/>
    <w:rsid w:val="00FE730D"/>
    <w:rsid w:val="00FE746D"/>
    <w:rsid w:val="00FE7B09"/>
    <w:rsid w:val="00FF06F6"/>
    <w:rsid w:val="00FF1162"/>
    <w:rsid w:val="00FF12AA"/>
    <w:rsid w:val="00FF14D9"/>
    <w:rsid w:val="00FF239E"/>
    <w:rsid w:val="00FF23A0"/>
    <w:rsid w:val="00FF368F"/>
    <w:rsid w:val="00FF38FC"/>
    <w:rsid w:val="00FF3C78"/>
    <w:rsid w:val="00FF4395"/>
    <w:rsid w:val="00FF48D4"/>
    <w:rsid w:val="00FF49CC"/>
    <w:rsid w:val="00FF5EA9"/>
    <w:rsid w:val="00FF6DA3"/>
    <w:rsid w:val="012A55C5"/>
    <w:rsid w:val="0138BC31"/>
    <w:rsid w:val="013E260A"/>
    <w:rsid w:val="01435660"/>
    <w:rsid w:val="0152B414"/>
    <w:rsid w:val="01803989"/>
    <w:rsid w:val="0192879E"/>
    <w:rsid w:val="019AFE40"/>
    <w:rsid w:val="01EAFDAD"/>
    <w:rsid w:val="01F599BE"/>
    <w:rsid w:val="022E9580"/>
    <w:rsid w:val="02385D7E"/>
    <w:rsid w:val="023B5DB7"/>
    <w:rsid w:val="0252EAFA"/>
    <w:rsid w:val="0253FB57"/>
    <w:rsid w:val="027E90A7"/>
    <w:rsid w:val="02804E9E"/>
    <w:rsid w:val="0286AC5A"/>
    <w:rsid w:val="0291EC99"/>
    <w:rsid w:val="02976DDD"/>
    <w:rsid w:val="02AC388F"/>
    <w:rsid w:val="02B256DE"/>
    <w:rsid w:val="02B62570"/>
    <w:rsid w:val="02DA4C53"/>
    <w:rsid w:val="030C3056"/>
    <w:rsid w:val="03101FF5"/>
    <w:rsid w:val="0313C8B0"/>
    <w:rsid w:val="03148BD0"/>
    <w:rsid w:val="031CC7D5"/>
    <w:rsid w:val="031D9867"/>
    <w:rsid w:val="031F694C"/>
    <w:rsid w:val="03260910"/>
    <w:rsid w:val="032E2630"/>
    <w:rsid w:val="03369AA2"/>
    <w:rsid w:val="036E897D"/>
    <w:rsid w:val="03750568"/>
    <w:rsid w:val="0379F502"/>
    <w:rsid w:val="0381BD39"/>
    <w:rsid w:val="0388A3B2"/>
    <w:rsid w:val="038BA643"/>
    <w:rsid w:val="03AC91B7"/>
    <w:rsid w:val="03B795CB"/>
    <w:rsid w:val="03C3E45A"/>
    <w:rsid w:val="03DEEB30"/>
    <w:rsid w:val="041D4186"/>
    <w:rsid w:val="041FFBF1"/>
    <w:rsid w:val="0433DFAB"/>
    <w:rsid w:val="044ADDD6"/>
    <w:rsid w:val="04567520"/>
    <w:rsid w:val="045EC846"/>
    <w:rsid w:val="046B86F4"/>
    <w:rsid w:val="04785495"/>
    <w:rsid w:val="049F2B14"/>
    <w:rsid w:val="04B75F01"/>
    <w:rsid w:val="04CDF011"/>
    <w:rsid w:val="04D039C6"/>
    <w:rsid w:val="04DFABEA"/>
    <w:rsid w:val="04F1F44B"/>
    <w:rsid w:val="04F2D87B"/>
    <w:rsid w:val="0500B85E"/>
    <w:rsid w:val="05048CFF"/>
    <w:rsid w:val="055EBC18"/>
    <w:rsid w:val="05816FAA"/>
    <w:rsid w:val="058EA201"/>
    <w:rsid w:val="05932605"/>
    <w:rsid w:val="059D4FE6"/>
    <w:rsid w:val="05C1CB26"/>
    <w:rsid w:val="05D4B673"/>
    <w:rsid w:val="05D6B31D"/>
    <w:rsid w:val="05DFC168"/>
    <w:rsid w:val="05FF2A07"/>
    <w:rsid w:val="0630D188"/>
    <w:rsid w:val="063308C6"/>
    <w:rsid w:val="0647D063"/>
    <w:rsid w:val="06891656"/>
    <w:rsid w:val="06A9FD87"/>
    <w:rsid w:val="06B7C22C"/>
    <w:rsid w:val="06F72774"/>
    <w:rsid w:val="07360F26"/>
    <w:rsid w:val="073E1767"/>
    <w:rsid w:val="07402309"/>
    <w:rsid w:val="0756C3C6"/>
    <w:rsid w:val="076A32A5"/>
    <w:rsid w:val="07A850DC"/>
    <w:rsid w:val="07B250F7"/>
    <w:rsid w:val="07B3DBE4"/>
    <w:rsid w:val="07CB0BA9"/>
    <w:rsid w:val="07DBE49C"/>
    <w:rsid w:val="07F43EA1"/>
    <w:rsid w:val="07FB4750"/>
    <w:rsid w:val="081AE789"/>
    <w:rsid w:val="082847ED"/>
    <w:rsid w:val="083B0AA8"/>
    <w:rsid w:val="083C6137"/>
    <w:rsid w:val="083DFE1B"/>
    <w:rsid w:val="085B0858"/>
    <w:rsid w:val="088CF299"/>
    <w:rsid w:val="089C5960"/>
    <w:rsid w:val="08A2BA8E"/>
    <w:rsid w:val="08C383DE"/>
    <w:rsid w:val="08C451EA"/>
    <w:rsid w:val="08D81C3A"/>
    <w:rsid w:val="08DA31DC"/>
    <w:rsid w:val="08E3CAC2"/>
    <w:rsid w:val="08EB3D0D"/>
    <w:rsid w:val="09019E73"/>
    <w:rsid w:val="092936B7"/>
    <w:rsid w:val="0936B081"/>
    <w:rsid w:val="093978A3"/>
    <w:rsid w:val="095EB5DB"/>
    <w:rsid w:val="0961BA60"/>
    <w:rsid w:val="097BAC37"/>
    <w:rsid w:val="097DE4A2"/>
    <w:rsid w:val="098545FC"/>
    <w:rsid w:val="09948578"/>
    <w:rsid w:val="09BA55BA"/>
    <w:rsid w:val="09DE41D0"/>
    <w:rsid w:val="09FAB253"/>
    <w:rsid w:val="0A0571E8"/>
    <w:rsid w:val="0A276B7B"/>
    <w:rsid w:val="0A3DF556"/>
    <w:rsid w:val="0A41658A"/>
    <w:rsid w:val="0A447F18"/>
    <w:rsid w:val="0A47BDAE"/>
    <w:rsid w:val="0A4ECF36"/>
    <w:rsid w:val="0A598131"/>
    <w:rsid w:val="0A688FF7"/>
    <w:rsid w:val="0A8C9595"/>
    <w:rsid w:val="0A9533A4"/>
    <w:rsid w:val="0AED312E"/>
    <w:rsid w:val="0B0FD2D5"/>
    <w:rsid w:val="0B20454A"/>
    <w:rsid w:val="0B249F6D"/>
    <w:rsid w:val="0B309481"/>
    <w:rsid w:val="0B36342F"/>
    <w:rsid w:val="0B3C1D1C"/>
    <w:rsid w:val="0B795281"/>
    <w:rsid w:val="0BDE99A6"/>
    <w:rsid w:val="0BF72181"/>
    <w:rsid w:val="0BFE0236"/>
    <w:rsid w:val="0C0756B5"/>
    <w:rsid w:val="0C246459"/>
    <w:rsid w:val="0C337971"/>
    <w:rsid w:val="0C479CC0"/>
    <w:rsid w:val="0C4CB6DE"/>
    <w:rsid w:val="0C68D4C9"/>
    <w:rsid w:val="0C955875"/>
    <w:rsid w:val="0CA136B5"/>
    <w:rsid w:val="0CA3F6FB"/>
    <w:rsid w:val="0CA55A64"/>
    <w:rsid w:val="0CB7D6FD"/>
    <w:rsid w:val="0CBD9829"/>
    <w:rsid w:val="0CBE8C49"/>
    <w:rsid w:val="0CD668B4"/>
    <w:rsid w:val="0D14AD84"/>
    <w:rsid w:val="0D429C5E"/>
    <w:rsid w:val="0D64FC50"/>
    <w:rsid w:val="0D8F3375"/>
    <w:rsid w:val="0D900D50"/>
    <w:rsid w:val="0D95A797"/>
    <w:rsid w:val="0D9697D7"/>
    <w:rsid w:val="0D996D87"/>
    <w:rsid w:val="0DA6565D"/>
    <w:rsid w:val="0DA8409F"/>
    <w:rsid w:val="0DBA6C26"/>
    <w:rsid w:val="0DBE7626"/>
    <w:rsid w:val="0DC1F12F"/>
    <w:rsid w:val="0DD8C5B0"/>
    <w:rsid w:val="0DE52700"/>
    <w:rsid w:val="0DE5C5C3"/>
    <w:rsid w:val="0DEAFD85"/>
    <w:rsid w:val="0DF95065"/>
    <w:rsid w:val="0E1C5521"/>
    <w:rsid w:val="0E505DC5"/>
    <w:rsid w:val="0E6D0BB5"/>
    <w:rsid w:val="0E7BEC9B"/>
    <w:rsid w:val="0E8FE4D2"/>
    <w:rsid w:val="0E9F2FEB"/>
    <w:rsid w:val="0EBD37AA"/>
    <w:rsid w:val="0F0A1440"/>
    <w:rsid w:val="0F12E871"/>
    <w:rsid w:val="0F298137"/>
    <w:rsid w:val="0F4D62C8"/>
    <w:rsid w:val="0F8495DB"/>
    <w:rsid w:val="0F99FE1D"/>
    <w:rsid w:val="0FCE38AE"/>
    <w:rsid w:val="0FEDBA91"/>
    <w:rsid w:val="100A579B"/>
    <w:rsid w:val="1012EF9C"/>
    <w:rsid w:val="104C5CF3"/>
    <w:rsid w:val="104D0B86"/>
    <w:rsid w:val="105BB7FB"/>
    <w:rsid w:val="10788ECA"/>
    <w:rsid w:val="1087515D"/>
    <w:rsid w:val="1099FC62"/>
    <w:rsid w:val="10A8E445"/>
    <w:rsid w:val="10D69AB9"/>
    <w:rsid w:val="10DF977A"/>
    <w:rsid w:val="10E3EDFB"/>
    <w:rsid w:val="110F03CA"/>
    <w:rsid w:val="112188BA"/>
    <w:rsid w:val="11222B35"/>
    <w:rsid w:val="112CBC5D"/>
    <w:rsid w:val="1147F40D"/>
    <w:rsid w:val="1154ECDB"/>
    <w:rsid w:val="11579E8D"/>
    <w:rsid w:val="115D0481"/>
    <w:rsid w:val="116DD552"/>
    <w:rsid w:val="11AD6EF2"/>
    <w:rsid w:val="11CBA466"/>
    <w:rsid w:val="11D6B5A5"/>
    <w:rsid w:val="11E1FDBA"/>
    <w:rsid w:val="11EA8C3D"/>
    <w:rsid w:val="11ECDFC6"/>
    <w:rsid w:val="11F9D144"/>
    <w:rsid w:val="11FB0385"/>
    <w:rsid w:val="120B9CF2"/>
    <w:rsid w:val="120D7A24"/>
    <w:rsid w:val="1218602A"/>
    <w:rsid w:val="122ABB82"/>
    <w:rsid w:val="124F316C"/>
    <w:rsid w:val="12543F8F"/>
    <w:rsid w:val="128A4C72"/>
    <w:rsid w:val="12A72AA9"/>
    <w:rsid w:val="12CA3833"/>
    <w:rsid w:val="12D4C18E"/>
    <w:rsid w:val="12E392A2"/>
    <w:rsid w:val="12F89D86"/>
    <w:rsid w:val="13018E2E"/>
    <w:rsid w:val="131A7A0A"/>
    <w:rsid w:val="13242C90"/>
    <w:rsid w:val="132F7429"/>
    <w:rsid w:val="1330D234"/>
    <w:rsid w:val="136F21D2"/>
    <w:rsid w:val="13C11DB2"/>
    <w:rsid w:val="13CD2FD8"/>
    <w:rsid w:val="13DFA27A"/>
    <w:rsid w:val="141DA8DC"/>
    <w:rsid w:val="142D90AE"/>
    <w:rsid w:val="144CD3D0"/>
    <w:rsid w:val="1459C2EE"/>
    <w:rsid w:val="145C55ED"/>
    <w:rsid w:val="14607A82"/>
    <w:rsid w:val="146083B3"/>
    <w:rsid w:val="1465C819"/>
    <w:rsid w:val="1468F108"/>
    <w:rsid w:val="146D22B8"/>
    <w:rsid w:val="14875961"/>
    <w:rsid w:val="14A17C83"/>
    <w:rsid w:val="14A65E25"/>
    <w:rsid w:val="14AAFDAD"/>
    <w:rsid w:val="14E5C98D"/>
    <w:rsid w:val="14F6A21D"/>
    <w:rsid w:val="15367703"/>
    <w:rsid w:val="1558C106"/>
    <w:rsid w:val="156063A4"/>
    <w:rsid w:val="1561F368"/>
    <w:rsid w:val="157E09CA"/>
    <w:rsid w:val="157EEB1B"/>
    <w:rsid w:val="1598B690"/>
    <w:rsid w:val="15EB2234"/>
    <w:rsid w:val="1602CB58"/>
    <w:rsid w:val="1628D782"/>
    <w:rsid w:val="16378F52"/>
    <w:rsid w:val="16488213"/>
    <w:rsid w:val="165A6E44"/>
    <w:rsid w:val="165F2D77"/>
    <w:rsid w:val="16605462"/>
    <w:rsid w:val="166F305F"/>
    <w:rsid w:val="1670E1C1"/>
    <w:rsid w:val="16763317"/>
    <w:rsid w:val="16785B3C"/>
    <w:rsid w:val="169E832C"/>
    <w:rsid w:val="16B8102E"/>
    <w:rsid w:val="16CDB09A"/>
    <w:rsid w:val="16DA9C44"/>
    <w:rsid w:val="16FD4199"/>
    <w:rsid w:val="1702C469"/>
    <w:rsid w:val="17537F91"/>
    <w:rsid w:val="175AB854"/>
    <w:rsid w:val="1761E79C"/>
    <w:rsid w:val="1791F94B"/>
    <w:rsid w:val="179524F6"/>
    <w:rsid w:val="17A1FEC6"/>
    <w:rsid w:val="17AD2A78"/>
    <w:rsid w:val="17AD8307"/>
    <w:rsid w:val="17C0EA64"/>
    <w:rsid w:val="17C67056"/>
    <w:rsid w:val="17D6C090"/>
    <w:rsid w:val="18110F4D"/>
    <w:rsid w:val="181DD1FB"/>
    <w:rsid w:val="182AAB69"/>
    <w:rsid w:val="182AD664"/>
    <w:rsid w:val="182E7B24"/>
    <w:rsid w:val="186305EE"/>
    <w:rsid w:val="18894DC4"/>
    <w:rsid w:val="188F0357"/>
    <w:rsid w:val="18C77AB8"/>
    <w:rsid w:val="18DC6A22"/>
    <w:rsid w:val="18E49B1F"/>
    <w:rsid w:val="18F450B6"/>
    <w:rsid w:val="18FCE772"/>
    <w:rsid w:val="190BB584"/>
    <w:rsid w:val="19206A02"/>
    <w:rsid w:val="192FC855"/>
    <w:rsid w:val="19445301"/>
    <w:rsid w:val="1947C408"/>
    <w:rsid w:val="19581901"/>
    <w:rsid w:val="196C53A3"/>
    <w:rsid w:val="1973DC82"/>
    <w:rsid w:val="19989AAD"/>
    <w:rsid w:val="19AF748B"/>
    <w:rsid w:val="19D7DEFD"/>
    <w:rsid w:val="19E9D704"/>
    <w:rsid w:val="1A0B626B"/>
    <w:rsid w:val="1A14A61A"/>
    <w:rsid w:val="1A504705"/>
    <w:rsid w:val="1A589998"/>
    <w:rsid w:val="1A6E74F3"/>
    <w:rsid w:val="1A727E02"/>
    <w:rsid w:val="1A8347BA"/>
    <w:rsid w:val="1AB27D09"/>
    <w:rsid w:val="1ACB20F9"/>
    <w:rsid w:val="1B0FE650"/>
    <w:rsid w:val="1B115712"/>
    <w:rsid w:val="1B133F31"/>
    <w:rsid w:val="1B4945E4"/>
    <w:rsid w:val="1B4B9803"/>
    <w:rsid w:val="1B85A428"/>
    <w:rsid w:val="1BAE75F3"/>
    <w:rsid w:val="1BE6E370"/>
    <w:rsid w:val="1BF2A820"/>
    <w:rsid w:val="1BF62667"/>
    <w:rsid w:val="1C2C4449"/>
    <w:rsid w:val="1C4ADD37"/>
    <w:rsid w:val="1C830AE7"/>
    <w:rsid w:val="1C83774F"/>
    <w:rsid w:val="1CB9E714"/>
    <w:rsid w:val="1CBCCEA4"/>
    <w:rsid w:val="1CECF3DE"/>
    <w:rsid w:val="1D184491"/>
    <w:rsid w:val="1D23DFC5"/>
    <w:rsid w:val="1D3128FB"/>
    <w:rsid w:val="1D38DBFF"/>
    <w:rsid w:val="1D3D0D3B"/>
    <w:rsid w:val="1D3F6B1A"/>
    <w:rsid w:val="1D67D6C7"/>
    <w:rsid w:val="1D783CF0"/>
    <w:rsid w:val="1D8056F8"/>
    <w:rsid w:val="1D843C8A"/>
    <w:rsid w:val="1D96F021"/>
    <w:rsid w:val="1D98CF3D"/>
    <w:rsid w:val="1DE505D6"/>
    <w:rsid w:val="1DEE9A5D"/>
    <w:rsid w:val="1DF6749E"/>
    <w:rsid w:val="1E01509E"/>
    <w:rsid w:val="1E327721"/>
    <w:rsid w:val="1E3D3CDA"/>
    <w:rsid w:val="1E45F979"/>
    <w:rsid w:val="1E4B51E4"/>
    <w:rsid w:val="1E557537"/>
    <w:rsid w:val="1E654266"/>
    <w:rsid w:val="1EA8460F"/>
    <w:rsid w:val="1EB032D8"/>
    <w:rsid w:val="1EC98925"/>
    <w:rsid w:val="1F1FB9BB"/>
    <w:rsid w:val="1F4423E4"/>
    <w:rsid w:val="1F5F9CA0"/>
    <w:rsid w:val="1F618797"/>
    <w:rsid w:val="1F74615F"/>
    <w:rsid w:val="1F858D42"/>
    <w:rsid w:val="1F8D3B20"/>
    <w:rsid w:val="1FA34E3E"/>
    <w:rsid w:val="1FBC30BA"/>
    <w:rsid w:val="1FCFA236"/>
    <w:rsid w:val="1FD5C025"/>
    <w:rsid w:val="1FD8C4AE"/>
    <w:rsid w:val="1FE0634D"/>
    <w:rsid w:val="1FF3B346"/>
    <w:rsid w:val="200A3165"/>
    <w:rsid w:val="202868E3"/>
    <w:rsid w:val="2033F67C"/>
    <w:rsid w:val="20417BAB"/>
    <w:rsid w:val="2061071E"/>
    <w:rsid w:val="206762E7"/>
    <w:rsid w:val="20761FB1"/>
    <w:rsid w:val="207FA699"/>
    <w:rsid w:val="2088EED5"/>
    <w:rsid w:val="2099CCD4"/>
    <w:rsid w:val="20BFC468"/>
    <w:rsid w:val="20C486D1"/>
    <w:rsid w:val="20CB7561"/>
    <w:rsid w:val="20DA137F"/>
    <w:rsid w:val="20DE72A3"/>
    <w:rsid w:val="20E85BB0"/>
    <w:rsid w:val="20FA5B0D"/>
    <w:rsid w:val="210A85CE"/>
    <w:rsid w:val="21280972"/>
    <w:rsid w:val="2141B3E8"/>
    <w:rsid w:val="2188EE97"/>
    <w:rsid w:val="21B66032"/>
    <w:rsid w:val="21C143A0"/>
    <w:rsid w:val="21DBDF2D"/>
    <w:rsid w:val="22029E64"/>
    <w:rsid w:val="220FEF1C"/>
    <w:rsid w:val="222393F6"/>
    <w:rsid w:val="228B0521"/>
    <w:rsid w:val="2296B293"/>
    <w:rsid w:val="229766B9"/>
    <w:rsid w:val="22B4C31E"/>
    <w:rsid w:val="22B9A493"/>
    <w:rsid w:val="22E84AE4"/>
    <w:rsid w:val="2344B3DA"/>
    <w:rsid w:val="2344DFB5"/>
    <w:rsid w:val="2346FBC5"/>
    <w:rsid w:val="234E2016"/>
    <w:rsid w:val="2356B84F"/>
    <w:rsid w:val="23589FE8"/>
    <w:rsid w:val="235BC1FD"/>
    <w:rsid w:val="235CBD3E"/>
    <w:rsid w:val="237076B1"/>
    <w:rsid w:val="23820443"/>
    <w:rsid w:val="23A0A73D"/>
    <w:rsid w:val="23A6611E"/>
    <w:rsid w:val="23ADB1BB"/>
    <w:rsid w:val="23D155C9"/>
    <w:rsid w:val="23DCF134"/>
    <w:rsid w:val="23DF1C19"/>
    <w:rsid w:val="2413DCB5"/>
    <w:rsid w:val="24207A6B"/>
    <w:rsid w:val="243C4393"/>
    <w:rsid w:val="2457AD11"/>
    <w:rsid w:val="24683F82"/>
    <w:rsid w:val="2473EBF8"/>
    <w:rsid w:val="2475C684"/>
    <w:rsid w:val="2479803C"/>
    <w:rsid w:val="247C0910"/>
    <w:rsid w:val="2485788D"/>
    <w:rsid w:val="24A4C22B"/>
    <w:rsid w:val="24C8776A"/>
    <w:rsid w:val="24CA0C3B"/>
    <w:rsid w:val="24CD5D4D"/>
    <w:rsid w:val="24ED240F"/>
    <w:rsid w:val="25051F02"/>
    <w:rsid w:val="25121680"/>
    <w:rsid w:val="2516CF8F"/>
    <w:rsid w:val="2539E0AA"/>
    <w:rsid w:val="2548C1BB"/>
    <w:rsid w:val="2554E9D6"/>
    <w:rsid w:val="25609F72"/>
    <w:rsid w:val="25858463"/>
    <w:rsid w:val="25AD1E84"/>
    <w:rsid w:val="25BB7431"/>
    <w:rsid w:val="25BBEF94"/>
    <w:rsid w:val="25C922D5"/>
    <w:rsid w:val="25E33408"/>
    <w:rsid w:val="2609FACA"/>
    <w:rsid w:val="260BACBC"/>
    <w:rsid w:val="263CA7D8"/>
    <w:rsid w:val="26596FCD"/>
    <w:rsid w:val="2667B6EE"/>
    <w:rsid w:val="26FB2542"/>
    <w:rsid w:val="26FB3AE8"/>
    <w:rsid w:val="2710F889"/>
    <w:rsid w:val="272ACF39"/>
    <w:rsid w:val="2749A885"/>
    <w:rsid w:val="276D888A"/>
    <w:rsid w:val="277ADD79"/>
    <w:rsid w:val="277B3DCA"/>
    <w:rsid w:val="2784A689"/>
    <w:rsid w:val="279534F7"/>
    <w:rsid w:val="27B88087"/>
    <w:rsid w:val="27BA1DE0"/>
    <w:rsid w:val="27C09D9D"/>
    <w:rsid w:val="27C0E3D5"/>
    <w:rsid w:val="27C1A291"/>
    <w:rsid w:val="27CE2B7E"/>
    <w:rsid w:val="27D50056"/>
    <w:rsid w:val="27E140AC"/>
    <w:rsid w:val="27E198AB"/>
    <w:rsid w:val="27F79AFE"/>
    <w:rsid w:val="27FB233B"/>
    <w:rsid w:val="28238801"/>
    <w:rsid w:val="28315888"/>
    <w:rsid w:val="28653B47"/>
    <w:rsid w:val="288AD1B3"/>
    <w:rsid w:val="28CD4545"/>
    <w:rsid w:val="28D215D8"/>
    <w:rsid w:val="28EE56DC"/>
    <w:rsid w:val="28F21A8A"/>
    <w:rsid w:val="29629829"/>
    <w:rsid w:val="2980B8DE"/>
    <w:rsid w:val="29AA8C1C"/>
    <w:rsid w:val="29AD0BAB"/>
    <w:rsid w:val="29BB93F0"/>
    <w:rsid w:val="29C30FA5"/>
    <w:rsid w:val="29C6112E"/>
    <w:rsid w:val="29C79263"/>
    <w:rsid w:val="29C8E148"/>
    <w:rsid w:val="2A203572"/>
    <w:rsid w:val="2A257EA4"/>
    <w:rsid w:val="2A2E7F02"/>
    <w:rsid w:val="2A40393A"/>
    <w:rsid w:val="2A637291"/>
    <w:rsid w:val="2A652B7E"/>
    <w:rsid w:val="2A6D7B07"/>
    <w:rsid w:val="2A825E24"/>
    <w:rsid w:val="2A87401D"/>
    <w:rsid w:val="2A8AED82"/>
    <w:rsid w:val="2A9E31B8"/>
    <w:rsid w:val="2AE492B4"/>
    <w:rsid w:val="2AE5549D"/>
    <w:rsid w:val="2AED3D83"/>
    <w:rsid w:val="2B7B3C7C"/>
    <w:rsid w:val="2B863820"/>
    <w:rsid w:val="2BACA12D"/>
    <w:rsid w:val="2BD56146"/>
    <w:rsid w:val="2C273F40"/>
    <w:rsid w:val="2C39129F"/>
    <w:rsid w:val="2C3B3AFE"/>
    <w:rsid w:val="2C4C8506"/>
    <w:rsid w:val="2C7E2471"/>
    <w:rsid w:val="2C84EEA6"/>
    <w:rsid w:val="2C883521"/>
    <w:rsid w:val="2C8B0DF4"/>
    <w:rsid w:val="2C9EC160"/>
    <w:rsid w:val="2CA1636B"/>
    <w:rsid w:val="2CA9B7AA"/>
    <w:rsid w:val="2CAE9A79"/>
    <w:rsid w:val="2CC417ED"/>
    <w:rsid w:val="2CCDEF98"/>
    <w:rsid w:val="2CD32FA3"/>
    <w:rsid w:val="2CDC69F8"/>
    <w:rsid w:val="2CE6FEC1"/>
    <w:rsid w:val="2CF4067D"/>
    <w:rsid w:val="2CF45309"/>
    <w:rsid w:val="2CF4B532"/>
    <w:rsid w:val="2D0CC15C"/>
    <w:rsid w:val="2D1FAA41"/>
    <w:rsid w:val="2D339340"/>
    <w:rsid w:val="2D56BCAB"/>
    <w:rsid w:val="2D61FC1D"/>
    <w:rsid w:val="2D9AB703"/>
    <w:rsid w:val="2D9E6E63"/>
    <w:rsid w:val="2DB54E0E"/>
    <w:rsid w:val="2DC36735"/>
    <w:rsid w:val="2DED9AE8"/>
    <w:rsid w:val="2DF33BF2"/>
    <w:rsid w:val="2E0E172C"/>
    <w:rsid w:val="2E494D16"/>
    <w:rsid w:val="2E528374"/>
    <w:rsid w:val="2EB6BA31"/>
    <w:rsid w:val="2EBFF2A4"/>
    <w:rsid w:val="2ED8A7B7"/>
    <w:rsid w:val="2EDBD35C"/>
    <w:rsid w:val="2EFE4E75"/>
    <w:rsid w:val="2F25AD47"/>
    <w:rsid w:val="2F2BD438"/>
    <w:rsid w:val="2F4E45DC"/>
    <w:rsid w:val="2F5AC19A"/>
    <w:rsid w:val="2F72E397"/>
    <w:rsid w:val="2F79BEEA"/>
    <w:rsid w:val="2F7A43C5"/>
    <w:rsid w:val="2F8850B7"/>
    <w:rsid w:val="2F8FC6D3"/>
    <w:rsid w:val="2F9B8F8F"/>
    <w:rsid w:val="2FBAEEF4"/>
    <w:rsid w:val="2FD0BB05"/>
    <w:rsid w:val="2FD8F08E"/>
    <w:rsid w:val="2FDDCE32"/>
    <w:rsid w:val="2FEB64D3"/>
    <w:rsid w:val="2FFD9AEA"/>
    <w:rsid w:val="3012F62A"/>
    <w:rsid w:val="301AED7E"/>
    <w:rsid w:val="30274D1F"/>
    <w:rsid w:val="303BBA3D"/>
    <w:rsid w:val="306FFA1C"/>
    <w:rsid w:val="30782084"/>
    <w:rsid w:val="308A2496"/>
    <w:rsid w:val="3092622A"/>
    <w:rsid w:val="3094327C"/>
    <w:rsid w:val="30A5A42B"/>
    <w:rsid w:val="30C7857C"/>
    <w:rsid w:val="30EAC2DD"/>
    <w:rsid w:val="30F27BE0"/>
    <w:rsid w:val="3104773D"/>
    <w:rsid w:val="312AA50C"/>
    <w:rsid w:val="313028BE"/>
    <w:rsid w:val="313D5677"/>
    <w:rsid w:val="3148E609"/>
    <w:rsid w:val="31523885"/>
    <w:rsid w:val="3158152B"/>
    <w:rsid w:val="31637BE7"/>
    <w:rsid w:val="3164D3CB"/>
    <w:rsid w:val="316C7CA9"/>
    <w:rsid w:val="317CC3EF"/>
    <w:rsid w:val="318213F1"/>
    <w:rsid w:val="31A18B1B"/>
    <w:rsid w:val="31DB3ECD"/>
    <w:rsid w:val="31E8EDA9"/>
    <w:rsid w:val="31F57A9B"/>
    <w:rsid w:val="31FF8CD5"/>
    <w:rsid w:val="32014391"/>
    <w:rsid w:val="32404059"/>
    <w:rsid w:val="3244890D"/>
    <w:rsid w:val="324648BB"/>
    <w:rsid w:val="327319A3"/>
    <w:rsid w:val="328F2D0C"/>
    <w:rsid w:val="32B08F66"/>
    <w:rsid w:val="32D09968"/>
    <w:rsid w:val="32D5D51B"/>
    <w:rsid w:val="3303ACE5"/>
    <w:rsid w:val="33119447"/>
    <w:rsid w:val="3323928C"/>
    <w:rsid w:val="333368B3"/>
    <w:rsid w:val="333DE8E2"/>
    <w:rsid w:val="3349AB56"/>
    <w:rsid w:val="335F7A23"/>
    <w:rsid w:val="3360E78F"/>
    <w:rsid w:val="336BD9A0"/>
    <w:rsid w:val="338B251A"/>
    <w:rsid w:val="338E9E0F"/>
    <w:rsid w:val="33A95BBE"/>
    <w:rsid w:val="33AD3D4B"/>
    <w:rsid w:val="33B5D258"/>
    <w:rsid w:val="33B9E098"/>
    <w:rsid w:val="33F9ABB8"/>
    <w:rsid w:val="34190388"/>
    <w:rsid w:val="3419EBFE"/>
    <w:rsid w:val="342AFF3C"/>
    <w:rsid w:val="3434EA4C"/>
    <w:rsid w:val="3435F5D3"/>
    <w:rsid w:val="343835DD"/>
    <w:rsid w:val="3439CCC5"/>
    <w:rsid w:val="34471037"/>
    <w:rsid w:val="344A61DE"/>
    <w:rsid w:val="34784733"/>
    <w:rsid w:val="34885BAB"/>
    <w:rsid w:val="34A46B76"/>
    <w:rsid w:val="34D9B5E0"/>
    <w:rsid w:val="34E16FBE"/>
    <w:rsid w:val="34F7F35A"/>
    <w:rsid w:val="34FF10BE"/>
    <w:rsid w:val="350A3CC1"/>
    <w:rsid w:val="35104BBB"/>
    <w:rsid w:val="355284BB"/>
    <w:rsid w:val="3553888C"/>
    <w:rsid w:val="3554FAA7"/>
    <w:rsid w:val="356783D4"/>
    <w:rsid w:val="356FBFB6"/>
    <w:rsid w:val="35806984"/>
    <w:rsid w:val="35D9A08A"/>
    <w:rsid w:val="35DDBD34"/>
    <w:rsid w:val="3602E9B0"/>
    <w:rsid w:val="36C4A241"/>
    <w:rsid w:val="36DCFB9F"/>
    <w:rsid w:val="36E25711"/>
    <w:rsid w:val="370A9D10"/>
    <w:rsid w:val="37103F2D"/>
    <w:rsid w:val="372DE5AD"/>
    <w:rsid w:val="37492F7D"/>
    <w:rsid w:val="376957BE"/>
    <w:rsid w:val="377E5F1D"/>
    <w:rsid w:val="379A25D5"/>
    <w:rsid w:val="37B428D7"/>
    <w:rsid w:val="37BFFA0B"/>
    <w:rsid w:val="37C2664A"/>
    <w:rsid w:val="37CF0E85"/>
    <w:rsid w:val="37EB4202"/>
    <w:rsid w:val="3804C011"/>
    <w:rsid w:val="3808A96B"/>
    <w:rsid w:val="380ADA65"/>
    <w:rsid w:val="380AFB16"/>
    <w:rsid w:val="38156973"/>
    <w:rsid w:val="3818ED1D"/>
    <w:rsid w:val="382FFFB8"/>
    <w:rsid w:val="384F4FD9"/>
    <w:rsid w:val="386CC7F3"/>
    <w:rsid w:val="386FA748"/>
    <w:rsid w:val="38820F0A"/>
    <w:rsid w:val="38A513A4"/>
    <w:rsid w:val="38C84B46"/>
    <w:rsid w:val="38CBC089"/>
    <w:rsid w:val="38CC753C"/>
    <w:rsid w:val="38D16DB5"/>
    <w:rsid w:val="38FC3C72"/>
    <w:rsid w:val="3904D8DC"/>
    <w:rsid w:val="3947A460"/>
    <w:rsid w:val="398ADE70"/>
    <w:rsid w:val="3990808D"/>
    <w:rsid w:val="39C2839A"/>
    <w:rsid w:val="39E4EB8F"/>
    <w:rsid w:val="3A1AD462"/>
    <w:rsid w:val="3A1E4F66"/>
    <w:rsid w:val="3A30E047"/>
    <w:rsid w:val="3A490172"/>
    <w:rsid w:val="3A637B8F"/>
    <w:rsid w:val="3A6BF662"/>
    <w:rsid w:val="3A76A804"/>
    <w:rsid w:val="3A8B50B1"/>
    <w:rsid w:val="3A91DC68"/>
    <w:rsid w:val="3A9E4CF7"/>
    <w:rsid w:val="3AC9F340"/>
    <w:rsid w:val="3AEBF33A"/>
    <w:rsid w:val="3AF2C458"/>
    <w:rsid w:val="3AFF32B1"/>
    <w:rsid w:val="3B1861BA"/>
    <w:rsid w:val="3B1BDCA6"/>
    <w:rsid w:val="3B41D557"/>
    <w:rsid w:val="3B52B43D"/>
    <w:rsid w:val="3B56ECD2"/>
    <w:rsid w:val="3B57A7F3"/>
    <w:rsid w:val="3B5BADA4"/>
    <w:rsid w:val="3B6D679E"/>
    <w:rsid w:val="3B7E68DB"/>
    <w:rsid w:val="3B84E403"/>
    <w:rsid w:val="3B84ECC7"/>
    <w:rsid w:val="3B9B8EF8"/>
    <w:rsid w:val="3BAA3AC1"/>
    <w:rsid w:val="3BCDC813"/>
    <w:rsid w:val="3BD345D4"/>
    <w:rsid w:val="3BDC5C76"/>
    <w:rsid w:val="3BEA6A89"/>
    <w:rsid w:val="3BEED786"/>
    <w:rsid w:val="3BF3BE82"/>
    <w:rsid w:val="3BFE7A9A"/>
    <w:rsid w:val="3C2F6675"/>
    <w:rsid w:val="3C3E4558"/>
    <w:rsid w:val="3C42AACC"/>
    <w:rsid w:val="3C6B4946"/>
    <w:rsid w:val="3C7C7F0F"/>
    <w:rsid w:val="3C88F9C3"/>
    <w:rsid w:val="3CB680DF"/>
    <w:rsid w:val="3CBB849B"/>
    <w:rsid w:val="3CBBD540"/>
    <w:rsid w:val="3CCD5698"/>
    <w:rsid w:val="3CE46FE5"/>
    <w:rsid w:val="3CEAED6F"/>
    <w:rsid w:val="3CF32AC9"/>
    <w:rsid w:val="3D05ED5E"/>
    <w:rsid w:val="3D0C90CA"/>
    <w:rsid w:val="3D112FE5"/>
    <w:rsid w:val="3D11839A"/>
    <w:rsid w:val="3D197A61"/>
    <w:rsid w:val="3D1D3B84"/>
    <w:rsid w:val="3D3AE9EF"/>
    <w:rsid w:val="3D6B8150"/>
    <w:rsid w:val="3D700EE8"/>
    <w:rsid w:val="3D7226AD"/>
    <w:rsid w:val="3D7532A3"/>
    <w:rsid w:val="3D7953D0"/>
    <w:rsid w:val="3DD008CC"/>
    <w:rsid w:val="3DEE82CD"/>
    <w:rsid w:val="3DFBCFAB"/>
    <w:rsid w:val="3E18ACCE"/>
    <w:rsid w:val="3E49C3AF"/>
    <w:rsid w:val="3E5263D9"/>
    <w:rsid w:val="3E667F3D"/>
    <w:rsid w:val="3E72DA8F"/>
    <w:rsid w:val="3E86E995"/>
    <w:rsid w:val="3E96E6B0"/>
    <w:rsid w:val="3E9FED05"/>
    <w:rsid w:val="3EC073F7"/>
    <w:rsid w:val="3EC97744"/>
    <w:rsid w:val="3EDAE3E3"/>
    <w:rsid w:val="3EE542A4"/>
    <w:rsid w:val="3EE8636A"/>
    <w:rsid w:val="3EEFD860"/>
    <w:rsid w:val="3EF7644F"/>
    <w:rsid w:val="3F100463"/>
    <w:rsid w:val="3F17DBD6"/>
    <w:rsid w:val="3F2BE9BD"/>
    <w:rsid w:val="3F39D838"/>
    <w:rsid w:val="3F3C8BBB"/>
    <w:rsid w:val="3F574B2C"/>
    <w:rsid w:val="3F65921A"/>
    <w:rsid w:val="3F6F4B7D"/>
    <w:rsid w:val="3F82EECD"/>
    <w:rsid w:val="3F923CF5"/>
    <w:rsid w:val="3F92F029"/>
    <w:rsid w:val="3FBD531F"/>
    <w:rsid w:val="3FC89210"/>
    <w:rsid w:val="3FC909BA"/>
    <w:rsid w:val="3FCE6912"/>
    <w:rsid w:val="3FE6E61D"/>
    <w:rsid w:val="400B04B4"/>
    <w:rsid w:val="400C5545"/>
    <w:rsid w:val="40204AC6"/>
    <w:rsid w:val="4023C0D8"/>
    <w:rsid w:val="4043BD33"/>
    <w:rsid w:val="40577926"/>
    <w:rsid w:val="406A25C8"/>
    <w:rsid w:val="408ACEF3"/>
    <w:rsid w:val="40BBCC72"/>
    <w:rsid w:val="40BEBA18"/>
    <w:rsid w:val="40C36861"/>
    <w:rsid w:val="40E3859F"/>
    <w:rsid w:val="40F15C20"/>
    <w:rsid w:val="40FB9F44"/>
    <w:rsid w:val="410B8F8B"/>
    <w:rsid w:val="41284D6A"/>
    <w:rsid w:val="41554045"/>
    <w:rsid w:val="415C55C5"/>
    <w:rsid w:val="416E431E"/>
    <w:rsid w:val="418ED062"/>
    <w:rsid w:val="41E3F9F7"/>
    <w:rsid w:val="420689F9"/>
    <w:rsid w:val="4208989B"/>
    <w:rsid w:val="420EC9AA"/>
    <w:rsid w:val="42190A4F"/>
    <w:rsid w:val="422C98CB"/>
    <w:rsid w:val="425E8DF1"/>
    <w:rsid w:val="427D8C21"/>
    <w:rsid w:val="428B6C2D"/>
    <w:rsid w:val="429B7DA9"/>
    <w:rsid w:val="42C12B42"/>
    <w:rsid w:val="42D49057"/>
    <w:rsid w:val="42D86FE8"/>
    <w:rsid w:val="432170FA"/>
    <w:rsid w:val="43268EF1"/>
    <w:rsid w:val="43456347"/>
    <w:rsid w:val="434DBEB2"/>
    <w:rsid w:val="435CAC71"/>
    <w:rsid w:val="4369F44E"/>
    <w:rsid w:val="4385AB03"/>
    <w:rsid w:val="43C0FBF5"/>
    <w:rsid w:val="43C6D36E"/>
    <w:rsid w:val="43DF13FA"/>
    <w:rsid w:val="43F17AA3"/>
    <w:rsid w:val="43F2D740"/>
    <w:rsid w:val="4407A81E"/>
    <w:rsid w:val="44293CD4"/>
    <w:rsid w:val="442CB069"/>
    <w:rsid w:val="4435C2BF"/>
    <w:rsid w:val="4464BB90"/>
    <w:rsid w:val="44731B40"/>
    <w:rsid w:val="4487905B"/>
    <w:rsid w:val="448AA87A"/>
    <w:rsid w:val="449F05AB"/>
    <w:rsid w:val="44E72386"/>
    <w:rsid w:val="45046B99"/>
    <w:rsid w:val="450F39EE"/>
    <w:rsid w:val="45410A99"/>
    <w:rsid w:val="45452D09"/>
    <w:rsid w:val="455E77A7"/>
    <w:rsid w:val="456F7A79"/>
    <w:rsid w:val="457652D7"/>
    <w:rsid w:val="458FCEF0"/>
    <w:rsid w:val="45A49D4D"/>
    <w:rsid w:val="45A636A2"/>
    <w:rsid w:val="45B5BE2C"/>
    <w:rsid w:val="45B75266"/>
    <w:rsid w:val="45C659C2"/>
    <w:rsid w:val="45C7C2E0"/>
    <w:rsid w:val="45CABB20"/>
    <w:rsid w:val="45E28481"/>
    <w:rsid w:val="46074B9B"/>
    <w:rsid w:val="4666B1E8"/>
    <w:rsid w:val="467AA4C6"/>
    <w:rsid w:val="46805C1D"/>
    <w:rsid w:val="468B744F"/>
    <w:rsid w:val="46B3D22C"/>
    <w:rsid w:val="46B7A598"/>
    <w:rsid w:val="46C1102B"/>
    <w:rsid w:val="46C49E4E"/>
    <w:rsid w:val="46CCF872"/>
    <w:rsid w:val="4703AE87"/>
    <w:rsid w:val="471EC8AF"/>
    <w:rsid w:val="4731831C"/>
    <w:rsid w:val="47376628"/>
    <w:rsid w:val="47728934"/>
    <w:rsid w:val="4777FE72"/>
    <w:rsid w:val="47B4C4AD"/>
    <w:rsid w:val="47BF2CBC"/>
    <w:rsid w:val="47C904DD"/>
    <w:rsid w:val="47C9DFCC"/>
    <w:rsid w:val="47E91B81"/>
    <w:rsid w:val="47ED106C"/>
    <w:rsid w:val="47F1FF71"/>
    <w:rsid w:val="480BC87F"/>
    <w:rsid w:val="48115D82"/>
    <w:rsid w:val="48222D96"/>
    <w:rsid w:val="48476A73"/>
    <w:rsid w:val="4852DBBD"/>
    <w:rsid w:val="48666F51"/>
    <w:rsid w:val="486CCFB8"/>
    <w:rsid w:val="486D1F7E"/>
    <w:rsid w:val="486DBC37"/>
    <w:rsid w:val="48718A82"/>
    <w:rsid w:val="488614BC"/>
    <w:rsid w:val="489D7025"/>
    <w:rsid w:val="48A5E009"/>
    <w:rsid w:val="48D5F0B1"/>
    <w:rsid w:val="49572D92"/>
    <w:rsid w:val="495787EE"/>
    <w:rsid w:val="4970C3A0"/>
    <w:rsid w:val="49758E14"/>
    <w:rsid w:val="4978B5FA"/>
    <w:rsid w:val="4991A46B"/>
    <w:rsid w:val="49C0A6FC"/>
    <w:rsid w:val="49CE09A0"/>
    <w:rsid w:val="49D2E690"/>
    <w:rsid w:val="49DA1C2F"/>
    <w:rsid w:val="4A0842D9"/>
    <w:rsid w:val="4A2658BC"/>
    <w:rsid w:val="4A29C9DE"/>
    <w:rsid w:val="4A319A05"/>
    <w:rsid w:val="4A412BFA"/>
    <w:rsid w:val="4A523A67"/>
    <w:rsid w:val="4A58CC00"/>
    <w:rsid w:val="4A5B55B1"/>
    <w:rsid w:val="4A648EE9"/>
    <w:rsid w:val="4A736B18"/>
    <w:rsid w:val="4A9A4B8A"/>
    <w:rsid w:val="4AB9C55B"/>
    <w:rsid w:val="4ABE1865"/>
    <w:rsid w:val="4ACF2E1C"/>
    <w:rsid w:val="4AD0E62B"/>
    <w:rsid w:val="4AE1425E"/>
    <w:rsid w:val="4AFFB17B"/>
    <w:rsid w:val="4B151848"/>
    <w:rsid w:val="4B2BDF29"/>
    <w:rsid w:val="4B886A7A"/>
    <w:rsid w:val="4B9717F1"/>
    <w:rsid w:val="4BB753CA"/>
    <w:rsid w:val="4BB7DC45"/>
    <w:rsid w:val="4BB95AFC"/>
    <w:rsid w:val="4BC0B43F"/>
    <w:rsid w:val="4BCFCC1E"/>
    <w:rsid w:val="4BD08452"/>
    <w:rsid w:val="4BD64335"/>
    <w:rsid w:val="4C048DBA"/>
    <w:rsid w:val="4C07598A"/>
    <w:rsid w:val="4C111AD5"/>
    <w:rsid w:val="4C2BCDB0"/>
    <w:rsid w:val="4C3A03F2"/>
    <w:rsid w:val="4C49251A"/>
    <w:rsid w:val="4C4B19F9"/>
    <w:rsid w:val="4C63BB0B"/>
    <w:rsid w:val="4C72E83E"/>
    <w:rsid w:val="4C7739CE"/>
    <w:rsid w:val="4C8B261C"/>
    <w:rsid w:val="4CBF800F"/>
    <w:rsid w:val="4CCA8823"/>
    <w:rsid w:val="4CEB46FC"/>
    <w:rsid w:val="4CFFE468"/>
    <w:rsid w:val="4D0AE0EE"/>
    <w:rsid w:val="4D4EBEAB"/>
    <w:rsid w:val="4D6D04C3"/>
    <w:rsid w:val="4D821804"/>
    <w:rsid w:val="4D93073B"/>
    <w:rsid w:val="4DEDF207"/>
    <w:rsid w:val="4E021887"/>
    <w:rsid w:val="4E0C557A"/>
    <w:rsid w:val="4E0CD014"/>
    <w:rsid w:val="4E2E5760"/>
    <w:rsid w:val="4E4F41A5"/>
    <w:rsid w:val="4E51F864"/>
    <w:rsid w:val="4E535207"/>
    <w:rsid w:val="4E58C278"/>
    <w:rsid w:val="4E5F26CC"/>
    <w:rsid w:val="4E6BFE09"/>
    <w:rsid w:val="4E869820"/>
    <w:rsid w:val="4E9F82F4"/>
    <w:rsid w:val="4EA82ADF"/>
    <w:rsid w:val="4EAADA41"/>
    <w:rsid w:val="4EC82DFE"/>
    <w:rsid w:val="4EDF0810"/>
    <w:rsid w:val="4EF74627"/>
    <w:rsid w:val="4F11CA49"/>
    <w:rsid w:val="4F132F6E"/>
    <w:rsid w:val="4F50666F"/>
    <w:rsid w:val="4F7C61F0"/>
    <w:rsid w:val="4F7D3F25"/>
    <w:rsid w:val="4F930CF6"/>
    <w:rsid w:val="4FBA83F1"/>
    <w:rsid w:val="4FF18B2D"/>
    <w:rsid w:val="4FFAD85F"/>
    <w:rsid w:val="50098F0D"/>
    <w:rsid w:val="50360792"/>
    <w:rsid w:val="503C7375"/>
    <w:rsid w:val="503D72FC"/>
    <w:rsid w:val="508E657D"/>
    <w:rsid w:val="509FE8BE"/>
    <w:rsid w:val="50C5335C"/>
    <w:rsid w:val="50CBBF64"/>
    <w:rsid w:val="50D1252D"/>
    <w:rsid w:val="5104B090"/>
    <w:rsid w:val="510BCB20"/>
    <w:rsid w:val="513BE19E"/>
    <w:rsid w:val="51B4DC04"/>
    <w:rsid w:val="51B64D69"/>
    <w:rsid w:val="521A31FF"/>
    <w:rsid w:val="525A067E"/>
    <w:rsid w:val="5269B8EB"/>
    <w:rsid w:val="526F4F25"/>
    <w:rsid w:val="5287780C"/>
    <w:rsid w:val="529C2741"/>
    <w:rsid w:val="52CC0C2B"/>
    <w:rsid w:val="52E9BA93"/>
    <w:rsid w:val="52F5DE4E"/>
    <w:rsid w:val="52F95ED4"/>
    <w:rsid w:val="52FC4123"/>
    <w:rsid w:val="531632A2"/>
    <w:rsid w:val="53251560"/>
    <w:rsid w:val="5326AE94"/>
    <w:rsid w:val="53343E50"/>
    <w:rsid w:val="53392B7E"/>
    <w:rsid w:val="53464325"/>
    <w:rsid w:val="53683CF7"/>
    <w:rsid w:val="536FC708"/>
    <w:rsid w:val="53884B4A"/>
    <w:rsid w:val="53ACA8E4"/>
    <w:rsid w:val="53C7B495"/>
    <w:rsid w:val="53CF0A89"/>
    <w:rsid w:val="53DC4CCF"/>
    <w:rsid w:val="53F3A408"/>
    <w:rsid w:val="53FAEB5F"/>
    <w:rsid w:val="53FC9980"/>
    <w:rsid w:val="54071A26"/>
    <w:rsid w:val="540E032E"/>
    <w:rsid w:val="541815E9"/>
    <w:rsid w:val="541D56B7"/>
    <w:rsid w:val="54203559"/>
    <w:rsid w:val="5427F4D9"/>
    <w:rsid w:val="542B19A2"/>
    <w:rsid w:val="542F07F0"/>
    <w:rsid w:val="54320B0E"/>
    <w:rsid w:val="543815CD"/>
    <w:rsid w:val="5441E2DA"/>
    <w:rsid w:val="544A9896"/>
    <w:rsid w:val="544ECEBC"/>
    <w:rsid w:val="545DDB70"/>
    <w:rsid w:val="54629CC7"/>
    <w:rsid w:val="54867243"/>
    <w:rsid w:val="54A20FC2"/>
    <w:rsid w:val="54A391CF"/>
    <w:rsid w:val="54A777EC"/>
    <w:rsid w:val="54AC8B5D"/>
    <w:rsid w:val="54B04D24"/>
    <w:rsid w:val="54BD859A"/>
    <w:rsid w:val="54EA7BAC"/>
    <w:rsid w:val="551B41CC"/>
    <w:rsid w:val="5566121C"/>
    <w:rsid w:val="557F8A43"/>
    <w:rsid w:val="5587C359"/>
    <w:rsid w:val="55965690"/>
    <w:rsid w:val="5596CB7B"/>
    <w:rsid w:val="55994575"/>
    <w:rsid w:val="55AC19E3"/>
    <w:rsid w:val="55CE2192"/>
    <w:rsid w:val="55E2BC10"/>
    <w:rsid w:val="561A9564"/>
    <w:rsid w:val="564CC440"/>
    <w:rsid w:val="565589CA"/>
    <w:rsid w:val="567B49F8"/>
    <w:rsid w:val="567C944D"/>
    <w:rsid w:val="567D3B47"/>
    <w:rsid w:val="568B2AEC"/>
    <w:rsid w:val="5690376D"/>
    <w:rsid w:val="56938BF9"/>
    <w:rsid w:val="56A31EB6"/>
    <w:rsid w:val="56BC31D4"/>
    <w:rsid w:val="56BC850E"/>
    <w:rsid w:val="56EC33A1"/>
    <w:rsid w:val="56FC9B2D"/>
    <w:rsid w:val="571A38A8"/>
    <w:rsid w:val="57292A58"/>
    <w:rsid w:val="57408FAB"/>
    <w:rsid w:val="5749BEB6"/>
    <w:rsid w:val="575780E3"/>
    <w:rsid w:val="575D90EB"/>
    <w:rsid w:val="578A1AEC"/>
    <w:rsid w:val="57AD8948"/>
    <w:rsid w:val="57BED66A"/>
    <w:rsid w:val="57BEE078"/>
    <w:rsid w:val="57CD7487"/>
    <w:rsid w:val="57E856DE"/>
    <w:rsid w:val="57EC88D1"/>
    <w:rsid w:val="57F4A073"/>
    <w:rsid w:val="57FFB8A4"/>
    <w:rsid w:val="58038353"/>
    <w:rsid w:val="580B8720"/>
    <w:rsid w:val="580C81FF"/>
    <w:rsid w:val="5818A27D"/>
    <w:rsid w:val="583AD6D6"/>
    <w:rsid w:val="583AEBF7"/>
    <w:rsid w:val="5851B81A"/>
    <w:rsid w:val="58585B95"/>
    <w:rsid w:val="587F05B0"/>
    <w:rsid w:val="58819578"/>
    <w:rsid w:val="589D0E87"/>
    <w:rsid w:val="58A992BB"/>
    <w:rsid w:val="58B73C6D"/>
    <w:rsid w:val="58BC98D9"/>
    <w:rsid w:val="58BD2C8B"/>
    <w:rsid w:val="58C77B87"/>
    <w:rsid w:val="58E03BBA"/>
    <w:rsid w:val="58EC528D"/>
    <w:rsid w:val="58F6B075"/>
    <w:rsid w:val="590901C1"/>
    <w:rsid w:val="591EA882"/>
    <w:rsid w:val="5933EF1F"/>
    <w:rsid w:val="5938B22A"/>
    <w:rsid w:val="5956E9DB"/>
    <w:rsid w:val="5970BF97"/>
    <w:rsid w:val="597A9AC8"/>
    <w:rsid w:val="59972A5E"/>
    <w:rsid w:val="59CC3755"/>
    <w:rsid w:val="59CF8B7A"/>
    <w:rsid w:val="59E5F232"/>
    <w:rsid w:val="59EBD749"/>
    <w:rsid w:val="5A05D75D"/>
    <w:rsid w:val="5A0E3644"/>
    <w:rsid w:val="5A1C4F8E"/>
    <w:rsid w:val="5A28C065"/>
    <w:rsid w:val="5A322375"/>
    <w:rsid w:val="5A40100C"/>
    <w:rsid w:val="5A48D6D0"/>
    <w:rsid w:val="5A74D431"/>
    <w:rsid w:val="5A9C3F3A"/>
    <w:rsid w:val="5ACAFA47"/>
    <w:rsid w:val="5AE9B10A"/>
    <w:rsid w:val="5B02BB42"/>
    <w:rsid w:val="5B077BC0"/>
    <w:rsid w:val="5B0FBE98"/>
    <w:rsid w:val="5B318F4D"/>
    <w:rsid w:val="5B360DFD"/>
    <w:rsid w:val="5B6AC29A"/>
    <w:rsid w:val="5B6C7476"/>
    <w:rsid w:val="5B719907"/>
    <w:rsid w:val="5B903FE3"/>
    <w:rsid w:val="5BB0C802"/>
    <w:rsid w:val="5BB2C72F"/>
    <w:rsid w:val="5BC77D54"/>
    <w:rsid w:val="5BC99705"/>
    <w:rsid w:val="5BDAF3A2"/>
    <w:rsid w:val="5C05C79D"/>
    <w:rsid w:val="5C30BC87"/>
    <w:rsid w:val="5C3FD8B2"/>
    <w:rsid w:val="5C614721"/>
    <w:rsid w:val="5C67EF12"/>
    <w:rsid w:val="5C7BAAD6"/>
    <w:rsid w:val="5C92CC2E"/>
    <w:rsid w:val="5CA791FC"/>
    <w:rsid w:val="5CBB51E1"/>
    <w:rsid w:val="5CBC93B9"/>
    <w:rsid w:val="5CC0B38F"/>
    <w:rsid w:val="5CC8C0F7"/>
    <w:rsid w:val="5CD59D7B"/>
    <w:rsid w:val="5CD7E031"/>
    <w:rsid w:val="5CDDA404"/>
    <w:rsid w:val="5CF81C93"/>
    <w:rsid w:val="5D0135FF"/>
    <w:rsid w:val="5D0B6B94"/>
    <w:rsid w:val="5D1FA0B9"/>
    <w:rsid w:val="5D2367BA"/>
    <w:rsid w:val="5D6F409B"/>
    <w:rsid w:val="5DA16DA8"/>
    <w:rsid w:val="5DC06308"/>
    <w:rsid w:val="5DD73B8D"/>
    <w:rsid w:val="5DE666FA"/>
    <w:rsid w:val="5DEEB211"/>
    <w:rsid w:val="5DEF1311"/>
    <w:rsid w:val="5E00F6C1"/>
    <w:rsid w:val="5E30244F"/>
    <w:rsid w:val="5E673B65"/>
    <w:rsid w:val="5E7888EC"/>
    <w:rsid w:val="5E86AEAC"/>
    <w:rsid w:val="5E8F59F0"/>
    <w:rsid w:val="5EAC7A6D"/>
    <w:rsid w:val="5EC25445"/>
    <w:rsid w:val="5EC4DEF2"/>
    <w:rsid w:val="5F1B95D9"/>
    <w:rsid w:val="5F1FC085"/>
    <w:rsid w:val="5F22EC38"/>
    <w:rsid w:val="5F262162"/>
    <w:rsid w:val="5F2C673A"/>
    <w:rsid w:val="5F3DFA6E"/>
    <w:rsid w:val="5F703FCF"/>
    <w:rsid w:val="5F8240DD"/>
    <w:rsid w:val="5F94E03A"/>
    <w:rsid w:val="5F9AAF97"/>
    <w:rsid w:val="5FA913A1"/>
    <w:rsid w:val="5FA9EF6B"/>
    <w:rsid w:val="5FBC9F6E"/>
    <w:rsid w:val="60134ACB"/>
    <w:rsid w:val="6038A4F1"/>
    <w:rsid w:val="603ED667"/>
    <w:rsid w:val="6043BE71"/>
    <w:rsid w:val="6045F5CC"/>
    <w:rsid w:val="607A2626"/>
    <w:rsid w:val="60897022"/>
    <w:rsid w:val="608B0DE0"/>
    <w:rsid w:val="608C5678"/>
    <w:rsid w:val="60A4F641"/>
    <w:rsid w:val="60B70B94"/>
    <w:rsid w:val="60C2C7C2"/>
    <w:rsid w:val="60C5C062"/>
    <w:rsid w:val="60D32D92"/>
    <w:rsid w:val="612A3DF3"/>
    <w:rsid w:val="613FAB10"/>
    <w:rsid w:val="616371E3"/>
    <w:rsid w:val="616530B0"/>
    <w:rsid w:val="61859A45"/>
    <w:rsid w:val="61AA71D1"/>
    <w:rsid w:val="61B92731"/>
    <w:rsid w:val="6215FCFB"/>
    <w:rsid w:val="62260179"/>
    <w:rsid w:val="6244F93E"/>
    <w:rsid w:val="624FBC45"/>
    <w:rsid w:val="626301F7"/>
    <w:rsid w:val="6277097D"/>
    <w:rsid w:val="628E32FF"/>
    <w:rsid w:val="6290024F"/>
    <w:rsid w:val="6290EAE8"/>
    <w:rsid w:val="6292BB69"/>
    <w:rsid w:val="62B92D45"/>
    <w:rsid w:val="62E91F24"/>
    <w:rsid w:val="62EBA868"/>
    <w:rsid w:val="6303BFAC"/>
    <w:rsid w:val="63122063"/>
    <w:rsid w:val="632C71DF"/>
    <w:rsid w:val="63323CA3"/>
    <w:rsid w:val="63465AAD"/>
    <w:rsid w:val="635B320E"/>
    <w:rsid w:val="6364B1F9"/>
    <w:rsid w:val="63A54460"/>
    <w:rsid w:val="63AFC93C"/>
    <w:rsid w:val="63B0EB92"/>
    <w:rsid w:val="63B4624F"/>
    <w:rsid w:val="63E6F0A6"/>
    <w:rsid w:val="64028119"/>
    <w:rsid w:val="641E0F5B"/>
    <w:rsid w:val="643AF6A7"/>
    <w:rsid w:val="644AE46E"/>
    <w:rsid w:val="645C3678"/>
    <w:rsid w:val="64808CCB"/>
    <w:rsid w:val="64C00BA7"/>
    <w:rsid w:val="64C94C20"/>
    <w:rsid w:val="64CB511F"/>
    <w:rsid w:val="64D4DBCF"/>
    <w:rsid w:val="64D9B97D"/>
    <w:rsid w:val="64FFA9E4"/>
    <w:rsid w:val="655CD6D4"/>
    <w:rsid w:val="6563B1E7"/>
    <w:rsid w:val="65672D57"/>
    <w:rsid w:val="65816218"/>
    <w:rsid w:val="65BB1506"/>
    <w:rsid w:val="65FDBCD8"/>
    <w:rsid w:val="661CCABF"/>
    <w:rsid w:val="662B5C71"/>
    <w:rsid w:val="664F62D6"/>
    <w:rsid w:val="6659671F"/>
    <w:rsid w:val="668B981E"/>
    <w:rsid w:val="66965574"/>
    <w:rsid w:val="6697096B"/>
    <w:rsid w:val="66B5C82E"/>
    <w:rsid w:val="66DEB295"/>
    <w:rsid w:val="66E265BB"/>
    <w:rsid w:val="6720D905"/>
    <w:rsid w:val="672694A0"/>
    <w:rsid w:val="67379928"/>
    <w:rsid w:val="677E364A"/>
    <w:rsid w:val="67A06669"/>
    <w:rsid w:val="67A30B9E"/>
    <w:rsid w:val="67AC6500"/>
    <w:rsid w:val="67B42001"/>
    <w:rsid w:val="67C5137F"/>
    <w:rsid w:val="67DAE060"/>
    <w:rsid w:val="67F3D2F2"/>
    <w:rsid w:val="68004351"/>
    <w:rsid w:val="68167594"/>
    <w:rsid w:val="6820E52E"/>
    <w:rsid w:val="6821276B"/>
    <w:rsid w:val="6842E3F0"/>
    <w:rsid w:val="684B5089"/>
    <w:rsid w:val="6859C6BA"/>
    <w:rsid w:val="68612BAC"/>
    <w:rsid w:val="6861E57B"/>
    <w:rsid w:val="6883112A"/>
    <w:rsid w:val="6896DA6F"/>
    <w:rsid w:val="68A3E12C"/>
    <w:rsid w:val="68C7EF34"/>
    <w:rsid w:val="68E05138"/>
    <w:rsid w:val="68E0DFE1"/>
    <w:rsid w:val="68FCC4EE"/>
    <w:rsid w:val="6913E317"/>
    <w:rsid w:val="6918673C"/>
    <w:rsid w:val="69231323"/>
    <w:rsid w:val="69589AF5"/>
    <w:rsid w:val="69694E69"/>
    <w:rsid w:val="69728C07"/>
    <w:rsid w:val="6979A0E3"/>
    <w:rsid w:val="69984B25"/>
    <w:rsid w:val="69995274"/>
    <w:rsid w:val="69C20584"/>
    <w:rsid w:val="69C3E320"/>
    <w:rsid w:val="69D31483"/>
    <w:rsid w:val="69D33478"/>
    <w:rsid w:val="69FFC4CD"/>
    <w:rsid w:val="69FFFCD0"/>
    <w:rsid w:val="6A20FFA0"/>
    <w:rsid w:val="6A249ECB"/>
    <w:rsid w:val="6A3DF000"/>
    <w:rsid w:val="6A61A73D"/>
    <w:rsid w:val="6A70C717"/>
    <w:rsid w:val="6A93C19D"/>
    <w:rsid w:val="6AB59509"/>
    <w:rsid w:val="6AB78F48"/>
    <w:rsid w:val="6AE11EE8"/>
    <w:rsid w:val="6AEFCA8F"/>
    <w:rsid w:val="6AF116EE"/>
    <w:rsid w:val="6AFC7FDA"/>
    <w:rsid w:val="6B1774AA"/>
    <w:rsid w:val="6B2C2674"/>
    <w:rsid w:val="6B3C727B"/>
    <w:rsid w:val="6B543AF8"/>
    <w:rsid w:val="6B54A08A"/>
    <w:rsid w:val="6B5CD941"/>
    <w:rsid w:val="6B625FF0"/>
    <w:rsid w:val="6B8D9BAA"/>
    <w:rsid w:val="6BC6AA74"/>
    <w:rsid w:val="6BE70A3A"/>
    <w:rsid w:val="6BF49A18"/>
    <w:rsid w:val="6C09F139"/>
    <w:rsid w:val="6C16B0BF"/>
    <w:rsid w:val="6C361F77"/>
    <w:rsid w:val="6C38302D"/>
    <w:rsid w:val="6C58E853"/>
    <w:rsid w:val="6C9729B9"/>
    <w:rsid w:val="6CB535F6"/>
    <w:rsid w:val="6CB8E669"/>
    <w:rsid w:val="6CBF8276"/>
    <w:rsid w:val="6CD4B0E7"/>
    <w:rsid w:val="6CD724E0"/>
    <w:rsid w:val="6CEFC73C"/>
    <w:rsid w:val="6CF7F30F"/>
    <w:rsid w:val="6CF8D54C"/>
    <w:rsid w:val="6D1F07EF"/>
    <w:rsid w:val="6D34BC7D"/>
    <w:rsid w:val="6D488346"/>
    <w:rsid w:val="6D4B332C"/>
    <w:rsid w:val="6D523F33"/>
    <w:rsid w:val="6D5ACDF6"/>
    <w:rsid w:val="6D736758"/>
    <w:rsid w:val="6D7F5FBB"/>
    <w:rsid w:val="6D8AA0D8"/>
    <w:rsid w:val="6DAA35E0"/>
    <w:rsid w:val="6DB57A4E"/>
    <w:rsid w:val="6DB93D0F"/>
    <w:rsid w:val="6DC89DBB"/>
    <w:rsid w:val="6DE6F4D2"/>
    <w:rsid w:val="6DEA11E0"/>
    <w:rsid w:val="6DF547FA"/>
    <w:rsid w:val="6E04D588"/>
    <w:rsid w:val="6E0972AC"/>
    <w:rsid w:val="6E2790EF"/>
    <w:rsid w:val="6E3496CE"/>
    <w:rsid w:val="6E3C7D3E"/>
    <w:rsid w:val="6E4CCF18"/>
    <w:rsid w:val="6E703185"/>
    <w:rsid w:val="6E803328"/>
    <w:rsid w:val="6E8D76AC"/>
    <w:rsid w:val="6E9F91EB"/>
    <w:rsid w:val="6EA4244A"/>
    <w:rsid w:val="6EA8137C"/>
    <w:rsid w:val="6EB5E9F6"/>
    <w:rsid w:val="6EBA1FD4"/>
    <w:rsid w:val="6EC35D6C"/>
    <w:rsid w:val="6EC99441"/>
    <w:rsid w:val="6ED00CFD"/>
    <w:rsid w:val="6ED46D3F"/>
    <w:rsid w:val="6EEABDDB"/>
    <w:rsid w:val="6F58975D"/>
    <w:rsid w:val="6F5EB8BA"/>
    <w:rsid w:val="6F967A26"/>
    <w:rsid w:val="6FA0CEF7"/>
    <w:rsid w:val="6FA59997"/>
    <w:rsid w:val="6FB55CE2"/>
    <w:rsid w:val="6FCB76D7"/>
    <w:rsid w:val="6FDB930A"/>
    <w:rsid w:val="6FF09CEF"/>
    <w:rsid w:val="70136B8D"/>
    <w:rsid w:val="70344AED"/>
    <w:rsid w:val="703EAE80"/>
    <w:rsid w:val="70551282"/>
    <w:rsid w:val="7062ABF7"/>
    <w:rsid w:val="706D2F2D"/>
    <w:rsid w:val="70AB7D18"/>
    <w:rsid w:val="70ABE21E"/>
    <w:rsid w:val="70BD594F"/>
    <w:rsid w:val="70D23E04"/>
    <w:rsid w:val="70D79538"/>
    <w:rsid w:val="70EE0EA3"/>
    <w:rsid w:val="70F190E9"/>
    <w:rsid w:val="70F6CCF8"/>
    <w:rsid w:val="71482538"/>
    <w:rsid w:val="71A1F5C2"/>
    <w:rsid w:val="71B536C3"/>
    <w:rsid w:val="71C7A213"/>
    <w:rsid w:val="71F02DA2"/>
    <w:rsid w:val="7203AA8C"/>
    <w:rsid w:val="720D394B"/>
    <w:rsid w:val="7219DD6D"/>
    <w:rsid w:val="7252FACE"/>
    <w:rsid w:val="72654451"/>
    <w:rsid w:val="7293ADCB"/>
    <w:rsid w:val="72ADFEB9"/>
    <w:rsid w:val="72D48460"/>
    <w:rsid w:val="72E55953"/>
    <w:rsid w:val="72ED51D8"/>
    <w:rsid w:val="72F6B6C3"/>
    <w:rsid w:val="72FF4E8E"/>
    <w:rsid w:val="7313AAED"/>
    <w:rsid w:val="73264537"/>
    <w:rsid w:val="733A03B8"/>
    <w:rsid w:val="733ABF6D"/>
    <w:rsid w:val="733ACEA0"/>
    <w:rsid w:val="7364E533"/>
    <w:rsid w:val="73664791"/>
    <w:rsid w:val="7370A59F"/>
    <w:rsid w:val="73747BC9"/>
    <w:rsid w:val="7377F322"/>
    <w:rsid w:val="737EF2F1"/>
    <w:rsid w:val="73813A10"/>
    <w:rsid w:val="7387B8F2"/>
    <w:rsid w:val="738A212C"/>
    <w:rsid w:val="739188C4"/>
    <w:rsid w:val="739AA002"/>
    <w:rsid w:val="73A099B3"/>
    <w:rsid w:val="73A70E7F"/>
    <w:rsid w:val="73AF9A79"/>
    <w:rsid w:val="73CA87D4"/>
    <w:rsid w:val="74034CFD"/>
    <w:rsid w:val="74164C25"/>
    <w:rsid w:val="743B26DE"/>
    <w:rsid w:val="74753D02"/>
    <w:rsid w:val="74D06678"/>
    <w:rsid w:val="74F009F7"/>
    <w:rsid w:val="7504740D"/>
    <w:rsid w:val="75329DDC"/>
    <w:rsid w:val="753423E9"/>
    <w:rsid w:val="7546CA9E"/>
    <w:rsid w:val="754A3823"/>
    <w:rsid w:val="756CF48A"/>
    <w:rsid w:val="75874CE2"/>
    <w:rsid w:val="75B740B7"/>
    <w:rsid w:val="75C5FA3A"/>
    <w:rsid w:val="75C69742"/>
    <w:rsid w:val="75D341F7"/>
    <w:rsid w:val="75DDC355"/>
    <w:rsid w:val="76979118"/>
    <w:rsid w:val="769F5089"/>
    <w:rsid w:val="769FC54C"/>
    <w:rsid w:val="76B15EDE"/>
    <w:rsid w:val="76BD5DB3"/>
    <w:rsid w:val="76C5362C"/>
    <w:rsid w:val="76D37DB9"/>
    <w:rsid w:val="76D7297C"/>
    <w:rsid w:val="76D8712E"/>
    <w:rsid w:val="76E3D22F"/>
    <w:rsid w:val="76F01C65"/>
    <w:rsid w:val="76F094C3"/>
    <w:rsid w:val="76F24C69"/>
    <w:rsid w:val="76FB2222"/>
    <w:rsid w:val="77176BE2"/>
    <w:rsid w:val="771F2FA3"/>
    <w:rsid w:val="772B6DE7"/>
    <w:rsid w:val="773FCF2B"/>
    <w:rsid w:val="774A5979"/>
    <w:rsid w:val="7762D414"/>
    <w:rsid w:val="77753A3A"/>
    <w:rsid w:val="778948FA"/>
    <w:rsid w:val="779A58C9"/>
    <w:rsid w:val="77AB3390"/>
    <w:rsid w:val="77B77366"/>
    <w:rsid w:val="77C60C1A"/>
    <w:rsid w:val="77D2CBBF"/>
    <w:rsid w:val="77DE9C03"/>
    <w:rsid w:val="77F20F0B"/>
    <w:rsid w:val="78355DEF"/>
    <w:rsid w:val="7839C109"/>
    <w:rsid w:val="783EBDAC"/>
    <w:rsid w:val="7864389C"/>
    <w:rsid w:val="78663522"/>
    <w:rsid w:val="787E268E"/>
    <w:rsid w:val="78C5072A"/>
    <w:rsid w:val="78E7DC76"/>
    <w:rsid w:val="791A2EDD"/>
    <w:rsid w:val="792F1ABC"/>
    <w:rsid w:val="7938BE4F"/>
    <w:rsid w:val="794DD5A2"/>
    <w:rsid w:val="796352DE"/>
    <w:rsid w:val="797D118E"/>
    <w:rsid w:val="797DD9DA"/>
    <w:rsid w:val="797E6C57"/>
    <w:rsid w:val="798123EA"/>
    <w:rsid w:val="799436C3"/>
    <w:rsid w:val="799A13A5"/>
    <w:rsid w:val="799C820B"/>
    <w:rsid w:val="79C319BE"/>
    <w:rsid w:val="79D0B796"/>
    <w:rsid w:val="79E745ED"/>
    <w:rsid w:val="7A1024F7"/>
    <w:rsid w:val="7A22832D"/>
    <w:rsid w:val="7A4634C3"/>
    <w:rsid w:val="7A49D7CA"/>
    <w:rsid w:val="7A5ADBDE"/>
    <w:rsid w:val="7A5DC9E7"/>
    <w:rsid w:val="7A6CCF48"/>
    <w:rsid w:val="7A7E7401"/>
    <w:rsid w:val="7A8A2B7F"/>
    <w:rsid w:val="7A944DFB"/>
    <w:rsid w:val="7A999324"/>
    <w:rsid w:val="7A9C22D2"/>
    <w:rsid w:val="7AC2604A"/>
    <w:rsid w:val="7AE38508"/>
    <w:rsid w:val="7AE5CFCA"/>
    <w:rsid w:val="7AF072FC"/>
    <w:rsid w:val="7AF255DF"/>
    <w:rsid w:val="7B241677"/>
    <w:rsid w:val="7B436B43"/>
    <w:rsid w:val="7B7673A2"/>
    <w:rsid w:val="7B8265B2"/>
    <w:rsid w:val="7B8D1B90"/>
    <w:rsid w:val="7BA3BAAF"/>
    <w:rsid w:val="7BB9FDCF"/>
    <w:rsid w:val="7BDFAE5B"/>
    <w:rsid w:val="7C396B1A"/>
    <w:rsid w:val="7C3E9796"/>
    <w:rsid w:val="7C698525"/>
    <w:rsid w:val="7C7B4FC4"/>
    <w:rsid w:val="7C8013E5"/>
    <w:rsid w:val="7C8AEE8A"/>
    <w:rsid w:val="7C921A95"/>
    <w:rsid w:val="7C9FA314"/>
    <w:rsid w:val="7CABB625"/>
    <w:rsid w:val="7CAF7EBC"/>
    <w:rsid w:val="7CC411C1"/>
    <w:rsid w:val="7CC51E29"/>
    <w:rsid w:val="7CC7109B"/>
    <w:rsid w:val="7CD1F15C"/>
    <w:rsid w:val="7CD3D68B"/>
    <w:rsid w:val="7CE436BD"/>
    <w:rsid w:val="7CFBF5C4"/>
    <w:rsid w:val="7D171441"/>
    <w:rsid w:val="7D3BD201"/>
    <w:rsid w:val="7D4BD213"/>
    <w:rsid w:val="7D77E066"/>
    <w:rsid w:val="7D8B4578"/>
    <w:rsid w:val="7DA03E86"/>
    <w:rsid w:val="7DAB68AA"/>
    <w:rsid w:val="7DBA4AC5"/>
    <w:rsid w:val="7DC06932"/>
    <w:rsid w:val="7DC338D4"/>
    <w:rsid w:val="7DC56F33"/>
    <w:rsid w:val="7DE6A448"/>
    <w:rsid w:val="7DEFD90F"/>
    <w:rsid w:val="7DF0369F"/>
    <w:rsid w:val="7DF5AB16"/>
    <w:rsid w:val="7DF62DE7"/>
    <w:rsid w:val="7DFCB408"/>
    <w:rsid w:val="7E0BC475"/>
    <w:rsid w:val="7E3D9609"/>
    <w:rsid w:val="7E3F8A74"/>
    <w:rsid w:val="7E632617"/>
    <w:rsid w:val="7E7234DF"/>
    <w:rsid w:val="7E74EFC2"/>
    <w:rsid w:val="7E7A6DDA"/>
    <w:rsid w:val="7E7A86E2"/>
    <w:rsid w:val="7E90485F"/>
    <w:rsid w:val="7E934C16"/>
    <w:rsid w:val="7E98E31A"/>
    <w:rsid w:val="7EADA462"/>
    <w:rsid w:val="7EC1893A"/>
    <w:rsid w:val="7EEB66A2"/>
    <w:rsid w:val="7EEF050E"/>
    <w:rsid w:val="7EFB7252"/>
    <w:rsid w:val="7EFBD886"/>
    <w:rsid w:val="7F147D94"/>
    <w:rsid w:val="7F2E6789"/>
    <w:rsid w:val="7F438F70"/>
    <w:rsid w:val="7F4D0FC7"/>
    <w:rsid w:val="7F5FCF61"/>
    <w:rsid w:val="7F6CAB00"/>
    <w:rsid w:val="7F746A4D"/>
    <w:rsid w:val="7F80B3C2"/>
    <w:rsid w:val="7F9F41EA"/>
    <w:rsid w:val="7FA4FC3E"/>
    <w:rsid w:val="7FC9E707"/>
    <w:rsid w:val="7FE58615"/>
    <w:rsid w:val="7FEDB8F7"/>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7E2C"/>
  <w15:chartTrackingRefBased/>
  <w15:docId w15:val="{5FEE583C-AD2C-4989-A6D2-8AEF50A2A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00A"/>
    <w:pPr>
      <w:jc w:val="both"/>
    </w:pPr>
    <w:rPr>
      <w:rFonts w:ascii="Calibri" w:hAnsi="Calibri"/>
      <w:sz w:val="22"/>
    </w:rPr>
  </w:style>
  <w:style w:type="paragraph" w:styleId="Titre1">
    <w:name w:val="heading 1"/>
    <w:basedOn w:val="Normal"/>
    <w:next w:val="Normal"/>
    <w:link w:val="Titre1Car"/>
    <w:uiPriority w:val="9"/>
    <w:qFormat/>
    <w:rsid w:val="002357D8"/>
    <w:pPr>
      <w:keepNext/>
      <w:keepLines/>
      <w:spacing w:before="360" w:after="80"/>
      <w:outlineLvl w:val="0"/>
    </w:pPr>
    <w:rPr>
      <w:rFonts w:eastAsiaTheme="majorEastAsia" w:cstheme="majorBidi"/>
      <w:b/>
      <w:color w:val="9BA823"/>
      <w:sz w:val="40"/>
      <w:szCs w:val="40"/>
    </w:rPr>
  </w:style>
  <w:style w:type="paragraph" w:styleId="Titre2">
    <w:name w:val="heading 2"/>
    <w:basedOn w:val="Normal"/>
    <w:next w:val="Normal"/>
    <w:link w:val="Titre2Car"/>
    <w:uiPriority w:val="9"/>
    <w:unhideWhenUsed/>
    <w:qFormat/>
    <w:rsid w:val="002357D8"/>
    <w:pPr>
      <w:keepNext/>
      <w:keepLines/>
      <w:spacing w:before="160" w:after="80"/>
      <w:outlineLvl w:val="1"/>
    </w:pPr>
    <w:rPr>
      <w:rFonts w:eastAsiaTheme="majorEastAsia" w:cstheme="majorBidi"/>
      <w:color w:val="9BA823"/>
      <w:sz w:val="32"/>
      <w:szCs w:val="32"/>
    </w:rPr>
  </w:style>
  <w:style w:type="paragraph" w:styleId="Titre3">
    <w:name w:val="heading 3"/>
    <w:basedOn w:val="Normal"/>
    <w:next w:val="Normal"/>
    <w:link w:val="Titre3Car"/>
    <w:uiPriority w:val="9"/>
    <w:unhideWhenUsed/>
    <w:qFormat/>
    <w:rsid w:val="002357D8"/>
    <w:pPr>
      <w:keepNext/>
      <w:keepLines/>
      <w:spacing w:before="160" w:after="80"/>
      <w:outlineLvl w:val="2"/>
    </w:pPr>
    <w:rPr>
      <w:rFonts w:eastAsiaTheme="majorEastAsia" w:cstheme="majorBidi"/>
      <w:color w:val="9BA823"/>
      <w:sz w:val="28"/>
      <w:szCs w:val="28"/>
    </w:rPr>
  </w:style>
  <w:style w:type="paragraph" w:styleId="Titre4">
    <w:name w:val="heading 4"/>
    <w:basedOn w:val="Normal"/>
    <w:next w:val="Normal"/>
    <w:link w:val="Titre4Car"/>
    <w:uiPriority w:val="9"/>
    <w:unhideWhenUsed/>
    <w:qFormat/>
    <w:rsid w:val="0041317D"/>
    <w:pPr>
      <w:keepNext/>
      <w:keepLines/>
      <w:numPr>
        <w:ilvl w:val="3"/>
        <w:numId w:val="8"/>
      </w:numPr>
      <w:spacing w:before="80" w:after="40"/>
      <w:outlineLvl w:val="3"/>
    </w:pPr>
    <w:rPr>
      <w:rFonts w:eastAsiaTheme="majorEastAsia" w:cstheme="majorBidi"/>
      <w:b/>
      <w:iCs/>
      <w:color w:val="000000" w:themeColor="text1"/>
    </w:rPr>
  </w:style>
  <w:style w:type="paragraph" w:styleId="Titre5">
    <w:name w:val="heading 5"/>
    <w:basedOn w:val="Normal"/>
    <w:next w:val="Normal"/>
    <w:link w:val="Titre5Car"/>
    <w:uiPriority w:val="9"/>
    <w:unhideWhenUsed/>
    <w:qFormat/>
    <w:rsid w:val="007D314D"/>
    <w:pPr>
      <w:keepNext/>
      <w:keepLines/>
      <w:numPr>
        <w:ilvl w:val="4"/>
        <w:numId w:val="8"/>
      </w:numPr>
      <w:spacing w:before="80" w:after="40"/>
      <w:ind w:left="360"/>
      <w:jc w:val="left"/>
      <w:outlineLvl w:val="4"/>
    </w:pPr>
    <w:rPr>
      <w:rFonts w:eastAsiaTheme="majorEastAsia" w:cstheme="majorBidi"/>
      <w:u w:val="single"/>
    </w:rPr>
  </w:style>
  <w:style w:type="paragraph" w:styleId="Titre6">
    <w:name w:val="heading 6"/>
    <w:basedOn w:val="Normal"/>
    <w:next w:val="Normal"/>
    <w:link w:val="Titre6Car"/>
    <w:uiPriority w:val="9"/>
    <w:unhideWhenUsed/>
    <w:qFormat/>
    <w:rsid w:val="005120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20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20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20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0AA3"/>
    <w:rPr>
      <w:rFonts w:ascii="Calibri" w:eastAsiaTheme="majorEastAsia" w:hAnsi="Calibri" w:cstheme="majorBidi"/>
      <w:b/>
      <w:color w:val="9BA823"/>
      <w:sz w:val="40"/>
      <w:szCs w:val="40"/>
    </w:rPr>
  </w:style>
  <w:style w:type="character" w:customStyle="1" w:styleId="Titre2Car">
    <w:name w:val="Titre 2 Car"/>
    <w:basedOn w:val="Policepardfaut"/>
    <w:link w:val="Titre2"/>
    <w:uiPriority w:val="9"/>
    <w:rsid w:val="00831F97"/>
    <w:rPr>
      <w:rFonts w:ascii="Calibri" w:eastAsiaTheme="majorEastAsia" w:hAnsi="Calibri" w:cstheme="majorBidi"/>
      <w:color w:val="9BA823"/>
      <w:sz w:val="32"/>
      <w:szCs w:val="32"/>
    </w:rPr>
  </w:style>
  <w:style w:type="character" w:customStyle="1" w:styleId="Titre3Car">
    <w:name w:val="Titre 3 Car"/>
    <w:basedOn w:val="Policepardfaut"/>
    <w:link w:val="Titre3"/>
    <w:uiPriority w:val="9"/>
    <w:rsid w:val="00E067EE"/>
    <w:rPr>
      <w:rFonts w:ascii="Calibri" w:eastAsiaTheme="majorEastAsia" w:hAnsi="Calibri" w:cstheme="majorBidi"/>
      <w:color w:val="9BA823"/>
      <w:sz w:val="28"/>
      <w:szCs w:val="28"/>
    </w:rPr>
  </w:style>
  <w:style w:type="character" w:customStyle="1" w:styleId="Titre4Car">
    <w:name w:val="Titre 4 Car"/>
    <w:basedOn w:val="Policepardfaut"/>
    <w:link w:val="Titre4"/>
    <w:uiPriority w:val="9"/>
    <w:rsid w:val="0041317D"/>
    <w:rPr>
      <w:rFonts w:ascii="Calibri" w:eastAsiaTheme="majorEastAsia" w:hAnsi="Calibri" w:cstheme="majorBidi"/>
      <w:b/>
      <w:iCs/>
      <w:color w:val="000000" w:themeColor="text1"/>
      <w:sz w:val="22"/>
    </w:rPr>
  </w:style>
  <w:style w:type="character" w:customStyle="1" w:styleId="Titre5Car">
    <w:name w:val="Titre 5 Car"/>
    <w:basedOn w:val="Policepardfaut"/>
    <w:link w:val="Titre5"/>
    <w:uiPriority w:val="9"/>
    <w:rsid w:val="007D314D"/>
    <w:rPr>
      <w:rFonts w:ascii="Calibri" w:eastAsiaTheme="majorEastAsia" w:hAnsi="Calibri" w:cstheme="majorBidi"/>
      <w:sz w:val="22"/>
      <w:u w:val="single"/>
    </w:rPr>
  </w:style>
  <w:style w:type="character" w:customStyle="1" w:styleId="Titre6Car">
    <w:name w:val="Titre 6 Car"/>
    <w:basedOn w:val="Policepardfaut"/>
    <w:link w:val="Titre6"/>
    <w:uiPriority w:val="9"/>
    <w:rsid w:val="005120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20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20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203A"/>
    <w:rPr>
      <w:rFonts w:eastAsiaTheme="majorEastAsia" w:cstheme="majorBidi"/>
      <w:color w:val="272727" w:themeColor="text1" w:themeTint="D8"/>
    </w:rPr>
  </w:style>
  <w:style w:type="paragraph" w:styleId="Titre">
    <w:name w:val="Title"/>
    <w:basedOn w:val="Normal"/>
    <w:next w:val="Normal"/>
    <w:link w:val="TitreCar"/>
    <w:uiPriority w:val="10"/>
    <w:qFormat/>
    <w:rsid w:val="0051203A"/>
    <w:pPr>
      <w:spacing w:after="80" w:line="240" w:lineRule="auto"/>
      <w:contextualSpacing/>
    </w:pPr>
    <w:rPr>
      <w:rFonts w:asciiTheme="majorHAnsi" w:eastAsiaTheme="majorEastAsia" w:hAnsiTheme="majorHAnsi" w:cstheme="majorBidi"/>
      <w:color w:val="9BA823"/>
      <w:spacing w:val="-10"/>
      <w:kern w:val="28"/>
      <w:sz w:val="56"/>
      <w:szCs w:val="56"/>
    </w:rPr>
  </w:style>
  <w:style w:type="character" w:customStyle="1" w:styleId="TitreCar">
    <w:name w:val="Titre Car"/>
    <w:basedOn w:val="Policepardfaut"/>
    <w:link w:val="Titre"/>
    <w:uiPriority w:val="10"/>
    <w:rsid w:val="0051203A"/>
    <w:rPr>
      <w:rFonts w:asciiTheme="majorHAnsi" w:eastAsiaTheme="majorEastAsia" w:hAnsiTheme="majorHAnsi" w:cstheme="majorBidi"/>
      <w:color w:val="9BA823"/>
      <w:spacing w:val="-10"/>
      <w:kern w:val="28"/>
      <w:sz w:val="56"/>
      <w:szCs w:val="56"/>
    </w:rPr>
  </w:style>
  <w:style w:type="paragraph" w:styleId="Sous-titre">
    <w:name w:val="Subtitle"/>
    <w:basedOn w:val="Normal"/>
    <w:next w:val="Normal"/>
    <w:link w:val="Sous-titreCar"/>
    <w:uiPriority w:val="11"/>
    <w:qFormat/>
    <w:rsid w:val="005120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20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203A"/>
    <w:pPr>
      <w:spacing w:before="160"/>
      <w:jc w:val="center"/>
    </w:pPr>
    <w:rPr>
      <w:i/>
      <w:iCs/>
      <w:color w:val="404040" w:themeColor="text1" w:themeTint="BF"/>
    </w:rPr>
  </w:style>
  <w:style w:type="character" w:customStyle="1" w:styleId="CitationCar">
    <w:name w:val="Citation Car"/>
    <w:basedOn w:val="Policepardfaut"/>
    <w:link w:val="Citation"/>
    <w:uiPriority w:val="29"/>
    <w:rsid w:val="0051203A"/>
    <w:rPr>
      <w:i/>
      <w:iCs/>
      <w:color w:val="404040" w:themeColor="text1" w:themeTint="BF"/>
    </w:rPr>
  </w:style>
  <w:style w:type="paragraph" w:styleId="Paragraphedeliste">
    <w:name w:val="List Paragraph"/>
    <w:basedOn w:val="Normal"/>
    <w:uiPriority w:val="34"/>
    <w:qFormat/>
    <w:rsid w:val="00D91BA2"/>
    <w:pPr>
      <w:ind w:left="720"/>
      <w:contextualSpacing/>
    </w:pPr>
  </w:style>
  <w:style w:type="character" w:styleId="Accentuationintense">
    <w:name w:val="Intense Emphasis"/>
    <w:basedOn w:val="Policepardfaut"/>
    <w:uiPriority w:val="21"/>
    <w:qFormat/>
    <w:rsid w:val="0051203A"/>
    <w:rPr>
      <w:i/>
      <w:iCs/>
      <w:color w:val="0F4761" w:themeColor="accent1" w:themeShade="BF"/>
    </w:rPr>
  </w:style>
  <w:style w:type="paragraph" w:styleId="Citationintense">
    <w:name w:val="Intense Quote"/>
    <w:basedOn w:val="Normal"/>
    <w:next w:val="Normal"/>
    <w:link w:val="CitationintenseCar"/>
    <w:uiPriority w:val="30"/>
    <w:qFormat/>
    <w:rsid w:val="00512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203A"/>
    <w:rPr>
      <w:i/>
      <w:iCs/>
      <w:color w:val="0F4761" w:themeColor="accent1" w:themeShade="BF"/>
    </w:rPr>
  </w:style>
  <w:style w:type="character" w:styleId="Rfrenceintense">
    <w:name w:val="Intense Reference"/>
    <w:basedOn w:val="Policepardfaut"/>
    <w:uiPriority w:val="32"/>
    <w:qFormat/>
    <w:rsid w:val="0051203A"/>
    <w:rPr>
      <w:b/>
      <w:bCs/>
      <w:smallCaps/>
      <w:color w:val="0F4761" w:themeColor="accent1" w:themeShade="BF"/>
      <w:spacing w:val="5"/>
    </w:rPr>
  </w:style>
  <w:style w:type="table" w:styleId="Grilledutableau">
    <w:name w:val="Table Grid"/>
    <w:basedOn w:val="TableauNormal"/>
    <w:uiPriority w:val="39"/>
    <w:rsid w:val="00512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1203A"/>
    <w:pPr>
      <w:tabs>
        <w:tab w:val="center" w:pos="4536"/>
        <w:tab w:val="right" w:pos="9072"/>
      </w:tabs>
      <w:spacing w:after="0" w:line="240" w:lineRule="auto"/>
    </w:pPr>
  </w:style>
  <w:style w:type="character" w:customStyle="1" w:styleId="En-tteCar">
    <w:name w:val="En-tête Car"/>
    <w:basedOn w:val="Policepardfaut"/>
    <w:link w:val="En-tte"/>
    <w:uiPriority w:val="99"/>
    <w:rsid w:val="0051203A"/>
  </w:style>
  <w:style w:type="paragraph" w:styleId="Pieddepage">
    <w:name w:val="footer"/>
    <w:basedOn w:val="Normal"/>
    <w:link w:val="PieddepageCar"/>
    <w:uiPriority w:val="99"/>
    <w:unhideWhenUsed/>
    <w:rsid w:val="005120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1203A"/>
  </w:style>
  <w:style w:type="paragraph" w:customStyle="1" w:styleId="Affiliation">
    <w:name w:val="Affiliation"/>
    <w:basedOn w:val="Normal"/>
    <w:link w:val="AffiliationChar"/>
    <w:qFormat/>
    <w:rsid w:val="002D6A5D"/>
    <w:pPr>
      <w:spacing w:before="120" w:after="0" w:line="240" w:lineRule="auto"/>
      <w:contextualSpacing/>
    </w:pPr>
    <w:rPr>
      <w:rFonts w:ascii="Times New Roman" w:eastAsia="Times New Roman" w:hAnsi="Times New Roman" w:cs="Times New Roman"/>
      <w:kern w:val="0"/>
      <w:sz w:val="20"/>
      <w:lang w:val="en-GB" w:eastAsia="de-DE"/>
      <w14:ligatures w14:val="none"/>
    </w:rPr>
  </w:style>
  <w:style w:type="character" w:customStyle="1" w:styleId="AffiliationChar">
    <w:name w:val="Affiliation Char"/>
    <w:basedOn w:val="Policepardfaut"/>
    <w:link w:val="Affiliation"/>
    <w:rsid w:val="002D6A5D"/>
    <w:rPr>
      <w:rFonts w:ascii="Times New Roman" w:eastAsia="Times New Roman" w:hAnsi="Times New Roman" w:cs="Times New Roman"/>
      <w:kern w:val="0"/>
      <w:sz w:val="20"/>
      <w:lang w:val="en-GB" w:eastAsia="de-DE"/>
      <w14:ligatures w14:val="none"/>
    </w:rPr>
  </w:style>
  <w:style w:type="paragraph" w:customStyle="1" w:styleId="Authors">
    <w:name w:val="Authors"/>
    <w:basedOn w:val="Normal"/>
    <w:link w:val="AuthorsChar"/>
    <w:qFormat/>
    <w:rsid w:val="002D6A5D"/>
    <w:pPr>
      <w:spacing w:before="180" w:after="0" w:line="240" w:lineRule="auto"/>
      <w:contextualSpacing/>
    </w:pPr>
    <w:rPr>
      <w:rFonts w:ascii="Times New Roman" w:eastAsia="Times New Roman" w:hAnsi="Times New Roman" w:cs="Times New Roman"/>
      <w:kern w:val="0"/>
      <w:lang w:val="en-GB" w:eastAsia="de-DE"/>
      <w14:ligatures w14:val="none"/>
    </w:rPr>
  </w:style>
  <w:style w:type="character" w:customStyle="1" w:styleId="AuthorsChar">
    <w:name w:val="Authors Char"/>
    <w:basedOn w:val="Policepardfaut"/>
    <w:link w:val="Authors"/>
    <w:rsid w:val="002D6A5D"/>
    <w:rPr>
      <w:rFonts w:ascii="Times New Roman" w:eastAsia="Times New Roman" w:hAnsi="Times New Roman" w:cs="Times New Roman"/>
      <w:kern w:val="0"/>
      <w:lang w:val="en-GB" w:eastAsia="de-DE"/>
      <w14:ligatures w14:val="none"/>
    </w:rPr>
  </w:style>
  <w:style w:type="character" w:styleId="Lienhypertexte">
    <w:name w:val="Hyperlink"/>
    <w:basedOn w:val="Policepardfaut"/>
    <w:uiPriority w:val="99"/>
    <w:unhideWhenUsed/>
    <w:rsid w:val="00EA039B"/>
    <w:rPr>
      <w:color w:val="467886" w:themeColor="hyperlink"/>
      <w:u w:val="single"/>
    </w:rPr>
  </w:style>
  <w:style w:type="character" w:styleId="Mentionnonrsolue">
    <w:name w:val="Unresolved Mention"/>
    <w:basedOn w:val="Policepardfaut"/>
    <w:uiPriority w:val="99"/>
    <w:semiHidden/>
    <w:unhideWhenUsed/>
    <w:rsid w:val="00EA039B"/>
    <w:rPr>
      <w:color w:val="605E5C"/>
      <w:shd w:val="clear" w:color="auto" w:fill="E1DFDD"/>
    </w:rPr>
  </w:style>
  <w:style w:type="paragraph" w:styleId="En-ttedetabledesmatires">
    <w:name w:val="TOC Heading"/>
    <w:basedOn w:val="Titre1"/>
    <w:next w:val="Normal"/>
    <w:uiPriority w:val="39"/>
    <w:unhideWhenUsed/>
    <w:qFormat/>
    <w:rsid w:val="006A6B8E"/>
    <w:pPr>
      <w:spacing w:before="240" w:after="0" w:line="259" w:lineRule="auto"/>
      <w:outlineLvl w:val="9"/>
    </w:pPr>
    <w:rPr>
      <w:b w:val="0"/>
      <w:color w:val="0F4761" w:themeColor="accent1" w:themeShade="BF"/>
      <w:kern w:val="0"/>
      <w:sz w:val="32"/>
      <w:szCs w:val="32"/>
      <w:lang w:eastAsia="fr-BE"/>
      <w14:ligatures w14:val="none"/>
    </w:rPr>
  </w:style>
  <w:style w:type="paragraph" w:styleId="TM1">
    <w:name w:val="toc 1"/>
    <w:basedOn w:val="Normal"/>
    <w:next w:val="Normal"/>
    <w:autoRedefine/>
    <w:uiPriority w:val="39"/>
    <w:unhideWhenUsed/>
    <w:rsid w:val="002948EB"/>
    <w:pPr>
      <w:spacing w:after="100"/>
    </w:pPr>
  </w:style>
  <w:style w:type="paragraph" w:styleId="TM3">
    <w:name w:val="toc 3"/>
    <w:basedOn w:val="Normal"/>
    <w:next w:val="Normal"/>
    <w:autoRedefine/>
    <w:uiPriority w:val="39"/>
    <w:unhideWhenUsed/>
    <w:rsid w:val="002948EB"/>
    <w:pPr>
      <w:spacing w:after="100"/>
      <w:ind w:left="480"/>
    </w:pPr>
  </w:style>
  <w:style w:type="paragraph" w:styleId="TM2">
    <w:name w:val="toc 2"/>
    <w:basedOn w:val="Normal"/>
    <w:next w:val="Normal"/>
    <w:autoRedefine/>
    <w:uiPriority w:val="39"/>
    <w:unhideWhenUsed/>
    <w:rsid w:val="003869F4"/>
    <w:pPr>
      <w:spacing w:after="100"/>
      <w:ind w:left="240"/>
    </w:pPr>
  </w:style>
  <w:style w:type="paragraph" w:styleId="Notedebasdepage">
    <w:name w:val="footnote text"/>
    <w:basedOn w:val="Normal"/>
    <w:link w:val="NotedebasdepageCar"/>
    <w:uiPriority w:val="99"/>
    <w:semiHidden/>
    <w:unhideWhenUsed/>
    <w:rsid w:val="000937C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937CF"/>
    <w:rPr>
      <w:rFonts w:ascii="Calibri" w:hAnsi="Calibri"/>
      <w:sz w:val="20"/>
      <w:szCs w:val="20"/>
    </w:rPr>
  </w:style>
  <w:style w:type="character" w:styleId="Appelnotedebasdep">
    <w:name w:val="footnote reference"/>
    <w:basedOn w:val="Policepardfaut"/>
    <w:uiPriority w:val="99"/>
    <w:semiHidden/>
    <w:unhideWhenUsed/>
    <w:rsid w:val="000937CF"/>
    <w:rPr>
      <w:vertAlign w:val="superscript"/>
    </w:rPr>
  </w:style>
  <w:style w:type="character" w:styleId="Lienhypertextesuivivisit">
    <w:name w:val="FollowedHyperlink"/>
    <w:basedOn w:val="Policepardfaut"/>
    <w:uiPriority w:val="99"/>
    <w:semiHidden/>
    <w:unhideWhenUsed/>
    <w:rsid w:val="00196FAF"/>
    <w:rPr>
      <w:color w:val="96607D" w:themeColor="followedHyperlink"/>
      <w:u w:val="single"/>
    </w:rPr>
  </w:style>
  <w:style w:type="paragraph" w:styleId="Lgende">
    <w:name w:val="caption"/>
    <w:basedOn w:val="Normal"/>
    <w:next w:val="Normal"/>
    <w:uiPriority w:val="35"/>
    <w:unhideWhenUsed/>
    <w:qFormat/>
    <w:rsid w:val="00B11112"/>
    <w:pPr>
      <w:spacing w:after="200" w:line="240" w:lineRule="auto"/>
    </w:pPr>
    <w:rPr>
      <w:i/>
      <w:iCs/>
      <w:color w:val="0E2841" w:themeColor="text2"/>
      <w:sz w:val="18"/>
      <w:szCs w:val="18"/>
    </w:rPr>
  </w:style>
  <w:style w:type="character" w:styleId="Marquedecommentaire">
    <w:name w:val="annotation reference"/>
    <w:basedOn w:val="Policepardfaut"/>
    <w:uiPriority w:val="99"/>
    <w:semiHidden/>
    <w:unhideWhenUsed/>
    <w:rsid w:val="008E6434"/>
    <w:rPr>
      <w:sz w:val="16"/>
      <w:szCs w:val="16"/>
    </w:rPr>
  </w:style>
  <w:style w:type="paragraph" w:styleId="Commentaire">
    <w:name w:val="annotation text"/>
    <w:basedOn w:val="Normal"/>
    <w:link w:val="CommentaireCar"/>
    <w:uiPriority w:val="99"/>
    <w:unhideWhenUsed/>
    <w:rsid w:val="008E6434"/>
    <w:pPr>
      <w:spacing w:line="240" w:lineRule="auto"/>
    </w:pPr>
    <w:rPr>
      <w:sz w:val="20"/>
      <w:szCs w:val="20"/>
    </w:rPr>
  </w:style>
  <w:style w:type="character" w:customStyle="1" w:styleId="CommentaireCar">
    <w:name w:val="Commentaire Car"/>
    <w:basedOn w:val="Policepardfaut"/>
    <w:link w:val="Commentaire"/>
    <w:uiPriority w:val="99"/>
    <w:rsid w:val="008E6434"/>
    <w:rPr>
      <w:rFonts w:ascii="Calibri" w:hAnsi="Calibri"/>
      <w:sz w:val="20"/>
      <w:szCs w:val="20"/>
    </w:rPr>
  </w:style>
  <w:style w:type="paragraph" w:styleId="Objetducommentaire">
    <w:name w:val="annotation subject"/>
    <w:basedOn w:val="Commentaire"/>
    <w:next w:val="Commentaire"/>
    <w:link w:val="ObjetducommentaireCar"/>
    <w:uiPriority w:val="99"/>
    <w:semiHidden/>
    <w:unhideWhenUsed/>
    <w:rsid w:val="008E6434"/>
    <w:rPr>
      <w:b/>
      <w:bCs/>
    </w:rPr>
  </w:style>
  <w:style w:type="character" w:customStyle="1" w:styleId="ObjetducommentaireCar">
    <w:name w:val="Objet du commentaire Car"/>
    <w:basedOn w:val="CommentaireCar"/>
    <w:link w:val="Objetducommentaire"/>
    <w:uiPriority w:val="99"/>
    <w:semiHidden/>
    <w:rsid w:val="008E6434"/>
    <w:rPr>
      <w:rFonts w:ascii="Calibri" w:hAnsi="Calibri"/>
      <w:b/>
      <w:bCs/>
      <w:sz w:val="20"/>
      <w:szCs w:val="20"/>
    </w:rPr>
  </w:style>
  <w:style w:type="paragraph" w:styleId="TM4">
    <w:name w:val="toc 4"/>
    <w:basedOn w:val="Normal"/>
    <w:next w:val="Normal"/>
    <w:autoRedefine/>
    <w:uiPriority w:val="39"/>
    <w:unhideWhenUsed/>
    <w:rsid w:val="00130055"/>
    <w:pPr>
      <w:spacing w:after="100"/>
      <w:ind w:left="660"/>
    </w:pPr>
  </w:style>
  <w:style w:type="paragraph" w:styleId="TM5">
    <w:name w:val="toc 5"/>
    <w:basedOn w:val="Normal"/>
    <w:next w:val="Normal"/>
    <w:autoRedefine/>
    <w:uiPriority w:val="39"/>
    <w:unhideWhenUsed/>
    <w:rsid w:val="00130055"/>
    <w:pPr>
      <w:spacing w:after="100"/>
      <w:ind w:left="880"/>
    </w:pPr>
  </w:style>
  <w:style w:type="paragraph" w:styleId="TM6">
    <w:name w:val="toc 6"/>
    <w:basedOn w:val="Normal"/>
    <w:next w:val="Normal"/>
    <w:autoRedefine/>
    <w:uiPriority w:val="39"/>
    <w:unhideWhenUsed/>
    <w:rsid w:val="008C1DA4"/>
    <w:pPr>
      <w:spacing w:after="100"/>
      <w:ind w:left="1200"/>
      <w:jc w:val="left"/>
    </w:pPr>
    <w:rPr>
      <w:rFonts w:asciiTheme="minorHAnsi" w:eastAsiaTheme="minorEastAsia" w:hAnsiTheme="minorHAnsi"/>
      <w:sz w:val="24"/>
      <w:lang w:eastAsia="fr-BE"/>
    </w:rPr>
  </w:style>
  <w:style w:type="paragraph" w:styleId="TM7">
    <w:name w:val="toc 7"/>
    <w:basedOn w:val="Normal"/>
    <w:next w:val="Normal"/>
    <w:autoRedefine/>
    <w:uiPriority w:val="39"/>
    <w:unhideWhenUsed/>
    <w:rsid w:val="008C1DA4"/>
    <w:pPr>
      <w:spacing w:after="100"/>
      <w:ind w:left="1440"/>
      <w:jc w:val="left"/>
    </w:pPr>
    <w:rPr>
      <w:rFonts w:asciiTheme="minorHAnsi" w:eastAsiaTheme="minorEastAsia" w:hAnsiTheme="minorHAnsi"/>
      <w:sz w:val="24"/>
      <w:lang w:eastAsia="fr-BE"/>
    </w:rPr>
  </w:style>
  <w:style w:type="paragraph" w:styleId="TM8">
    <w:name w:val="toc 8"/>
    <w:basedOn w:val="Normal"/>
    <w:next w:val="Normal"/>
    <w:autoRedefine/>
    <w:uiPriority w:val="39"/>
    <w:unhideWhenUsed/>
    <w:rsid w:val="008C1DA4"/>
    <w:pPr>
      <w:spacing w:after="100"/>
      <w:ind w:left="1680"/>
      <w:jc w:val="left"/>
    </w:pPr>
    <w:rPr>
      <w:rFonts w:asciiTheme="minorHAnsi" w:eastAsiaTheme="minorEastAsia" w:hAnsiTheme="minorHAnsi"/>
      <w:sz w:val="24"/>
      <w:lang w:eastAsia="fr-BE"/>
    </w:rPr>
  </w:style>
  <w:style w:type="paragraph" w:styleId="TM9">
    <w:name w:val="toc 9"/>
    <w:basedOn w:val="Normal"/>
    <w:next w:val="Normal"/>
    <w:autoRedefine/>
    <w:uiPriority w:val="39"/>
    <w:unhideWhenUsed/>
    <w:rsid w:val="008C1DA4"/>
    <w:pPr>
      <w:spacing w:after="100"/>
      <w:ind w:left="1920"/>
      <w:jc w:val="left"/>
    </w:pPr>
    <w:rPr>
      <w:rFonts w:asciiTheme="minorHAnsi" w:eastAsiaTheme="minorEastAsia" w:hAnsiTheme="minorHAnsi"/>
      <w:sz w:val="24"/>
      <w:lang w:eastAsia="fr-BE"/>
    </w:rPr>
  </w:style>
  <w:style w:type="paragraph" w:styleId="Bibliographie">
    <w:name w:val="Bibliography"/>
    <w:basedOn w:val="Normal"/>
    <w:next w:val="Normal"/>
    <w:uiPriority w:val="37"/>
    <w:unhideWhenUsed/>
    <w:rsid w:val="00831C0D"/>
    <w:pPr>
      <w:spacing w:after="0" w:line="480" w:lineRule="auto"/>
      <w:ind w:left="720" w:hanging="720"/>
    </w:pPr>
  </w:style>
  <w:style w:type="paragraph" w:customStyle="1" w:styleId="Default">
    <w:name w:val="Default"/>
    <w:rsid w:val="00BA6FB6"/>
    <w:pPr>
      <w:autoSpaceDE w:val="0"/>
      <w:autoSpaceDN w:val="0"/>
      <w:adjustRightInd w:val="0"/>
      <w:spacing w:after="0" w:line="240" w:lineRule="auto"/>
    </w:pPr>
    <w:rPr>
      <w:rFonts w:ascii="Calibri" w:hAnsi="Calibri" w:cs="Calibri"/>
      <w:color w:val="000000"/>
      <w:kern w:val="0"/>
    </w:rPr>
  </w:style>
  <w:style w:type="character" w:styleId="Appeldenotedefin">
    <w:name w:val="endnote reference"/>
    <w:basedOn w:val="Policepardfaut"/>
    <w:uiPriority w:val="99"/>
    <w:semiHidden/>
    <w:unhideWhenUsed/>
    <w:rsid w:val="002D7839"/>
    <w:rPr>
      <w:vertAlign w:val="superscript"/>
    </w:rPr>
  </w:style>
  <w:style w:type="numbering" w:customStyle="1" w:styleId="Listeactuelle1">
    <w:name w:val="Liste actuelle1"/>
    <w:uiPriority w:val="99"/>
    <w:rsid w:val="00BA20CA"/>
    <w:pPr>
      <w:numPr>
        <w:numId w:val="11"/>
      </w:numPr>
    </w:pPr>
  </w:style>
  <w:style w:type="paragraph" w:styleId="NormalWeb">
    <w:name w:val="Normal (Web)"/>
    <w:basedOn w:val="Normal"/>
    <w:uiPriority w:val="99"/>
    <w:semiHidden/>
    <w:unhideWhenUsed/>
    <w:rsid w:val="00C82D0E"/>
    <w:pPr>
      <w:spacing w:before="100" w:beforeAutospacing="1" w:after="100" w:afterAutospacing="1" w:line="240" w:lineRule="auto"/>
      <w:jc w:val="left"/>
    </w:pPr>
    <w:rPr>
      <w:rFonts w:ascii="Times New Roman" w:eastAsia="Times New Roman" w:hAnsi="Times New Roman" w:cs="Times New Roman"/>
      <w:kern w:val="0"/>
      <w:sz w:val="24"/>
      <w:lang w:eastAsia="fr-BE"/>
      <w14:ligatures w14:val="none"/>
    </w:rPr>
  </w:style>
  <w:style w:type="character" w:styleId="Textedelespacerserv">
    <w:name w:val="Placeholder Text"/>
    <w:basedOn w:val="Policepardfaut"/>
    <w:uiPriority w:val="99"/>
    <w:semiHidden/>
    <w:rsid w:val="007522C5"/>
    <w:rPr>
      <w:color w:val="666666"/>
    </w:rPr>
  </w:style>
  <w:style w:type="paragraph" w:styleId="Rvision">
    <w:name w:val="Revision"/>
    <w:hidden/>
    <w:uiPriority w:val="99"/>
    <w:semiHidden/>
    <w:rsid w:val="00E01F5C"/>
    <w:pPr>
      <w:spacing w:after="0" w:line="240" w:lineRule="auto"/>
    </w:pPr>
    <w:rPr>
      <w:rFonts w:ascii="Calibri" w:hAnsi="Calibri"/>
      <w:sz w:val="22"/>
    </w:rPr>
  </w:style>
  <w:style w:type="paragraph" w:styleId="Listepuces">
    <w:name w:val="List Bullet"/>
    <w:basedOn w:val="Normal"/>
    <w:uiPriority w:val="99"/>
    <w:unhideWhenUsed/>
    <w:rsid w:val="0077259A"/>
    <w:pPr>
      <w:numPr>
        <w:numId w:val="26"/>
      </w:numPr>
      <w:contextualSpacing/>
    </w:pPr>
  </w:style>
  <w:style w:type="paragraph" w:styleId="Tabledesillustrations">
    <w:name w:val="table of figures"/>
    <w:basedOn w:val="Normal"/>
    <w:next w:val="Normal"/>
    <w:uiPriority w:val="99"/>
    <w:unhideWhenUsed/>
    <w:rsid w:val="000B7D1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6830">
      <w:bodyDiv w:val="1"/>
      <w:marLeft w:val="0"/>
      <w:marRight w:val="0"/>
      <w:marTop w:val="0"/>
      <w:marBottom w:val="0"/>
      <w:divBdr>
        <w:top w:val="none" w:sz="0" w:space="0" w:color="auto"/>
        <w:left w:val="none" w:sz="0" w:space="0" w:color="auto"/>
        <w:bottom w:val="none" w:sz="0" w:space="0" w:color="auto"/>
        <w:right w:val="none" w:sz="0" w:space="0" w:color="auto"/>
      </w:divBdr>
    </w:div>
    <w:div w:id="93706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iqsw.be" TargetMode="External"/><Relationship Id="rId26" Type="http://schemas.openxmlformats.org/officeDocument/2006/relationships/image" Target="media/image14.png"/><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hyperlink" Target="https://territoire.wallonie.be/fr/page/formulaires#formulaire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riesconsultants.sharepoint.com/sites/IQSW-interne/Documents%20partages/General/_IQSW/IQSW-pro/_Guides%20m&#233;thodologiques/Guide%20m&#233;thodologique_IQSW-pro/(www.iqsw.be)" TargetMode="External"/><Relationship Id="rId25" Type="http://schemas.openxmlformats.org/officeDocument/2006/relationships/image" Target="media/image13.png"/><Relationship Id="rId33" Type="http://schemas.openxmlformats.org/officeDocument/2006/relationships/footer" Target="footer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2.png"/><Relationship Id="rId32" Type="http://schemas.openxmlformats.org/officeDocument/2006/relationships/header" Target="header3.xml"/><Relationship Id="rId37" Type="http://schemas.openxmlformats.org/officeDocument/2006/relationships/image" Target="media/image18.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eader" Target="header1.xml"/><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1.xml"/><Relationship Id="rId35" Type="http://schemas.openxmlformats.org/officeDocument/2006/relationships/image" Target="media/image16.pn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geoportail.wallonie.be/catalogue/b18318eb-5e91-48ae-a6a5-6f49d06b15a1.html" TargetMode="External"/><Relationship Id="rId7" Type="http://schemas.openxmlformats.org/officeDocument/2006/relationships/hyperlink" Target="https://environnement.wallonie.be/home/milieux/sol/les-professionnels-du-sol/experts-et-labos/outils-de-reference/cwbp/etude-de-caracterisation.html" TargetMode="External"/><Relationship Id="rId2" Type="http://schemas.openxmlformats.org/officeDocument/2006/relationships/hyperlink" Target="https://environnement.wallonie.be/home/milieux/sol/les-professionnels-du-sol/experts-et-labos/outils-de-reference/cwbp/etude-de-risque.html" TargetMode="External"/><Relationship Id="rId1" Type="http://schemas.openxmlformats.org/officeDocument/2006/relationships/hyperlink" Target="https://wallex.wallonie.be/eli/loi-decret/2018/03/01/2018070014/2018/04/01" TargetMode="External"/><Relationship Id="rId6" Type="http://schemas.openxmlformats.org/officeDocument/2006/relationships/hyperlink" Target="https://www.ecologie.gouv.fr/politiques-publiques/artificialisation-sols" TargetMode="External"/><Relationship Id="rId5" Type="http://schemas.openxmlformats.org/officeDocument/2006/relationships/hyperlink" Target="https://qualite-sols.ch/" TargetMode="External"/><Relationship Id="rId4" Type="http://schemas.openxmlformats.org/officeDocument/2006/relationships/hyperlink" Target="https://geoportail.wallonie.be/catalogue/9e11aa59-e36e-4440-99e9-8da32abbee83.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B4291AEEA43648ABED206827048E2D" ma:contentTypeVersion="17" ma:contentTypeDescription="Crée un document." ma:contentTypeScope="" ma:versionID="b35b0d6d322175f6b8511992af298a90">
  <xsd:schema xmlns:xsd="http://www.w3.org/2001/XMLSchema" xmlns:xs="http://www.w3.org/2001/XMLSchema" xmlns:p="http://schemas.microsoft.com/office/2006/metadata/properties" xmlns:ns2="02ac61c8-0274-4f4f-b0bd-984d4b0d52a7" xmlns:ns3="07b15121-e655-4d8f-966a-8241a5a765ce" targetNamespace="http://schemas.microsoft.com/office/2006/metadata/properties" ma:root="true" ma:fieldsID="ee45684ae9c145741b3dbf1b1c671700" ns2:_="" ns3:_="">
    <xsd:import namespace="02ac61c8-0274-4f4f-b0bd-984d4b0d52a7"/>
    <xsd:import namespace="07b15121-e655-4d8f-966a-8241a5a765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c61c8-0274-4f4f-b0bd-984d4b0d5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 ma:index="11" nillable="true" ma:displayName="Notes" ma:format="Dropdown" ma:internalName="Notes">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f3ab53d-5831-4dd1-a839-c175f8b1e2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b15121-e655-4d8f-966a-8241a5a765ce"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1c1aa6d0-7670-4f74-9e72-25261da018ca}" ma:internalName="TaxCatchAll" ma:showField="CatchAllData" ma:web="07b15121-e655-4d8f-966a-8241a5a765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7b15121-e655-4d8f-966a-8241a5a765ce" xsi:nil="true"/>
    <lcf76f155ced4ddcb4097134ff3c332f xmlns="02ac61c8-0274-4f4f-b0bd-984d4b0d52a7">
      <Terms xmlns="http://schemas.microsoft.com/office/infopath/2007/PartnerControls"/>
    </lcf76f155ced4ddcb4097134ff3c332f>
    <Notes xmlns="02ac61c8-0274-4f4f-b0bd-984d4b0d52a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078BA-1F00-4524-935F-55D16BF59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c61c8-0274-4f4f-b0bd-984d4b0d52a7"/>
    <ds:schemaRef ds:uri="07b15121-e655-4d8f-966a-8241a5a7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05BC99-44C2-4334-9A3C-B1CF05B3EAF3}">
  <ds:schemaRefs>
    <ds:schemaRef ds:uri="http://schemas.microsoft.com/sharepoint/v3/contenttype/forms"/>
  </ds:schemaRefs>
</ds:datastoreItem>
</file>

<file path=customXml/itemProps3.xml><?xml version="1.0" encoding="utf-8"?>
<ds:datastoreItem xmlns:ds="http://schemas.openxmlformats.org/officeDocument/2006/customXml" ds:itemID="{D2084C0E-D2AB-4170-9424-C0E37F1C60E1}">
  <ds:schemaRefs>
    <ds:schemaRef ds:uri="http://schemas.microsoft.com/office/2006/metadata/properties"/>
    <ds:schemaRef ds:uri="http://schemas.microsoft.com/office/infopath/2007/PartnerControls"/>
    <ds:schemaRef ds:uri="07b15121-e655-4d8f-966a-8241a5a765ce"/>
    <ds:schemaRef ds:uri="02ac61c8-0274-4f4f-b0bd-984d4b0d52a7"/>
  </ds:schemaRefs>
</ds:datastoreItem>
</file>

<file path=customXml/itemProps4.xml><?xml version="1.0" encoding="utf-8"?>
<ds:datastoreItem xmlns:ds="http://schemas.openxmlformats.org/officeDocument/2006/customXml" ds:itemID="{D79D31E4-556F-4D16-BFD9-5AD253E17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70</Pages>
  <Words>42979</Words>
  <Characters>236386</Characters>
  <Application>Microsoft Office Word</Application>
  <DocSecurity>0</DocSecurity>
  <Lines>1969</Lines>
  <Paragraphs>557</Paragraphs>
  <ScaleCrop>false</ScaleCrop>
  <Company/>
  <LinksUpToDate>false</LinksUpToDate>
  <CharactersWithSpaces>278808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Clélia VAN DE CASTEELE</dc:creator>
  <cp:keywords/>
  <dc:description/>
  <cp:lastModifiedBy>Clélia VAN DE CASTEELE</cp:lastModifiedBy>
  <cp:revision>321</cp:revision>
  <cp:lastPrinted>2026-06-09T22:14:00Z</cp:lastPrinted>
  <dcterms:created xsi:type="dcterms:W3CDTF">2026-09-23T13:09:00Z</dcterms:created>
  <dcterms:modified xsi:type="dcterms:W3CDTF">2026-09-28T06:53:00Z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0x010100DAB4291AEEA43648ABED206827048E2D</vt:lpwstr>
  </property>
  <property fmtid="{D5CDD505-2E9C-101B-9397-08002B2CF9AE}" pid="3" name="ZOTERO_PREF_1">
    <vt:lpwstr>&lt;data data-version="3" zotero-version="9.0.6"&gt;&lt;session id="ZBY9JkLy"/&gt;&lt;style id="http://www.zotero.org/styles/apa" locale="fr-FR"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y fmtid="{D5CDD505-2E9C-101B-9397-08002B2CF9AE}" pid="5" name="MediaServiceImageTags">
    <vt:lpwstr/>
  </property>
</Properties>
</file>