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9040"/>
      </w:tblGrid>
      <w:tr w:rsidR="0051203A" w:rsidRPr="0059302B" w14:paraId="5FBDC2E6" w14:textId="77777777" w:rsidTr="008C1DA4">
        <w:trPr>
          <w:cantSplit/>
          <w:trHeight w:val="1833"/>
        </w:trPr>
        <w:tc>
          <w:tcPr>
            <w:tcW w:w="0" w:type="auto"/>
            <w:tcBorders>
              <w:top w:val="single" w:sz="12" w:space="0" w:color="auto"/>
              <w:left w:val="single" w:sz="12" w:space="0" w:color="auto"/>
              <w:bottom w:val="nil"/>
              <w:right w:val="single" w:sz="12" w:space="0" w:color="auto"/>
            </w:tcBorders>
            <w:vAlign w:val="center"/>
          </w:tcPr>
          <w:p w14:paraId="77F727C6" w14:textId="7428AC95" w:rsidR="0051203A" w:rsidRPr="0051203A" w:rsidRDefault="0059302B" w:rsidP="0059302B">
            <w:pPr>
              <w:pStyle w:val="Titre"/>
              <w:jc w:val="left"/>
              <w:rPr>
                <w:lang w:val="fr-FR"/>
              </w:rPr>
            </w:pPr>
            <w:r>
              <w:rPr>
                <w:b/>
                <w:bCs/>
                <w:noProof/>
                <w:lang w:val="fr-FR"/>
              </w:rPr>
              <w:drawing>
                <wp:anchor distT="0" distB="0" distL="114300" distR="114300" simplePos="0" relativeHeight="251658240" behindDoc="0" locked="0" layoutInCell="1" allowOverlap="1" wp14:anchorId="18690FFA" wp14:editId="0E9B59EE">
                  <wp:simplePos x="0" y="0"/>
                  <wp:positionH relativeFrom="column">
                    <wp:posOffset>4561840</wp:posOffset>
                  </wp:positionH>
                  <wp:positionV relativeFrom="paragraph">
                    <wp:posOffset>48895</wp:posOffset>
                  </wp:positionV>
                  <wp:extent cx="1079500" cy="1091565"/>
                  <wp:effectExtent l="0" t="0" r="6350" b="0"/>
                  <wp:wrapNone/>
                  <wp:docPr id="170751869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9500" cy="10915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fr-FR"/>
              </w:rPr>
              <w:drawing>
                <wp:inline distT="0" distB="0" distL="0" distR="0" wp14:anchorId="3D8F4A6E" wp14:editId="6D70773D">
                  <wp:extent cx="2814770" cy="1187355"/>
                  <wp:effectExtent l="0" t="0" r="0" b="0"/>
                  <wp:docPr id="111686556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0809" cy="1206776"/>
                          </a:xfrm>
                          <a:prstGeom prst="rect">
                            <a:avLst/>
                          </a:prstGeom>
                          <a:noFill/>
                          <a:ln>
                            <a:noFill/>
                          </a:ln>
                        </pic:spPr>
                      </pic:pic>
                    </a:graphicData>
                  </a:graphic>
                </wp:inline>
              </w:drawing>
            </w:r>
          </w:p>
        </w:tc>
      </w:tr>
      <w:tr w:rsidR="0059302B" w:rsidRPr="0059302B" w14:paraId="72398826" w14:textId="77777777" w:rsidTr="008C1DA4">
        <w:trPr>
          <w:cantSplit/>
          <w:trHeight w:val="8385"/>
        </w:trPr>
        <w:tc>
          <w:tcPr>
            <w:tcW w:w="0" w:type="auto"/>
            <w:tcBorders>
              <w:top w:val="nil"/>
              <w:left w:val="single" w:sz="12" w:space="0" w:color="auto"/>
              <w:bottom w:val="nil"/>
              <w:right w:val="single" w:sz="12" w:space="0" w:color="auto"/>
            </w:tcBorders>
            <w:vAlign w:val="center"/>
          </w:tcPr>
          <w:p w14:paraId="666066AF" w14:textId="52BCE767" w:rsidR="00B634B7" w:rsidRPr="00DB19A8" w:rsidRDefault="00B634B7" w:rsidP="0059302B">
            <w:pPr>
              <w:pStyle w:val="Titre"/>
              <w:jc w:val="center"/>
              <w:rPr>
                <w:color w:val="auto"/>
                <w:sz w:val="40"/>
                <w:szCs w:val="40"/>
                <w:lang w:val="fr-FR"/>
              </w:rPr>
            </w:pPr>
            <w:r w:rsidRPr="00DB19A8">
              <w:rPr>
                <w:color w:val="auto"/>
                <w:sz w:val="40"/>
                <w:szCs w:val="40"/>
                <w:lang w:val="fr-FR"/>
              </w:rPr>
              <w:t>Indice de Qualité des Sols Wallons (IQSW-pro)</w:t>
            </w:r>
          </w:p>
          <w:p w14:paraId="68A078E4" w14:textId="77777777" w:rsidR="00B634B7" w:rsidRPr="00B634B7" w:rsidRDefault="00B634B7" w:rsidP="00B634B7">
            <w:pPr>
              <w:rPr>
                <w:lang w:val="fr-FR"/>
              </w:rPr>
            </w:pPr>
          </w:p>
          <w:p w14:paraId="6F95F7C1" w14:textId="3605E7D0" w:rsidR="0059302B" w:rsidRDefault="00B634B7" w:rsidP="0059302B">
            <w:pPr>
              <w:pStyle w:val="Titre"/>
              <w:jc w:val="center"/>
              <w:rPr>
                <w:b/>
                <w:bCs/>
                <w:sz w:val="48"/>
                <w:szCs w:val="48"/>
                <w:lang w:val="fr-FR"/>
              </w:rPr>
            </w:pPr>
            <w:r w:rsidRPr="00DB19A8">
              <w:rPr>
                <w:b/>
                <w:bCs/>
                <w:sz w:val="48"/>
                <w:szCs w:val="48"/>
                <w:lang w:val="fr-FR"/>
              </w:rPr>
              <w:t>G</w:t>
            </w:r>
            <w:r w:rsidR="0059302B" w:rsidRPr="00DB19A8">
              <w:rPr>
                <w:b/>
                <w:bCs/>
                <w:sz w:val="48"/>
                <w:szCs w:val="48"/>
                <w:lang w:val="fr-FR"/>
              </w:rPr>
              <w:t xml:space="preserve">uide méthodologique à destination des </w:t>
            </w:r>
            <w:r w:rsidR="00EE6343" w:rsidRPr="3553888C">
              <w:rPr>
                <w:b/>
                <w:bCs/>
                <w:sz w:val="48"/>
                <w:szCs w:val="48"/>
                <w:lang w:val="fr-FR"/>
              </w:rPr>
              <w:t>professionnels</w:t>
            </w:r>
          </w:p>
          <w:p w14:paraId="50252EC0" w14:textId="7415FBEE" w:rsidR="00436690" w:rsidRPr="00436690" w:rsidRDefault="00436690" w:rsidP="00436690">
            <w:pPr>
              <w:jc w:val="center"/>
              <w:rPr>
                <w:rFonts w:asciiTheme="majorHAnsi" w:eastAsiaTheme="majorEastAsia" w:hAnsiTheme="majorHAnsi" w:cstheme="majorBidi"/>
                <w:color w:val="9BA823"/>
                <w:spacing w:val="-10"/>
                <w:kern w:val="28"/>
                <w:sz w:val="48"/>
                <w:szCs w:val="48"/>
                <w:lang w:val="fr-FR"/>
              </w:rPr>
            </w:pPr>
            <w:r w:rsidRPr="00436690">
              <w:rPr>
                <w:rFonts w:asciiTheme="majorHAnsi" w:eastAsiaTheme="majorEastAsia" w:hAnsiTheme="majorHAnsi" w:cstheme="majorBidi"/>
                <w:color w:val="9BA823"/>
                <w:spacing w:val="-10"/>
                <w:kern w:val="28"/>
                <w:sz w:val="48"/>
                <w:szCs w:val="48"/>
                <w:lang w:val="fr-FR"/>
              </w:rPr>
              <w:t>Annexe 2 – Indicateurs</w:t>
            </w:r>
          </w:p>
          <w:p w14:paraId="3718E6CE" w14:textId="77777777" w:rsidR="0059302B" w:rsidRDefault="0059302B" w:rsidP="0051203A">
            <w:pPr>
              <w:pStyle w:val="Titre"/>
              <w:jc w:val="center"/>
              <w:rPr>
                <w:noProof/>
                <w:color w:val="auto"/>
                <w:sz w:val="36"/>
                <w:szCs w:val="36"/>
                <w:lang w:val="fr-FR"/>
              </w:rPr>
            </w:pPr>
          </w:p>
          <w:p w14:paraId="1A6D8C23" w14:textId="105C9E01" w:rsidR="0059302B" w:rsidRPr="00647D21" w:rsidRDefault="006575EB" w:rsidP="00B634B7">
            <w:pPr>
              <w:jc w:val="center"/>
              <w:rPr>
                <w:b/>
                <w:bCs/>
                <w:sz w:val="24"/>
                <w:lang w:val="fr-FR"/>
              </w:rPr>
            </w:pPr>
            <w:r>
              <w:rPr>
                <w:b/>
                <w:bCs/>
                <w:sz w:val="24"/>
                <w:lang w:val="fr-FR"/>
              </w:rPr>
              <w:t xml:space="preserve">Projet </w:t>
            </w:r>
            <w:r w:rsidR="0059302B" w:rsidRPr="00647D21">
              <w:rPr>
                <w:b/>
                <w:bCs/>
                <w:sz w:val="24"/>
                <w:lang w:val="fr-FR"/>
              </w:rPr>
              <w:t>financé par le Plan de Relance de la Wallonie</w:t>
            </w:r>
            <w:r>
              <w:rPr>
                <w:b/>
                <w:bCs/>
                <w:sz w:val="24"/>
                <w:lang w:val="fr-FR"/>
              </w:rPr>
              <w:t xml:space="preserve"> (</w:t>
            </w:r>
            <w:r w:rsidRPr="00647D21">
              <w:rPr>
                <w:b/>
                <w:bCs/>
                <w:sz w:val="24"/>
                <w:lang w:val="fr-FR"/>
              </w:rPr>
              <w:t>PRW 115.2</w:t>
            </w:r>
            <w:r w:rsidR="00E311CC" w:rsidRPr="00E311CC">
              <w:rPr>
                <w:b/>
                <w:bCs/>
                <w:sz w:val="24"/>
                <w:lang w:val="fr-FR"/>
              </w:rPr>
              <w:t xml:space="preserve">, </w:t>
            </w:r>
            <w:r w:rsidR="00326484">
              <w:rPr>
                <w:b/>
                <w:bCs/>
                <w:sz w:val="24"/>
                <w:lang w:val="fr-FR"/>
              </w:rPr>
              <w:t>convention</w:t>
            </w:r>
            <w:r w:rsidR="00E209A3" w:rsidRPr="00326484">
              <w:rPr>
                <w:b/>
                <w:bCs/>
              </w:rPr>
              <w:t xml:space="preserve"> O3.07.05-23-1343</w:t>
            </w:r>
            <w:r w:rsidRPr="00E311CC">
              <w:rPr>
                <w:b/>
                <w:bCs/>
                <w:sz w:val="24"/>
                <w:lang w:val="fr-FR"/>
              </w:rPr>
              <w:t>)</w:t>
            </w:r>
            <w:r w:rsidR="00144D55" w:rsidRPr="00E311CC">
              <w:rPr>
                <w:b/>
                <w:bCs/>
                <w:sz w:val="24"/>
                <w:lang w:val="fr-FR"/>
              </w:rPr>
              <w:t>,</w:t>
            </w:r>
            <w:r w:rsidR="00144D55">
              <w:rPr>
                <w:b/>
                <w:bCs/>
                <w:sz w:val="24"/>
                <w:lang w:val="fr-FR"/>
              </w:rPr>
              <w:t xml:space="preserve"> à l’initiative de la Direction de la Protection des Sols (DPS), SPW ARNE</w:t>
            </w:r>
          </w:p>
          <w:p w14:paraId="0058F5FF" w14:textId="77777777" w:rsidR="00B634B7" w:rsidRDefault="00B634B7" w:rsidP="0059302B">
            <w:pPr>
              <w:jc w:val="center"/>
              <w:rPr>
                <w:lang w:val="fr-FR"/>
              </w:rPr>
            </w:pPr>
          </w:p>
          <w:p w14:paraId="46A7047F" w14:textId="208AD698" w:rsidR="00B634B7" w:rsidRPr="00647D21" w:rsidRDefault="00B634B7" w:rsidP="0059302B">
            <w:pPr>
              <w:jc w:val="center"/>
              <w:rPr>
                <w:b/>
                <w:bCs/>
                <w:lang w:val="fr-FR"/>
              </w:rPr>
            </w:pPr>
            <w:r w:rsidRPr="00647D21">
              <w:rPr>
                <w:b/>
                <w:bCs/>
                <w:lang w:val="fr-FR"/>
              </w:rPr>
              <w:t xml:space="preserve">- </w:t>
            </w:r>
            <w:r w:rsidR="00C15714">
              <w:rPr>
                <w:b/>
                <w:bCs/>
                <w:lang w:val="fr-FR"/>
              </w:rPr>
              <w:t>Septembre</w:t>
            </w:r>
            <w:r w:rsidRPr="00647D21">
              <w:rPr>
                <w:b/>
                <w:bCs/>
                <w:lang w:val="fr-FR"/>
              </w:rPr>
              <w:t xml:space="preserve"> 2026 -</w:t>
            </w:r>
          </w:p>
          <w:p w14:paraId="501FE24D" w14:textId="042CC9FA" w:rsidR="0059302B" w:rsidRPr="0059302B" w:rsidRDefault="0059302B" w:rsidP="0059302B">
            <w:pPr>
              <w:jc w:val="left"/>
              <w:rPr>
                <w:lang w:val="fr-FR"/>
              </w:rPr>
            </w:pPr>
          </w:p>
        </w:tc>
      </w:tr>
      <w:tr w:rsidR="005B284B" w:rsidRPr="00ED089B" w14:paraId="74C12668" w14:textId="77777777" w:rsidTr="008C1DA4">
        <w:trPr>
          <w:cantSplit/>
          <w:trHeight w:val="1549"/>
        </w:trPr>
        <w:tc>
          <w:tcPr>
            <w:tcW w:w="0" w:type="auto"/>
            <w:tcBorders>
              <w:top w:val="nil"/>
              <w:left w:val="single" w:sz="12" w:space="0" w:color="auto"/>
              <w:bottom w:val="nil"/>
              <w:right w:val="single" w:sz="12" w:space="0" w:color="auto"/>
            </w:tcBorders>
            <w:vAlign w:val="center"/>
          </w:tcPr>
          <w:p w14:paraId="71B2F6DB" w14:textId="532D8EA2" w:rsidR="006552DA" w:rsidRPr="00CC6C6B" w:rsidRDefault="00122E18" w:rsidP="006552DA">
            <w:pPr>
              <w:pStyle w:val="Authors"/>
              <w:rPr>
                <w:rFonts w:asciiTheme="minorHAnsi" w:hAnsiTheme="minorHAnsi"/>
                <w:b/>
                <w:bCs/>
                <w:sz w:val="20"/>
                <w:szCs w:val="20"/>
                <w:vertAlign w:val="superscript"/>
                <w:lang w:val="fr-BE"/>
              </w:rPr>
            </w:pPr>
            <w:r w:rsidRPr="009407F2">
              <w:rPr>
                <w:rFonts w:asciiTheme="minorHAnsi" w:hAnsiTheme="minorHAnsi"/>
                <w:b/>
                <w:bCs/>
                <w:sz w:val="20"/>
                <w:szCs w:val="20"/>
                <w:lang w:val="fr-BE"/>
              </w:rPr>
              <w:t>Clélia Van de Casteele</w:t>
            </w:r>
            <w:r w:rsidR="00CC6C6B">
              <w:rPr>
                <w:rFonts w:asciiTheme="minorHAnsi" w:hAnsiTheme="minorHAnsi"/>
                <w:b/>
                <w:bCs/>
                <w:sz w:val="20"/>
                <w:szCs w:val="20"/>
                <w:vertAlign w:val="superscript"/>
                <w:lang w:val="fr-BE"/>
              </w:rPr>
              <w:t>1</w:t>
            </w:r>
            <w:r w:rsidR="00F70530">
              <w:rPr>
                <w:rFonts w:asciiTheme="minorHAnsi" w:hAnsiTheme="minorHAnsi"/>
                <w:b/>
                <w:bCs/>
                <w:sz w:val="20"/>
                <w:szCs w:val="20"/>
                <w:lang w:val="fr-BE"/>
              </w:rPr>
              <w:t>,</w:t>
            </w:r>
            <w:r w:rsidR="006552DA" w:rsidRPr="006552DA">
              <w:rPr>
                <w:rFonts w:asciiTheme="minorHAnsi" w:hAnsiTheme="minorHAnsi"/>
                <w:b/>
                <w:bCs/>
                <w:sz w:val="20"/>
                <w:szCs w:val="20"/>
                <w:lang w:val="fr-BE"/>
              </w:rPr>
              <w:t xml:space="preserve"> Louis Vandebroek</w:t>
            </w:r>
            <w:r w:rsidR="00CC6C6B">
              <w:rPr>
                <w:rFonts w:asciiTheme="minorHAnsi" w:hAnsiTheme="minorHAnsi"/>
                <w:b/>
                <w:bCs/>
                <w:sz w:val="20"/>
                <w:szCs w:val="20"/>
                <w:vertAlign w:val="superscript"/>
                <w:lang w:val="fr-BE"/>
              </w:rPr>
              <w:t>1</w:t>
            </w:r>
            <w:r w:rsidR="00401FB8">
              <w:rPr>
                <w:rFonts w:asciiTheme="minorHAnsi" w:hAnsiTheme="minorHAnsi"/>
                <w:b/>
                <w:bCs/>
                <w:sz w:val="20"/>
                <w:szCs w:val="20"/>
                <w:lang w:val="fr-BE"/>
              </w:rPr>
              <w:t>, B</w:t>
            </w:r>
            <w:r w:rsidR="00401FB8" w:rsidRPr="006552DA">
              <w:rPr>
                <w:rFonts w:asciiTheme="minorHAnsi" w:hAnsiTheme="minorHAnsi"/>
                <w:b/>
                <w:bCs/>
                <w:sz w:val="20"/>
                <w:szCs w:val="20"/>
                <w:lang w:val="fr-BE"/>
              </w:rPr>
              <w:t>rieuc F. Hardy</w:t>
            </w:r>
            <w:r w:rsidR="00CC6C6B">
              <w:rPr>
                <w:rFonts w:asciiTheme="minorHAnsi" w:hAnsiTheme="minorHAnsi"/>
                <w:b/>
                <w:bCs/>
                <w:sz w:val="20"/>
                <w:szCs w:val="20"/>
                <w:vertAlign w:val="superscript"/>
                <w:lang w:val="fr-BE"/>
              </w:rPr>
              <w:t>2</w:t>
            </w:r>
            <w:r w:rsidR="00401FB8" w:rsidRPr="006552DA">
              <w:rPr>
                <w:rFonts w:asciiTheme="minorHAnsi" w:hAnsiTheme="minorHAnsi"/>
                <w:b/>
                <w:bCs/>
                <w:sz w:val="20"/>
                <w:szCs w:val="20"/>
                <w:lang w:val="fr-BE"/>
              </w:rPr>
              <w:t>, Yannick Agnan</w:t>
            </w:r>
            <w:r w:rsidR="00CC6C6B">
              <w:rPr>
                <w:rFonts w:asciiTheme="minorHAnsi" w:hAnsiTheme="minorHAnsi"/>
                <w:b/>
                <w:bCs/>
                <w:sz w:val="20"/>
                <w:szCs w:val="20"/>
                <w:vertAlign w:val="superscript"/>
                <w:lang w:val="fr-BE"/>
              </w:rPr>
              <w:t>3</w:t>
            </w:r>
          </w:p>
          <w:p w14:paraId="25A22B79" w14:textId="5E57FABB" w:rsidR="00401FB8" w:rsidRPr="00401FB8" w:rsidRDefault="00401FB8" w:rsidP="002D6A5D">
            <w:pPr>
              <w:pStyle w:val="Affiliation"/>
              <w:rPr>
                <w:rFonts w:asciiTheme="minorHAnsi" w:hAnsiTheme="minorHAnsi"/>
                <w:sz w:val="14"/>
                <w:szCs w:val="14"/>
                <w:lang w:val="fr-BE"/>
              </w:rPr>
            </w:pPr>
            <w:r w:rsidRPr="00401FB8">
              <w:rPr>
                <w:rFonts w:asciiTheme="minorHAnsi" w:hAnsiTheme="minorHAnsi"/>
                <w:sz w:val="14"/>
                <w:szCs w:val="14"/>
                <w:vertAlign w:val="superscript"/>
                <w:lang w:val="fr-BE"/>
              </w:rPr>
              <w:t>1</w:t>
            </w:r>
            <w:r w:rsidRPr="00401FB8">
              <w:rPr>
                <w:rFonts w:asciiTheme="minorHAnsi" w:hAnsiTheme="minorHAnsi"/>
                <w:sz w:val="14"/>
                <w:szCs w:val="14"/>
                <w:lang w:val="fr-BE"/>
              </w:rPr>
              <w:t>ARIES Consultants</w:t>
            </w:r>
          </w:p>
          <w:p w14:paraId="0DFBE9B4" w14:textId="2CCE33F0" w:rsidR="002D6A5D" w:rsidRPr="0077358D" w:rsidRDefault="00401FB8" w:rsidP="002D6A5D">
            <w:pPr>
              <w:pStyle w:val="Affiliation"/>
              <w:rPr>
                <w:rFonts w:asciiTheme="minorHAnsi" w:hAnsiTheme="minorHAnsi"/>
                <w:sz w:val="14"/>
                <w:szCs w:val="14"/>
                <w:lang w:val="fr-BE"/>
              </w:rPr>
            </w:pPr>
            <w:r>
              <w:rPr>
                <w:rFonts w:asciiTheme="minorHAnsi" w:hAnsiTheme="minorHAnsi"/>
                <w:sz w:val="14"/>
                <w:szCs w:val="14"/>
                <w:vertAlign w:val="superscript"/>
                <w:lang w:val="fr-BE"/>
              </w:rPr>
              <w:t>2</w:t>
            </w:r>
            <w:r w:rsidR="002D6A5D" w:rsidRPr="0077358D">
              <w:rPr>
                <w:rFonts w:asciiTheme="minorHAnsi" w:hAnsiTheme="minorHAnsi"/>
                <w:sz w:val="14"/>
                <w:szCs w:val="14"/>
                <w:vertAlign w:val="superscript"/>
                <w:lang w:val="fr-BE"/>
              </w:rPr>
              <w:t xml:space="preserve"> </w:t>
            </w:r>
            <w:r w:rsidR="00EA039B" w:rsidRPr="0077358D">
              <w:rPr>
                <w:rFonts w:asciiTheme="minorHAnsi" w:hAnsiTheme="minorHAnsi"/>
                <w:sz w:val="14"/>
                <w:szCs w:val="14"/>
                <w:lang w:val="fr-BE"/>
              </w:rPr>
              <w:t xml:space="preserve">Département durabilité, systèmes et prospectives </w:t>
            </w:r>
            <w:r w:rsidR="002D6A5D" w:rsidRPr="0077358D">
              <w:rPr>
                <w:rFonts w:asciiTheme="minorHAnsi" w:hAnsiTheme="minorHAnsi"/>
                <w:sz w:val="14"/>
                <w:szCs w:val="14"/>
                <w:lang w:val="fr-BE"/>
              </w:rPr>
              <w:t xml:space="preserve">– </w:t>
            </w:r>
            <w:r w:rsidR="0077358D" w:rsidRPr="0077358D">
              <w:rPr>
                <w:rFonts w:asciiTheme="minorHAnsi" w:hAnsiTheme="minorHAnsi"/>
                <w:sz w:val="14"/>
                <w:szCs w:val="14"/>
                <w:lang w:val="fr-BE"/>
              </w:rPr>
              <w:t>Unité sols, eaux et productions intégrées</w:t>
            </w:r>
            <w:r w:rsidR="002D6A5D" w:rsidRPr="0077358D">
              <w:rPr>
                <w:rFonts w:asciiTheme="minorHAnsi" w:hAnsiTheme="minorHAnsi"/>
                <w:sz w:val="14"/>
                <w:szCs w:val="14"/>
                <w:lang w:val="fr-BE"/>
              </w:rPr>
              <w:t xml:space="preserve">, </w:t>
            </w:r>
            <w:r w:rsidR="0077358D" w:rsidRPr="0077358D">
              <w:rPr>
                <w:rFonts w:asciiTheme="minorHAnsi" w:hAnsiTheme="minorHAnsi"/>
                <w:sz w:val="14"/>
                <w:szCs w:val="14"/>
                <w:lang w:val="fr-BE"/>
              </w:rPr>
              <w:t>Centre wallon de Recherches Agronomiques</w:t>
            </w:r>
          </w:p>
          <w:p w14:paraId="1441607B" w14:textId="7B05E441" w:rsidR="002D6A5D" w:rsidRPr="0077358D" w:rsidRDefault="00401FB8" w:rsidP="002D6A5D">
            <w:pPr>
              <w:pStyle w:val="Affiliation"/>
              <w:rPr>
                <w:rFonts w:asciiTheme="minorHAnsi" w:hAnsiTheme="minorHAnsi"/>
                <w:sz w:val="14"/>
                <w:szCs w:val="14"/>
                <w:lang w:val="en-US"/>
              </w:rPr>
            </w:pPr>
            <w:r>
              <w:rPr>
                <w:rFonts w:asciiTheme="minorHAnsi" w:hAnsiTheme="minorHAnsi"/>
                <w:sz w:val="14"/>
                <w:szCs w:val="14"/>
                <w:vertAlign w:val="superscript"/>
                <w:lang w:val="en-US"/>
              </w:rPr>
              <w:t>3</w:t>
            </w:r>
            <w:r w:rsidR="002D6A5D" w:rsidRPr="0077358D">
              <w:rPr>
                <w:rFonts w:asciiTheme="minorHAnsi" w:hAnsiTheme="minorHAnsi"/>
                <w:sz w:val="14"/>
                <w:szCs w:val="14"/>
                <w:lang w:val="en-US"/>
              </w:rPr>
              <w:t xml:space="preserve"> Earth and Life Institute, </w:t>
            </w:r>
            <w:proofErr w:type="spellStart"/>
            <w:r w:rsidR="002D6A5D" w:rsidRPr="0077358D">
              <w:rPr>
                <w:rFonts w:asciiTheme="minorHAnsi" w:hAnsiTheme="minorHAnsi"/>
                <w:sz w:val="14"/>
                <w:szCs w:val="14"/>
                <w:lang w:val="en-US"/>
              </w:rPr>
              <w:t>UCLouvain</w:t>
            </w:r>
            <w:proofErr w:type="spellEnd"/>
          </w:p>
          <w:p w14:paraId="4DBA0791" w14:textId="77777777" w:rsidR="005B284B" w:rsidRPr="00EA039B" w:rsidRDefault="005B284B" w:rsidP="00401FB8">
            <w:pPr>
              <w:pStyle w:val="Affiliation"/>
              <w:rPr>
                <w:rFonts w:asciiTheme="minorHAnsi" w:hAnsiTheme="minorHAnsi"/>
                <w:noProof/>
                <w:sz w:val="24"/>
                <w:lang w:val="en-US"/>
              </w:rPr>
            </w:pPr>
          </w:p>
        </w:tc>
      </w:tr>
      <w:tr w:rsidR="0059302B" w:rsidRPr="00ED089B" w14:paraId="67BB3382" w14:textId="77777777" w:rsidTr="008C1DA4">
        <w:trPr>
          <w:cantSplit/>
          <w:trHeight w:val="425"/>
        </w:trPr>
        <w:tc>
          <w:tcPr>
            <w:tcW w:w="0" w:type="auto"/>
            <w:tcBorders>
              <w:top w:val="nil"/>
              <w:left w:val="single" w:sz="12" w:space="0" w:color="auto"/>
              <w:bottom w:val="nil"/>
              <w:right w:val="single" w:sz="12" w:space="0" w:color="auto"/>
            </w:tcBorders>
            <w:vAlign w:val="center"/>
          </w:tcPr>
          <w:p w14:paraId="573001A0" w14:textId="2CF8FC54" w:rsidR="0059302B" w:rsidRPr="002C23BB" w:rsidRDefault="0059302B" w:rsidP="00144D55">
            <w:pPr>
              <w:rPr>
                <w:noProof/>
                <w:lang w:val="en-GB"/>
              </w:rPr>
            </w:pPr>
          </w:p>
        </w:tc>
      </w:tr>
      <w:tr w:rsidR="0059302B" w:rsidRPr="00ED089B" w14:paraId="56FFFA19" w14:textId="77777777" w:rsidTr="008C1DA4">
        <w:trPr>
          <w:cantSplit/>
          <w:trHeight w:val="1133"/>
        </w:trPr>
        <w:tc>
          <w:tcPr>
            <w:tcW w:w="0" w:type="auto"/>
            <w:tcBorders>
              <w:top w:val="nil"/>
              <w:left w:val="single" w:sz="12" w:space="0" w:color="auto"/>
              <w:bottom w:val="single" w:sz="12" w:space="0" w:color="auto"/>
              <w:right w:val="single" w:sz="12" w:space="0" w:color="auto"/>
            </w:tcBorders>
            <w:vAlign w:val="center"/>
          </w:tcPr>
          <w:p w14:paraId="7344B7C0" w14:textId="77777777" w:rsidR="0059302B" w:rsidRPr="002C23BB" w:rsidRDefault="0059302B" w:rsidP="00144D55">
            <w:pPr>
              <w:rPr>
                <w:noProof/>
                <w:lang w:val="en-GB"/>
              </w:rPr>
            </w:pPr>
            <w:r w:rsidRPr="0059302B">
              <w:rPr>
                <w:noProof/>
                <w:lang w:val="fr-FR"/>
              </w:rPr>
              <w:drawing>
                <wp:anchor distT="0" distB="0" distL="114300" distR="114300" simplePos="0" relativeHeight="251658243" behindDoc="0" locked="0" layoutInCell="1" allowOverlap="1" wp14:anchorId="68F4E9B8" wp14:editId="52C26550">
                  <wp:simplePos x="0" y="0"/>
                  <wp:positionH relativeFrom="column">
                    <wp:posOffset>4044950</wp:posOffset>
                  </wp:positionH>
                  <wp:positionV relativeFrom="paragraph">
                    <wp:posOffset>226060</wp:posOffset>
                  </wp:positionV>
                  <wp:extent cx="1504315" cy="284480"/>
                  <wp:effectExtent l="0" t="0" r="635" b="1270"/>
                  <wp:wrapNone/>
                  <wp:docPr id="206795144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04315" cy="284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302B">
              <w:rPr>
                <w:noProof/>
                <w:lang w:val="fr-FR"/>
              </w:rPr>
              <w:drawing>
                <wp:anchor distT="0" distB="0" distL="114300" distR="114300" simplePos="0" relativeHeight="251658242" behindDoc="0" locked="0" layoutInCell="1" allowOverlap="1" wp14:anchorId="1E24FE80" wp14:editId="00B032A4">
                  <wp:simplePos x="0" y="0"/>
                  <wp:positionH relativeFrom="column">
                    <wp:posOffset>77470</wp:posOffset>
                  </wp:positionH>
                  <wp:positionV relativeFrom="paragraph">
                    <wp:posOffset>201930</wp:posOffset>
                  </wp:positionV>
                  <wp:extent cx="1459865" cy="338455"/>
                  <wp:effectExtent l="0" t="0" r="0" b="4445"/>
                  <wp:wrapNone/>
                  <wp:docPr id="117288817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9865" cy="338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302B">
              <w:rPr>
                <w:b/>
                <w:bCs/>
                <w:noProof/>
                <w:lang w:val="fr-FR"/>
              </w:rPr>
              <w:drawing>
                <wp:anchor distT="0" distB="0" distL="114300" distR="114300" simplePos="0" relativeHeight="251658241" behindDoc="0" locked="0" layoutInCell="1" allowOverlap="1" wp14:anchorId="5D5C8352" wp14:editId="7DCB70B8">
                  <wp:simplePos x="0" y="0"/>
                  <wp:positionH relativeFrom="column">
                    <wp:posOffset>2185670</wp:posOffset>
                  </wp:positionH>
                  <wp:positionV relativeFrom="paragraph">
                    <wp:posOffset>15875</wp:posOffset>
                  </wp:positionV>
                  <wp:extent cx="1255395" cy="718820"/>
                  <wp:effectExtent l="0" t="0" r="0" b="0"/>
                  <wp:wrapNone/>
                  <wp:docPr id="36559598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55395" cy="718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291464" w14:textId="7D821ACE" w:rsidR="002948EB" w:rsidRPr="002C23BB" w:rsidRDefault="002948EB" w:rsidP="002948EB">
            <w:pPr>
              <w:rPr>
                <w:lang w:val="en-GB"/>
              </w:rPr>
            </w:pPr>
          </w:p>
        </w:tc>
      </w:tr>
    </w:tbl>
    <w:p w14:paraId="050880D8" w14:textId="77777777" w:rsidR="002948EB" w:rsidRPr="002C23BB" w:rsidRDefault="002948EB">
      <w:pPr>
        <w:rPr>
          <w:lang w:val="en-GB"/>
        </w:rPr>
      </w:pPr>
      <w:r w:rsidRPr="002C23BB">
        <w:rPr>
          <w:lang w:val="en-GB"/>
        </w:rPr>
        <w:br w:type="page"/>
      </w:r>
    </w:p>
    <w:bookmarkStart w:id="0" w:name="_Toc230267079" w:displacedByCustomXml="next"/>
    <w:sdt>
      <w:sdtPr>
        <w:rPr>
          <w:rFonts w:eastAsiaTheme="minorEastAsia" w:cstheme="minorBidi"/>
          <w:color w:val="auto"/>
          <w:kern w:val="2"/>
          <w:sz w:val="22"/>
          <w:szCs w:val="22"/>
          <w:lang w:val="fr-FR" w:eastAsia="en-US"/>
          <w14:ligatures w14:val="standardContextual"/>
        </w:rPr>
        <w:id w:val="1750692163"/>
        <w:docPartObj>
          <w:docPartGallery w:val="Table of Contents"/>
          <w:docPartUnique/>
        </w:docPartObj>
      </w:sdtPr>
      <w:sdtEndPr>
        <w:rPr>
          <w:b/>
          <w:bCs/>
        </w:rPr>
      </w:sdtEndPr>
      <w:sdtContent>
        <w:p w14:paraId="2559E864" w14:textId="3FB23F22" w:rsidR="004E6804" w:rsidRDefault="004E6804">
          <w:pPr>
            <w:pStyle w:val="En-ttedetabledesmatires"/>
          </w:pPr>
          <w:r>
            <w:rPr>
              <w:lang w:val="fr-FR"/>
            </w:rPr>
            <w:t>Table des matières</w:t>
          </w:r>
        </w:p>
        <w:p w14:paraId="60415A6E" w14:textId="4201B986" w:rsidR="00DB2481" w:rsidRDefault="001C2230">
          <w:pPr>
            <w:pStyle w:val="TM1"/>
            <w:tabs>
              <w:tab w:val="right" w:leader="dot" w:pos="9060"/>
            </w:tabs>
            <w:rPr>
              <w:rFonts w:asciiTheme="minorHAnsi" w:eastAsiaTheme="minorEastAsia" w:hAnsiTheme="minorHAnsi"/>
              <w:noProof/>
              <w:sz w:val="24"/>
              <w:lang w:eastAsia="fr-BE"/>
            </w:rPr>
          </w:pPr>
          <w:r>
            <w:fldChar w:fldCharType="begin"/>
          </w:r>
          <w:r>
            <w:instrText xml:space="preserve"> TOC \o "1-3" \h \z \u </w:instrText>
          </w:r>
          <w:r>
            <w:fldChar w:fldCharType="separate"/>
          </w:r>
          <w:hyperlink w:anchor="_Toc241505231" w:history="1">
            <w:r w:rsidR="00DB2481" w:rsidRPr="00D55451">
              <w:rPr>
                <w:rStyle w:val="Lienhypertexte"/>
                <w:noProof/>
              </w:rPr>
              <w:t>Introduction</w:t>
            </w:r>
            <w:r w:rsidR="00DB2481">
              <w:rPr>
                <w:noProof/>
                <w:webHidden/>
              </w:rPr>
              <w:tab/>
            </w:r>
            <w:r w:rsidR="00DB2481">
              <w:rPr>
                <w:noProof/>
                <w:webHidden/>
              </w:rPr>
              <w:fldChar w:fldCharType="begin"/>
            </w:r>
            <w:r w:rsidR="00DB2481">
              <w:rPr>
                <w:noProof/>
                <w:webHidden/>
              </w:rPr>
              <w:instrText xml:space="preserve"> PAGEREF _Toc241505231 \h </w:instrText>
            </w:r>
            <w:r w:rsidR="00DB2481">
              <w:rPr>
                <w:noProof/>
                <w:webHidden/>
              </w:rPr>
            </w:r>
            <w:r w:rsidR="00DB2481">
              <w:rPr>
                <w:noProof/>
                <w:webHidden/>
              </w:rPr>
              <w:fldChar w:fldCharType="separate"/>
            </w:r>
            <w:r w:rsidR="00DB2481">
              <w:rPr>
                <w:noProof/>
                <w:webHidden/>
              </w:rPr>
              <w:t>7</w:t>
            </w:r>
            <w:r w:rsidR="00DB2481">
              <w:rPr>
                <w:noProof/>
                <w:webHidden/>
              </w:rPr>
              <w:fldChar w:fldCharType="end"/>
            </w:r>
          </w:hyperlink>
        </w:p>
        <w:p w14:paraId="463722B3" w14:textId="788E602B" w:rsidR="00DB2481" w:rsidRDefault="00DB2481">
          <w:pPr>
            <w:pStyle w:val="TM1"/>
            <w:tabs>
              <w:tab w:val="right" w:leader="dot" w:pos="9060"/>
            </w:tabs>
            <w:rPr>
              <w:rFonts w:asciiTheme="minorHAnsi" w:eastAsiaTheme="minorEastAsia" w:hAnsiTheme="minorHAnsi"/>
              <w:noProof/>
              <w:sz w:val="24"/>
              <w:lang w:eastAsia="fr-BE"/>
            </w:rPr>
          </w:pPr>
          <w:hyperlink w:anchor="_Toc241505232" w:history="1">
            <w:r w:rsidRPr="00D55451">
              <w:rPr>
                <w:rStyle w:val="Lienhypertexte"/>
                <w:noProof/>
              </w:rPr>
              <w:t>Table des figures</w:t>
            </w:r>
            <w:r>
              <w:rPr>
                <w:noProof/>
                <w:webHidden/>
              </w:rPr>
              <w:tab/>
            </w:r>
            <w:r>
              <w:rPr>
                <w:noProof/>
                <w:webHidden/>
              </w:rPr>
              <w:fldChar w:fldCharType="begin"/>
            </w:r>
            <w:r>
              <w:rPr>
                <w:noProof/>
                <w:webHidden/>
              </w:rPr>
              <w:instrText xml:space="preserve"> PAGEREF _Toc241505232 \h </w:instrText>
            </w:r>
            <w:r>
              <w:rPr>
                <w:noProof/>
                <w:webHidden/>
              </w:rPr>
            </w:r>
            <w:r>
              <w:rPr>
                <w:noProof/>
                <w:webHidden/>
              </w:rPr>
              <w:fldChar w:fldCharType="separate"/>
            </w:r>
            <w:r>
              <w:rPr>
                <w:noProof/>
                <w:webHidden/>
              </w:rPr>
              <w:t>8</w:t>
            </w:r>
            <w:r>
              <w:rPr>
                <w:noProof/>
                <w:webHidden/>
              </w:rPr>
              <w:fldChar w:fldCharType="end"/>
            </w:r>
          </w:hyperlink>
        </w:p>
        <w:p w14:paraId="4C3B06B7" w14:textId="367596F4" w:rsidR="00DB2481" w:rsidRDefault="00DB2481">
          <w:pPr>
            <w:pStyle w:val="TM1"/>
            <w:tabs>
              <w:tab w:val="left" w:pos="480"/>
              <w:tab w:val="right" w:leader="dot" w:pos="9060"/>
            </w:tabs>
            <w:rPr>
              <w:rFonts w:asciiTheme="minorHAnsi" w:eastAsiaTheme="minorEastAsia" w:hAnsiTheme="minorHAnsi"/>
              <w:noProof/>
              <w:sz w:val="24"/>
              <w:lang w:eastAsia="fr-BE"/>
            </w:rPr>
          </w:pPr>
          <w:hyperlink w:anchor="_Toc241505233" w:history="1">
            <w:r w:rsidRPr="00D55451">
              <w:rPr>
                <w:rStyle w:val="Lienhypertexte"/>
                <w:noProof/>
              </w:rPr>
              <w:t>1.</w:t>
            </w:r>
            <w:r>
              <w:rPr>
                <w:rFonts w:asciiTheme="minorHAnsi" w:eastAsiaTheme="minorEastAsia" w:hAnsiTheme="minorHAnsi"/>
                <w:noProof/>
                <w:sz w:val="24"/>
                <w:lang w:eastAsia="fr-BE"/>
              </w:rPr>
              <w:tab/>
            </w:r>
            <w:r w:rsidRPr="00D55451">
              <w:rPr>
                <w:rStyle w:val="Lienhypertexte"/>
                <w:noProof/>
              </w:rPr>
              <w:t>Indicateurs physiques</w:t>
            </w:r>
            <w:r>
              <w:rPr>
                <w:noProof/>
                <w:webHidden/>
              </w:rPr>
              <w:tab/>
            </w:r>
            <w:r>
              <w:rPr>
                <w:noProof/>
                <w:webHidden/>
              </w:rPr>
              <w:fldChar w:fldCharType="begin"/>
            </w:r>
            <w:r>
              <w:rPr>
                <w:noProof/>
                <w:webHidden/>
              </w:rPr>
              <w:instrText xml:space="preserve"> PAGEREF _Toc241505233 \h </w:instrText>
            </w:r>
            <w:r>
              <w:rPr>
                <w:noProof/>
                <w:webHidden/>
              </w:rPr>
            </w:r>
            <w:r>
              <w:rPr>
                <w:noProof/>
                <w:webHidden/>
              </w:rPr>
              <w:fldChar w:fldCharType="separate"/>
            </w:r>
            <w:r>
              <w:rPr>
                <w:noProof/>
                <w:webHidden/>
              </w:rPr>
              <w:t>9</w:t>
            </w:r>
            <w:r>
              <w:rPr>
                <w:noProof/>
                <w:webHidden/>
              </w:rPr>
              <w:fldChar w:fldCharType="end"/>
            </w:r>
          </w:hyperlink>
        </w:p>
        <w:p w14:paraId="0F7D8495" w14:textId="4B13C88F"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34" w:history="1">
            <w:r w:rsidRPr="00D55451">
              <w:rPr>
                <w:rStyle w:val="Lienhypertexte"/>
                <w:rFonts w:cs="Calibri"/>
                <w:noProof/>
              </w:rPr>
              <w:t>1.1.</w:t>
            </w:r>
            <w:r>
              <w:rPr>
                <w:rFonts w:asciiTheme="minorHAnsi" w:eastAsiaTheme="minorEastAsia" w:hAnsiTheme="minorHAnsi"/>
                <w:noProof/>
                <w:sz w:val="24"/>
                <w:lang w:eastAsia="fr-BE"/>
              </w:rPr>
              <w:tab/>
            </w:r>
            <w:r w:rsidRPr="00D55451">
              <w:rPr>
                <w:rStyle w:val="Lienhypertexte"/>
                <w:noProof/>
              </w:rPr>
              <w:t>Texture</w:t>
            </w:r>
            <w:r>
              <w:rPr>
                <w:noProof/>
                <w:webHidden/>
              </w:rPr>
              <w:tab/>
            </w:r>
            <w:r>
              <w:rPr>
                <w:noProof/>
                <w:webHidden/>
              </w:rPr>
              <w:fldChar w:fldCharType="begin"/>
            </w:r>
            <w:r>
              <w:rPr>
                <w:noProof/>
                <w:webHidden/>
              </w:rPr>
              <w:instrText xml:space="preserve"> PAGEREF _Toc241505234 \h </w:instrText>
            </w:r>
            <w:r>
              <w:rPr>
                <w:noProof/>
                <w:webHidden/>
              </w:rPr>
            </w:r>
            <w:r>
              <w:rPr>
                <w:noProof/>
                <w:webHidden/>
              </w:rPr>
              <w:fldChar w:fldCharType="separate"/>
            </w:r>
            <w:r>
              <w:rPr>
                <w:noProof/>
                <w:webHidden/>
              </w:rPr>
              <w:t>9</w:t>
            </w:r>
            <w:r>
              <w:rPr>
                <w:noProof/>
                <w:webHidden/>
              </w:rPr>
              <w:fldChar w:fldCharType="end"/>
            </w:r>
          </w:hyperlink>
        </w:p>
        <w:p w14:paraId="5D540365" w14:textId="50D4DB83"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35" w:history="1">
            <w:r w:rsidRPr="00D55451">
              <w:rPr>
                <w:rStyle w:val="Lienhypertexte"/>
                <w:noProof/>
              </w:rPr>
              <w:t>1.1.1.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_Toc241505235 \h </w:instrText>
            </w:r>
            <w:r>
              <w:rPr>
                <w:noProof/>
                <w:webHidden/>
              </w:rPr>
            </w:r>
            <w:r>
              <w:rPr>
                <w:noProof/>
                <w:webHidden/>
              </w:rPr>
              <w:fldChar w:fldCharType="separate"/>
            </w:r>
            <w:r>
              <w:rPr>
                <w:noProof/>
                <w:webHidden/>
              </w:rPr>
              <w:t>9</w:t>
            </w:r>
            <w:r>
              <w:rPr>
                <w:noProof/>
                <w:webHidden/>
              </w:rPr>
              <w:fldChar w:fldCharType="end"/>
            </w:r>
          </w:hyperlink>
        </w:p>
        <w:p w14:paraId="7B132D87" w14:textId="4CCC6F2C"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36" w:history="1">
            <w:r w:rsidRPr="00D55451">
              <w:rPr>
                <w:rStyle w:val="Lienhypertexte"/>
                <w:noProof/>
              </w:rPr>
              <w:t>1.1.2.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_Toc241505236 \h </w:instrText>
            </w:r>
            <w:r>
              <w:rPr>
                <w:noProof/>
                <w:webHidden/>
              </w:rPr>
            </w:r>
            <w:r>
              <w:rPr>
                <w:noProof/>
                <w:webHidden/>
              </w:rPr>
              <w:fldChar w:fldCharType="separate"/>
            </w:r>
            <w:r>
              <w:rPr>
                <w:noProof/>
                <w:webHidden/>
              </w:rPr>
              <w:t>9</w:t>
            </w:r>
            <w:r>
              <w:rPr>
                <w:noProof/>
                <w:webHidden/>
              </w:rPr>
              <w:fldChar w:fldCharType="end"/>
            </w:r>
          </w:hyperlink>
        </w:p>
        <w:p w14:paraId="29C68D34" w14:textId="5F9E02A4"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37" w:history="1">
            <w:r w:rsidRPr="00D55451">
              <w:rPr>
                <w:rStyle w:val="Lienhypertexte"/>
                <w:noProof/>
              </w:rPr>
              <w:t>1.1.3.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_Toc241505237 \h </w:instrText>
            </w:r>
            <w:r>
              <w:rPr>
                <w:noProof/>
                <w:webHidden/>
              </w:rPr>
            </w:r>
            <w:r>
              <w:rPr>
                <w:noProof/>
                <w:webHidden/>
              </w:rPr>
              <w:fldChar w:fldCharType="separate"/>
            </w:r>
            <w:r>
              <w:rPr>
                <w:noProof/>
                <w:webHidden/>
              </w:rPr>
              <w:t>9</w:t>
            </w:r>
            <w:r>
              <w:rPr>
                <w:noProof/>
                <w:webHidden/>
              </w:rPr>
              <w:fldChar w:fldCharType="end"/>
            </w:r>
          </w:hyperlink>
        </w:p>
        <w:p w14:paraId="4123D2CA" w14:textId="41D3FE5B"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38" w:history="1">
            <w:r w:rsidRPr="00D55451">
              <w:rPr>
                <w:rStyle w:val="Lienhypertexte"/>
                <w:noProof/>
              </w:rPr>
              <w:t>1.1.4.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_Toc241505238 \h </w:instrText>
            </w:r>
            <w:r>
              <w:rPr>
                <w:noProof/>
                <w:webHidden/>
              </w:rPr>
            </w:r>
            <w:r>
              <w:rPr>
                <w:noProof/>
                <w:webHidden/>
              </w:rPr>
              <w:fldChar w:fldCharType="separate"/>
            </w:r>
            <w:r>
              <w:rPr>
                <w:noProof/>
                <w:webHidden/>
              </w:rPr>
              <w:t>9</w:t>
            </w:r>
            <w:r>
              <w:rPr>
                <w:noProof/>
                <w:webHidden/>
              </w:rPr>
              <w:fldChar w:fldCharType="end"/>
            </w:r>
          </w:hyperlink>
        </w:p>
        <w:p w14:paraId="165A737D" w14:textId="18B58622"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39" w:history="1">
            <w:r w:rsidRPr="00D55451">
              <w:rPr>
                <w:rStyle w:val="Lienhypertexte"/>
                <w:rFonts w:cs="Calibri"/>
                <w:noProof/>
              </w:rPr>
              <w:t>1.2.</w:t>
            </w:r>
            <w:r>
              <w:rPr>
                <w:rFonts w:asciiTheme="minorHAnsi" w:eastAsiaTheme="minorEastAsia" w:hAnsiTheme="minorHAnsi"/>
                <w:noProof/>
                <w:sz w:val="24"/>
                <w:lang w:eastAsia="fr-BE"/>
              </w:rPr>
              <w:tab/>
            </w:r>
            <w:r w:rsidRPr="00D55451">
              <w:rPr>
                <w:rStyle w:val="Lienhypertexte"/>
                <w:noProof/>
              </w:rPr>
              <w:t>Profondeur de sol</w:t>
            </w:r>
            <w:r>
              <w:rPr>
                <w:noProof/>
                <w:webHidden/>
              </w:rPr>
              <w:tab/>
            </w:r>
            <w:r>
              <w:rPr>
                <w:noProof/>
                <w:webHidden/>
              </w:rPr>
              <w:fldChar w:fldCharType="begin"/>
            </w:r>
            <w:r>
              <w:rPr>
                <w:noProof/>
                <w:webHidden/>
              </w:rPr>
              <w:instrText xml:space="preserve"> PAGEREF _Toc241505239 \h </w:instrText>
            </w:r>
            <w:r>
              <w:rPr>
                <w:noProof/>
                <w:webHidden/>
              </w:rPr>
            </w:r>
            <w:r>
              <w:rPr>
                <w:noProof/>
                <w:webHidden/>
              </w:rPr>
              <w:fldChar w:fldCharType="separate"/>
            </w:r>
            <w:r>
              <w:rPr>
                <w:noProof/>
                <w:webHidden/>
              </w:rPr>
              <w:t>9</w:t>
            </w:r>
            <w:r>
              <w:rPr>
                <w:noProof/>
                <w:webHidden/>
              </w:rPr>
              <w:fldChar w:fldCharType="end"/>
            </w:r>
          </w:hyperlink>
        </w:p>
        <w:p w14:paraId="270D4FAA" w14:textId="78311795"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40" w:history="1">
            <w:r w:rsidRPr="00D55451">
              <w:rPr>
                <w:rStyle w:val="Lienhypertexte"/>
                <w:noProof/>
              </w:rPr>
              <w:t>1.2.1.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_Toc241505240 \h </w:instrText>
            </w:r>
            <w:r>
              <w:rPr>
                <w:noProof/>
                <w:webHidden/>
              </w:rPr>
            </w:r>
            <w:r>
              <w:rPr>
                <w:noProof/>
                <w:webHidden/>
              </w:rPr>
              <w:fldChar w:fldCharType="separate"/>
            </w:r>
            <w:r>
              <w:rPr>
                <w:noProof/>
                <w:webHidden/>
              </w:rPr>
              <w:t>9</w:t>
            </w:r>
            <w:r>
              <w:rPr>
                <w:noProof/>
                <w:webHidden/>
              </w:rPr>
              <w:fldChar w:fldCharType="end"/>
            </w:r>
          </w:hyperlink>
        </w:p>
        <w:p w14:paraId="44B5EAA6" w14:textId="7A2F6A28"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41" w:history="1">
            <w:r w:rsidRPr="00D55451">
              <w:rPr>
                <w:rStyle w:val="Lienhypertexte"/>
                <w:noProof/>
              </w:rPr>
              <w:t>1.2.2.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_Toc241505241 \h </w:instrText>
            </w:r>
            <w:r>
              <w:rPr>
                <w:noProof/>
                <w:webHidden/>
              </w:rPr>
            </w:r>
            <w:r>
              <w:rPr>
                <w:noProof/>
                <w:webHidden/>
              </w:rPr>
              <w:fldChar w:fldCharType="separate"/>
            </w:r>
            <w:r>
              <w:rPr>
                <w:noProof/>
                <w:webHidden/>
              </w:rPr>
              <w:t>9</w:t>
            </w:r>
            <w:r>
              <w:rPr>
                <w:noProof/>
                <w:webHidden/>
              </w:rPr>
              <w:fldChar w:fldCharType="end"/>
            </w:r>
          </w:hyperlink>
        </w:p>
        <w:p w14:paraId="11F7BD7F" w14:textId="4ABDCCC5"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42" w:history="1">
            <w:r w:rsidRPr="00D55451">
              <w:rPr>
                <w:rStyle w:val="Lienhypertexte"/>
                <w:noProof/>
              </w:rPr>
              <w:t>1.2.3.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_Toc241505242 \h </w:instrText>
            </w:r>
            <w:r>
              <w:rPr>
                <w:noProof/>
                <w:webHidden/>
              </w:rPr>
            </w:r>
            <w:r>
              <w:rPr>
                <w:noProof/>
                <w:webHidden/>
              </w:rPr>
              <w:fldChar w:fldCharType="separate"/>
            </w:r>
            <w:r>
              <w:rPr>
                <w:noProof/>
                <w:webHidden/>
              </w:rPr>
              <w:t>10</w:t>
            </w:r>
            <w:r>
              <w:rPr>
                <w:noProof/>
                <w:webHidden/>
              </w:rPr>
              <w:fldChar w:fldCharType="end"/>
            </w:r>
          </w:hyperlink>
        </w:p>
        <w:p w14:paraId="682D66C9" w14:textId="44844A3D"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43" w:history="1">
            <w:r w:rsidRPr="00D55451">
              <w:rPr>
                <w:rStyle w:val="Lienhypertexte"/>
                <w:noProof/>
              </w:rPr>
              <w:t>1.2.4.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_Toc241505243 \h </w:instrText>
            </w:r>
            <w:r>
              <w:rPr>
                <w:noProof/>
                <w:webHidden/>
              </w:rPr>
            </w:r>
            <w:r>
              <w:rPr>
                <w:noProof/>
                <w:webHidden/>
              </w:rPr>
              <w:fldChar w:fldCharType="separate"/>
            </w:r>
            <w:r>
              <w:rPr>
                <w:noProof/>
                <w:webHidden/>
              </w:rPr>
              <w:t>10</w:t>
            </w:r>
            <w:r>
              <w:rPr>
                <w:noProof/>
                <w:webHidden/>
              </w:rPr>
              <w:fldChar w:fldCharType="end"/>
            </w:r>
          </w:hyperlink>
        </w:p>
        <w:p w14:paraId="30CD08F5" w14:textId="64B0D57A"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44" w:history="1">
            <w:r w:rsidRPr="00D55451">
              <w:rPr>
                <w:rStyle w:val="Lienhypertexte"/>
                <w:rFonts w:cs="Calibri"/>
                <w:noProof/>
              </w:rPr>
              <w:t>1.3.</w:t>
            </w:r>
            <w:r>
              <w:rPr>
                <w:rFonts w:asciiTheme="minorHAnsi" w:eastAsiaTheme="minorEastAsia" w:hAnsiTheme="minorHAnsi"/>
                <w:noProof/>
                <w:sz w:val="24"/>
                <w:lang w:eastAsia="fr-BE"/>
              </w:rPr>
              <w:tab/>
            </w:r>
            <w:r w:rsidRPr="00D55451">
              <w:rPr>
                <w:rStyle w:val="Lienhypertexte"/>
                <w:noProof/>
              </w:rPr>
              <w:t>Charge volumique en éléments grossiers (%</w:t>
            </w:r>
            <w:r w:rsidRPr="00D55451">
              <w:rPr>
                <w:rStyle w:val="Lienhypertexte"/>
                <w:noProof/>
                <w:vertAlign w:val="subscript"/>
              </w:rPr>
              <w:t>vol</w:t>
            </w:r>
            <w:r w:rsidRPr="00D55451">
              <w:rPr>
                <w:rStyle w:val="Lienhypertexte"/>
                <w:noProof/>
              </w:rPr>
              <w:t xml:space="preserve"> EG)</w:t>
            </w:r>
            <w:r>
              <w:rPr>
                <w:noProof/>
                <w:webHidden/>
              </w:rPr>
              <w:tab/>
            </w:r>
            <w:r>
              <w:rPr>
                <w:noProof/>
                <w:webHidden/>
              </w:rPr>
              <w:fldChar w:fldCharType="begin"/>
            </w:r>
            <w:r>
              <w:rPr>
                <w:noProof/>
                <w:webHidden/>
              </w:rPr>
              <w:instrText xml:space="preserve"> PAGEREF _Toc241505244 \h </w:instrText>
            </w:r>
            <w:r>
              <w:rPr>
                <w:noProof/>
                <w:webHidden/>
              </w:rPr>
            </w:r>
            <w:r>
              <w:rPr>
                <w:noProof/>
                <w:webHidden/>
              </w:rPr>
              <w:fldChar w:fldCharType="separate"/>
            </w:r>
            <w:r>
              <w:rPr>
                <w:noProof/>
                <w:webHidden/>
              </w:rPr>
              <w:t>10</w:t>
            </w:r>
            <w:r>
              <w:rPr>
                <w:noProof/>
                <w:webHidden/>
              </w:rPr>
              <w:fldChar w:fldCharType="end"/>
            </w:r>
          </w:hyperlink>
        </w:p>
        <w:p w14:paraId="44DD73F9" w14:textId="1ECDE7CE"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45" w:history="1">
            <w:r w:rsidRPr="00D55451">
              <w:rPr>
                <w:rStyle w:val="Lienhypertexte"/>
                <w:noProof/>
              </w:rPr>
              <w:t>1.3.1.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_Toc241505245 \h </w:instrText>
            </w:r>
            <w:r>
              <w:rPr>
                <w:noProof/>
                <w:webHidden/>
              </w:rPr>
            </w:r>
            <w:r>
              <w:rPr>
                <w:noProof/>
                <w:webHidden/>
              </w:rPr>
              <w:fldChar w:fldCharType="separate"/>
            </w:r>
            <w:r>
              <w:rPr>
                <w:noProof/>
                <w:webHidden/>
              </w:rPr>
              <w:t>10</w:t>
            </w:r>
            <w:r>
              <w:rPr>
                <w:noProof/>
                <w:webHidden/>
              </w:rPr>
              <w:fldChar w:fldCharType="end"/>
            </w:r>
          </w:hyperlink>
        </w:p>
        <w:p w14:paraId="7EB6F08B" w14:textId="01660E5B"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46" w:history="1">
            <w:r w:rsidRPr="00D55451">
              <w:rPr>
                <w:rStyle w:val="Lienhypertexte"/>
                <w:noProof/>
              </w:rPr>
              <w:t>1.3.2.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_Toc241505246 \h </w:instrText>
            </w:r>
            <w:r>
              <w:rPr>
                <w:noProof/>
                <w:webHidden/>
              </w:rPr>
            </w:r>
            <w:r>
              <w:rPr>
                <w:noProof/>
                <w:webHidden/>
              </w:rPr>
              <w:fldChar w:fldCharType="separate"/>
            </w:r>
            <w:r>
              <w:rPr>
                <w:noProof/>
                <w:webHidden/>
              </w:rPr>
              <w:t>10</w:t>
            </w:r>
            <w:r>
              <w:rPr>
                <w:noProof/>
                <w:webHidden/>
              </w:rPr>
              <w:fldChar w:fldCharType="end"/>
            </w:r>
          </w:hyperlink>
        </w:p>
        <w:p w14:paraId="4B370393" w14:textId="3DB46F0D"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47" w:history="1">
            <w:r w:rsidRPr="00D55451">
              <w:rPr>
                <w:rStyle w:val="Lienhypertexte"/>
                <w:noProof/>
              </w:rPr>
              <w:t>1.3.3.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_Toc241505247 \h </w:instrText>
            </w:r>
            <w:r>
              <w:rPr>
                <w:noProof/>
                <w:webHidden/>
              </w:rPr>
            </w:r>
            <w:r>
              <w:rPr>
                <w:noProof/>
                <w:webHidden/>
              </w:rPr>
              <w:fldChar w:fldCharType="separate"/>
            </w:r>
            <w:r>
              <w:rPr>
                <w:noProof/>
                <w:webHidden/>
              </w:rPr>
              <w:t>10</w:t>
            </w:r>
            <w:r>
              <w:rPr>
                <w:noProof/>
                <w:webHidden/>
              </w:rPr>
              <w:fldChar w:fldCharType="end"/>
            </w:r>
          </w:hyperlink>
        </w:p>
        <w:p w14:paraId="1890FAA4" w14:textId="18DC2658"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48" w:history="1">
            <w:r w:rsidRPr="00D55451">
              <w:rPr>
                <w:rStyle w:val="Lienhypertexte"/>
                <w:noProof/>
              </w:rPr>
              <w:t>1.3.4.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_Toc241505248 \h </w:instrText>
            </w:r>
            <w:r>
              <w:rPr>
                <w:noProof/>
                <w:webHidden/>
              </w:rPr>
            </w:r>
            <w:r>
              <w:rPr>
                <w:noProof/>
                <w:webHidden/>
              </w:rPr>
              <w:fldChar w:fldCharType="separate"/>
            </w:r>
            <w:r>
              <w:rPr>
                <w:noProof/>
                <w:webHidden/>
              </w:rPr>
              <w:t>10</w:t>
            </w:r>
            <w:r>
              <w:rPr>
                <w:noProof/>
                <w:webHidden/>
              </w:rPr>
              <w:fldChar w:fldCharType="end"/>
            </w:r>
          </w:hyperlink>
        </w:p>
        <w:p w14:paraId="0CEC300F" w14:textId="34443B63"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49" w:history="1">
            <w:r w:rsidRPr="00D55451">
              <w:rPr>
                <w:rStyle w:val="Lienhypertexte"/>
                <w:rFonts w:cs="Calibri"/>
                <w:noProof/>
              </w:rPr>
              <w:t>1.4.</w:t>
            </w:r>
            <w:r>
              <w:rPr>
                <w:rFonts w:asciiTheme="minorHAnsi" w:eastAsiaTheme="minorEastAsia" w:hAnsiTheme="minorHAnsi"/>
                <w:noProof/>
                <w:sz w:val="24"/>
                <w:lang w:eastAsia="fr-BE"/>
              </w:rPr>
              <w:tab/>
            </w:r>
            <w:r w:rsidRPr="00D55451">
              <w:rPr>
                <w:rStyle w:val="Lienhypertexte"/>
                <w:noProof/>
              </w:rPr>
              <w:t>Taux de matière sèche (%</w:t>
            </w:r>
            <w:r w:rsidRPr="00D55451">
              <w:rPr>
                <w:rStyle w:val="Lienhypertexte"/>
                <w:noProof/>
                <w:vertAlign w:val="subscript"/>
              </w:rPr>
              <w:t>M.S.</w:t>
            </w:r>
            <w:r w:rsidRPr="00D55451">
              <w:rPr>
                <w:rStyle w:val="Lienhypertexte"/>
                <w:noProof/>
              </w:rPr>
              <w:t>)</w:t>
            </w:r>
            <w:r>
              <w:rPr>
                <w:noProof/>
                <w:webHidden/>
              </w:rPr>
              <w:tab/>
            </w:r>
            <w:r>
              <w:rPr>
                <w:noProof/>
                <w:webHidden/>
              </w:rPr>
              <w:fldChar w:fldCharType="begin"/>
            </w:r>
            <w:r>
              <w:rPr>
                <w:noProof/>
                <w:webHidden/>
              </w:rPr>
              <w:instrText xml:space="preserve"> PAGEREF _Toc241505249 \h </w:instrText>
            </w:r>
            <w:r>
              <w:rPr>
                <w:noProof/>
                <w:webHidden/>
              </w:rPr>
            </w:r>
            <w:r>
              <w:rPr>
                <w:noProof/>
                <w:webHidden/>
              </w:rPr>
              <w:fldChar w:fldCharType="separate"/>
            </w:r>
            <w:r>
              <w:rPr>
                <w:noProof/>
                <w:webHidden/>
              </w:rPr>
              <w:t>10</w:t>
            </w:r>
            <w:r>
              <w:rPr>
                <w:noProof/>
                <w:webHidden/>
              </w:rPr>
              <w:fldChar w:fldCharType="end"/>
            </w:r>
          </w:hyperlink>
        </w:p>
        <w:p w14:paraId="5BFC780E" w14:textId="7B4A998D"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50" w:history="1">
            <w:r w:rsidRPr="00D55451">
              <w:rPr>
                <w:rStyle w:val="Lienhypertexte"/>
                <w:noProof/>
              </w:rPr>
              <w:t>1.4.1.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_Toc241505250 \h </w:instrText>
            </w:r>
            <w:r>
              <w:rPr>
                <w:noProof/>
                <w:webHidden/>
              </w:rPr>
            </w:r>
            <w:r>
              <w:rPr>
                <w:noProof/>
                <w:webHidden/>
              </w:rPr>
              <w:fldChar w:fldCharType="separate"/>
            </w:r>
            <w:r>
              <w:rPr>
                <w:noProof/>
                <w:webHidden/>
              </w:rPr>
              <w:t>10</w:t>
            </w:r>
            <w:r>
              <w:rPr>
                <w:noProof/>
                <w:webHidden/>
              </w:rPr>
              <w:fldChar w:fldCharType="end"/>
            </w:r>
          </w:hyperlink>
        </w:p>
        <w:p w14:paraId="7F968B4C" w14:textId="0F82DED4"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51" w:history="1">
            <w:r w:rsidRPr="00D55451">
              <w:rPr>
                <w:rStyle w:val="Lienhypertexte"/>
                <w:noProof/>
              </w:rPr>
              <w:t>1.4.2.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_Toc241505251 \h </w:instrText>
            </w:r>
            <w:r>
              <w:rPr>
                <w:noProof/>
                <w:webHidden/>
              </w:rPr>
            </w:r>
            <w:r>
              <w:rPr>
                <w:noProof/>
                <w:webHidden/>
              </w:rPr>
              <w:fldChar w:fldCharType="separate"/>
            </w:r>
            <w:r>
              <w:rPr>
                <w:noProof/>
                <w:webHidden/>
              </w:rPr>
              <w:t>11</w:t>
            </w:r>
            <w:r>
              <w:rPr>
                <w:noProof/>
                <w:webHidden/>
              </w:rPr>
              <w:fldChar w:fldCharType="end"/>
            </w:r>
          </w:hyperlink>
        </w:p>
        <w:p w14:paraId="4D6AD71F" w14:textId="0105A1BA"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52" w:history="1">
            <w:r w:rsidRPr="00D55451">
              <w:rPr>
                <w:rStyle w:val="Lienhypertexte"/>
                <w:noProof/>
              </w:rPr>
              <w:t>1.4.3.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_Toc241505252 \h </w:instrText>
            </w:r>
            <w:r>
              <w:rPr>
                <w:noProof/>
                <w:webHidden/>
              </w:rPr>
            </w:r>
            <w:r>
              <w:rPr>
                <w:noProof/>
                <w:webHidden/>
              </w:rPr>
              <w:fldChar w:fldCharType="separate"/>
            </w:r>
            <w:r>
              <w:rPr>
                <w:noProof/>
                <w:webHidden/>
              </w:rPr>
              <w:t>11</w:t>
            </w:r>
            <w:r>
              <w:rPr>
                <w:noProof/>
                <w:webHidden/>
              </w:rPr>
              <w:fldChar w:fldCharType="end"/>
            </w:r>
          </w:hyperlink>
        </w:p>
        <w:p w14:paraId="16CBAB7D" w14:textId="121D3717"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53" w:history="1">
            <w:r w:rsidRPr="00D55451">
              <w:rPr>
                <w:rStyle w:val="Lienhypertexte"/>
                <w:noProof/>
              </w:rPr>
              <w:t>1.4.4.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_Toc241505253 \h </w:instrText>
            </w:r>
            <w:r>
              <w:rPr>
                <w:noProof/>
                <w:webHidden/>
              </w:rPr>
            </w:r>
            <w:r>
              <w:rPr>
                <w:noProof/>
                <w:webHidden/>
              </w:rPr>
              <w:fldChar w:fldCharType="separate"/>
            </w:r>
            <w:r>
              <w:rPr>
                <w:noProof/>
                <w:webHidden/>
              </w:rPr>
              <w:t>11</w:t>
            </w:r>
            <w:r>
              <w:rPr>
                <w:noProof/>
                <w:webHidden/>
              </w:rPr>
              <w:fldChar w:fldCharType="end"/>
            </w:r>
          </w:hyperlink>
        </w:p>
        <w:p w14:paraId="1E7E8B1E" w14:textId="27F6C9DB"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54" w:history="1">
            <w:r w:rsidRPr="00D55451">
              <w:rPr>
                <w:rStyle w:val="Lienhypertexte"/>
                <w:rFonts w:cs="Calibri"/>
                <w:noProof/>
              </w:rPr>
              <w:t>1.5.</w:t>
            </w:r>
            <w:r>
              <w:rPr>
                <w:rFonts w:asciiTheme="minorHAnsi" w:eastAsiaTheme="minorEastAsia" w:hAnsiTheme="minorHAnsi"/>
                <w:noProof/>
                <w:sz w:val="24"/>
                <w:lang w:eastAsia="fr-BE"/>
              </w:rPr>
              <w:tab/>
            </w:r>
            <w:r w:rsidRPr="00D55451">
              <w:rPr>
                <w:rStyle w:val="Lienhypertexte"/>
                <w:noProof/>
              </w:rPr>
              <w:t>Masse volumique apparente (</w:t>
            </w:r>
            <w:r w:rsidRPr="00D55451">
              <w:rPr>
                <w:rStyle w:val="Lienhypertexte"/>
                <w:rFonts w:cs="Calibri"/>
                <w:noProof/>
              </w:rPr>
              <w:t>ρ</w:t>
            </w:r>
            <w:r w:rsidRPr="00D55451">
              <w:rPr>
                <w:rStyle w:val="Lienhypertexte"/>
                <w:rFonts w:cs="Calibri"/>
                <w:noProof/>
                <w:vertAlign w:val="subscript"/>
              </w:rPr>
              <w:t>b</w:t>
            </w:r>
            <w:r w:rsidRPr="00D55451">
              <w:rPr>
                <w:rStyle w:val="Lienhypertexte"/>
                <w:noProof/>
              </w:rPr>
              <w:t>)</w:t>
            </w:r>
            <w:r>
              <w:rPr>
                <w:noProof/>
                <w:webHidden/>
              </w:rPr>
              <w:tab/>
            </w:r>
            <w:r>
              <w:rPr>
                <w:noProof/>
                <w:webHidden/>
              </w:rPr>
              <w:fldChar w:fldCharType="begin"/>
            </w:r>
            <w:r>
              <w:rPr>
                <w:noProof/>
                <w:webHidden/>
              </w:rPr>
              <w:instrText xml:space="preserve"> PAGEREF _Toc241505254 \h </w:instrText>
            </w:r>
            <w:r>
              <w:rPr>
                <w:noProof/>
                <w:webHidden/>
              </w:rPr>
            </w:r>
            <w:r>
              <w:rPr>
                <w:noProof/>
                <w:webHidden/>
              </w:rPr>
              <w:fldChar w:fldCharType="separate"/>
            </w:r>
            <w:r>
              <w:rPr>
                <w:noProof/>
                <w:webHidden/>
              </w:rPr>
              <w:t>11</w:t>
            </w:r>
            <w:r>
              <w:rPr>
                <w:noProof/>
                <w:webHidden/>
              </w:rPr>
              <w:fldChar w:fldCharType="end"/>
            </w:r>
          </w:hyperlink>
        </w:p>
        <w:p w14:paraId="77ABB3EB" w14:textId="4A1343B0"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55" w:history="1">
            <w:r w:rsidRPr="00D55451">
              <w:rPr>
                <w:rStyle w:val="Lienhypertexte"/>
                <w:noProof/>
              </w:rPr>
              <w:t>1.5.1.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_Toc241505255 \h </w:instrText>
            </w:r>
            <w:r>
              <w:rPr>
                <w:noProof/>
                <w:webHidden/>
              </w:rPr>
            </w:r>
            <w:r>
              <w:rPr>
                <w:noProof/>
                <w:webHidden/>
              </w:rPr>
              <w:fldChar w:fldCharType="separate"/>
            </w:r>
            <w:r>
              <w:rPr>
                <w:noProof/>
                <w:webHidden/>
              </w:rPr>
              <w:t>11</w:t>
            </w:r>
            <w:r>
              <w:rPr>
                <w:noProof/>
                <w:webHidden/>
              </w:rPr>
              <w:fldChar w:fldCharType="end"/>
            </w:r>
          </w:hyperlink>
        </w:p>
        <w:p w14:paraId="11223D27" w14:textId="27DBE676"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56" w:history="1">
            <w:r w:rsidRPr="00D55451">
              <w:rPr>
                <w:rStyle w:val="Lienhypertexte"/>
                <w:noProof/>
              </w:rPr>
              <w:t>1.5.2.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_Toc241505256 \h </w:instrText>
            </w:r>
            <w:r>
              <w:rPr>
                <w:noProof/>
                <w:webHidden/>
              </w:rPr>
            </w:r>
            <w:r>
              <w:rPr>
                <w:noProof/>
                <w:webHidden/>
              </w:rPr>
              <w:fldChar w:fldCharType="separate"/>
            </w:r>
            <w:r>
              <w:rPr>
                <w:noProof/>
                <w:webHidden/>
              </w:rPr>
              <w:t>11</w:t>
            </w:r>
            <w:r>
              <w:rPr>
                <w:noProof/>
                <w:webHidden/>
              </w:rPr>
              <w:fldChar w:fldCharType="end"/>
            </w:r>
          </w:hyperlink>
        </w:p>
        <w:p w14:paraId="6990C187" w14:textId="3827BA7E"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57" w:history="1">
            <w:r w:rsidRPr="00D55451">
              <w:rPr>
                <w:rStyle w:val="Lienhypertexte"/>
                <w:noProof/>
              </w:rPr>
              <w:t>1.5.3.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_Toc241505257 \h </w:instrText>
            </w:r>
            <w:r>
              <w:rPr>
                <w:noProof/>
                <w:webHidden/>
              </w:rPr>
            </w:r>
            <w:r>
              <w:rPr>
                <w:noProof/>
                <w:webHidden/>
              </w:rPr>
              <w:fldChar w:fldCharType="separate"/>
            </w:r>
            <w:r>
              <w:rPr>
                <w:noProof/>
                <w:webHidden/>
              </w:rPr>
              <w:t>11</w:t>
            </w:r>
            <w:r>
              <w:rPr>
                <w:noProof/>
                <w:webHidden/>
              </w:rPr>
              <w:fldChar w:fldCharType="end"/>
            </w:r>
          </w:hyperlink>
        </w:p>
        <w:p w14:paraId="715D595E" w14:textId="5B8EC19D"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58" w:history="1">
            <w:r w:rsidRPr="00D55451">
              <w:rPr>
                <w:rStyle w:val="Lienhypertexte"/>
                <w:noProof/>
              </w:rPr>
              <w:t>1.5.4.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_Toc241505258 \h </w:instrText>
            </w:r>
            <w:r>
              <w:rPr>
                <w:noProof/>
                <w:webHidden/>
              </w:rPr>
            </w:r>
            <w:r>
              <w:rPr>
                <w:noProof/>
                <w:webHidden/>
              </w:rPr>
              <w:fldChar w:fldCharType="separate"/>
            </w:r>
            <w:r>
              <w:rPr>
                <w:noProof/>
                <w:webHidden/>
              </w:rPr>
              <w:t>11</w:t>
            </w:r>
            <w:r>
              <w:rPr>
                <w:noProof/>
                <w:webHidden/>
              </w:rPr>
              <w:fldChar w:fldCharType="end"/>
            </w:r>
          </w:hyperlink>
        </w:p>
        <w:p w14:paraId="253A589F" w14:textId="255FDEBA"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59" w:history="1">
            <w:r w:rsidRPr="00D55451">
              <w:rPr>
                <w:rStyle w:val="Lienhypertexte"/>
                <w:rFonts w:cs="Calibri"/>
                <w:noProof/>
              </w:rPr>
              <w:t>1.6.</w:t>
            </w:r>
            <w:r>
              <w:rPr>
                <w:rFonts w:asciiTheme="minorHAnsi" w:eastAsiaTheme="minorEastAsia" w:hAnsiTheme="minorHAnsi"/>
                <w:noProof/>
                <w:sz w:val="24"/>
                <w:lang w:eastAsia="fr-BE"/>
              </w:rPr>
              <w:tab/>
            </w:r>
            <w:r w:rsidRPr="00D55451">
              <w:rPr>
                <w:rStyle w:val="Lienhypertexte"/>
                <w:noProof/>
              </w:rPr>
              <w:t>Qualité structurale (VESS)</w:t>
            </w:r>
            <w:r>
              <w:rPr>
                <w:noProof/>
                <w:webHidden/>
              </w:rPr>
              <w:tab/>
            </w:r>
            <w:r>
              <w:rPr>
                <w:noProof/>
                <w:webHidden/>
              </w:rPr>
              <w:fldChar w:fldCharType="begin"/>
            </w:r>
            <w:r>
              <w:rPr>
                <w:noProof/>
                <w:webHidden/>
              </w:rPr>
              <w:instrText xml:space="preserve"> PAGEREF _Toc241505259 \h </w:instrText>
            </w:r>
            <w:r>
              <w:rPr>
                <w:noProof/>
                <w:webHidden/>
              </w:rPr>
            </w:r>
            <w:r>
              <w:rPr>
                <w:noProof/>
                <w:webHidden/>
              </w:rPr>
              <w:fldChar w:fldCharType="separate"/>
            </w:r>
            <w:r>
              <w:rPr>
                <w:noProof/>
                <w:webHidden/>
              </w:rPr>
              <w:t>13</w:t>
            </w:r>
            <w:r>
              <w:rPr>
                <w:noProof/>
                <w:webHidden/>
              </w:rPr>
              <w:fldChar w:fldCharType="end"/>
            </w:r>
          </w:hyperlink>
        </w:p>
        <w:p w14:paraId="4A668DC6" w14:textId="4518F5DC"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60" w:history="1">
            <w:r w:rsidRPr="00D55451">
              <w:rPr>
                <w:rStyle w:val="Lienhypertexte"/>
                <w:noProof/>
              </w:rPr>
              <w:t>1.6.1.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_Toc241505260 \h </w:instrText>
            </w:r>
            <w:r>
              <w:rPr>
                <w:noProof/>
                <w:webHidden/>
              </w:rPr>
            </w:r>
            <w:r>
              <w:rPr>
                <w:noProof/>
                <w:webHidden/>
              </w:rPr>
              <w:fldChar w:fldCharType="separate"/>
            </w:r>
            <w:r>
              <w:rPr>
                <w:noProof/>
                <w:webHidden/>
              </w:rPr>
              <w:t>13</w:t>
            </w:r>
            <w:r>
              <w:rPr>
                <w:noProof/>
                <w:webHidden/>
              </w:rPr>
              <w:fldChar w:fldCharType="end"/>
            </w:r>
          </w:hyperlink>
        </w:p>
        <w:p w14:paraId="5B59BFBE" w14:textId="4153E8BE"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61" w:history="1">
            <w:r w:rsidRPr="00D55451">
              <w:rPr>
                <w:rStyle w:val="Lienhypertexte"/>
                <w:noProof/>
              </w:rPr>
              <w:t>1.6.2.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_Toc241505261 \h </w:instrText>
            </w:r>
            <w:r>
              <w:rPr>
                <w:noProof/>
                <w:webHidden/>
              </w:rPr>
            </w:r>
            <w:r>
              <w:rPr>
                <w:noProof/>
                <w:webHidden/>
              </w:rPr>
              <w:fldChar w:fldCharType="separate"/>
            </w:r>
            <w:r>
              <w:rPr>
                <w:noProof/>
                <w:webHidden/>
              </w:rPr>
              <w:t>13</w:t>
            </w:r>
            <w:r>
              <w:rPr>
                <w:noProof/>
                <w:webHidden/>
              </w:rPr>
              <w:fldChar w:fldCharType="end"/>
            </w:r>
          </w:hyperlink>
        </w:p>
        <w:p w14:paraId="1D1DBB8F" w14:textId="71BF33DC"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62" w:history="1">
            <w:r w:rsidRPr="00D55451">
              <w:rPr>
                <w:rStyle w:val="Lienhypertexte"/>
                <w:noProof/>
              </w:rPr>
              <w:t>1.6.3.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_Toc241505262 \h </w:instrText>
            </w:r>
            <w:r>
              <w:rPr>
                <w:noProof/>
                <w:webHidden/>
              </w:rPr>
            </w:r>
            <w:r>
              <w:rPr>
                <w:noProof/>
                <w:webHidden/>
              </w:rPr>
              <w:fldChar w:fldCharType="separate"/>
            </w:r>
            <w:r>
              <w:rPr>
                <w:noProof/>
                <w:webHidden/>
              </w:rPr>
              <w:t>13</w:t>
            </w:r>
            <w:r>
              <w:rPr>
                <w:noProof/>
                <w:webHidden/>
              </w:rPr>
              <w:fldChar w:fldCharType="end"/>
            </w:r>
          </w:hyperlink>
        </w:p>
        <w:p w14:paraId="18B12722" w14:textId="4E36102B"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63" w:history="1">
            <w:r w:rsidRPr="00D55451">
              <w:rPr>
                <w:rStyle w:val="Lienhypertexte"/>
                <w:noProof/>
              </w:rPr>
              <w:t>1.6.4.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_Toc241505263 \h </w:instrText>
            </w:r>
            <w:r>
              <w:rPr>
                <w:noProof/>
                <w:webHidden/>
              </w:rPr>
            </w:r>
            <w:r>
              <w:rPr>
                <w:noProof/>
                <w:webHidden/>
              </w:rPr>
              <w:fldChar w:fldCharType="separate"/>
            </w:r>
            <w:r>
              <w:rPr>
                <w:noProof/>
                <w:webHidden/>
              </w:rPr>
              <w:t>13</w:t>
            </w:r>
            <w:r>
              <w:rPr>
                <w:noProof/>
                <w:webHidden/>
              </w:rPr>
              <w:fldChar w:fldCharType="end"/>
            </w:r>
          </w:hyperlink>
        </w:p>
        <w:p w14:paraId="5F36F015" w14:textId="1076F030"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64" w:history="1">
            <w:r w:rsidRPr="00D55451">
              <w:rPr>
                <w:rStyle w:val="Lienhypertexte"/>
                <w:rFonts w:cs="Calibri"/>
                <w:noProof/>
              </w:rPr>
              <w:t>1.7.</w:t>
            </w:r>
            <w:r>
              <w:rPr>
                <w:rFonts w:asciiTheme="minorHAnsi" w:eastAsiaTheme="minorEastAsia" w:hAnsiTheme="minorHAnsi"/>
                <w:noProof/>
                <w:sz w:val="24"/>
                <w:lang w:eastAsia="fr-BE"/>
              </w:rPr>
              <w:tab/>
            </w:r>
            <w:r w:rsidRPr="00D55451">
              <w:rPr>
                <w:rStyle w:val="Lienhypertexte"/>
                <w:noProof/>
              </w:rPr>
              <w:t>Drainage (présence et profondeur d’apparition des taches d’hydromorphie)</w:t>
            </w:r>
            <w:r>
              <w:rPr>
                <w:noProof/>
                <w:webHidden/>
              </w:rPr>
              <w:tab/>
            </w:r>
            <w:r>
              <w:rPr>
                <w:noProof/>
                <w:webHidden/>
              </w:rPr>
              <w:fldChar w:fldCharType="begin"/>
            </w:r>
            <w:r>
              <w:rPr>
                <w:noProof/>
                <w:webHidden/>
              </w:rPr>
              <w:instrText xml:space="preserve"> PAGEREF _Toc241505264 \h </w:instrText>
            </w:r>
            <w:r>
              <w:rPr>
                <w:noProof/>
                <w:webHidden/>
              </w:rPr>
            </w:r>
            <w:r>
              <w:rPr>
                <w:noProof/>
                <w:webHidden/>
              </w:rPr>
              <w:fldChar w:fldCharType="separate"/>
            </w:r>
            <w:r>
              <w:rPr>
                <w:noProof/>
                <w:webHidden/>
              </w:rPr>
              <w:t>14</w:t>
            </w:r>
            <w:r>
              <w:rPr>
                <w:noProof/>
                <w:webHidden/>
              </w:rPr>
              <w:fldChar w:fldCharType="end"/>
            </w:r>
          </w:hyperlink>
        </w:p>
        <w:p w14:paraId="59A54053" w14:textId="34D963E4"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65" w:history="1">
            <w:r w:rsidRPr="00D55451">
              <w:rPr>
                <w:rStyle w:val="Lienhypertexte"/>
                <w:noProof/>
              </w:rPr>
              <w:t>1.7.1.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_Toc241505265 \h </w:instrText>
            </w:r>
            <w:r>
              <w:rPr>
                <w:noProof/>
                <w:webHidden/>
              </w:rPr>
            </w:r>
            <w:r>
              <w:rPr>
                <w:noProof/>
                <w:webHidden/>
              </w:rPr>
              <w:fldChar w:fldCharType="separate"/>
            </w:r>
            <w:r>
              <w:rPr>
                <w:noProof/>
                <w:webHidden/>
              </w:rPr>
              <w:t>14</w:t>
            </w:r>
            <w:r>
              <w:rPr>
                <w:noProof/>
                <w:webHidden/>
              </w:rPr>
              <w:fldChar w:fldCharType="end"/>
            </w:r>
          </w:hyperlink>
        </w:p>
        <w:p w14:paraId="33A1A32B" w14:textId="501FBAB7"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66" w:history="1">
            <w:r w:rsidRPr="00D55451">
              <w:rPr>
                <w:rStyle w:val="Lienhypertexte"/>
                <w:noProof/>
              </w:rPr>
              <w:t>1.7.2.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_Toc241505266 \h </w:instrText>
            </w:r>
            <w:r>
              <w:rPr>
                <w:noProof/>
                <w:webHidden/>
              </w:rPr>
            </w:r>
            <w:r>
              <w:rPr>
                <w:noProof/>
                <w:webHidden/>
              </w:rPr>
              <w:fldChar w:fldCharType="separate"/>
            </w:r>
            <w:r>
              <w:rPr>
                <w:noProof/>
                <w:webHidden/>
              </w:rPr>
              <w:t>15</w:t>
            </w:r>
            <w:r>
              <w:rPr>
                <w:noProof/>
                <w:webHidden/>
              </w:rPr>
              <w:fldChar w:fldCharType="end"/>
            </w:r>
          </w:hyperlink>
        </w:p>
        <w:p w14:paraId="5AFD7B7E" w14:textId="0E007779"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67" w:history="1">
            <w:r w:rsidRPr="00D55451">
              <w:rPr>
                <w:rStyle w:val="Lienhypertexte"/>
                <w:noProof/>
              </w:rPr>
              <w:t>1.7.3.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_Toc241505267 \h </w:instrText>
            </w:r>
            <w:r>
              <w:rPr>
                <w:noProof/>
                <w:webHidden/>
              </w:rPr>
            </w:r>
            <w:r>
              <w:rPr>
                <w:noProof/>
                <w:webHidden/>
              </w:rPr>
              <w:fldChar w:fldCharType="separate"/>
            </w:r>
            <w:r>
              <w:rPr>
                <w:noProof/>
                <w:webHidden/>
              </w:rPr>
              <w:t>15</w:t>
            </w:r>
            <w:r>
              <w:rPr>
                <w:noProof/>
                <w:webHidden/>
              </w:rPr>
              <w:fldChar w:fldCharType="end"/>
            </w:r>
          </w:hyperlink>
        </w:p>
        <w:p w14:paraId="49776691" w14:textId="29FEAECA"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68" w:history="1">
            <w:r w:rsidRPr="00D55451">
              <w:rPr>
                <w:rStyle w:val="Lienhypertexte"/>
                <w:noProof/>
              </w:rPr>
              <w:t>1.7.4.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_Toc241505268 \h </w:instrText>
            </w:r>
            <w:r>
              <w:rPr>
                <w:noProof/>
                <w:webHidden/>
              </w:rPr>
            </w:r>
            <w:r>
              <w:rPr>
                <w:noProof/>
                <w:webHidden/>
              </w:rPr>
              <w:fldChar w:fldCharType="separate"/>
            </w:r>
            <w:r>
              <w:rPr>
                <w:noProof/>
                <w:webHidden/>
              </w:rPr>
              <w:t>15</w:t>
            </w:r>
            <w:r>
              <w:rPr>
                <w:noProof/>
                <w:webHidden/>
              </w:rPr>
              <w:fldChar w:fldCharType="end"/>
            </w:r>
          </w:hyperlink>
        </w:p>
        <w:p w14:paraId="04A6A1B2" w14:textId="2E28A706"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69" w:history="1">
            <w:r w:rsidRPr="00D55451">
              <w:rPr>
                <w:rStyle w:val="Lienhypertexte"/>
                <w:rFonts w:cs="Calibri"/>
                <w:noProof/>
              </w:rPr>
              <w:t>1.8.</w:t>
            </w:r>
            <w:r>
              <w:rPr>
                <w:rFonts w:asciiTheme="minorHAnsi" w:eastAsiaTheme="minorEastAsia" w:hAnsiTheme="minorHAnsi"/>
                <w:noProof/>
                <w:sz w:val="24"/>
                <w:lang w:eastAsia="fr-BE"/>
              </w:rPr>
              <w:tab/>
            </w:r>
            <w:r w:rsidRPr="00D55451">
              <w:rPr>
                <w:rStyle w:val="Lienhypertexte"/>
                <w:noProof/>
              </w:rPr>
              <w:t>Conductivité hydraulique à saturation (Ksat)</w:t>
            </w:r>
            <w:r>
              <w:rPr>
                <w:noProof/>
                <w:webHidden/>
              </w:rPr>
              <w:tab/>
            </w:r>
            <w:r>
              <w:rPr>
                <w:noProof/>
                <w:webHidden/>
              </w:rPr>
              <w:fldChar w:fldCharType="begin"/>
            </w:r>
            <w:r>
              <w:rPr>
                <w:noProof/>
                <w:webHidden/>
              </w:rPr>
              <w:instrText xml:space="preserve"> PAGEREF _Toc241505269 \h </w:instrText>
            </w:r>
            <w:r>
              <w:rPr>
                <w:noProof/>
                <w:webHidden/>
              </w:rPr>
            </w:r>
            <w:r>
              <w:rPr>
                <w:noProof/>
                <w:webHidden/>
              </w:rPr>
              <w:fldChar w:fldCharType="separate"/>
            </w:r>
            <w:r>
              <w:rPr>
                <w:noProof/>
                <w:webHidden/>
              </w:rPr>
              <w:t>16</w:t>
            </w:r>
            <w:r>
              <w:rPr>
                <w:noProof/>
                <w:webHidden/>
              </w:rPr>
              <w:fldChar w:fldCharType="end"/>
            </w:r>
          </w:hyperlink>
        </w:p>
        <w:p w14:paraId="0795D50D" w14:textId="51558C6C"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70" w:history="1">
            <w:r w:rsidRPr="00D55451">
              <w:rPr>
                <w:rStyle w:val="Lienhypertexte"/>
                <w:noProof/>
              </w:rPr>
              <w:t>1.8.1.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_Toc241505270 \h </w:instrText>
            </w:r>
            <w:r>
              <w:rPr>
                <w:noProof/>
                <w:webHidden/>
              </w:rPr>
            </w:r>
            <w:r>
              <w:rPr>
                <w:noProof/>
                <w:webHidden/>
              </w:rPr>
              <w:fldChar w:fldCharType="separate"/>
            </w:r>
            <w:r>
              <w:rPr>
                <w:noProof/>
                <w:webHidden/>
              </w:rPr>
              <w:t>16</w:t>
            </w:r>
            <w:r>
              <w:rPr>
                <w:noProof/>
                <w:webHidden/>
              </w:rPr>
              <w:fldChar w:fldCharType="end"/>
            </w:r>
          </w:hyperlink>
        </w:p>
        <w:p w14:paraId="1A1B0DB8" w14:textId="3D928EE7"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71" w:history="1">
            <w:r w:rsidRPr="00D55451">
              <w:rPr>
                <w:rStyle w:val="Lienhypertexte"/>
                <w:noProof/>
              </w:rPr>
              <w:t>1.8.2.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_Toc241505271 \h </w:instrText>
            </w:r>
            <w:r>
              <w:rPr>
                <w:noProof/>
                <w:webHidden/>
              </w:rPr>
            </w:r>
            <w:r>
              <w:rPr>
                <w:noProof/>
                <w:webHidden/>
              </w:rPr>
              <w:fldChar w:fldCharType="separate"/>
            </w:r>
            <w:r>
              <w:rPr>
                <w:noProof/>
                <w:webHidden/>
              </w:rPr>
              <w:t>16</w:t>
            </w:r>
            <w:r>
              <w:rPr>
                <w:noProof/>
                <w:webHidden/>
              </w:rPr>
              <w:fldChar w:fldCharType="end"/>
            </w:r>
          </w:hyperlink>
        </w:p>
        <w:p w14:paraId="1AEA15F3" w14:textId="00E040D9"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72" w:history="1">
            <w:r w:rsidRPr="00D55451">
              <w:rPr>
                <w:rStyle w:val="Lienhypertexte"/>
                <w:noProof/>
              </w:rPr>
              <w:t>1.8.3.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_Toc241505272 \h </w:instrText>
            </w:r>
            <w:r>
              <w:rPr>
                <w:noProof/>
                <w:webHidden/>
              </w:rPr>
            </w:r>
            <w:r>
              <w:rPr>
                <w:noProof/>
                <w:webHidden/>
              </w:rPr>
              <w:fldChar w:fldCharType="separate"/>
            </w:r>
            <w:r>
              <w:rPr>
                <w:noProof/>
                <w:webHidden/>
              </w:rPr>
              <w:t>16</w:t>
            </w:r>
            <w:r>
              <w:rPr>
                <w:noProof/>
                <w:webHidden/>
              </w:rPr>
              <w:fldChar w:fldCharType="end"/>
            </w:r>
          </w:hyperlink>
        </w:p>
        <w:p w14:paraId="2158D768" w14:textId="2E11986E"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73" w:history="1">
            <w:r w:rsidRPr="00D55451">
              <w:rPr>
                <w:rStyle w:val="Lienhypertexte"/>
                <w:noProof/>
              </w:rPr>
              <w:t>1.8.4.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_Toc241505273 \h </w:instrText>
            </w:r>
            <w:r>
              <w:rPr>
                <w:noProof/>
                <w:webHidden/>
              </w:rPr>
            </w:r>
            <w:r>
              <w:rPr>
                <w:noProof/>
                <w:webHidden/>
              </w:rPr>
              <w:fldChar w:fldCharType="separate"/>
            </w:r>
            <w:r>
              <w:rPr>
                <w:noProof/>
                <w:webHidden/>
              </w:rPr>
              <w:t>16</w:t>
            </w:r>
            <w:r>
              <w:rPr>
                <w:noProof/>
                <w:webHidden/>
              </w:rPr>
              <w:fldChar w:fldCharType="end"/>
            </w:r>
          </w:hyperlink>
        </w:p>
        <w:p w14:paraId="684C793C" w14:textId="5C43D3A4"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74" w:history="1">
            <w:r w:rsidRPr="00D55451">
              <w:rPr>
                <w:rStyle w:val="Lienhypertexte"/>
                <w:rFonts w:cs="Calibri"/>
                <w:noProof/>
              </w:rPr>
              <w:t>1.9.</w:t>
            </w:r>
            <w:r>
              <w:rPr>
                <w:rFonts w:asciiTheme="minorHAnsi" w:eastAsiaTheme="minorEastAsia" w:hAnsiTheme="minorHAnsi"/>
                <w:noProof/>
                <w:sz w:val="24"/>
                <w:lang w:eastAsia="fr-BE"/>
              </w:rPr>
              <w:tab/>
            </w:r>
            <w:r w:rsidRPr="00D55451">
              <w:rPr>
                <w:rStyle w:val="Lienhypertexte"/>
                <w:noProof/>
              </w:rPr>
              <w:t>Artéfacts et indices organoleptiques de pollution</w:t>
            </w:r>
            <w:r>
              <w:rPr>
                <w:noProof/>
                <w:webHidden/>
              </w:rPr>
              <w:tab/>
            </w:r>
            <w:r>
              <w:rPr>
                <w:noProof/>
                <w:webHidden/>
              </w:rPr>
              <w:fldChar w:fldCharType="begin"/>
            </w:r>
            <w:r>
              <w:rPr>
                <w:noProof/>
                <w:webHidden/>
              </w:rPr>
              <w:instrText xml:space="preserve"> PAGEREF _Toc241505274 \h </w:instrText>
            </w:r>
            <w:r>
              <w:rPr>
                <w:noProof/>
                <w:webHidden/>
              </w:rPr>
            </w:r>
            <w:r>
              <w:rPr>
                <w:noProof/>
                <w:webHidden/>
              </w:rPr>
              <w:fldChar w:fldCharType="separate"/>
            </w:r>
            <w:r>
              <w:rPr>
                <w:noProof/>
                <w:webHidden/>
              </w:rPr>
              <w:t>18</w:t>
            </w:r>
            <w:r>
              <w:rPr>
                <w:noProof/>
                <w:webHidden/>
              </w:rPr>
              <w:fldChar w:fldCharType="end"/>
            </w:r>
          </w:hyperlink>
        </w:p>
        <w:p w14:paraId="58D3E570" w14:textId="787D8C6F" w:rsidR="00DB2481" w:rsidRDefault="00DB2481">
          <w:pPr>
            <w:pStyle w:val="TM2"/>
            <w:tabs>
              <w:tab w:val="left" w:pos="1200"/>
              <w:tab w:val="right" w:leader="dot" w:pos="9060"/>
            </w:tabs>
            <w:rPr>
              <w:rFonts w:asciiTheme="minorHAnsi" w:eastAsiaTheme="minorEastAsia" w:hAnsiTheme="minorHAnsi"/>
              <w:noProof/>
              <w:sz w:val="24"/>
              <w:lang w:eastAsia="fr-BE"/>
            </w:rPr>
          </w:pPr>
          <w:hyperlink w:anchor="_Toc241505275" w:history="1">
            <w:r w:rsidRPr="00D55451">
              <w:rPr>
                <w:rStyle w:val="Lienhypertexte"/>
                <w:rFonts w:cs="Calibri"/>
                <w:noProof/>
              </w:rPr>
              <w:t>1.10.</w:t>
            </w:r>
            <w:r>
              <w:rPr>
                <w:rFonts w:asciiTheme="minorHAnsi" w:eastAsiaTheme="minorEastAsia" w:hAnsiTheme="minorHAnsi"/>
                <w:noProof/>
                <w:sz w:val="24"/>
                <w:lang w:eastAsia="fr-BE"/>
              </w:rPr>
              <w:tab/>
            </w:r>
            <w:r w:rsidRPr="00D55451">
              <w:rPr>
                <w:rStyle w:val="Lienhypertexte"/>
                <w:noProof/>
              </w:rPr>
              <w:t>Pour aller plus loin</w:t>
            </w:r>
            <w:r>
              <w:rPr>
                <w:noProof/>
                <w:webHidden/>
              </w:rPr>
              <w:tab/>
            </w:r>
            <w:r>
              <w:rPr>
                <w:noProof/>
                <w:webHidden/>
              </w:rPr>
              <w:fldChar w:fldCharType="begin"/>
            </w:r>
            <w:r>
              <w:rPr>
                <w:noProof/>
                <w:webHidden/>
              </w:rPr>
              <w:instrText xml:space="preserve"> PAGEREF _Toc241505275 \h </w:instrText>
            </w:r>
            <w:r>
              <w:rPr>
                <w:noProof/>
                <w:webHidden/>
              </w:rPr>
            </w:r>
            <w:r>
              <w:rPr>
                <w:noProof/>
                <w:webHidden/>
              </w:rPr>
              <w:fldChar w:fldCharType="separate"/>
            </w:r>
            <w:r>
              <w:rPr>
                <w:noProof/>
                <w:webHidden/>
              </w:rPr>
              <w:t>18</w:t>
            </w:r>
            <w:r>
              <w:rPr>
                <w:noProof/>
                <w:webHidden/>
              </w:rPr>
              <w:fldChar w:fldCharType="end"/>
            </w:r>
          </w:hyperlink>
        </w:p>
        <w:p w14:paraId="5415D014" w14:textId="19951628"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76" w:history="1">
            <w:r w:rsidRPr="00D55451">
              <w:rPr>
                <w:rStyle w:val="Lienhypertexte"/>
                <w:noProof/>
              </w:rPr>
              <w:t>1.10.1.</w:t>
            </w:r>
            <w:r>
              <w:rPr>
                <w:rFonts w:asciiTheme="minorHAnsi" w:eastAsiaTheme="minorEastAsia" w:hAnsiTheme="minorHAnsi"/>
                <w:noProof/>
                <w:sz w:val="24"/>
                <w:lang w:eastAsia="fr-BE"/>
              </w:rPr>
              <w:tab/>
            </w:r>
            <w:r w:rsidRPr="00D55451">
              <w:rPr>
                <w:rStyle w:val="Lienhypertexte"/>
                <w:noProof/>
              </w:rPr>
              <w:t>Stabilité structurale (Quanti-Slake test)</w:t>
            </w:r>
            <w:r>
              <w:rPr>
                <w:noProof/>
                <w:webHidden/>
              </w:rPr>
              <w:tab/>
            </w:r>
            <w:r>
              <w:rPr>
                <w:noProof/>
                <w:webHidden/>
              </w:rPr>
              <w:fldChar w:fldCharType="begin"/>
            </w:r>
            <w:r>
              <w:rPr>
                <w:noProof/>
                <w:webHidden/>
              </w:rPr>
              <w:instrText xml:space="preserve"> PAGEREF _Toc241505276 \h </w:instrText>
            </w:r>
            <w:r>
              <w:rPr>
                <w:noProof/>
                <w:webHidden/>
              </w:rPr>
            </w:r>
            <w:r>
              <w:rPr>
                <w:noProof/>
                <w:webHidden/>
              </w:rPr>
              <w:fldChar w:fldCharType="separate"/>
            </w:r>
            <w:r>
              <w:rPr>
                <w:noProof/>
                <w:webHidden/>
              </w:rPr>
              <w:t>18</w:t>
            </w:r>
            <w:r>
              <w:rPr>
                <w:noProof/>
                <w:webHidden/>
              </w:rPr>
              <w:fldChar w:fldCharType="end"/>
            </w:r>
          </w:hyperlink>
        </w:p>
        <w:p w14:paraId="63DC79A9" w14:textId="485970DB" w:rsidR="00DB2481" w:rsidRDefault="00DB2481">
          <w:pPr>
            <w:pStyle w:val="TM1"/>
            <w:tabs>
              <w:tab w:val="left" w:pos="480"/>
              <w:tab w:val="right" w:leader="dot" w:pos="9060"/>
            </w:tabs>
            <w:rPr>
              <w:rFonts w:asciiTheme="minorHAnsi" w:eastAsiaTheme="minorEastAsia" w:hAnsiTheme="minorHAnsi"/>
              <w:noProof/>
              <w:sz w:val="24"/>
              <w:lang w:eastAsia="fr-BE"/>
            </w:rPr>
          </w:pPr>
          <w:hyperlink w:anchor="_Toc241505277" w:history="1">
            <w:r w:rsidRPr="00D55451">
              <w:rPr>
                <w:rStyle w:val="Lienhypertexte"/>
                <w:noProof/>
              </w:rPr>
              <w:t>2.</w:t>
            </w:r>
            <w:r>
              <w:rPr>
                <w:rFonts w:asciiTheme="minorHAnsi" w:eastAsiaTheme="minorEastAsia" w:hAnsiTheme="minorHAnsi"/>
                <w:noProof/>
                <w:sz w:val="24"/>
                <w:lang w:eastAsia="fr-BE"/>
              </w:rPr>
              <w:tab/>
            </w:r>
            <w:r w:rsidRPr="00D55451">
              <w:rPr>
                <w:rStyle w:val="Lienhypertexte"/>
                <w:noProof/>
              </w:rPr>
              <w:t>Paramètres chimiques</w:t>
            </w:r>
            <w:r>
              <w:rPr>
                <w:noProof/>
                <w:webHidden/>
              </w:rPr>
              <w:tab/>
            </w:r>
            <w:r>
              <w:rPr>
                <w:noProof/>
                <w:webHidden/>
              </w:rPr>
              <w:fldChar w:fldCharType="begin"/>
            </w:r>
            <w:r>
              <w:rPr>
                <w:noProof/>
                <w:webHidden/>
              </w:rPr>
              <w:instrText xml:space="preserve"> PAGEREF _Toc241505277 \h </w:instrText>
            </w:r>
            <w:r>
              <w:rPr>
                <w:noProof/>
                <w:webHidden/>
              </w:rPr>
            </w:r>
            <w:r>
              <w:rPr>
                <w:noProof/>
                <w:webHidden/>
              </w:rPr>
              <w:fldChar w:fldCharType="separate"/>
            </w:r>
            <w:r>
              <w:rPr>
                <w:noProof/>
                <w:webHidden/>
              </w:rPr>
              <w:t>20</w:t>
            </w:r>
            <w:r>
              <w:rPr>
                <w:noProof/>
                <w:webHidden/>
              </w:rPr>
              <w:fldChar w:fldCharType="end"/>
            </w:r>
          </w:hyperlink>
        </w:p>
        <w:p w14:paraId="1C3445E7" w14:textId="282947CA"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78" w:history="1">
            <w:r w:rsidRPr="00D55451">
              <w:rPr>
                <w:rStyle w:val="Lienhypertexte"/>
                <w:rFonts w:cs="Calibri"/>
                <w:noProof/>
              </w:rPr>
              <w:t>2.1.</w:t>
            </w:r>
            <w:r>
              <w:rPr>
                <w:rFonts w:asciiTheme="minorHAnsi" w:eastAsiaTheme="minorEastAsia" w:hAnsiTheme="minorHAnsi"/>
                <w:noProof/>
                <w:sz w:val="24"/>
                <w:lang w:eastAsia="fr-BE"/>
              </w:rPr>
              <w:tab/>
            </w:r>
            <w:r w:rsidRPr="00D55451">
              <w:rPr>
                <w:rStyle w:val="Lienhypertexte"/>
                <w:noProof/>
              </w:rPr>
              <w:t>Carbone organique total</w:t>
            </w:r>
            <w:r>
              <w:rPr>
                <w:noProof/>
                <w:webHidden/>
              </w:rPr>
              <w:tab/>
            </w:r>
            <w:r>
              <w:rPr>
                <w:noProof/>
                <w:webHidden/>
              </w:rPr>
              <w:fldChar w:fldCharType="begin"/>
            </w:r>
            <w:r>
              <w:rPr>
                <w:noProof/>
                <w:webHidden/>
              </w:rPr>
              <w:instrText xml:space="preserve"> PAGEREF _Toc241505278 \h </w:instrText>
            </w:r>
            <w:r>
              <w:rPr>
                <w:noProof/>
                <w:webHidden/>
              </w:rPr>
            </w:r>
            <w:r>
              <w:rPr>
                <w:noProof/>
                <w:webHidden/>
              </w:rPr>
              <w:fldChar w:fldCharType="separate"/>
            </w:r>
            <w:r>
              <w:rPr>
                <w:noProof/>
                <w:webHidden/>
              </w:rPr>
              <w:t>20</w:t>
            </w:r>
            <w:r>
              <w:rPr>
                <w:noProof/>
                <w:webHidden/>
              </w:rPr>
              <w:fldChar w:fldCharType="end"/>
            </w:r>
          </w:hyperlink>
        </w:p>
        <w:p w14:paraId="1C6A6BE9" w14:textId="579867A2"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79" w:history="1">
            <w:r w:rsidRPr="00D55451">
              <w:rPr>
                <w:rStyle w:val="Lienhypertexte"/>
                <w:noProof/>
              </w:rPr>
              <w:t>2.1.1.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_Toc241505279 \h </w:instrText>
            </w:r>
            <w:r>
              <w:rPr>
                <w:noProof/>
                <w:webHidden/>
              </w:rPr>
            </w:r>
            <w:r>
              <w:rPr>
                <w:noProof/>
                <w:webHidden/>
              </w:rPr>
              <w:fldChar w:fldCharType="separate"/>
            </w:r>
            <w:r>
              <w:rPr>
                <w:noProof/>
                <w:webHidden/>
              </w:rPr>
              <w:t>20</w:t>
            </w:r>
            <w:r>
              <w:rPr>
                <w:noProof/>
                <w:webHidden/>
              </w:rPr>
              <w:fldChar w:fldCharType="end"/>
            </w:r>
          </w:hyperlink>
        </w:p>
        <w:p w14:paraId="39BA9DF1" w14:textId="1F906609"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80" w:history="1">
            <w:r w:rsidRPr="00D55451">
              <w:rPr>
                <w:rStyle w:val="Lienhypertexte"/>
                <w:noProof/>
              </w:rPr>
              <w:t>2.1.2.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_Toc241505280 \h </w:instrText>
            </w:r>
            <w:r>
              <w:rPr>
                <w:noProof/>
                <w:webHidden/>
              </w:rPr>
            </w:r>
            <w:r>
              <w:rPr>
                <w:noProof/>
                <w:webHidden/>
              </w:rPr>
              <w:fldChar w:fldCharType="separate"/>
            </w:r>
            <w:r>
              <w:rPr>
                <w:noProof/>
                <w:webHidden/>
              </w:rPr>
              <w:t>20</w:t>
            </w:r>
            <w:r>
              <w:rPr>
                <w:noProof/>
                <w:webHidden/>
              </w:rPr>
              <w:fldChar w:fldCharType="end"/>
            </w:r>
          </w:hyperlink>
        </w:p>
        <w:p w14:paraId="4749E74A" w14:textId="023E48A0"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81" w:history="1">
            <w:r w:rsidRPr="00D55451">
              <w:rPr>
                <w:rStyle w:val="Lienhypertexte"/>
                <w:noProof/>
              </w:rPr>
              <w:t>2.1.3.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_Toc241505281 \h </w:instrText>
            </w:r>
            <w:r>
              <w:rPr>
                <w:noProof/>
                <w:webHidden/>
              </w:rPr>
            </w:r>
            <w:r>
              <w:rPr>
                <w:noProof/>
                <w:webHidden/>
              </w:rPr>
              <w:fldChar w:fldCharType="separate"/>
            </w:r>
            <w:r>
              <w:rPr>
                <w:noProof/>
                <w:webHidden/>
              </w:rPr>
              <w:t>20</w:t>
            </w:r>
            <w:r>
              <w:rPr>
                <w:noProof/>
                <w:webHidden/>
              </w:rPr>
              <w:fldChar w:fldCharType="end"/>
            </w:r>
          </w:hyperlink>
        </w:p>
        <w:p w14:paraId="793AD952" w14:textId="5CF18C1C"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82" w:history="1">
            <w:r w:rsidRPr="00D55451">
              <w:rPr>
                <w:rStyle w:val="Lienhypertexte"/>
                <w:noProof/>
              </w:rPr>
              <w:t>2.1.4.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_Toc241505282 \h </w:instrText>
            </w:r>
            <w:r>
              <w:rPr>
                <w:noProof/>
                <w:webHidden/>
              </w:rPr>
            </w:r>
            <w:r>
              <w:rPr>
                <w:noProof/>
                <w:webHidden/>
              </w:rPr>
              <w:fldChar w:fldCharType="separate"/>
            </w:r>
            <w:r>
              <w:rPr>
                <w:noProof/>
                <w:webHidden/>
              </w:rPr>
              <w:t>20</w:t>
            </w:r>
            <w:r>
              <w:rPr>
                <w:noProof/>
                <w:webHidden/>
              </w:rPr>
              <w:fldChar w:fldCharType="end"/>
            </w:r>
          </w:hyperlink>
        </w:p>
        <w:p w14:paraId="61B01E04" w14:textId="3C1EC4CF"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83" w:history="1">
            <w:r w:rsidRPr="00D55451">
              <w:rPr>
                <w:rStyle w:val="Lienhypertexte"/>
                <w:rFonts w:cs="Calibri"/>
                <w:noProof/>
              </w:rPr>
              <w:t>2.2.</w:t>
            </w:r>
            <w:r>
              <w:rPr>
                <w:rFonts w:asciiTheme="minorHAnsi" w:eastAsiaTheme="minorEastAsia" w:hAnsiTheme="minorHAnsi"/>
                <w:noProof/>
                <w:sz w:val="24"/>
                <w:lang w:eastAsia="fr-BE"/>
              </w:rPr>
              <w:tab/>
            </w:r>
            <w:r w:rsidRPr="00D55451">
              <w:rPr>
                <w:rStyle w:val="Lienhypertexte"/>
                <w:noProof/>
              </w:rPr>
              <w:t>Capacité d’échange cationique (CEC)</w:t>
            </w:r>
            <w:r>
              <w:rPr>
                <w:noProof/>
                <w:webHidden/>
              </w:rPr>
              <w:tab/>
            </w:r>
            <w:r>
              <w:rPr>
                <w:noProof/>
                <w:webHidden/>
              </w:rPr>
              <w:fldChar w:fldCharType="begin"/>
            </w:r>
            <w:r>
              <w:rPr>
                <w:noProof/>
                <w:webHidden/>
              </w:rPr>
              <w:instrText xml:space="preserve"> PAGEREF _Toc241505283 \h </w:instrText>
            </w:r>
            <w:r>
              <w:rPr>
                <w:noProof/>
                <w:webHidden/>
              </w:rPr>
            </w:r>
            <w:r>
              <w:rPr>
                <w:noProof/>
                <w:webHidden/>
              </w:rPr>
              <w:fldChar w:fldCharType="separate"/>
            </w:r>
            <w:r>
              <w:rPr>
                <w:noProof/>
                <w:webHidden/>
              </w:rPr>
              <w:t>21</w:t>
            </w:r>
            <w:r>
              <w:rPr>
                <w:noProof/>
                <w:webHidden/>
              </w:rPr>
              <w:fldChar w:fldCharType="end"/>
            </w:r>
          </w:hyperlink>
        </w:p>
        <w:p w14:paraId="3C7C69C7" w14:textId="24D46E38"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84" w:history="1">
            <w:r w:rsidRPr="00D55451">
              <w:rPr>
                <w:rStyle w:val="Lienhypertexte"/>
                <w:noProof/>
              </w:rPr>
              <w:t>2.2.1.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_Toc241505284 \h </w:instrText>
            </w:r>
            <w:r>
              <w:rPr>
                <w:noProof/>
                <w:webHidden/>
              </w:rPr>
            </w:r>
            <w:r>
              <w:rPr>
                <w:noProof/>
                <w:webHidden/>
              </w:rPr>
              <w:fldChar w:fldCharType="separate"/>
            </w:r>
            <w:r>
              <w:rPr>
                <w:noProof/>
                <w:webHidden/>
              </w:rPr>
              <w:t>21</w:t>
            </w:r>
            <w:r>
              <w:rPr>
                <w:noProof/>
                <w:webHidden/>
              </w:rPr>
              <w:fldChar w:fldCharType="end"/>
            </w:r>
          </w:hyperlink>
        </w:p>
        <w:p w14:paraId="0BF2C778" w14:textId="68C0DA9C"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85" w:history="1">
            <w:r w:rsidRPr="00D55451">
              <w:rPr>
                <w:rStyle w:val="Lienhypertexte"/>
                <w:noProof/>
              </w:rPr>
              <w:t>2.2.2.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_Toc241505285 \h </w:instrText>
            </w:r>
            <w:r>
              <w:rPr>
                <w:noProof/>
                <w:webHidden/>
              </w:rPr>
            </w:r>
            <w:r>
              <w:rPr>
                <w:noProof/>
                <w:webHidden/>
              </w:rPr>
              <w:fldChar w:fldCharType="separate"/>
            </w:r>
            <w:r>
              <w:rPr>
                <w:noProof/>
                <w:webHidden/>
              </w:rPr>
              <w:t>21</w:t>
            </w:r>
            <w:r>
              <w:rPr>
                <w:noProof/>
                <w:webHidden/>
              </w:rPr>
              <w:fldChar w:fldCharType="end"/>
            </w:r>
          </w:hyperlink>
        </w:p>
        <w:p w14:paraId="7BDB07B4" w14:textId="20FA4FF8"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86" w:history="1">
            <w:r w:rsidRPr="00D55451">
              <w:rPr>
                <w:rStyle w:val="Lienhypertexte"/>
                <w:noProof/>
              </w:rPr>
              <w:t>2.2.3.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_Toc241505286 \h </w:instrText>
            </w:r>
            <w:r>
              <w:rPr>
                <w:noProof/>
                <w:webHidden/>
              </w:rPr>
            </w:r>
            <w:r>
              <w:rPr>
                <w:noProof/>
                <w:webHidden/>
              </w:rPr>
              <w:fldChar w:fldCharType="separate"/>
            </w:r>
            <w:r>
              <w:rPr>
                <w:noProof/>
                <w:webHidden/>
              </w:rPr>
              <w:t>21</w:t>
            </w:r>
            <w:r>
              <w:rPr>
                <w:noProof/>
                <w:webHidden/>
              </w:rPr>
              <w:fldChar w:fldCharType="end"/>
            </w:r>
          </w:hyperlink>
        </w:p>
        <w:p w14:paraId="1CC37EAD" w14:textId="04DD833B"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87" w:history="1">
            <w:r w:rsidRPr="00D55451">
              <w:rPr>
                <w:rStyle w:val="Lienhypertexte"/>
                <w:noProof/>
              </w:rPr>
              <w:t>2.2.4.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_Toc241505287 \h </w:instrText>
            </w:r>
            <w:r>
              <w:rPr>
                <w:noProof/>
                <w:webHidden/>
              </w:rPr>
            </w:r>
            <w:r>
              <w:rPr>
                <w:noProof/>
                <w:webHidden/>
              </w:rPr>
              <w:fldChar w:fldCharType="separate"/>
            </w:r>
            <w:r>
              <w:rPr>
                <w:noProof/>
                <w:webHidden/>
              </w:rPr>
              <w:t>21</w:t>
            </w:r>
            <w:r>
              <w:rPr>
                <w:noProof/>
                <w:webHidden/>
              </w:rPr>
              <w:fldChar w:fldCharType="end"/>
            </w:r>
          </w:hyperlink>
        </w:p>
        <w:p w14:paraId="12DF771C" w14:textId="3F88DDA4"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88" w:history="1">
            <w:r w:rsidRPr="00D55451">
              <w:rPr>
                <w:rStyle w:val="Lienhypertexte"/>
                <w:rFonts w:cs="Calibri"/>
                <w:noProof/>
              </w:rPr>
              <w:t>2.3.</w:t>
            </w:r>
            <w:r>
              <w:rPr>
                <w:rFonts w:asciiTheme="minorHAnsi" w:eastAsiaTheme="minorEastAsia" w:hAnsiTheme="minorHAnsi"/>
                <w:noProof/>
                <w:sz w:val="24"/>
                <w:lang w:eastAsia="fr-BE"/>
              </w:rPr>
              <w:tab/>
            </w:r>
            <w:r w:rsidRPr="00D55451">
              <w:rPr>
                <w:rStyle w:val="Lienhypertexte"/>
                <w:noProof/>
              </w:rPr>
              <w:t>Statut acido-basique (pH)</w:t>
            </w:r>
            <w:r>
              <w:rPr>
                <w:noProof/>
                <w:webHidden/>
              </w:rPr>
              <w:tab/>
            </w:r>
            <w:r>
              <w:rPr>
                <w:noProof/>
                <w:webHidden/>
              </w:rPr>
              <w:fldChar w:fldCharType="begin"/>
            </w:r>
            <w:r>
              <w:rPr>
                <w:noProof/>
                <w:webHidden/>
              </w:rPr>
              <w:instrText xml:space="preserve"> PAGEREF _Toc241505288 \h </w:instrText>
            </w:r>
            <w:r>
              <w:rPr>
                <w:noProof/>
                <w:webHidden/>
              </w:rPr>
            </w:r>
            <w:r>
              <w:rPr>
                <w:noProof/>
                <w:webHidden/>
              </w:rPr>
              <w:fldChar w:fldCharType="separate"/>
            </w:r>
            <w:r>
              <w:rPr>
                <w:noProof/>
                <w:webHidden/>
              </w:rPr>
              <w:t>22</w:t>
            </w:r>
            <w:r>
              <w:rPr>
                <w:noProof/>
                <w:webHidden/>
              </w:rPr>
              <w:fldChar w:fldCharType="end"/>
            </w:r>
          </w:hyperlink>
        </w:p>
        <w:p w14:paraId="21E932DB" w14:textId="5681F88B"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89" w:history="1">
            <w:r w:rsidRPr="00D55451">
              <w:rPr>
                <w:rStyle w:val="Lienhypertexte"/>
                <w:noProof/>
              </w:rPr>
              <w:t>2.3.1.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_Toc241505289 \h </w:instrText>
            </w:r>
            <w:r>
              <w:rPr>
                <w:noProof/>
                <w:webHidden/>
              </w:rPr>
            </w:r>
            <w:r>
              <w:rPr>
                <w:noProof/>
                <w:webHidden/>
              </w:rPr>
              <w:fldChar w:fldCharType="separate"/>
            </w:r>
            <w:r>
              <w:rPr>
                <w:noProof/>
                <w:webHidden/>
              </w:rPr>
              <w:t>22</w:t>
            </w:r>
            <w:r>
              <w:rPr>
                <w:noProof/>
                <w:webHidden/>
              </w:rPr>
              <w:fldChar w:fldCharType="end"/>
            </w:r>
          </w:hyperlink>
        </w:p>
        <w:p w14:paraId="0A50D28E" w14:textId="5E3C6F27"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90" w:history="1">
            <w:r w:rsidRPr="00D55451">
              <w:rPr>
                <w:rStyle w:val="Lienhypertexte"/>
                <w:noProof/>
              </w:rPr>
              <w:t>2.3.2.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_Toc241505290 \h </w:instrText>
            </w:r>
            <w:r>
              <w:rPr>
                <w:noProof/>
                <w:webHidden/>
              </w:rPr>
            </w:r>
            <w:r>
              <w:rPr>
                <w:noProof/>
                <w:webHidden/>
              </w:rPr>
              <w:fldChar w:fldCharType="separate"/>
            </w:r>
            <w:r>
              <w:rPr>
                <w:noProof/>
                <w:webHidden/>
              </w:rPr>
              <w:t>22</w:t>
            </w:r>
            <w:r>
              <w:rPr>
                <w:noProof/>
                <w:webHidden/>
              </w:rPr>
              <w:fldChar w:fldCharType="end"/>
            </w:r>
          </w:hyperlink>
        </w:p>
        <w:p w14:paraId="59AA40A4" w14:textId="2619B356"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91" w:history="1">
            <w:r w:rsidRPr="00D55451">
              <w:rPr>
                <w:rStyle w:val="Lienhypertexte"/>
                <w:noProof/>
              </w:rPr>
              <w:t>2.3.3.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_Toc241505291 \h </w:instrText>
            </w:r>
            <w:r>
              <w:rPr>
                <w:noProof/>
                <w:webHidden/>
              </w:rPr>
            </w:r>
            <w:r>
              <w:rPr>
                <w:noProof/>
                <w:webHidden/>
              </w:rPr>
              <w:fldChar w:fldCharType="separate"/>
            </w:r>
            <w:r>
              <w:rPr>
                <w:noProof/>
                <w:webHidden/>
              </w:rPr>
              <w:t>22</w:t>
            </w:r>
            <w:r>
              <w:rPr>
                <w:noProof/>
                <w:webHidden/>
              </w:rPr>
              <w:fldChar w:fldCharType="end"/>
            </w:r>
          </w:hyperlink>
        </w:p>
        <w:p w14:paraId="737EB01D" w14:textId="33F1E0A4"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92" w:history="1">
            <w:r w:rsidRPr="00D55451">
              <w:rPr>
                <w:rStyle w:val="Lienhypertexte"/>
                <w:noProof/>
              </w:rPr>
              <w:t>2.3.4.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_Toc241505292 \h </w:instrText>
            </w:r>
            <w:r>
              <w:rPr>
                <w:noProof/>
                <w:webHidden/>
              </w:rPr>
            </w:r>
            <w:r>
              <w:rPr>
                <w:noProof/>
                <w:webHidden/>
              </w:rPr>
              <w:fldChar w:fldCharType="separate"/>
            </w:r>
            <w:r>
              <w:rPr>
                <w:noProof/>
                <w:webHidden/>
              </w:rPr>
              <w:t>23</w:t>
            </w:r>
            <w:r>
              <w:rPr>
                <w:noProof/>
                <w:webHidden/>
              </w:rPr>
              <w:fldChar w:fldCharType="end"/>
            </w:r>
          </w:hyperlink>
        </w:p>
        <w:p w14:paraId="5E372EE3" w14:textId="7F85C68D"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93" w:history="1">
            <w:r w:rsidRPr="00D55451">
              <w:rPr>
                <w:rStyle w:val="Lienhypertexte"/>
                <w:rFonts w:cs="Calibri"/>
                <w:noProof/>
              </w:rPr>
              <w:t>2.4.</w:t>
            </w:r>
            <w:r>
              <w:rPr>
                <w:rFonts w:asciiTheme="minorHAnsi" w:eastAsiaTheme="minorEastAsia" w:hAnsiTheme="minorHAnsi"/>
                <w:noProof/>
                <w:sz w:val="24"/>
                <w:lang w:eastAsia="fr-BE"/>
              </w:rPr>
              <w:tab/>
            </w:r>
            <w:r w:rsidRPr="00D55451">
              <w:rPr>
                <w:rStyle w:val="Lienhypertexte"/>
                <w:noProof/>
              </w:rPr>
              <w:t>Phosphore disponible</w:t>
            </w:r>
            <w:r>
              <w:rPr>
                <w:noProof/>
                <w:webHidden/>
              </w:rPr>
              <w:tab/>
            </w:r>
            <w:r>
              <w:rPr>
                <w:noProof/>
                <w:webHidden/>
              </w:rPr>
              <w:fldChar w:fldCharType="begin"/>
            </w:r>
            <w:r>
              <w:rPr>
                <w:noProof/>
                <w:webHidden/>
              </w:rPr>
              <w:instrText xml:space="preserve"> PAGEREF _Toc241505293 \h </w:instrText>
            </w:r>
            <w:r>
              <w:rPr>
                <w:noProof/>
                <w:webHidden/>
              </w:rPr>
            </w:r>
            <w:r>
              <w:rPr>
                <w:noProof/>
                <w:webHidden/>
              </w:rPr>
              <w:fldChar w:fldCharType="separate"/>
            </w:r>
            <w:r>
              <w:rPr>
                <w:noProof/>
                <w:webHidden/>
              </w:rPr>
              <w:t>24</w:t>
            </w:r>
            <w:r>
              <w:rPr>
                <w:noProof/>
                <w:webHidden/>
              </w:rPr>
              <w:fldChar w:fldCharType="end"/>
            </w:r>
          </w:hyperlink>
        </w:p>
        <w:p w14:paraId="060E991A" w14:textId="235AC909"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94" w:history="1">
            <w:r w:rsidRPr="00D55451">
              <w:rPr>
                <w:rStyle w:val="Lienhypertexte"/>
                <w:noProof/>
              </w:rPr>
              <w:t>2.4.1.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_Toc241505294 \h </w:instrText>
            </w:r>
            <w:r>
              <w:rPr>
                <w:noProof/>
                <w:webHidden/>
              </w:rPr>
            </w:r>
            <w:r>
              <w:rPr>
                <w:noProof/>
                <w:webHidden/>
              </w:rPr>
              <w:fldChar w:fldCharType="separate"/>
            </w:r>
            <w:r>
              <w:rPr>
                <w:noProof/>
                <w:webHidden/>
              </w:rPr>
              <w:t>24</w:t>
            </w:r>
            <w:r>
              <w:rPr>
                <w:noProof/>
                <w:webHidden/>
              </w:rPr>
              <w:fldChar w:fldCharType="end"/>
            </w:r>
          </w:hyperlink>
        </w:p>
        <w:p w14:paraId="79143DBA" w14:textId="478A1D99"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95" w:history="1">
            <w:r w:rsidRPr="00D55451">
              <w:rPr>
                <w:rStyle w:val="Lienhypertexte"/>
                <w:noProof/>
              </w:rPr>
              <w:t>2.4.2.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_Toc241505295 \h </w:instrText>
            </w:r>
            <w:r>
              <w:rPr>
                <w:noProof/>
                <w:webHidden/>
              </w:rPr>
            </w:r>
            <w:r>
              <w:rPr>
                <w:noProof/>
                <w:webHidden/>
              </w:rPr>
              <w:fldChar w:fldCharType="separate"/>
            </w:r>
            <w:r>
              <w:rPr>
                <w:noProof/>
                <w:webHidden/>
              </w:rPr>
              <w:t>24</w:t>
            </w:r>
            <w:r>
              <w:rPr>
                <w:noProof/>
                <w:webHidden/>
              </w:rPr>
              <w:fldChar w:fldCharType="end"/>
            </w:r>
          </w:hyperlink>
        </w:p>
        <w:p w14:paraId="18910D1F" w14:textId="0CA84F19"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96" w:history="1">
            <w:r w:rsidRPr="00D55451">
              <w:rPr>
                <w:rStyle w:val="Lienhypertexte"/>
                <w:noProof/>
              </w:rPr>
              <w:t>2.4.3.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_Toc241505296 \h </w:instrText>
            </w:r>
            <w:r>
              <w:rPr>
                <w:noProof/>
                <w:webHidden/>
              </w:rPr>
            </w:r>
            <w:r>
              <w:rPr>
                <w:noProof/>
                <w:webHidden/>
              </w:rPr>
              <w:fldChar w:fldCharType="separate"/>
            </w:r>
            <w:r>
              <w:rPr>
                <w:noProof/>
                <w:webHidden/>
              </w:rPr>
              <w:t>24</w:t>
            </w:r>
            <w:r>
              <w:rPr>
                <w:noProof/>
                <w:webHidden/>
              </w:rPr>
              <w:fldChar w:fldCharType="end"/>
            </w:r>
          </w:hyperlink>
        </w:p>
        <w:p w14:paraId="0FB11E2E" w14:textId="0749908D"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97" w:history="1">
            <w:r w:rsidRPr="00D55451">
              <w:rPr>
                <w:rStyle w:val="Lienhypertexte"/>
                <w:noProof/>
              </w:rPr>
              <w:t>2.4.4.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_Toc241505297 \h </w:instrText>
            </w:r>
            <w:r>
              <w:rPr>
                <w:noProof/>
                <w:webHidden/>
              </w:rPr>
            </w:r>
            <w:r>
              <w:rPr>
                <w:noProof/>
                <w:webHidden/>
              </w:rPr>
              <w:fldChar w:fldCharType="separate"/>
            </w:r>
            <w:r>
              <w:rPr>
                <w:noProof/>
                <w:webHidden/>
              </w:rPr>
              <w:t>25</w:t>
            </w:r>
            <w:r>
              <w:rPr>
                <w:noProof/>
                <w:webHidden/>
              </w:rPr>
              <w:fldChar w:fldCharType="end"/>
            </w:r>
          </w:hyperlink>
        </w:p>
        <w:p w14:paraId="18DF7BDE" w14:textId="75FB61AD"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298" w:history="1">
            <w:r w:rsidRPr="00D55451">
              <w:rPr>
                <w:rStyle w:val="Lienhypertexte"/>
                <w:rFonts w:cs="Calibri"/>
                <w:noProof/>
              </w:rPr>
              <w:t>2.5.</w:t>
            </w:r>
            <w:r>
              <w:rPr>
                <w:rFonts w:asciiTheme="minorHAnsi" w:eastAsiaTheme="minorEastAsia" w:hAnsiTheme="minorHAnsi"/>
                <w:noProof/>
                <w:sz w:val="24"/>
                <w:lang w:eastAsia="fr-BE"/>
              </w:rPr>
              <w:tab/>
            </w:r>
            <w:r w:rsidRPr="00D55451">
              <w:rPr>
                <w:rStyle w:val="Lienhypertexte"/>
                <w:noProof/>
              </w:rPr>
              <w:t>Potassium, magnésium et calcium disponibles</w:t>
            </w:r>
            <w:r>
              <w:rPr>
                <w:noProof/>
                <w:webHidden/>
              </w:rPr>
              <w:tab/>
            </w:r>
            <w:r>
              <w:rPr>
                <w:noProof/>
                <w:webHidden/>
              </w:rPr>
              <w:fldChar w:fldCharType="begin"/>
            </w:r>
            <w:r>
              <w:rPr>
                <w:noProof/>
                <w:webHidden/>
              </w:rPr>
              <w:instrText xml:space="preserve"> PAGEREF _Toc241505298 \h </w:instrText>
            </w:r>
            <w:r>
              <w:rPr>
                <w:noProof/>
                <w:webHidden/>
              </w:rPr>
            </w:r>
            <w:r>
              <w:rPr>
                <w:noProof/>
                <w:webHidden/>
              </w:rPr>
              <w:fldChar w:fldCharType="separate"/>
            </w:r>
            <w:r>
              <w:rPr>
                <w:noProof/>
                <w:webHidden/>
              </w:rPr>
              <w:t>27</w:t>
            </w:r>
            <w:r>
              <w:rPr>
                <w:noProof/>
                <w:webHidden/>
              </w:rPr>
              <w:fldChar w:fldCharType="end"/>
            </w:r>
          </w:hyperlink>
        </w:p>
        <w:p w14:paraId="509FAD1E" w14:textId="56998F43"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299" w:history="1">
            <w:r w:rsidRPr="00D55451">
              <w:rPr>
                <w:rStyle w:val="Lienhypertexte"/>
                <w:noProof/>
              </w:rPr>
              <w:t>2.5.1.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_Toc241505299 \h </w:instrText>
            </w:r>
            <w:r>
              <w:rPr>
                <w:noProof/>
                <w:webHidden/>
              </w:rPr>
            </w:r>
            <w:r>
              <w:rPr>
                <w:noProof/>
                <w:webHidden/>
              </w:rPr>
              <w:fldChar w:fldCharType="separate"/>
            </w:r>
            <w:r>
              <w:rPr>
                <w:noProof/>
                <w:webHidden/>
              </w:rPr>
              <w:t>27</w:t>
            </w:r>
            <w:r>
              <w:rPr>
                <w:noProof/>
                <w:webHidden/>
              </w:rPr>
              <w:fldChar w:fldCharType="end"/>
            </w:r>
          </w:hyperlink>
        </w:p>
        <w:p w14:paraId="18C13DF4" w14:textId="691B51F4"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00" w:history="1">
            <w:r w:rsidRPr="00D55451">
              <w:rPr>
                <w:rStyle w:val="Lienhypertexte"/>
                <w:noProof/>
              </w:rPr>
              <w:t>2.5.2.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_Toc241505300 \h </w:instrText>
            </w:r>
            <w:r>
              <w:rPr>
                <w:noProof/>
                <w:webHidden/>
              </w:rPr>
            </w:r>
            <w:r>
              <w:rPr>
                <w:noProof/>
                <w:webHidden/>
              </w:rPr>
              <w:fldChar w:fldCharType="separate"/>
            </w:r>
            <w:r>
              <w:rPr>
                <w:noProof/>
                <w:webHidden/>
              </w:rPr>
              <w:t>27</w:t>
            </w:r>
            <w:r>
              <w:rPr>
                <w:noProof/>
                <w:webHidden/>
              </w:rPr>
              <w:fldChar w:fldCharType="end"/>
            </w:r>
          </w:hyperlink>
        </w:p>
        <w:p w14:paraId="48727C40" w14:textId="772480C5"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01" w:history="1">
            <w:r w:rsidRPr="00D55451">
              <w:rPr>
                <w:rStyle w:val="Lienhypertexte"/>
                <w:noProof/>
              </w:rPr>
              <w:t>2.5.3.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_Toc241505301 \h </w:instrText>
            </w:r>
            <w:r>
              <w:rPr>
                <w:noProof/>
                <w:webHidden/>
              </w:rPr>
            </w:r>
            <w:r>
              <w:rPr>
                <w:noProof/>
                <w:webHidden/>
              </w:rPr>
              <w:fldChar w:fldCharType="separate"/>
            </w:r>
            <w:r>
              <w:rPr>
                <w:noProof/>
                <w:webHidden/>
              </w:rPr>
              <w:t>27</w:t>
            </w:r>
            <w:r>
              <w:rPr>
                <w:noProof/>
                <w:webHidden/>
              </w:rPr>
              <w:fldChar w:fldCharType="end"/>
            </w:r>
          </w:hyperlink>
        </w:p>
        <w:p w14:paraId="6B158F72" w14:textId="43A37501"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02" w:history="1">
            <w:r w:rsidRPr="00D55451">
              <w:rPr>
                <w:rStyle w:val="Lienhypertexte"/>
                <w:noProof/>
              </w:rPr>
              <w:t>2.5.4.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_Toc241505302 \h </w:instrText>
            </w:r>
            <w:r>
              <w:rPr>
                <w:noProof/>
                <w:webHidden/>
              </w:rPr>
            </w:r>
            <w:r>
              <w:rPr>
                <w:noProof/>
                <w:webHidden/>
              </w:rPr>
              <w:fldChar w:fldCharType="separate"/>
            </w:r>
            <w:r>
              <w:rPr>
                <w:noProof/>
                <w:webHidden/>
              </w:rPr>
              <w:t>27</w:t>
            </w:r>
            <w:r>
              <w:rPr>
                <w:noProof/>
                <w:webHidden/>
              </w:rPr>
              <w:fldChar w:fldCharType="end"/>
            </w:r>
          </w:hyperlink>
        </w:p>
        <w:p w14:paraId="352CED58" w14:textId="72E3FE46"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03" w:history="1">
            <w:r w:rsidRPr="00D55451">
              <w:rPr>
                <w:rStyle w:val="Lienhypertexte"/>
                <w:rFonts w:cs="Calibri"/>
                <w:noProof/>
              </w:rPr>
              <w:t>2.6.</w:t>
            </w:r>
            <w:r>
              <w:rPr>
                <w:rFonts w:asciiTheme="minorHAnsi" w:eastAsiaTheme="minorEastAsia" w:hAnsiTheme="minorHAnsi"/>
                <w:noProof/>
                <w:sz w:val="24"/>
                <w:lang w:eastAsia="fr-BE"/>
              </w:rPr>
              <w:tab/>
            </w:r>
            <w:r w:rsidRPr="00D55451">
              <w:rPr>
                <w:rStyle w:val="Lienhypertexte"/>
                <w:noProof/>
              </w:rPr>
              <w:t>Éléments traces métalliques et polluants organiques</w:t>
            </w:r>
            <w:r>
              <w:rPr>
                <w:noProof/>
                <w:webHidden/>
              </w:rPr>
              <w:tab/>
            </w:r>
            <w:r>
              <w:rPr>
                <w:noProof/>
                <w:webHidden/>
              </w:rPr>
              <w:fldChar w:fldCharType="begin"/>
            </w:r>
            <w:r>
              <w:rPr>
                <w:noProof/>
                <w:webHidden/>
              </w:rPr>
              <w:instrText xml:space="preserve"> PAGEREF _Toc241505303 \h </w:instrText>
            </w:r>
            <w:r>
              <w:rPr>
                <w:noProof/>
                <w:webHidden/>
              </w:rPr>
            </w:r>
            <w:r>
              <w:rPr>
                <w:noProof/>
                <w:webHidden/>
              </w:rPr>
              <w:fldChar w:fldCharType="separate"/>
            </w:r>
            <w:r>
              <w:rPr>
                <w:noProof/>
                <w:webHidden/>
              </w:rPr>
              <w:t>30</w:t>
            </w:r>
            <w:r>
              <w:rPr>
                <w:noProof/>
                <w:webHidden/>
              </w:rPr>
              <w:fldChar w:fldCharType="end"/>
            </w:r>
          </w:hyperlink>
        </w:p>
        <w:p w14:paraId="179A1639" w14:textId="74E15C58"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04" w:history="1">
            <w:r w:rsidRPr="00D55451">
              <w:rPr>
                <w:rStyle w:val="Lienhypertexte"/>
                <w:noProof/>
              </w:rPr>
              <w:t>2.6.1.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_Toc241505304 \h </w:instrText>
            </w:r>
            <w:r>
              <w:rPr>
                <w:noProof/>
                <w:webHidden/>
              </w:rPr>
            </w:r>
            <w:r>
              <w:rPr>
                <w:noProof/>
                <w:webHidden/>
              </w:rPr>
              <w:fldChar w:fldCharType="separate"/>
            </w:r>
            <w:r>
              <w:rPr>
                <w:noProof/>
                <w:webHidden/>
              </w:rPr>
              <w:t>30</w:t>
            </w:r>
            <w:r>
              <w:rPr>
                <w:noProof/>
                <w:webHidden/>
              </w:rPr>
              <w:fldChar w:fldCharType="end"/>
            </w:r>
          </w:hyperlink>
        </w:p>
        <w:p w14:paraId="0D53469A" w14:textId="1CC5A180"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05" w:history="1">
            <w:r w:rsidRPr="00D55451">
              <w:rPr>
                <w:rStyle w:val="Lienhypertexte"/>
                <w:noProof/>
              </w:rPr>
              <w:t>2.6.2.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_Toc241505305 \h </w:instrText>
            </w:r>
            <w:r>
              <w:rPr>
                <w:noProof/>
                <w:webHidden/>
              </w:rPr>
            </w:r>
            <w:r>
              <w:rPr>
                <w:noProof/>
                <w:webHidden/>
              </w:rPr>
              <w:fldChar w:fldCharType="separate"/>
            </w:r>
            <w:r>
              <w:rPr>
                <w:noProof/>
                <w:webHidden/>
              </w:rPr>
              <w:t>30</w:t>
            </w:r>
            <w:r>
              <w:rPr>
                <w:noProof/>
                <w:webHidden/>
              </w:rPr>
              <w:fldChar w:fldCharType="end"/>
            </w:r>
          </w:hyperlink>
        </w:p>
        <w:p w14:paraId="4EC836C5" w14:textId="518873B9"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06" w:history="1">
            <w:r w:rsidRPr="00D55451">
              <w:rPr>
                <w:rStyle w:val="Lienhypertexte"/>
                <w:noProof/>
              </w:rPr>
              <w:t>2.6.3.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_Toc241505306 \h </w:instrText>
            </w:r>
            <w:r>
              <w:rPr>
                <w:noProof/>
                <w:webHidden/>
              </w:rPr>
            </w:r>
            <w:r>
              <w:rPr>
                <w:noProof/>
                <w:webHidden/>
              </w:rPr>
              <w:fldChar w:fldCharType="separate"/>
            </w:r>
            <w:r>
              <w:rPr>
                <w:noProof/>
                <w:webHidden/>
              </w:rPr>
              <w:t>30</w:t>
            </w:r>
            <w:r>
              <w:rPr>
                <w:noProof/>
                <w:webHidden/>
              </w:rPr>
              <w:fldChar w:fldCharType="end"/>
            </w:r>
          </w:hyperlink>
        </w:p>
        <w:p w14:paraId="71E9FF93" w14:textId="0B3A4076"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07" w:history="1">
            <w:r w:rsidRPr="00D55451">
              <w:rPr>
                <w:rStyle w:val="Lienhypertexte"/>
                <w:noProof/>
              </w:rPr>
              <w:t>2.6.4.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_Toc241505307 \h </w:instrText>
            </w:r>
            <w:r>
              <w:rPr>
                <w:noProof/>
                <w:webHidden/>
              </w:rPr>
            </w:r>
            <w:r>
              <w:rPr>
                <w:noProof/>
                <w:webHidden/>
              </w:rPr>
              <w:fldChar w:fldCharType="separate"/>
            </w:r>
            <w:r>
              <w:rPr>
                <w:noProof/>
                <w:webHidden/>
              </w:rPr>
              <w:t>30</w:t>
            </w:r>
            <w:r>
              <w:rPr>
                <w:noProof/>
                <w:webHidden/>
              </w:rPr>
              <w:fldChar w:fldCharType="end"/>
            </w:r>
          </w:hyperlink>
        </w:p>
        <w:p w14:paraId="38FEACB4" w14:textId="078F73F5"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08" w:history="1">
            <w:r w:rsidRPr="00D55451">
              <w:rPr>
                <w:rStyle w:val="Lienhypertexte"/>
                <w:rFonts w:cs="Calibri"/>
                <w:noProof/>
              </w:rPr>
              <w:t>2.7.</w:t>
            </w:r>
            <w:r>
              <w:rPr>
                <w:rFonts w:asciiTheme="minorHAnsi" w:eastAsiaTheme="minorEastAsia" w:hAnsiTheme="minorHAnsi"/>
                <w:noProof/>
                <w:sz w:val="24"/>
                <w:lang w:eastAsia="fr-BE"/>
              </w:rPr>
              <w:tab/>
            </w:r>
            <w:r w:rsidRPr="00D55451">
              <w:rPr>
                <w:rStyle w:val="Lienhypertexte"/>
                <w:noProof/>
              </w:rPr>
              <w:t>Pour aller plus loin</w:t>
            </w:r>
            <w:r>
              <w:rPr>
                <w:noProof/>
                <w:webHidden/>
              </w:rPr>
              <w:tab/>
            </w:r>
            <w:r>
              <w:rPr>
                <w:noProof/>
                <w:webHidden/>
              </w:rPr>
              <w:fldChar w:fldCharType="begin"/>
            </w:r>
            <w:r>
              <w:rPr>
                <w:noProof/>
                <w:webHidden/>
              </w:rPr>
              <w:instrText xml:space="preserve"> PAGEREF _Toc241505308 \h </w:instrText>
            </w:r>
            <w:r>
              <w:rPr>
                <w:noProof/>
                <w:webHidden/>
              </w:rPr>
            </w:r>
            <w:r>
              <w:rPr>
                <w:noProof/>
                <w:webHidden/>
              </w:rPr>
              <w:fldChar w:fldCharType="separate"/>
            </w:r>
            <w:r>
              <w:rPr>
                <w:noProof/>
                <w:webHidden/>
              </w:rPr>
              <w:t>34</w:t>
            </w:r>
            <w:r>
              <w:rPr>
                <w:noProof/>
                <w:webHidden/>
              </w:rPr>
              <w:fldChar w:fldCharType="end"/>
            </w:r>
          </w:hyperlink>
        </w:p>
        <w:p w14:paraId="1D344A70" w14:textId="77654132"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09" w:history="1">
            <w:r w:rsidRPr="00D55451">
              <w:rPr>
                <w:rStyle w:val="Lienhypertexte"/>
                <w:noProof/>
              </w:rPr>
              <w:t>2.7.1.</w:t>
            </w:r>
            <w:r>
              <w:rPr>
                <w:rFonts w:asciiTheme="minorHAnsi" w:eastAsiaTheme="minorEastAsia" w:hAnsiTheme="minorHAnsi"/>
                <w:noProof/>
                <w:sz w:val="24"/>
                <w:lang w:eastAsia="fr-BE"/>
              </w:rPr>
              <w:tab/>
            </w:r>
            <w:r w:rsidRPr="00D55451">
              <w:rPr>
                <w:rStyle w:val="Lienhypertexte"/>
                <w:noProof/>
              </w:rPr>
              <w:t>Conductivité électrique</w:t>
            </w:r>
            <w:r>
              <w:rPr>
                <w:noProof/>
                <w:webHidden/>
              </w:rPr>
              <w:tab/>
            </w:r>
            <w:r>
              <w:rPr>
                <w:noProof/>
                <w:webHidden/>
              </w:rPr>
              <w:fldChar w:fldCharType="begin"/>
            </w:r>
            <w:r>
              <w:rPr>
                <w:noProof/>
                <w:webHidden/>
              </w:rPr>
              <w:instrText xml:space="preserve"> PAGEREF _Toc241505309 \h </w:instrText>
            </w:r>
            <w:r>
              <w:rPr>
                <w:noProof/>
                <w:webHidden/>
              </w:rPr>
            </w:r>
            <w:r>
              <w:rPr>
                <w:noProof/>
                <w:webHidden/>
              </w:rPr>
              <w:fldChar w:fldCharType="separate"/>
            </w:r>
            <w:r>
              <w:rPr>
                <w:noProof/>
                <w:webHidden/>
              </w:rPr>
              <w:t>34</w:t>
            </w:r>
            <w:r>
              <w:rPr>
                <w:noProof/>
                <w:webHidden/>
              </w:rPr>
              <w:fldChar w:fldCharType="end"/>
            </w:r>
          </w:hyperlink>
        </w:p>
        <w:p w14:paraId="7A186461" w14:textId="7A1CBE22" w:rsidR="00DB2481" w:rsidRDefault="00DB2481">
          <w:pPr>
            <w:pStyle w:val="TM1"/>
            <w:tabs>
              <w:tab w:val="left" w:pos="480"/>
              <w:tab w:val="right" w:leader="dot" w:pos="9060"/>
            </w:tabs>
            <w:rPr>
              <w:rFonts w:asciiTheme="minorHAnsi" w:eastAsiaTheme="minorEastAsia" w:hAnsiTheme="minorHAnsi"/>
              <w:noProof/>
              <w:sz w:val="24"/>
              <w:lang w:eastAsia="fr-BE"/>
            </w:rPr>
          </w:pPr>
          <w:hyperlink w:anchor="_Toc241505310" w:history="1">
            <w:r w:rsidRPr="00D55451">
              <w:rPr>
                <w:rStyle w:val="Lienhypertexte"/>
                <w:noProof/>
              </w:rPr>
              <w:t>3.</w:t>
            </w:r>
            <w:r>
              <w:rPr>
                <w:rFonts w:asciiTheme="minorHAnsi" w:eastAsiaTheme="minorEastAsia" w:hAnsiTheme="minorHAnsi"/>
                <w:noProof/>
                <w:sz w:val="24"/>
                <w:lang w:eastAsia="fr-BE"/>
              </w:rPr>
              <w:tab/>
            </w:r>
            <w:r w:rsidRPr="00D55451">
              <w:rPr>
                <w:rStyle w:val="Lienhypertexte"/>
                <w:noProof/>
              </w:rPr>
              <w:t>Paramètres biologiques</w:t>
            </w:r>
            <w:r>
              <w:rPr>
                <w:noProof/>
                <w:webHidden/>
              </w:rPr>
              <w:tab/>
            </w:r>
            <w:r>
              <w:rPr>
                <w:noProof/>
                <w:webHidden/>
              </w:rPr>
              <w:fldChar w:fldCharType="begin"/>
            </w:r>
            <w:r>
              <w:rPr>
                <w:noProof/>
                <w:webHidden/>
              </w:rPr>
              <w:instrText xml:space="preserve"> PAGEREF _Toc241505310 \h </w:instrText>
            </w:r>
            <w:r>
              <w:rPr>
                <w:noProof/>
                <w:webHidden/>
              </w:rPr>
            </w:r>
            <w:r>
              <w:rPr>
                <w:noProof/>
                <w:webHidden/>
              </w:rPr>
              <w:fldChar w:fldCharType="separate"/>
            </w:r>
            <w:r>
              <w:rPr>
                <w:noProof/>
                <w:webHidden/>
              </w:rPr>
              <w:t>34</w:t>
            </w:r>
            <w:r>
              <w:rPr>
                <w:noProof/>
                <w:webHidden/>
              </w:rPr>
              <w:fldChar w:fldCharType="end"/>
            </w:r>
          </w:hyperlink>
        </w:p>
        <w:p w14:paraId="14CFD833" w14:textId="7C2D2A0C"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11" w:history="1">
            <w:r w:rsidRPr="00D55451">
              <w:rPr>
                <w:rStyle w:val="Lienhypertexte"/>
                <w:rFonts w:cs="Calibri"/>
                <w:noProof/>
              </w:rPr>
              <w:t>3.1.</w:t>
            </w:r>
            <w:r>
              <w:rPr>
                <w:rFonts w:asciiTheme="minorHAnsi" w:eastAsiaTheme="minorEastAsia" w:hAnsiTheme="minorHAnsi"/>
                <w:noProof/>
                <w:sz w:val="24"/>
                <w:lang w:eastAsia="fr-BE"/>
              </w:rPr>
              <w:tab/>
            </w:r>
            <w:r w:rsidRPr="00D55451">
              <w:rPr>
                <w:rStyle w:val="Lienhypertexte"/>
                <w:noProof/>
              </w:rPr>
              <w:t>Biomasse microbienne et quotient microbien</w:t>
            </w:r>
            <w:r>
              <w:rPr>
                <w:noProof/>
                <w:webHidden/>
              </w:rPr>
              <w:tab/>
            </w:r>
            <w:r>
              <w:rPr>
                <w:noProof/>
                <w:webHidden/>
              </w:rPr>
              <w:fldChar w:fldCharType="begin"/>
            </w:r>
            <w:r>
              <w:rPr>
                <w:noProof/>
                <w:webHidden/>
              </w:rPr>
              <w:instrText xml:space="preserve"> PAGEREF _Toc241505311 \h </w:instrText>
            </w:r>
            <w:r>
              <w:rPr>
                <w:noProof/>
                <w:webHidden/>
              </w:rPr>
            </w:r>
            <w:r>
              <w:rPr>
                <w:noProof/>
                <w:webHidden/>
              </w:rPr>
              <w:fldChar w:fldCharType="separate"/>
            </w:r>
            <w:r>
              <w:rPr>
                <w:noProof/>
                <w:webHidden/>
              </w:rPr>
              <w:t>34</w:t>
            </w:r>
            <w:r>
              <w:rPr>
                <w:noProof/>
                <w:webHidden/>
              </w:rPr>
              <w:fldChar w:fldCharType="end"/>
            </w:r>
          </w:hyperlink>
        </w:p>
        <w:p w14:paraId="04A5D2DB" w14:textId="4DB2EDF6"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12" w:history="1">
            <w:r w:rsidRPr="00D55451">
              <w:rPr>
                <w:rStyle w:val="Lienhypertexte"/>
                <w:noProof/>
              </w:rPr>
              <w:t>3.1.1.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_Toc241505312 \h </w:instrText>
            </w:r>
            <w:r>
              <w:rPr>
                <w:noProof/>
                <w:webHidden/>
              </w:rPr>
            </w:r>
            <w:r>
              <w:rPr>
                <w:noProof/>
                <w:webHidden/>
              </w:rPr>
              <w:fldChar w:fldCharType="separate"/>
            </w:r>
            <w:r>
              <w:rPr>
                <w:noProof/>
                <w:webHidden/>
              </w:rPr>
              <w:t>34</w:t>
            </w:r>
            <w:r>
              <w:rPr>
                <w:noProof/>
                <w:webHidden/>
              </w:rPr>
              <w:fldChar w:fldCharType="end"/>
            </w:r>
          </w:hyperlink>
        </w:p>
        <w:p w14:paraId="6896C31E" w14:textId="4A505819"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13" w:history="1">
            <w:r w:rsidRPr="00D55451">
              <w:rPr>
                <w:rStyle w:val="Lienhypertexte"/>
                <w:noProof/>
              </w:rPr>
              <w:t>3.1.2.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_Toc241505313 \h </w:instrText>
            </w:r>
            <w:r>
              <w:rPr>
                <w:noProof/>
                <w:webHidden/>
              </w:rPr>
            </w:r>
            <w:r>
              <w:rPr>
                <w:noProof/>
                <w:webHidden/>
              </w:rPr>
              <w:fldChar w:fldCharType="separate"/>
            </w:r>
            <w:r>
              <w:rPr>
                <w:noProof/>
                <w:webHidden/>
              </w:rPr>
              <w:t>34</w:t>
            </w:r>
            <w:r>
              <w:rPr>
                <w:noProof/>
                <w:webHidden/>
              </w:rPr>
              <w:fldChar w:fldCharType="end"/>
            </w:r>
          </w:hyperlink>
        </w:p>
        <w:p w14:paraId="7AC85280" w14:textId="3A782C86"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14" w:history="1">
            <w:r w:rsidRPr="00D55451">
              <w:rPr>
                <w:rStyle w:val="Lienhypertexte"/>
                <w:noProof/>
              </w:rPr>
              <w:t>3.1.3.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_Toc241505314 \h </w:instrText>
            </w:r>
            <w:r>
              <w:rPr>
                <w:noProof/>
                <w:webHidden/>
              </w:rPr>
            </w:r>
            <w:r>
              <w:rPr>
                <w:noProof/>
                <w:webHidden/>
              </w:rPr>
              <w:fldChar w:fldCharType="separate"/>
            </w:r>
            <w:r>
              <w:rPr>
                <w:noProof/>
                <w:webHidden/>
              </w:rPr>
              <w:t>35</w:t>
            </w:r>
            <w:r>
              <w:rPr>
                <w:noProof/>
                <w:webHidden/>
              </w:rPr>
              <w:fldChar w:fldCharType="end"/>
            </w:r>
          </w:hyperlink>
        </w:p>
        <w:p w14:paraId="7211FB52" w14:textId="50022DD0"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15" w:history="1">
            <w:r w:rsidRPr="00D55451">
              <w:rPr>
                <w:rStyle w:val="Lienhypertexte"/>
                <w:noProof/>
              </w:rPr>
              <w:t>3.1.4.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_Toc241505315 \h </w:instrText>
            </w:r>
            <w:r>
              <w:rPr>
                <w:noProof/>
                <w:webHidden/>
              </w:rPr>
            </w:r>
            <w:r>
              <w:rPr>
                <w:noProof/>
                <w:webHidden/>
              </w:rPr>
              <w:fldChar w:fldCharType="separate"/>
            </w:r>
            <w:r>
              <w:rPr>
                <w:noProof/>
                <w:webHidden/>
              </w:rPr>
              <w:t>35</w:t>
            </w:r>
            <w:r>
              <w:rPr>
                <w:noProof/>
                <w:webHidden/>
              </w:rPr>
              <w:fldChar w:fldCharType="end"/>
            </w:r>
          </w:hyperlink>
        </w:p>
        <w:p w14:paraId="36E37EB0" w14:textId="041997D5"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16" w:history="1">
            <w:r w:rsidRPr="00D55451">
              <w:rPr>
                <w:rStyle w:val="Lienhypertexte"/>
                <w:rFonts w:cs="Calibri"/>
                <w:noProof/>
              </w:rPr>
              <w:t>3.2.</w:t>
            </w:r>
            <w:r>
              <w:rPr>
                <w:rFonts w:asciiTheme="minorHAnsi" w:eastAsiaTheme="minorEastAsia" w:hAnsiTheme="minorHAnsi"/>
                <w:noProof/>
                <w:sz w:val="24"/>
                <w:lang w:eastAsia="fr-BE"/>
              </w:rPr>
              <w:tab/>
            </w:r>
            <w:r w:rsidRPr="00D55451">
              <w:rPr>
                <w:rStyle w:val="Lienhypertexte"/>
                <w:noProof/>
              </w:rPr>
              <w:t>Diversité des nématodes</w:t>
            </w:r>
            <w:r>
              <w:rPr>
                <w:noProof/>
                <w:webHidden/>
              </w:rPr>
              <w:tab/>
            </w:r>
            <w:r>
              <w:rPr>
                <w:noProof/>
                <w:webHidden/>
              </w:rPr>
              <w:fldChar w:fldCharType="begin"/>
            </w:r>
            <w:r>
              <w:rPr>
                <w:noProof/>
                <w:webHidden/>
              </w:rPr>
              <w:instrText xml:space="preserve"> PAGEREF _Toc241505316 \h </w:instrText>
            </w:r>
            <w:r>
              <w:rPr>
                <w:noProof/>
                <w:webHidden/>
              </w:rPr>
            </w:r>
            <w:r>
              <w:rPr>
                <w:noProof/>
                <w:webHidden/>
              </w:rPr>
              <w:fldChar w:fldCharType="separate"/>
            </w:r>
            <w:r>
              <w:rPr>
                <w:noProof/>
                <w:webHidden/>
              </w:rPr>
              <w:t>36</w:t>
            </w:r>
            <w:r>
              <w:rPr>
                <w:noProof/>
                <w:webHidden/>
              </w:rPr>
              <w:fldChar w:fldCharType="end"/>
            </w:r>
          </w:hyperlink>
        </w:p>
        <w:p w14:paraId="507FF031" w14:textId="61358389"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17" w:history="1">
            <w:r w:rsidRPr="00D55451">
              <w:rPr>
                <w:rStyle w:val="Lienhypertexte"/>
                <w:noProof/>
              </w:rPr>
              <w:t>3.2.1.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_Toc241505317 \h </w:instrText>
            </w:r>
            <w:r>
              <w:rPr>
                <w:noProof/>
                <w:webHidden/>
              </w:rPr>
            </w:r>
            <w:r>
              <w:rPr>
                <w:noProof/>
                <w:webHidden/>
              </w:rPr>
              <w:fldChar w:fldCharType="separate"/>
            </w:r>
            <w:r>
              <w:rPr>
                <w:noProof/>
                <w:webHidden/>
              </w:rPr>
              <w:t>36</w:t>
            </w:r>
            <w:r>
              <w:rPr>
                <w:noProof/>
                <w:webHidden/>
              </w:rPr>
              <w:fldChar w:fldCharType="end"/>
            </w:r>
          </w:hyperlink>
        </w:p>
        <w:p w14:paraId="572E61DD" w14:textId="00FFD553"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18" w:history="1">
            <w:r w:rsidRPr="00D55451">
              <w:rPr>
                <w:rStyle w:val="Lienhypertexte"/>
                <w:noProof/>
              </w:rPr>
              <w:t>3.2.2.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_Toc241505318 \h </w:instrText>
            </w:r>
            <w:r>
              <w:rPr>
                <w:noProof/>
                <w:webHidden/>
              </w:rPr>
            </w:r>
            <w:r>
              <w:rPr>
                <w:noProof/>
                <w:webHidden/>
              </w:rPr>
              <w:fldChar w:fldCharType="separate"/>
            </w:r>
            <w:r>
              <w:rPr>
                <w:noProof/>
                <w:webHidden/>
              </w:rPr>
              <w:t>36</w:t>
            </w:r>
            <w:r>
              <w:rPr>
                <w:noProof/>
                <w:webHidden/>
              </w:rPr>
              <w:fldChar w:fldCharType="end"/>
            </w:r>
          </w:hyperlink>
        </w:p>
        <w:p w14:paraId="296D41DD" w14:textId="424769C8"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19" w:history="1">
            <w:r w:rsidRPr="00D55451">
              <w:rPr>
                <w:rStyle w:val="Lienhypertexte"/>
                <w:noProof/>
              </w:rPr>
              <w:t>3.2.3.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_Toc241505319 \h </w:instrText>
            </w:r>
            <w:r>
              <w:rPr>
                <w:noProof/>
                <w:webHidden/>
              </w:rPr>
            </w:r>
            <w:r>
              <w:rPr>
                <w:noProof/>
                <w:webHidden/>
              </w:rPr>
              <w:fldChar w:fldCharType="separate"/>
            </w:r>
            <w:r>
              <w:rPr>
                <w:noProof/>
                <w:webHidden/>
              </w:rPr>
              <w:t>36</w:t>
            </w:r>
            <w:r>
              <w:rPr>
                <w:noProof/>
                <w:webHidden/>
              </w:rPr>
              <w:fldChar w:fldCharType="end"/>
            </w:r>
          </w:hyperlink>
        </w:p>
        <w:p w14:paraId="5F84884F" w14:textId="70258126"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20" w:history="1">
            <w:r w:rsidRPr="00D55451">
              <w:rPr>
                <w:rStyle w:val="Lienhypertexte"/>
                <w:noProof/>
              </w:rPr>
              <w:t>3.2.4.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_Toc241505320 \h </w:instrText>
            </w:r>
            <w:r>
              <w:rPr>
                <w:noProof/>
                <w:webHidden/>
              </w:rPr>
            </w:r>
            <w:r>
              <w:rPr>
                <w:noProof/>
                <w:webHidden/>
              </w:rPr>
              <w:fldChar w:fldCharType="separate"/>
            </w:r>
            <w:r>
              <w:rPr>
                <w:noProof/>
                <w:webHidden/>
              </w:rPr>
              <w:t>36</w:t>
            </w:r>
            <w:r>
              <w:rPr>
                <w:noProof/>
                <w:webHidden/>
              </w:rPr>
              <w:fldChar w:fldCharType="end"/>
            </w:r>
          </w:hyperlink>
        </w:p>
        <w:p w14:paraId="7A6E3469" w14:textId="31FEE7FA"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21" w:history="1">
            <w:r w:rsidRPr="00D55451">
              <w:rPr>
                <w:rStyle w:val="Lienhypertexte"/>
                <w:rFonts w:cs="Calibri"/>
                <w:noProof/>
              </w:rPr>
              <w:t>3.3.</w:t>
            </w:r>
            <w:r>
              <w:rPr>
                <w:rFonts w:asciiTheme="minorHAnsi" w:eastAsiaTheme="minorEastAsia" w:hAnsiTheme="minorHAnsi"/>
                <w:noProof/>
                <w:sz w:val="24"/>
                <w:lang w:eastAsia="fr-BE"/>
              </w:rPr>
              <w:tab/>
            </w:r>
            <w:r w:rsidRPr="00D55451">
              <w:rPr>
                <w:rStyle w:val="Lienhypertexte"/>
                <w:noProof/>
              </w:rPr>
              <w:t>Espèces exotiques envahissantes</w:t>
            </w:r>
            <w:r>
              <w:rPr>
                <w:noProof/>
                <w:webHidden/>
              </w:rPr>
              <w:tab/>
            </w:r>
            <w:r>
              <w:rPr>
                <w:noProof/>
                <w:webHidden/>
              </w:rPr>
              <w:fldChar w:fldCharType="begin"/>
            </w:r>
            <w:r>
              <w:rPr>
                <w:noProof/>
                <w:webHidden/>
              </w:rPr>
              <w:instrText xml:space="preserve"> PAGEREF _Toc241505321 \h </w:instrText>
            </w:r>
            <w:r>
              <w:rPr>
                <w:noProof/>
                <w:webHidden/>
              </w:rPr>
            </w:r>
            <w:r>
              <w:rPr>
                <w:noProof/>
                <w:webHidden/>
              </w:rPr>
              <w:fldChar w:fldCharType="separate"/>
            </w:r>
            <w:r>
              <w:rPr>
                <w:noProof/>
                <w:webHidden/>
              </w:rPr>
              <w:t>37</w:t>
            </w:r>
            <w:r>
              <w:rPr>
                <w:noProof/>
                <w:webHidden/>
              </w:rPr>
              <w:fldChar w:fldCharType="end"/>
            </w:r>
          </w:hyperlink>
        </w:p>
        <w:p w14:paraId="70DD87B1" w14:textId="3E2F7D40"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22" w:history="1">
            <w:r w:rsidRPr="00D55451">
              <w:rPr>
                <w:rStyle w:val="Lienhypertexte"/>
                <w:noProof/>
              </w:rPr>
              <w:t>3.3.1.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_Toc241505322 \h </w:instrText>
            </w:r>
            <w:r>
              <w:rPr>
                <w:noProof/>
                <w:webHidden/>
              </w:rPr>
            </w:r>
            <w:r>
              <w:rPr>
                <w:noProof/>
                <w:webHidden/>
              </w:rPr>
              <w:fldChar w:fldCharType="separate"/>
            </w:r>
            <w:r>
              <w:rPr>
                <w:noProof/>
                <w:webHidden/>
              </w:rPr>
              <w:t>37</w:t>
            </w:r>
            <w:r>
              <w:rPr>
                <w:noProof/>
                <w:webHidden/>
              </w:rPr>
              <w:fldChar w:fldCharType="end"/>
            </w:r>
          </w:hyperlink>
        </w:p>
        <w:p w14:paraId="7DAB92B3" w14:textId="6A592F81"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23" w:history="1">
            <w:r w:rsidRPr="00D55451">
              <w:rPr>
                <w:rStyle w:val="Lienhypertexte"/>
                <w:noProof/>
              </w:rPr>
              <w:t>3.3.2.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_Toc241505323 \h </w:instrText>
            </w:r>
            <w:r>
              <w:rPr>
                <w:noProof/>
                <w:webHidden/>
              </w:rPr>
            </w:r>
            <w:r>
              <w:rPr>
                <w:noProof/>
                <w:webHidden/>
              </w:rPr>
              <w:fldChar w:fldCharType="separate"/>
            </w:r>
            <w:r>
              <w:rPr>
                <w:noProof/>
                <w:webHidden/>
              </w:rPr>
              <w:t>37</w:t>
            </w:r>
            <w:r>
              <w:rPr>
                <w:noProof/>
                <w:webHidden/>
              </w:rPr>
              <w:fldChar w:fldCharType="end"/>
            </w:r>
          </w:hyperlink>
        </w:p>
        <w:p w14:paraId="3A27D18B" w14:textId="2642BE1B"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24" w:history="1">
            <w:r w:rsidRPr="00D55451">
              <w:rPr>
                <w:rStyle w:val="Lienhypertexte"/>
                <w:noProof/>
              </w:rPr>
              <w:t>3.3.3.</w:t>
            </w:r>
            <w:r>
              <w:rPr>
                <w:rFonts w:asciiTheme="minorHAnsi" w:eastAsiaTheme="minorEastAsia" w:hAnsiTheme="minorHAnsi"/>
                <w:noProof/>
                <w:sz w:val="24"/>
                <w:lang w:eastAsia="fr-BE"/>
              </w:rPr>
              <w:tab/>
            </w:r>
            <w:r w:rsidRPr="00D55451">
              <w:rPr>
                <w:rStyle w:val="Lienhypertexte"/>
                <w:noProof/>
              </w:rPr>
              <w:t>Méthode de mesure</w:t>
            </w:r>
            <w:r>
              <w:rPr>
                <w:noProof/>
                <w:webHidden/>
              </w:rPr>
              <w:tab/>
            </w:r>
            <w:r>
              <w:rPr>
                <w:noProof/>
                <w:webHidden/>
              </w:rPr>
              <w:fldChar w:fldCharType="begin"/>
            </w:r>
            <w:r>
              <w:rPr>
                <w:noProof/>
                <w:webHidden/>
              </w:rPr>
              <w:instrText xml:space="preserve"> PAGEREF _Toc241505324 \h </w:instrText>
            </w:r>
            <w:r>
              <w:rPr>
                <w:noProof/>
                <w:webHidden/>
              </w:rPr>
            </w:r>
            <w:r>
              <w:rPr>
                <w:noProof/>
                <w:webHidden/>
              </w:rPr>
              <w:fldChar w:fldCharType="separate"/>
            </w:r>
            <w:r>
              <w:rPr>
                <w:noProof/>
                <w:webHidden/>
              </w:rPr>
              <w:t>38</w:t>
            </w:r>
            <w:r>
              <w:rPr>
                <w:noProof/>
                <w:webHidden/>
              </w:rPr>
              <w:fldChar w:fldCharType="end"/>
            </w:r>
          </w:hyperlink>
        </w:p>
        <w:p w14:paraId="249E865B" w14:textId="0356239A"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25" w:history="1">
            <w:r w:rsidRPr="00D55451">
              <w:rPr>
                <w:rStyle w:val="Lienhypertexte"/>
                <w:noProof/>
              </w:rPr>
              <w:t>3.3.4.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_Toc241505325 \h </w:instrText>
            </w:r>
            <w:r>
              <w:rPr>
                <w:noProof/>
                <w:webHidden/>
              </w:rPr>
            </w:r>
            <w:r>
              <w:rPr>
                <w:noProof/>
                <w:webHidden/>
              </w:rPr>
              <w:fldChar w:fldCharType="separate"/>
            </w:r>
            <w:r>
              <w:rPr>
                <w:noProof/>
                <w:webHidden/>
              </w:rPr>
              <w:t>38</w:t>
            </w:r>
            <w:r>
              <w:rPr>
                <w:noProof/>
                <w:webHidden/>
              </w:rPr>
              <w:fldChar w:fldCharType="end"/>
            </w:r>
          </w:hyperlink>
        </w:p>
        <w:p w14:paraId="7095281F" w14:textId="1CBF68A5"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26" w:history="1">
            <w:r w:rsidRPr="00D55451">
              <w:rPr>
                <w:rStyle w:val="Lienhypertexte"/>
                <w:rFonts w:cs="Calibri"/>
                <w:noProof/>
              </w:rPr>
              <w:t>3.4.</w:t>
            </w:r>
            <w:r>
              <w:rPr>
                <w:rFonts w:asciiTheme="minorHAnsi" w:eastAsiaTheme="minorEastAsia" w:hAnsiTheme="minorHAnsi"/>
                <w:noProof/>
                <w:sz w:val="24"/>
                <w:lang w:eastAsia="fr-BE"/>
              </w:rPr>
              <w:tab/>
            </w:r>
            <w:r w:rsidRPr="00D55451">
              <w:rPr>
                <w:rStyle w:val="Lienhypertexte"/>
                <w:noProof/>
              </w:rPr>
              <w:t>Pour aller plus loin</w:t>
            </w:r>
            <w:r>
              <w:rPr>
                <w:noProof/>
                <w:webHidden/>
              </w:rPr>
              <w:tab/>
            </w:r>
            <w:r>
              <w:rPr>
                <w:noProof/>
                <w:webHidden/>
              </w:rPr>
              <w:fldChar w:fldCharType="begin"/>
            </w:r>
            <w:r>
              <w:rPr>
                <w:noProof/>
                <w:webHidden/>
              </w:rPr>
              <w:instrText xml:space="preserve"> PAGEREF _Toc241505326 \h </w:instrText>
            </w:r>
            <w:r>
              <w:rPr>
                <w:noProof/>
                <w:webHidden/>
              </w:rPr>
            </w:r>
            <w:r>
              <w:rPr>
                <w:noProof/>
                <w:webHidden/>
              </w:rPr>
              <w:fldChar w:fldCharType="separate"/>
            </w:r>
            <w:r>
              <w:rPr>
                <w:noProof/>
                <w:webHidden/>
              </w:rPr>
              <w:t>39</w:t>
            </w:r>
            <w:r>
              <w:rPr>
                <w:noProof/>
                <w:webHidden/>
              </w:rPr>
              <w:fldChar w:fldCharType="end"/>
            </w:r>
          </w:hyperlink>
        </w:p>
        <w:p w14:paraId="25313003" w14:textId="04D96329" w:rsidR="00DB2481" w:rsidRDefault="00DB2481">
          <w:pPr>
            <w:pStyle w:val="TM1"/>
            <w:tabs>
              <w:tab w:val="left" w:pos="480"/>
              <w:tab w:val="right" w:leader="dot" w:pos="9060"/>
            </w:tabs>
            <w:rPr>
              <w:rFonts w:asciiTheme="minorHAnsi" w:eastAsiaTheme="minorEastAsia" w:hAnsiTheme="minorHAnsi"/>
              <w:noProof/>
              <w:sz w:val="24"/>
              <w:lang w:eastAsia="fr-BE"/>
            </w:rPr>
          </w:pPr>
          <w:hyperlink w:anchor="_Toc241505327" w:history="1">
            <w:r w:rsidRPr="00D55451">
              <w:rPr>
                <w:rStyle w:val="Lienhypertexte"/>
                <w:noProof/>
              </w:rPr>
              <w:t>4.</w:t>
            </w:r>
            <w:r>
              <w:rPr>
                <w:rFonts w:asciiTheme="minorHAnsi" w:eastAsiaTheme="minorEastAsia" w:hAnsiTheme="minorHAnsi"/>
                <w:noProof/>
                <w:sz w:val="24"/>
                <w:lang w:eastAsia="fr-BE"/>
              </w:rPr>
              <w:tab/>
            </w:r>
            <w:r w:rsidRPr="00D55451">
              <w:rPr>
                <w:rStyle w:val="Lienhypertexte"/>
                <w:noProof/>
              </w:rPr>
              <w:t>Indicateurs calculés</w:t>
            </w:r>
            <w:r>
              <w:rPr>
                <w:noProof/>
                <w:webHidden/>
              </w:rPr>
              <w:tab/>
            </w:r>
            <w:r>
              <w:rPr>
                <w:noProof/>
                <w:webHidden/>
              </w:rPr>
              <w:fldChar w:fldCharType="begin"/>
            </w:r>
            <w:r>
              <w:rPr>
                <w:noProof/>
                <w:webHidden/>
              </w:rPr>
              <w:instrText xml:space="preserve"> PAGEREF _Toc241505327 \h </w:instrText>
            </w:r>
            <w:r>
              <w:rPr>
                <w:noProof/>
                <w:webHidden/>
              </w:rPr>
            </w:r>
            <w:r>
              <w:rPr>
                <w:noProof/>
                <w:webHidden/>
              </w:rPr>
              <w:fldChar w:fldCharType="separate"/>
            </w:r>
            <w:r>
              <w:rPr>
                <w:noProof/>
                <w:webHidden/>
              </w:rPr>
              <w:t>39</w:t>
            </w:r>
            <w:r>
              <w:rPr>
                <w:noProof/>
                <w:webHidden/>
              </w:rPr>
              <w:fldChar w:fldCharType="end"/>
            </w:r>
          </w:hyperlink>
        </w:p>
        <w:p w14:paraId="6B0BBB94" w14:textId="67AF36D6"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28" w:history="1">
            <w:r w:rsidRPr="00D55451">
              <w:rPr>
                <w:rStyle w:val="Lienhypertexte"/>
                <w:rFonts w:cs="Calibri"/>
                <w:noProof/>
              </w:rPr>
              <w:t>4.1.</w:t>
            </w:r>
            <w:r>
              <w:rPr>
                <w:rFonts w:asciiTheme="minorHAnsi" w:eastAsiaTheme="minorEastAsia" w:hAnsiTheme="minorHAnsi"/>
                <w:noProof/>
                <w:sz w:val="24"/>
                <w:lang w:eastAsia="fr-BE"/>
              </w:rPr>
              <w:tab/>
            </w:r>
            <w:r w:rsidRPr="00D55451">
              <w:rPr>
                <w:rStyle w:val="Lienhypertexte"/>
                <w:noProof/>
              </w:rPr>
              <w:t>Rapport C</w:t>
            </w:r>
            <w:r w:rsidRPr="00D55451">
              <w:rPr>
                <w:rStyle w:val="Lienhypertexte"/>
                <w:noProof/>
                <w:vertAlign w:val="subscript"/>
              </w:rPr>
              <w:t>org</w:t>
            </w:r>
            <w:r w:rsidRPr="00D55451">
              <w:rPr>
                <w:rStyle w:val="Lienhypertexte"/>
                <w:noProof/>
              </w:rPr>
              <w:t>/argile</w:t>
            </w:r>
            <w:r>
              <w:rPr>
                <w:noProof/>
                <w:webHidden/>
              </w:rPr>
              <w:tab/>
            </w:r>
            <w:r>
              <w:rPr>
                <w:noProof/>
                <w:webHidden/>
              </w:rPr>
              <w:fldChar w:fldCharType="begin"/>
            </w:r>
            <w:r>
              <w:rPr>
                <w:noProof/>
                <w:webHidden/>
              </w:rPr>
              <w:instrText xml:space="preserve"> PAGEREF _Toc241505328 \h </w:instrText>
            </w:r>
            <w:r>
              <w:rPr>
                <w:noProof/>
                <w:webHidden/>
              </w:rPr>
            </w:r>
            <w:r>
              <w:rPr>
                <w:noProof/>
                <w:webHidden/>
              </w:rPr>
              <w:fldChar w:fldCharType="separate"/>
            </w:r>
            <w:r>
              <w:rPr>
                <w:noProof/>
                <w:webHidden/>
              </w:rPr>
              <w:t>39</w:t>
            </w:r>
            <w:r>
              <w:rPr>
                <w:noProof/>
                <w:webHidden/>
              </w:rPr>
              <w:fldChar w:fldCharType="end"/>
            </w:r>
          </w:hyperlink>
        </w:p>
        <w:p w14:paraId="3C280A76" w14:textId="350A90AE"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29" w:history="1">
            <w:r w:rsidRPr="00D55451">
              <w:rPr>
                <w:rStyle w:val="Lienhypertexte"/>
                <w:noProof/>
              </w:rPr>
              <w:t>4.1.1.</w:t>
            </w:r>
            <w:r>
              <w:rPr>
                <w:rFonts w:asciiTheme="minorHAnsi" w:eastAsiaTheme="minorEastAsia" w:hAnsiTheme="minorHAnsi"/>
                <w:noProof/>
                <w:sz w:val="24"/>
                <w:lang w:eastAsia="fr-BE"/>
              </w:rPr>
              <w:tab/>
            </w:r>
            <w:r w:rsidRPr="00D55451">
              <w:rPr>
                <w:rStyle w:val="Lienhypertexte"/>
                <w:noProof/>
              </w:rPr>
              <w:t>Définition et calcul</w:t>
            </w:r>
            <w:r>
              <w:rPr>
                <w:noProof/>
                <w:webHidden/>
              </w:rPr>
              <w:tab/>
            </w:r>
            <w:r>
              <w:rPr>
                <w:noProof/>
                <w:webHidden/>
              </w:rPr>
              <w:fldChar w:fldCharType="begin"/>
            </w:r>
            <w:r>
              <w:rPr>
                <w:noProof/>
                <w:webHidden/>
              </w:rPr>
              <w:instrText xml:space="preserve"> PAGEREF _Toc241505329 \h </w:instrText>
            </w:r>
            <w:r>
              <w:rPr>
                <w:noProof/>
                <w:webHidden/>
              </w:rPr>
            </w:r>
            <w:r>
              <w:rPr>
                <w:noProof/>
                <w:webHidden/>
              </w:rPr>
              <w:fldChar w:fldCharType="separate"/>
            </w:r>
            <w:r>
              <w:rPr>
                <w:noProof/>
                <w:webHidden/>
              </w:rPr>
              <w:t>39</w:t>
            </w:r>
            <w:r>
              <w:rPr>
                <w:noProof/>
                <w:webHidden/>
              </w:rPr>
              <w:fldChar w:fldCharType="end"/>
            </w:r>
          </w:hyperlink>
        </w:p>
        <w:p w14:paraId="672627B5" w14:textId="1CE59C79"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30" w:history="1">
            <w:r w:rsidRPr="00D55451">
              <w:rPr>
                <w:rStyle w:val="Lienhypertexte"/>
                <w:noProof/>
              </w:rPr>
              <w:t>4.1.2.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_Toc241505330 \h </w:instrText>
            </w:r>
            <w:r>
              <w:rPr>
                <w:noProof/>
                <w:webHidden/>
              </w:rPr>
            </w:r>
            <w:r>
              <w:rPr>
                <w:noProof/>
                <w:webHidden/>
              </w:rPr>
              <w:fldChar w:fldCharType="separate"/>
            </w:r>
            <w:r>
              <w:rPr>
                <w:noProof/>
                <w:webHidden/>
              </w:rPr>
              <w:t>39</w:t>
            </w:r>
            <w:r>
              <w:rPr>
                <w:noProof/>
                <w:webHidden/>
              </w:rPr>
              <w:fldChar w:fldCharType="end"/>
            </w:r>
          </w:hyperlink>
        </w:p>
        <w:p w14:paraId="3DCE3899" w14:textId="21EC4ACA"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31" w:history="1">
            <w:r w:rsidRPr="00D55451">
              <w:rPr>
                <w:rStyle w:val="Lienhypertexte"/>
                <w:noProof/>
              </w:rPr>
              <w:t>4.1.3.</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_Toc241505331 \h </w:instrText>
            </w:r>
            <w:r>
              <w:rPr>
                <w:noProof/>
                <w:webHidden/>
              </w:rPr>
            </w:r>
            <w:r>
              <w:rPr>
                <w:noProof/>
                <w:webHidden/>
              </w:rPr>
              <w:fldChar w:fldCharType="separate"/>
            </w:r>
            <w:r>
              <w:rPr>
                <w:noProof/>
                <w:webHidden/>
              </w:rPr>
              <w:t>39</w:t>
            </w:r>
            <w:r>
              <w:rPr>
                <w:noProof/>
                <w:webHidden/>
              </w:rPr>
              <w:fldChar w:fldCharType="end"/>
            </w:r>
          </w:hyperlink>
        </w:p>
        <w:p w14:paraId="2B5E2A5D" w14:textId="2A8A8481"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32" w:history="1">
            <w:r w:rsidRPr="00D55451">
              <w:rPr>
                <w:rStyle w:val="Lienhypertexte"/>
                <w:rFonts w:cs="Calibri"/>
                <w:noProof/>
              </w:rPr>
              <w:t>4.2.</w:t>
            </w:r>
            <w:r>
              <w:rPr>
                <w:rFonts w:asciiTheme="minorHAnsi" w:eastAsiaTheme="minorEastAsia" w:hAnsiTheme="minorHAnsi"/>
                <w:noProof/>
                <w:sz w:val="24"/>
                <w:lang w:eastAsia="fr-BE"/>
              </w:rPr>
              <w:tab/>
            </w:r>
            <w:r w:rsidRPr="00D55451">
              <w:rPr>
                <w:rStyle w:val="Lienhypertexte"/>
                <w:noProof/>
              </w:rPr>
              <w:t>Rapport K/Mg</w:t>
            </w:r>
            <w:r>
              <w:rPr>
                <w:noProof/>
                <w:webHidden/>
              </w:rPr>
              <w:tab/>
            </w:r>
            <w:r>
              <w:rPr>
                <w:noProof/>
                <w:webHidden/>
              </w:rPr>
              <w:fldChar w:fldCharType="begin"/>
            </w:r>
            <w:r>
              <w:rPr>
                <w:noProof/>
                <w:webHidden/>
              </w:rPr>
              <w:instrText xml:space="preserve"> PAGEREF _Toc241505332 \h </w:instrText>
            </w:r>
            <w:r>
              <w:rPr>
                <w:noProof/>
                <w:webHidden/>
              </w:rPr>
            </w:r>
            <w:r>
              <w:rPr>
                <w:noProof/>
                <w:webHidden/>
              </w:rPr>
              <w:fldChar w:fldCharType="separate"/>
            </w:r>
            <w:r>
              <w:rPr>
                <w:noProof/>
                <w:webHidden/>
              </w:rPr>
              <w:t>41</w:t>
            </w:r>
            <w:r>
              <w:rPr>
                <w:noProof/>
                <w:webHidden/>
              </w:rPr>
              <w:fldChar w:fldCharType="end"/>
            </w:r>
          </w:hyperlink>
        </w:p>
        <w:p w14:paraId="568BF106" w14:textId="5E6FE3C7"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33" w:history="1">
            <w:r w:rsidRPr="00D55451">
              <w:rPr>
                <w:rStyle w:val="Lienhypertexte"/>
                <w:noProof/>
              </w:rPr>
              <w:t>4.2.1.</w:t>
            </w:r>
            <w:r>
              <w:rPr>
                <w:rFonts w:asciiTheme="minorHAnsi" w:eastAsiaTheme="minorEastAsia" w:hAnsiTheme="minorHAnsi"/>
                <w:noProof/>
                <w:sz w:val="24"/>
                <w:lang w:eastAsia="fr-BE"/>
              </w:rPr>
              <w:tab/>
            </w:r>
            <w:r w:rsidRPr="00D55451">
              <w:rPr>
                <w:rStyle w:val="Lienhypertexte"/>
                <w:noProof/>
              </w:rPr>
              <w:t>Définition et calcul</w:t>
            </w:r>
            <w:r>
              <w:rPr>
                <w:noProof/>
                <w:webHidden/>
              </w:rPr>
              <w:tab/>
            </w:r>
            <w:r>
              <w:rPr>
                <w:noProof/>
                <w:webHidden/>
              </w:rPr>
              <w:fldChar w:fldCharType="begin"/>
            </w:r>
            <w:r>
              <w:rPr>
                <w:noProof/>
                <w:webHidden/>
              </w:rPr>
              <w:instrText xml:space="preserve"> PAGEREF _Toc241505333 \h </w:instrText>
            </w:r>
            <w:r>
              <w:rPr>
                <w:noProof/>
                <w:webHidden/>
              </w:rPr>
            </w:r>
            <w:r>
              <w:rPr>
                <w:noProof/>
                <w:webHidden/>
              </w:rPr>
              <w:fldChar w:fldCharType="separate"/>
            </w:r>
            <w:r>
              <w:rPr>
                <w:noProof/>
                <w:webHidden/>
              </w:rPr>
              <w:t>41</w:t>
            </w:r>
            <w:r>
              <w:rPr>
                <w:noProof/>
                <w:webHidden/>
              </w:rPr>
              <w:fldChar w:fldCharType="end"/>
            </w:r>
          </w:hyperlink>
        </w:p>
        <w:p w14:paraId="51AA58B5" w14:textId="6C04F712"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34" w:history="1">
            <w:r w:rsidRPr="00D55451">
              <w:rPr>
                <w:rStyle w:val="Lienhypertexte"/>
                <w:noProof/>
              </w:rPr>
              <w:t>4.2.2.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_Toc241505334 \h </w:instrText>
            </w:r>
            <w:r>
              <w:rPr>
                <w:noProof/>
                <w:webHidden/>
              </w:rPr>
            </w:r>
            <w:r>
              <w:rPr>
                <w:noProof/>
                <w:webHidden/>
              </w:rPr>
              <w:fldChar w:fldCharType="separate"/>
            </w:r>
            <w:r>
              <w:rPr>
                <w:noProof/>
                <w:webHidden/>
              </w:rPr>
              <w:t>41</w:t>
            </w:r>
            <w:r>
              <w:rPr>
                <w:noProof/>
                <w:webHidden/>
              </w:rPr>
              <w:fldChar w:fldCharType="end"/>
            </w:r>
          </w:hyperlink>
        </w:p>
        <w:p w14:paraId="0F19F651" w14:textId="07F71EDC"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35" w:history="1">
            <w:r w:rsidRPr="00D55451">
              <w:rPr>
                <w:rStyle w:val="Lienhypertexte"/>
                <w:noProof/>
              </w:rPr>
              <w:t>4.2.3.</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_Toc241505335 \h </w:instrText>
            </w:r>
            <w:r>
              <w:rPr>
                <w:noProof/>
                <w:webHidden/>
              </w:rPr>
            </w:r>
            <w:r>
              <w:rPr>
                <w:noProof/>
                <w:webHidden/>
              </w:rPr>
              <w:fldChar w:fldCharType="separate"/>
            </w:r>
            <w:r>
              <w:rPr>
                <w:noProof/>
                <w:webHidden/>
              </w:rPr>
              <w:t>41</w:t>
            </w:r>
            <w:r>
              <w:rPr>
                <w:noProof/>
                <w:webHidden/>
              </w:rPr>
              <w:fldChar w:fldCharType="end"/>
            </w:r>
          </w:hyperlink>
        </w:p>
        <w:p w14:paraId="720B3DBE" w14:textId="56C321E8"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36" w:history="1">
            <w:r w:rsidRPr="00D55451">
              <w:rPr>
                <w:rStyle w:val="Lienhypertexte"/>
                <w:rFonts w:cs="Calibri"/>
                <w:noProof/>
              </w:rPr>
              <w:t>4.3.</w:t>
            </w:r>
            <w:r>
              <w:rPr>
                <w:rFonts w:asciiTheme="minorHAnsi" w:eastAsiaTheme="minorEastAsia" w:hAnsiTheme="minorHAnsi"/>
                <w:noProof/>
                <w:sz w:val="24"/>
                <w:lang w:eastAsia="fr-BE"/>
              </w:rPr>
              <w:tab/>
            </w:r>
            <w:r w:rsidRPr="00D55451">
              <w:rPr>
                <w:rStyle w:val="Lienhypertexte"/>
                <w:noProof/>
              </w:rPr>
              <w:t>Stock de carbone</w:t>
            </w:r>
            <w:r>
              <w:rPr>
                <w:noProof/>
                <w:webHidden/>
              </w:rPr>
              <w:tab/>
            </w:r>
            <w:r>
              <w:rPr>
                <w:noProof/>
                <w:webHidden/>
              </w:rPr>
              <w:fldChar w:fldCharType="begin"/>
            </w:r>
            <w:r>
              <w:rPr>
                <w:noProof/>
                <w:webHidden/>
              </w:rPr>
              <w:instrText xml:space="preserve"> PAGEREF _Toc241505336 \h </w:instrText>
            </w:r>
            <w:r>
              <w:rPr>
                <w:noProof/>
                <w:webHidden/>
              </w:rPr>
            </w:r>
            <w:r>
              <w:rPr>
                <w:noProof/>
                <w:webHidden/>
              </w:rPr>
              <w:fldChar w:fldCharType="separate"/>
            </w:r>
            <w:r>
              <w:rPr>
                <w:noProof/>
                <w:webHidden/>
              </w:rPr>
              <w:t>42</w:t>
            </w:r>
            <w:r>
              <w:rPr>
                <w:noProof/>
                <w:webHidden/>
              </w:rPr>
              <w:fldChar w:fldCharType="end"/>
            </w:r>
          </w:hyperlink>
        </w:p>
        <w:p w14:paraId="344C8455" w14:textId="5B46DBB7"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37" w:history="1">
            <w:r w:rsidRPr="00D55451">
              <w:rPr>
                <w:rStyle w:val="Lienhypertexte"/>
                <w:noProof/>
              </w:rPr>
              <w:t>4.3.1.</w:t>
            </w:r>
            <w:r>
              <w:rPr>
                <w:rFonts w:asciiTheme="minorHAnsi" w:eastAsiaTheme="minorEastAsia" w:hAnsiTheme="minorHAnsi"/>
                <w:noProof/>
                <w:sz w:val="24"/>
                <w:lang w:eastAsia="fr-BE"/>
              </w:rPr>
              <w:tab/>
            </w:r>
            <w:r w:rsidRPr="00D55451">
              <w:rPr>
                <w:rStyle w:val="Lienhypertexte"/>
                <w:noProof/>
              </w:rPr>
              <w:t>Définition et calcul</w:t>
            </w:r>
            <w:r>
              <w:rPr>
                <w:noProof/>
                <w:webHidden/>
              </w:rPr>
              <w:tab/>
            </w:r>
            <w:r>
              <w:rPr>
                <w:noProof/>
                <w:webHidden/>
              </w:rPr>
              <w:fldChar w:fldCharType="begin"/>
            </w:r>
            <w:r>
              <w:rPr>
                <w:noProof/>
                <w:webHidden/>
              </w:rPr>
              <w:instrText xml:space="preserve"> PAGEREF _Toc241505337 \h </w:instrText>
            </w:r>
            <w:r>
              <w:rPr>
                <w:noProof/>
                <w:webHidden/>
              </w:rPr>
            </w:r>
            <w:r>
              <w:rPr>
                <w:noProof/>
                <w:webHidden/>
              </w:rPr>
              <w:fldChar w:fldCharType="separate"/>
            </w:r>
            <w:r>
              <w:rPr>
                <w:noProof/>
                <w:webHidden/>
              </w:rPr>
              <w:t>42</w:t>
            </w:r>
            <w:r>
              <w:rPr>
                <w:noProof/>
                <w:webHidden/>
              </w:rPr>
              <w:fldChar w:fldCharType="end"/>
            </w:r>
          </w:hyperlink>
        </w:p>
        <w:p w14:paraId="767D7057" w14:textId="55523B39"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38" w:history="1">
            <w:r w:rsidRPr="00D55451">
              <w:rPr>
                <w:rStyle w:val="Lienhypertexte"/>
                <w:noProof/>
              </w:rPr>
              <w:t>4.3.2.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_Toc241505338 \h </w:instrText>
            </w:r>
            <w:r>
              <w:rPr>
                <w:noProof/>
                <w:webHidden/>
              </w:rPr>
            </w:r>
            <w:r>
              <w:rPr>
                <w:noProof/>
                <w:webHidden/>
              </w:rPr>
              <w:fldChar w:fldCharType="separate"/>
            </w:r>
            <w:r>
              <w:rPr>
                <w:noProof/>
                <w:webHidden/>
              </w:rPr>
              <w:t>42</w:t>
            </w:r>
            <w:r>
              <w:rPr>
                <w:noProof/>
                <w:webHidden/>
              </w:rPr>
              <w:fldChar w:fldCharType="end"/>
            </w:r>
          </w:hyperlink>
        </w:p>
        <w:p w14:paraId="454BB40A" w14:textId="590EFA50"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39" w:history="1">
            <w:r w:rsidRPr="00D55451">
              <w:rPr>
                <w:rStyle w:val="Lienhypertexte"/>
                <w:noProof/>
              </w:rPr>
              <w:t>4.3.3.</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_Toc241505339 \h </w:instrText>
            </w:r>
            <w:r>
              <w:rPr>
                <w:noProof/>
                <w:webHidden/>
              </w:rPr>
            </w:r>
            <w:r>
              <w:rPr>
                <w:noProof/>
                <w:webHidden/>
              </w:rPr>
              <w:fldChar w:fldCharType="separate"/>
            </w:r>
            <w:r>
              <w:rPr>
                <w:noProof/>
                <w:webHidden/>
              </w:rPr>
              <w:t>42</w:t>
            </w:r>
            <w:r>
              <w:rPr>
                <w:noProof/>
                <w:webHidden/>
              </w:rPr>
              <w:fldChar w:fldCharType="end"/>
            </w:r>
          </w:hyperlink>
        </w:p>
        <w:p w14:paraId="0446B5FC" w14:textId="2489D4E0"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40" w:history="1">
            <w:r w:rsidRPr="00D55451">
              <w:rPr>
                <w:rStyle w:val="Lienhypertexte"/>
                <w:rFonts w:cs="Calibri"/>
                <w:noProof/>
              </w:rPr>
              <w:t>4.4.</w:t>
            </w:r>
            <w:r>
              <w:rPr>
                <w:rFonts w:asciiTheme="minorHAnsi" w:eastAsiaTheme="minorEastAsia" w:hAnsiTheme="minorHAnsi"/>
                <w:noProof/>
                <w:sz w:val="24"/>
                <w:lang w:eastAsia="fr-BE"/>
              </w:rPr>
              <w:tab/>
            </w:r>
            <w:r w:rsidRPr="00D55451">
              <w:rPr>
                <w:rStyle w:val="Lienhypertexte"/>
                <w:noProof/>
              </w:rPr>
              <w:t>Réserve en eau utile</w:t>
            </w:r>
            <w:r>
              <w:rPr>
                <w:noProof/>
                <w:webHidden/>
              </w:rPr>
              <w:tab/>
            </w:r>
            <w:r>
              <w:rPr>
                <w:noProof/>
                <w:webHidden/>
              </w:rPr>
              <w:fldChar w:fldCharType="begin"/>
            </w:r>
            <w:r>
              <w:rPr>
                <w:noProof/>
                <w:webHidden/>
              </w:rPr>
              <w:instrText xml:space="preserve"> PAGEREF _Toc241505340 \h </w:instrText>
            </w:r>
            <w:r>
              <w:rPr>
                <w:noProof/>
                <w:webHidden/>
              </w:rPr>
            </w:r>
            <w:r>
              <w:rPr>
                <w:noProof/>
                <w:webHidden/>
              </w:rPr>
              <w:fldChar w:fldCharType="separate"/>
            </w:r>
            <w:r>
              <w:rPr>
                <w:noProof/>
                <w:webHidden/>
              </w:rPr>
              <w:t>43</w:t>
            </w:r>
            <w:r>
              <w:rPr>
                <w:noProof/>
                <w:webHidden/>
              </w:rPr>
              <w:fldChar w:fldCharType="end"/>
            </w:r>
          </w:hyperlink>
        </w:p>
        <w:p w14:paraId="27C02990" w14:textId="7B05945E"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41" w:history="1">
            <w:r w:rsidRPr="00D55451">
              <w:rPr>
                <w:rStyle w:val="Lienhypertexte"/>
                <w:noProof/>
              </w:rPr>
              <w:t>4.4.1.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_Toc241505341 \h </w:instrText>
            </w:r>
            <w:r>
              <w:rPr>
                <w:noProof/>
                <w:webHidden/>
              </w:rPr>
            </w:r>
            <w:r>
              <w:rPr>
                <w:noProof/>
                <w:webHidden/>
              </w:rPr>
              <w:fldChar w:fldCharType="separate"/>
            </w:r>
            <w:r>
              <w:rPr>
                <w:noProof/>
                <w:webHidden/>
              </w:rPr>
              <w:t>43</w:t>
            </w:r>
            <w:r>
              <w:rPr>
                <w:noProof/>
                <w:webHidden/>
              </w:rPr>
              <w:fldChar w:fldCharType="end"/>
            </w:r>
          </w:hyperlink>
        </w:p>
        <w:p w14:paraId="120748D1" w14:textId="192873E6"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42" w:history="1">
            <w:r w:rsidRPr="00D55451">
              <w:rPr>
                <w:rStyle w:val="Lienhypertexte"/>
                <w:noProof/>
              </w:rPr>
              <w:t>4.4.2.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_Toc241505342 \h </w:instrText>
            </w:r>
            <w:r>
              <w:rPr>
                <w:noProof/>
                <w:webHidden/>
              </w:rPr>
            </w:r>
            <w:r>
              <w:rPr>
                <w:noProof/>
                <w:webHidden/>
              </w:rPr>
              <w:fldChar w:fldCharType="separate"/>
            </w:r>
            <w:r>
              <w:rPr>
                <w:noProof/>
                <w:webHidden/>
              </w:rPr>
              <w:t>44</w:t>
            </w:r>
            <w:r>
              <w:rPr>
                <w:noProof/>
                <w:webHidden/>
              </w:rPr>
              <w:fldChar w:fldCharType="end"/>
            </w:r>
          </w:hyperlink>
        </w:p>
        <w:p w14:paraId="3C8122B0" w14:textId="676F80BD"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43" w:history="1">
            <w:r w:rsidRPr="00D55451">
              <w:rPr>
                <w:rStyle w:val="Lienhypertexte"/>
                <w:noProof/>
              </w:rPr>
              <w:t>4.4.3.</w:t>
            </w:r>
            <w:r>
              <w:rPr>
                <w:rFonts w:asciiTheme="minorHAnsi" w:eastAsiaTheme="minorEastAsia" w:hAnsiTheme="minorHAnsi"/>
                <w:noProof/>
                <w:sz w:val="24"/>
                <w:lang w:eastAsia="fr-BE"/>
              </w:rPr>
              <w:tab/>
            </w:r>
            <w:r w:rsidRPr="00D55451">
              <w:rPr>
                <w:rStyle w:val="Lienhypertexte"/>
                <w:noProof/>
              </w:rPr>
              <w:t>Calcul de l’indicateur</w:t>
            </w:r>
            <w:r>
              <w:rPr>
                <w:noProof/>
                <w:webHidden/>
              </w:rPr>
              <w:tab/>
            </w:r>
            <w:r>
              <w:rPr>
                <w:noProof/>
                <w:webHidden/>
              </w:rPr>
              <w:fldChar w:fldCharType="begin"/>
            </w:r>
            <w:r>
              <w:rPr>
                <w:noProof/>
                <w:webHidden/>
              </w:rPr>
              <w:instrText xml:space="preserve"> PAGEREF _Toc241505343 \h </w:instrText>
            </w:r>
            <w:r>
              <w:rPr>
                <w:noProof/>
                <w:webHidden/>
              </w:rPr>
            </w:r>
            <w:r>
              <w:rPr>
                <w:noProof/>
                <w:webHidden/>
              </w:rPr>
              <w:fldChar w:fldCharType="separate"/>
            </w:r>
            <w:r>
              <w:rPr>
                <w:noProof/>
                <w:webHidden/>
              </w:rPr>
              <w:t>44</w:t>
            </w:r>
            <w:r>
              <w:rPr>
                <w:noProof/>
                <w:webHidden/>
              </w:rPr>
              <w:fldChar w:fldCharType="end"/>
            </w:r>
          </w:hyperlink>
        </w:p>
        <w:p w14:paraId="411C8C95" w14:textId="207FBB74"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44" w:history="1">
            <w:r w:rsidRPr="00D55451">
              <w:rPr>
                <w:rStyle w:val="Lienhypertexte"/>
                <w:noProof/>
              </w:rPr>
              <w:t>4.4.4.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_Toc241505344 \h </w:instrText>
            </w:r>
            <w:r>
              <w:rPr>
                <w:noProof/>
                <w:webHidden/>
              </w:rPr>
            </w:r>
            <w:r>
              <w:rPr>
                <w:noProof/>
                <w:webHidden/>
              </w:rPr>
              <w:fldChar w:fldCharType="separate"/>
            </w:r>
            <w:r>
              <w:rPr>
                <w:noProof/>
                <w:webHidden/>
              </w:rPr>
              <w:t>45</w:t>
            </w:r>
            <w:r>
              <w:rPr>
                <w:noProof/>
                <w:webHidden/>
              </w:rPr>
              <w:fldChar w:fldCharType="end"/>
            </w:r>
          </w:hyperlink>
        </w:p>
        <w:p w14:paraId="7F4A1760" w14:textId="4731DD66"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45" w:history="1">
            <w:r w:rsidRPr="00D55451">
              <w:rPr>
                <w:rStyle w:val="Lienhypertexte"/>
                <w:rFonts w:cs="Calibri"/>
                <w:noProof/>
              </w:rPr>
              <w:t>4.5.</w:t>
            </w:r>
            <w:r>
              <w:rPr>
                <w:rFonts w:asciiTheme="minorHAnsi" w:eastAsiaTheme="minorEastAsia" w:hAnsiTheme="minorHAnsi"/>
                <w:noProof/>
                <w:sz w:val="24"/>
                <w:lang w:eastAsia="fr-BE"/>
              </w:rPr>
              <w:tab/>
            </w:r>
            <w:r w:rsidRPr="00D55451">
              <w:rPr>
                <w:rStyle w:val="Lienhypertexte"/>
                <w:noProof/>
              </w:rPr>
              <w:t>Capacité de rétention maximale en polluants</w:t>
            </w:r>
            <w:r>
              <w:rPr>
                <w:noProof/>
                <w:webHidden/>
              </w:rPr>
              <w:tab/>
            </w:r>
            <w:r>
              <w:rPr>
                <w:noProof/>
                <w:webHidden/>
              </w:rPr>
              <w:fldChar w:fldCharType="begin"/>
            </w:r>
            <w:r>
              <w:rPr>
                <w:noProof/>
                <w:webHidden/>
              </w:rPr>
              <w:instrText xml:space="preserve"> PAGEREF _Toc241505345 \h </w:instrText>
            </w:r>
            <w:r>
              <w:rPr>
                <w:noProof/>
                <w:webHidden/>
              </w:rPr>
            </w:r>
            <w:r>
              <w:rPr>
                <w:noProof/>
                <w:webHidden/>
              </w:rPr>
              <w:fldChar w:fldCharType="separate"/>
            </w:r>
            <w:r>
              <w:rPr>
                <w:noProof/>
                <w:webHidden/>
              </w:rPr>
              <w:t>46</w:t>
            </w:r>
            <w:r>
              <w:rPr>
                <w:noProof/>
                <w:webHidden/>
              </w:rPr>
              <w:fldChar w:fldCharType="end"/>
            </w:r>
          </w:hyperlink>
        </w:p>
        <w:p w14:paraId="586FC99D" w14:textId="3D1BC6D6"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46" w:history="1">
            <w:r w:rsidRPr="00D55451">
              <w:rPr>
                <w:rStyle w:val="Lienhypertexte"/>
                <w:noProof/>
              </w:rPr>
              <w:t>4.5.1.</w:t>
            </w:r>
            <w:r>
              <w:rPr>
                <w:rFonts w:asciiTheme="minorHAnsi" w:eastAsiaTheme="minorEastAsia" w:hAnsiTheme="minorHAnsi"/>
                <w:noProof/>
                <w:sz w:val="24"/>
                <w:lang w:eastAsia="fr-BE"/>
              </w:rPr>
              <w:tab/>
            </w:r>
            <w:r w:rsidRPr="00D55451">
              <w:rPr>
                <w:rStyle w:val="Lienhypertexte"/>
                <w:noProof/>
              </w:rPr>
              <w:t>Définition et calcul</w:t>
            </w:r>
            <w:r>
              <w:rPr>
                <w:noProof/>
                <w:webHidden/>
              </w:rPr>
              <w:tab/>
            </w:r>
            <w:r>
              <w:rPr>
                <w:noProof/>
                <w:webHidden/>
              </w:rPr>
              <w:fldChar w:fldCharType="begin"/>
            </w:r>
            <w:r>
              <w:rPr>
                <w:noProof/>
                <w:webHidden/>
              </w:rPr>
              <w:instrText xml:space="preserve"> PAGEREF _Toc241505346 \h </w:instrText>
            </w:r>
            <w:r>
              <w:rPr>
                <w:noProof/>
                <w:webHidden/>
              </w:rPr>
            </w:r>
            <w:r>
              <w:rPr>
                <w:noProof/>
                <w:webHidden/>
              </w:rPr>
              <w:fldChar w:fldCharType="separate"/>
            </w:r>
            <w:r>
              <w:rPr>
                <w:noProof/>
                <w:webHidden/>
              </w:rPr>
              <w:t>46</w:t>
            </w:r>
            <w:r>
              <w:rPr>
                <w:noProof/>
                <w:webHidden/>
              </w:rPr>
              <w:fldChar w:fldCharType="end"/>
            </w:r>
          </w:hyperlink>
        </w:p>
        <w:p w14:paraId="53968318" w14:textId="58A9B973"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47" w:history="1">
            <w:r w:rsidRPr="00D55451">
              <w:rPr>
                <w:rStyle w:val="Lienhypertexte"/>
                <w:noProof/>
              </w:rPr>
              <w:t>4.5.2.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_Toc241505347 \h </w:instrText>
            </w:r>
            <w:r>
              <w:rPr>
                <w:noProof/>
                <w:webHidden/>
              </w:rPr>
            </w:r>
            <w:r>
              <w:rPr>
                <w:noProof/>
                <w:webHidden/>
              </w:rPr>
              <w:fldChar w:fldCharType="separate"/>
            </w:r>
            <w:r>
              <w:rPr>
                <w:noProof/>
                <w:webHidden/>
              </w:rPr>
              <w:t>49</w:t>
            </w:r>
            <w:r>
              <w:rPr>
                <w:noProof/>
                <w:webHidden/>
              </w:rPr>
              <w:fldChar w:fldCharType="end"/>
            </w:r>
          </w:hyperlink>
        </w:p>
        <w:p w14:paraId="5030219C" w14:textId="609C8353"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48" w:history="1">
            <w:r w:rsidRPr="00D55451">
              <w:rPr>
                <w:rStyle w:val="Lienhypertexte"/>
                <w:noProof/>
              </w:rPr>
              <w:t>4.5.3.</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_Toc241505348 \h </w:instrText>
            </w:r>
            <w:r>
              <w:rPr>
                <w:noProof/>
                <w:webHidden/>
              </w:rPr>
            </w:r>
            <w:r>
              <w:rPr>
                <w:noProof/>
                <w:webHidden/>
              </w:rPr>
              <w:fldChar w:fldCharType="separate"/>
            </w:r>
            <w:r>
              <w:rPr>
                <w:noProof/>
                <w:webHidden/>
              </w:rPr>
              <w:t>49</w:t>
            </w:r>
            <w:r>
              <w:rPr>
                <w:noProof/>
                <w:webHidden/>
              </w:rPr>
              <w:fldChar w:fldCharType="end"/>
            </w:r>
          </w:hyperlink>
        </w:p>
        <w:p w14:paraId="61863B1B" w14:textId="5A704653"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49" w:history="1">
            <w:r w:rsidRPr="00D55451">
              <w:rPr>
                <w:rStyle w:val="Lienhypertexte"/>
                <w:rFonts w:cs="Calibri"/>
                <w:noProof/>
              </w:rPr>
              <w:t>4.6.</w:t>
            </w:r>
            <w:r>
              <w:rPr>
                <w:rFonts w:asciiTheme="minorHAnsi" w:eastAsiaTheme="minorEastAsia" w:hAnsiTheme="minorHAnsi"/>
                <w:noProof/>
                <w:sz w:val="24"/>
                <w:lang w:eastAsia="fr-BE"/>
              </w:rPr>
              <w:tab/>
            </w:r>
            <w:r w:rsidRPr="00D55451">
              <w:rPr>
                <w:rStyle w:val="Lienhypertexte"/>
                <w:noProof/>
              </w:rPr>
              <w:t>Indice de battance (complément indicatif)</w:t>
            </w:r>
            <w:r>
              <w:rPr>
                <w:noProof/>
                <w:webHidden/>
              </w:rPr>
              <w:tab/>
            </w:r>
            <w:r>
              <w:rPr>
                <w:noProof/>
                <w:webHidden/>
              </w:rPr>
              <w:fldChar w:fldCharType="begin"/>
            </w:r>
            <w:r>
              <w:rPr>
                <w:noProof/>
                <w:webHidden/>
              </w:rPr>
              <w:instrText xml:space="preserve"> PAGEREF _Toc241505349 \h </w:instrText>
            </w:r>
            <w:r>
              <w:rPr>
                <w:noProof/>
                <w:webHidden/>
              </w:rPr>
            </w:r>
            <w:r>
              <w:rPr>
                <w:noProof/>
                <w:webHidden/>
              </w:rPr>
              <w:fldChar w:fldCharType="separate"/>
            </w:r>
            <w:r>
              <w:rPr>
                <w:noProof/>
                <w:webHidden/>
              </w:rPr>
              <w:t>50</w:t>
            </w:r>
            <w:r>
              <w:rPr>
                <w:noProof/>
                <w:webHidden/>
              </w:rPr>
              <w:fldChar w:fldCharType="end"/>
            </w:r>
          </w:hyperlink>
        </w:p>
        <w:p w14:paraId="7596680D" w14:textId="55B10A10"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50" w:history="1">
            <w:r w:rsidRPr="00D55451">
              <w:rPr>
                <w:rStyle w:val="Lienhypertexte"/>
                <w:noProof/>
              </w:rPr>
              <w:t>4.6.1.</w:t>
            </w:r>
            <w:r>
              <w:rPr>
                <w:rFonts w:asciiTheme="minorHAnsi" w:eastAsiaTheme="minorEastAsia" w:hAnsiTheme="minorHAnsi"/>
                <w:noProof/>
                <w:sz w:val="24"/>
                <w:lang w:eastAsia="fr-BE"/>
              </w:rPr>
              <w:tab/>
            </w:r>
            <w:r w:rsidRPr="00D55451">
              <w:rPr>
                <w:rStyle w:val="Lienhypertexte"/>
                <w:noProof/>
              </w:rPr>
              <w:t>Définition et calcul</w:t>
            </w:r>
            <w:r>
              <w:rPr>
                <w:noProof/>
                <w:webHidden/>
              </w:rPr>
              <w:tab/>
            </w:r>
            <w:r>
              <w:rPr>
                <w:noProof/>
                <w:webHidden/>
              </w:rPr>
              <w:fldChar w:fldCharType="begin"/>
            </w:r>
            <w:r>
              <w:rPr>
                <w:noProof/>
                <w:webHidden/>
              </w:rPr>
              <w:instrText xml:space="preserve"> PAGEREF _Toc241505350 \h </w:instrText>
            </w:r>
            <w:r>
              <w:rPr>
                <w:noProof/>
                <w:webHidden/>
              </w:rPr>
            </w:r>
            <w:r>
              <w:rPr>
                <w:noProof/>
                <w:webHidden/>
              </w:rPr>
              <w:fldChar w:fldCharType="separate"/>
            </w:r>
            <w:r>
              <w:rPr>
                <w:noProof/>
                <w:webHidden/>
              </w:rPr>
              <w:t>50</w:t>
            </w:r>
            <w:r>
              <w:rPr>
                <w:noProof/>
                <w:webHidden/>
              </w:rPr>
              <w:fldChar w:fldCharType="end"/>
            </w:r>
          </w:hyperlink>
        </w:p>
        <w:p w14:paraId="2622B47C" w14:textId="272D012B"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51" w:history="1">
            <w:r w:rsidRPr="00D55451">
              <w:rPr>
                <w:rStyle w:val="Lienhypertexte"/>
                <w:noProof/>
              </w:rPr>
              <w:t>4.6.2.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_Toc241505351 \h </w:instrText>
            </w:r>
            <w:r>
              <w:rPr>
                <w:noProof/>
                <w:webHidden/>
              </w:rPr>
            </w:r>
            <w:r>
              <w:rPr>
                <w:noProof/>
                <w:webHidden/>
              </w:rPr>
              <w:fldChar w:fldCharType="separate"/>
            </w:r>
            <w:r>
              <w:rPr>
                <w:noProof/>
                <w:webHidden/>
              </w:rPr>
              <w:t>51</w:t>
            </w:r>
            <w:r>
              <w:rPr>
                <w:noProof/>
                <w:webHidden/>
              </w:rPr>
              <w:fldChar w:fldCharType="end"/>
            </w:r>
          </w:hyperlink>
        </w:p>
        <w:p w14:paraId="1C72B2F8" w14:textId="04E8FB7F"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52" w:history="1">
            <w:r w:rsidRPr="00D55451">
              <w:rPr>
                <w:rStyle w:val="Lienhypertexte"/>
                <w:noProof/>
              </w:rPr>
              <w:t>4.6.3.</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_Toc241505352 \h </w:instrText>
            </w:r>
            <w:r>
              <w:rPr>
                <w:noProof/>
                <w:webHidden/>
              </w:rPr>
            </w:r>
            <w:r>
              <w:rPr>
                <w:noProof/>
                <w:webHidden/>
              </w:rPr>
              <w:fldChar w:fldCharType="separate"/>
            </w:r>
            <w:r>
              <w:rPr>
                <w:noProof/>
                <w:webHidden/>
              </w:rPr>
              <w:t>51</w:t>
            </w:r>
            <w:r>
              <w:rPr>
                <w:noProof/>
                <w:webHidden/>
              </w:rPr>
              <w:fldChar w:fldCharType="end"/>
            </w:r>
          </w:hyperlink>
        </w:p>
        <w:p w14:paraId="7748973A" w14:textId="4E754604"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53" w:history="1">
            <w:r w:rsidRPr="00D55451">
              <w:rPr>
                <w:rStyle w:val="Lienhypertexte"/>
                <w:rFonts w:cs="Calibri"/>
                <w:noProof/>
              </w:rPr>
              <w:t>4.7.</w:t>
            </w:r>
            <w:r>
              <w:rPr>
                <w:rFonts w:asciiTheme="minorHAnsi" w:eastAsiaTheme="minorEastAsia" w:hAnsiTheme="minorHAnsi"/>
                <w:noProof/>
                <w:sz w:val="24"/>
                <w:lang w:eastAsia="fr-BE"/>
              </w:rPr>
              <w:tab/>
            </w:r>
            <w:r w:rsidRPr="00D55451">
              <w:rPr>
                <w:rStyle w:val="Lienhypertexte"/>
                <w:noProof/>
              </w:rPr>
              <w:t>Érodibilité du sol (complément indicatif)</w:t>
            </w:r>
            <w:r>
              <w:rPr>
                <w:noProof/>
                <w:webHidden/>
              </w:rPr>
              <w:tab/>
            </w:r>
            <w:r>
              <w:rPr>
                <w:noProof/>
                <w:webHidden/>
              </w:rPr>
              <w:fldChar w:fldCharType="begin"/>
            </w:r>
            <w:r>
              <w:rPr>
                <w:noProof/>
                <w:webHidden/>
              </w:rPr>
              <w:instrText xml:space="preserve"> PAGEREF _Toc241505353 \h </w:instrText>
            </w:r>
            <w:r>
              <w:rPr>
                <w:noProof/>
                <w:webHidden/>
              </w:rPr>
            </w:r>
            <w:r>
              <w:rPr>
                <w:noProof/>
                <w:webHidden/>
              </w:rPr>
              <w:fldChar w:fldCharType="separate"/>
            </w:r>
            <w:r>
              <w:rPr>
                <w:noProof/>
                <w:webHidden/>
              </w:rPr>
              <w:t>51</w:t>
            </w:r>
            <w:r>
              <w:rPr>
                <w:noProof/>
                <w:webHidden/>
              </w:rPr>
              <w:fldChar w:fldCharType="end"/>
            </w:r>
          </w:hyperlink>
        </w:p>
        <w:p w14:paraId="36DE82AF" w14:textId="55AF58D9"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54" w:history="1">
            <w:r w:rsidRPr="00D55451">
              <w:rPr>
                <w:rStyle w:val="Lienhypertexte"/>
                <w:noProof/>
              </w:rPr>
              <w:t>4.7.1.</w:t>
            </w:r>
            <w:r>
              <w:rPr>
                <w:rFonts w:asciiTheme="minorHAnsi" w:eastAsiaTheme="minorEastAsia" w:hAnsiTheme="minorHAnsi"/>
                <w:noProof/>
                <w:sz w:val="24"/>
                <w:lang w:eastAsia="fr-BE"/>
              </w:rPr>
              <w:tab/>
            </w:r>
            <w:r w:rsidRPr="00D55451">
              <w:rPr>
                <w:rStyle w:val="Lienhypertexte"/>
                <w:noProof/>
              </w:rPr>
              <w:t>Définition et calcul</w:t>
            </w:r>
            <w:r>
              <w:rPr>
                <w:noProof/>
                <w:webHidden/>
              </w:rPr>
              <w:tab/>
            </w:r>
            <w:r>
              <w:rPr>
                <w:noProof/>
                <w:webHidden/>
              </w:rPr>
              <w:fldChar w:fldCharType="begin"/>
            </w:r>
            <w:r>
              <w:rPr>
                <w:noProof/>
                <w:webHidden/>
              </w:rPr>
              <w:instrText xml:space="preserve"> PAGEREF _Toc241505354 \h </w:instrText>
            </w:r>
            <w:r>
              <w:rPr>
                <w:noProof/>
                <w:webHidden/>
              </w:rPr>
            </w:r>
            <w:r>
              <w:rPr>
                <w:noProof/>
                <w:webHidden/>
              </w:rPr>
              <w:fldChar w:fldCharType="separate"/>
            </w:r>
            <w:r>
              <w:rPr>
                <w:noProof/>
                <w:webHidden/>
              </w:rPr>
              <w:t>51</w:t>
            </w:r>
            <w:r>
              <w:rPr>
                <w:noProof/>
                <w:webHidden/>
              </w:rPr>
              <w:fldChar w:fldCharType="end"/>
            </w:r>
          </w:hyperlink>
        </w:p>
        <w:p w14:paraId="11483BBC" w14:textId="1D6CE5CA"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55" w:history="1">
            <w:r w:rsidRPr="00D55451">
              <w:rPr>
                <w:rStyle w:val="Lienhypertexte"/>
                <w:noProof/>
              </w:rPr>
              <w:t>4.7.2.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_Toc241505355 \h </w:instrText>
            </w:r>
            <w:r>
              <w:rPr>
                <w:noProof/>
                <w:webHidden/>
              </w:rPr>
            </w:r>
            <w:r>
              <w:rPr>
                <w:noProof/>
                <w:webHidden/>
              </w:rPr>
              <w:fldChar w:fldCharType="separate"/>
            </w:r>
            <w:r>
              <w:rPr>
                <w:noProof/>
                <w:webHidden/>
              </w:rPr>
              <w:t>52</w:t>
            </w:r>
            <w:r>
              <w:rPr>
                <w:noProof/>
                <w:webHidden/>
              </w:rPr>
              <w:fldChar w:fldCharType="end"/>
            </w:r>
          </w:hyperlink>
        </w:p>
        <w:p w14:paraId="1B284BB4" w14:textId="39D678CB"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56" w:history="1">
            <w:r w:rsidRPr="00D55451">
              <w:rPr>
                <w:rStyle w:val="Lienhypertexte"/>
                <w:noProof/>
              </w:rPr>
              <w:t>4.7.3.</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_Toc241505356 \h </w:instrText>
            </w:r>
            <w:r>
              <w:rPr>
                <w:noProof/>
                <w:webHidden/>
              </w:rPr>
            </w:r>
            <w:r>
              <w:rPr>
                <w:noProof/>
                <w:webHidden/>
              </w:rPr>
              <w:fldChar w:fldCharType="separate"/>
            </w:r>
            <w:r>
              <w:rPr>
                <w:noProof/>
                <w:webHidden/>
              </w:rPr>
              <w:t>52</w:t>
            </w:r>
            <w:r>
              <w:rPr>
                <w:noProof/>
                <w:webHidden/>
              </w:rPr>
              <w:fldChar w:fldCharType="end"/>
            </w:r>
          </w:hyperlink>
        </w:p>
        <w:p w14:paraId="73ECF8E7" w14:textId="2FD600FE" w:rsidR="00DB2481" w:rsidRDefault="00DB2481">
          <w:pPr>
            <w:pStyle w:val="TM2"/>
            <w:tabs>
              <w:tab w:val="left" w:pos="880"/>
              <w:tab w:val="right" w:leader="dot" w:pos="9060"/>
            </w:tabs>
            <w:rPr>
              <w:rFonts w:asciiTheme="minorHAnsi" w:eastAsiaTheme="minorEastAsia" w:hAnsiTheme="minorHAnsi"/>
              <w:noProof/>
              <w:sz w:val="24"/>
              <w:lang w:eastAsia="fr-BE"/>
            </w:rPr>
          </w:pPr>
          <w:hyperlink w:anchor="_Toc241505357" w:history="1">
            <w:r w:rsidRPr="00D55451">
              <w:rPr>
                <w:rStyle w:val="Lienhypertexte"/>
                <w:rFonts w:cs="Calibri"/>
                <w:noProof/>
              </w:rPr>
              <w:t>4.8.</w:t>
            </w:r>
            <w:r>
              <w:rPr>
                <w:rFonts w:asciiTheme="minorHAnsi" w:eastAsiaTheme="minorEastAsia" w:hAnsiTheme="minorHAnsi"/>
                <w:noProof/>
                <w:sz w:val="24"/>
                <w:lang w:eastAsia="fr-BE"/>
              </w:rPr>
              <w:tab/>
            </w:r>
            <w:r w:rsidRPr="00D55451">
              <w:rPr>
                <w:rStyle w:val="Lienhypertexte"/>
                <w:noProof/>
              </w:rPr>
              <w:t>Coefficient de sol utile</w:t>
            </w:r>
            <w:r>
              <w:rPr>
                <w:noProof/>
                <w:webHidden/>
              </w:rPr>
              <w:tab/>
            </w:r>
            <w:r>
              <w:rPr>
                <w:noProof/>
                <w:webHidden/>
              </w:rPr>
              <w:fldChar w:fldCharType="begin"/>
            </w:r>
            <w:r>
              <w:rPr>
                <w:noProof/>
                <w:webHidden/>
              </w:rPr>
              <w:instrText xml:space="preserve"> PAGEREF _Toc241505357 \h </w:instrText>
            </w:r>
            <w:r>
              <w:rPr>
                <w:noProof/>
                <w:webHidden/>
              </w:rPr>
            </w:r>
            <w:r>
              <w:rPr>
                <w:noProof/>
                <w:webHidden/>
              </w:rPr>
              <w:fldChar w:fldCharType="separate"/>
            </w:r>
            <w:r>
              <w:rPr>
                <w:noProof/>
                <w:webHidden/>
              </w:rPr>
              <w:t>52</w:t>
            </w:r>
            <w:r>
              <w:rPr>
                <w:noProof/>
                <w:webHidden/>
              </w:rPr>
              <w:fldChar w:fldCharType="end"/>
            </w:r>
          </w:hyperlink>
        </w:p>
        <w:p w14:paraId="65159ED1" w14:textId="13EB5EE8"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58" w:history="1">
            <w:r w:rsidRPr="00D55451">
              <w:rPr>
                <w:rStyle w:val="Lienhypertexte"/>
                <w:noProof/>
              </w:rPr>
              <w:t>4.8.1.</w:t>
            </w:r>
            <w:r>
              <w:rPr>
                <w:rFonts w:asciiTheme="minorHAnsi" w:eastAsiaTheme="minorEastAsia" w:hAnsiTheme="minorHAnsi"/>
                <w:noProof/>
                <w:sz w:val="24"/>
                <w:lang w:eastAsia="fr-BE"/>
              </w:rPr>
              <w:tab/>
            </w:r>
            <w:r w:rsidRPr="00D55451">
              <w:rPr>
                <w:rStyle w:val="Lienhypertexte"/>
                <w:noProof/>
              </w:rPr>
              <w:t>Définition</w:t>
            </w:r>
            <w:r>
              <w:rPr>
                <w:noProof/>
                <w:webHidden/>
              </w:rPr>
              <w:tab/>
            </w:r>
            <w:r>
              <w:rPr>
                <w:noProof/>
                <w:webHidden/>
              </w:rPr>
              <w:fldChar w:fldCharType="begin"/>
            </w:r>
            <w:r>
              <w:rPr>
                <w:noProof/>
                <w:webHidden/>
              </w:rPr>
              <w:instrText xml:space="preserve"> PAGEREF _Toc241505358 \h </w:instrText>
            </w:r>
            <w:r>
              <w:rPr>
                <w:noProof/>
                <w:webHidden/>
              </w:rPr>
            </w:r>
            <w:r>
              <w:rPr>
                <w:noProof/>
                <w:webHidden/>
              </w:rPr>
              <w:fldChar w:fldCharType="separate"/>
            </w:r>
            <w:r>
              <w:rPr>
                <w:noProof/>
                <w:webHidden/>
              </w:rPr>
              <w:t>52</w:t>
            </w:r>
            <w:r>
              <w:rPr>
                <w:noProof/>
                <w:webHidden/>
              </w:rPr>
              <w:fldChar w:fldCharType="end"/>
            </w:r>
          </w:hyperlink>
        </w:p>
        <w:p w14:paraId="097A9D28" w14:textId="11D4A6AF"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59" w:history="1">
            <w:r w:rsidRPr="00D55451">
              <w:rPr>
                <w:rStyle w:val="Lienhypertexte"/>
                <w:noProof/>
              </w:rPr>
              <w:t>4.8.2.</w:t>
            </w:r>
            <w:r>
              <w:rPr>
                <w:rFonts w:asciiTheme="minorHAnsi" w:eastAsiaTheme="minorEastAsia" w:hAnsiTheme="minorHAnsi"/>
                <w:noProof/>
                <w:sz w:val="24"/>
                <w:lang w:eastAsia="fr-BE"/>
              </w:rPr>
              <w:tab/>
            </w:r>
            <w:r w:rsidRPr="00D55451">
              <w:rPr>
                <w:rStyle w:val="Lienhypertexte"/>
                <w:noProof/>
              </w:rPr>
              <w:t>Pertinence</w:t>
            </w:r>
            <w:r>
              <w:rPr>
                <w:noProof/>
                <w:webHidden/>
              </w:rPr>
              <w:tab/>
            </w:r>
            <w:r>
              <w:rPr>
                <w:noProof/>
                <w:webHidden/>
              </w:rPr>
              <w:fldChar w:fldCharType="begin"/>
            </w:r>
            <w:r>
              <w:rPr>
                <w:noProof/>
                <w:webHidden/>
              </w:rPr>
              <w:instrText xml:space="preserve"> PAGEREF _Toc241505359 \h </w:instrText>
            </w:r>
            <w:r>
              <w:rPr>
                <w:noProof/>
                <w:webHidden/>
              </w:rPr>
            </w:r>
            <w:r>
              <w:rPr>
                <w:noProof/>
                <w:webHidden/>
              </w:rPr>
              <w:fldChar w:fldCharType="separate"/>
            </w:r>
            <w:r>
              <w:rPr>
                <w:noProof/>
                <w:webHidden/>
              </w:rPr>
              <w:t>52</w:t>
            </w:r>
            <w:r>
              <w:rPr>
                <w:noProof/>
                <w:webHidden/>
              </w:rPr>
              <w:fldChar w:fldCharType="end"/>
            </w:r>
          </w:hyperlink>
        </w:p>
        <w:p w14:paraId="3FEBCA38" w14:textId="1B718A88"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60" w:history="1">
            <w:r w:rsidRPr="00D55451">
              <w:rPr>
                <w:rStyle w:val="Lienhypertexte"/>
                <w:noProof/>
              </w:rPr>
              <w:t>4.8.3.</w:t>
            </w:r>
            <w:r>
              <w:rPr>
                <w:rFonts w:asciiTheme="minorHAnsi" w:eastAsiaTheme="minorEastAsia" w:hAnsiTheme="minorHAnsi"/>
                <w:noProof/>
                <w:sz w:val="24"/>
                <w:lang w:eastAsia="fr-BE"/>
              </w:rPr>
              <w:tab/>
            </w:r>
            <w:r w:rsidRPr="00D55451">
              <w:rPr>
                <w:rStyle w:val="Lienhypertexte"/>
                <w:noProof/>
              </w:rPr>
              <w:t>Calcul de l’indicateur</w:t>
            </w:r>
            <w:r>
              <w:rPr>
                <w:noProof/>
                <w:webHidden/>
              </w:rPr>
              <w:tab/>
            </w:r>
            <w:r>
              <w:rPr>
                <w:noProof/>
                <w:webHidden/>
              </w:rPr>
              <w:fldChar w:fldCharType="begin"/>
            </w:r>
            <w:r>
              <w:rPr>
                <w:noProof/>
                <w:webHidden/>
              </w:rPr>
              <w:instrText xml:space="preserve"> PAGEREF _Toc241505360 \h </w:instrText>
            </w:r>
            <w:r>
              <w:rPr>
                <w:noProof/>
                <w:webHidden/>
              </w:rPr>
            </w:r>
            <w:r>
              <w:rPr>
                <w:noProof/>
                <w:webHidden/>
              </w:rPr>
              <w:fldChar w:fldCharType="separate"/>
            </w:r>
            <w:r>
              <w:rPr>
                <w:noProof/>
                <w:webHidden/>
              </w:rPr>
              <w:t>53</w:t>
            </w:r>
            <w:r>
              <w:rPr>
                <w:noProof/>
                <w:webHidden/>
              </w:rPr>
              <w:fldChar w:fldCharType="end"/>
            </w:r>
          </w:hyperlink>
        </w:p>
        <w:p w14:paraId="53B99325" w14:textId="34718AEE" w:rsidR="00DB2481" w:rsidRDefault="00DB2481">
          <w:pPr>
            <w:pStyle w:val="TM3"/>
            <w:tabs>
              <w:tab w:val="left" w:pos="1440"/>
              <w:tab w:val="right" w:leader="dot" w:pos="9060"/>
            </w:tabs>
            <w:rPr>
              <w:rFonts w:asciiTheme="minorHAnsi" w:eastAsiaTheme="minorEastAsia" w:hAnsiTheme="minorHAnsi"/>
              <w:noProof/>
              <w:sz w:val="24"/>
              <w:lang w:eastAsia="fr-BE"/>
            </w:rPr>
          </w:pPr>
          <w:hyperlink w:anchor="_Toc241505361" w:history="1">
            <w:r w:rsidRPr="00D55451">
              <w:rPr>
                <w:rStyle w:val="Lienhypertexte"/>
                <w:noProof/>
              </w:rPr>
              <w:t>4.8.4.</w:t>
            </w:r>
            <w:r>
              <w:rPr>
                <w:rFonts w:asciiTheme="minorHAnsi" w:eastAsiaTheme="minorEastAsia" w:hAnsiTheme="minorHAnsi"/>
                <w:noProof/>
                <w:sz w:val="24"/>
                <w:lang w:eastAsia="fr-BE"/>
              </w:rPr>
              <w:tab/>
            </w:r>
            <w:r w:rsidRPr="00D55451">
              <w:rPr>
                <w:rStyle w:val="Lienhypertexte"/>
                <w:noProof/>
              </w:rPr>
              <w:t>Interprétation</w:t>
            </w:r>
            <w:r>
              <w:rPr>
                <w:noProof/>
                <w:webHidden/>
              </w:rPr>
              <w:tab/>
            </w:r>
            <w:r>
              <w:rPr>
                <w:noProof/>
                <w:webHidden/>
              </w:rPr>
              <w:fldChar w:fldCharType="begin"/>
            </w:r>
            <w:r>
              <w:rPr>
                <w:noProof/>
                <w:webHidden/>
              </w:rPr>
              <w:instrText xml:space="preserve"> PAGEREF _Toc241505361 \h </w:instrText>
            </w:r>
            <w:r>
              <w:rPr>
                <w:noProof/>
                <w:webHidden/>
              </w:rPr>
            </w:r>
            <w:r>
              <w:rPr>
                <w:noProof/>
                <w:webHidden/>
              </w:rPr>
              <w:fldChar w:fldCharType="separate"/>
            </w:r>
            <w:r>
              <w:rPr>
                <w:noProof/>
                <w:webHidden/>
              </w:rPr>
              <w:t>53</w:t>
            </w:r>
            <w:r>
              <w:rPr>
                <w:noProof/>
                <w:webHidden/>
              </w:rPr>
              <w:fldChar w:fldCharType="end"/>
            </w:r>
          </w:hyperlink>
        </w:p>
        <w:p w14:paraId="114ED340" w14:textId="232FC27A" w:rsidR="00DB2481" w:rsidRDefault="00DB2481">
          <w:pPr>
            <w:pStyle w:val="TM1"/>
            <w:tabs>
              <w:tab w:val="left" w:pos="480"/>
              <w:tab w:val="right" w:leader="dot" w:pos="9060"/>
            </w:tabs>
            <w:rPr>
              <w:rFonts w:asciiTheme="minorHAnsi" w:eastAsiaTheme="minorEastAsia" w:hAnsiTheme="minorHAnsi"/>
              <w:noProof/>
              <w:sz w:val="24"/>
              <w:lang w:eastAsia="fr-BE"/>
            </w:rPr>
          </w:pPr>
          <w:hyperlink w:anchor="_Toc241505362" w:history="1">
            <w:r w:rsidRPr="00D55451">
              <w:rPr>
                <w:rStyle w:val="Lienhypertexte"/>
                <w:noProof/>
              </w:rPr>
              <w:t>5.</w:t>
            </w:r>
            <w:r>
              <w:rPr>
                <w:rFonts w:asciiTheme="minorHAnsi" w:eastAsiaTheme="minorEastAsia" w:hAnsiTheme="minorHAnsi"/>
                <w:noProof/>
                <w:sz w:val="24"/>
                <w:lang w:eastAsia="fr-BE"/>
              </w:rPr>
              <w:tab/>
            </w:r>
            <w:r w:rsidRPr="00D55451">
              <w:rPr>
                <w:rStyle w:val="Lienhypertexte"/>
                <w:noProof/>
              </w:rPr>
              <w:t>Synthèse des indicateurs</w:t>
            </w:r>
            <w:r>
              <w:rPr>
                <w:noProof/>
                <w:webHidden/>
              </w:rPr>
              <w:tab/>
            </w:r>
            <w:r>
              <w:rPr>
                <w:noProof/>
                <w:webHidden/>
              </w:rPr>
              <w:fldChar w:fldCharType="begin"/>
            </w:r>
            <w:r>
              <w:rPr>
                <w:noProof/>
                <w:webHidden/>
              </w:rPr>
              <w:instrText xml:space="preserve"> PAGEREF _Toc241505362 \h </w:instrText>
            </w:r>
            <w:r>
              <w:rPr>
                <w:noProof/>
                <w:webHidden/>
              </w:rPr>
            </w:r>
            <w:r>
              <w:rPr>
                <w:noProof/>
                <w:webHidden/>
              </w:rPr>
              <w:fldChar w:fldCharType="separate"/>
            </w:r>
            <w:r>
              <w:rPr>
                <w:noProof/>
                <w:webHidden/>
              </w:rPr>
              <w:t>54</w:t>
            </w:r>
            <w:r>
              <w:rPr>
                <w:noProof/>
                <w:webHidden/>
              </w:rPr>
              <w:fldChar w:fldCharType="end"/>
            </w:r>
          </w:hyperlink>
        </w:p>
        <w:p w14:paraId="180B0BCE" w14:textId="32EE932D" w:rsidR="00DB2481" w:rsidRDefault="00DB2481">
          <w:pPr>
            <w:pStyle w:val="TM1"/>
            <w:tabs>
              <w:tab w:val="right" w:leader="dot" w:pos="9060"/>
            </w:tabs>
            <w:rPr>
              <w:rFonts w:asciiTheme="minorHAnsi" w:eastAsiaTheme="minorEastAsia" w:hAnsiTheme="minorHAnsi"/>
              <w:noProof/>
              <w:sz w:val="24"/>
              <w:lang w:eastAsia="fr-BE"/>
            </w:rPr>
          </w:pPr>
          <w:hyperlink w:anchor="_Toc241505363" w:history="1">
            <w:r w:rsidRPr="00D55451">
              <w:rPr>
                <w:rStyle w:val="Lienhypertexte"/>
                <w:noProof/>
              </w:rPr>
              <w:t>Bibliographie</w:t>
            </w:r>
            <w:r>
              <w:rPr>
                <w:noProof/>
                <w:webHidden/>
              </w:rPr>
              <w:tab/>
            </w:r>
            <w:r>
              <w:rPr>
                <w:noProof/>
                <w:webHidden/>
              </w:rPr>
              <w:fldChar w:fldCharType="begin"/>
            </w:r>
            <w:r>
              <w:rPr>
                <w:noProof/>
                <w:webHidden/>
              </w:rPr>
              <w:instrText xml:space="preserve"> PAGEREF _Toc241505363 \h </w:instrText>
            </w:r>
            <w:r>
              <w:rPr>
                <w:noProof/>
                <w:webHidden/>
              </w:rPr>
            </w:r>
            <w:r>
              <w:rPr>
                <w:noProof/>
                <w:webHidden/>
              </w:rPr>
              <w:fldChar w:fldCharType="separate"/>
            </w:r>
            <w:r>
              <w:rPr>
                <w:noProof/>
                <w:webHidden/>
              </w:rPr>
              <w:t>56</w:t>
            </w:r>
            <w:r>
              <w:rPr>
                <w:noProof/>
                <w:webHidden/>
              </w:rPr>
              <w:fldChar w:fldCharType="end"/>
            </w:r>
          </w:hyperlink>
        </w:p>
        <w:p w14:paraId="05350A04" w14:textId="7AD0913C" w:rsidR="004E6804" w:rsidRDefault="001C2230">
          <w:r>
            <w:fldChar w:fldCharType="end"/>
          </w:r>
        </w:p>
      </w:sdtContent>
    </w:sdt>
    <w:p w14:paraId="337A1912" w14:textId="77777777" w:rsidR="00907350" w:rsidRDefault="00907350" w:rsidP="00907350"/>
    <w:bookmarkEnd w:id="0"/>
    <w:p w14:paraId="5FF4B8CA" w14:textId="41457536" w:rsidR="00C848A1" w:rsidRDefault="002B35A6" w:rsidP="00562E50">
      <w:r>
        <w:lastRenderedPageBreak/>
        <w:br w:type="page"/>
      </w:r>
    </w:p>
    <w:p w14:paraId="0BE0D2A1" w14:textId="38897F45" w:rsidR="00EE7D4A" w:rsidRDefault="00EE7D4A" w:rsidP="00EE7D4A">
      <w:pPr>
        <w:pStyle w:val="Titre1"/>
      </w:pPr>
      <w:bookmarkStart w:id="1" w:name="_Toc241505231"/>
      <w:bookmarkStart w:id="2" w:name="_Toc230267118"/>
      <w:r>
        <w:lastRenderedPageBreak/>
        <w:t>Introduction</w:t>
      </w:r>
      <w:bookmarkEnd w:id="1"/>
    </w:p>
    <w:p w14:paraId="0BE3D7EA" w14:textId="30656DCE" w:rsidR="00EE7D4A" w:rsidRDefault="00EE7D4A" w:rsidP="00EE7D4A">
      <w:r>
        <w:t>Cette annexe vise à détailler, pour chaque indicateur physique, chimique et biologique employé, ainsi que pour chaque indicateur calculé</w:t>
      </w:r>
      <w:r w:rsidR="00D82EF7">
        <w:t> :</w:t>
      </w:r>
    </w:p>
    <w:p w14:paraId="2B5A4CAF" w14:textId="63AEB080" w:rsidR="00D82EF7" w:rsidRDefault="008379CC" w:rsidP="00D82EF7">
      <w:pPr>
        <w:pStyle w:val="Paragraphedeliste"/>
        <w:numPr>
          <w:ilvl w:val="0"/>
          <w:numId w:val="9"/>
        </w:numPr>
      </w:pPr>
      <w:r>
        <w:t>Une</w:t>
      </w:r>
      <w:r w:rsidR="00D82EF7">
        <w:t xml:space="preserve"> définition générale</w:t>
      </w:r>
      <w:r>
        <w:t>, c’est-à-dire à quoi l’indicateur correspond,</w:t>
      </w:r>
    </w:p>
    <w:p w14:paraId="0A112700" w14:textId="49F0E644" w:rsidR="008379CC" w:rsidRDefault="008379CC" w:rsidP="00D82EF7">
      <w:pPr>
        <w:pStyle w:val="Paragraphedeliste"/>
        <w:numPr>
          <w:ilvl w:val="0"/>
          <w:numId w:val="9"/>
        </w:numPr>
      </w:pPr>
      <w:r>
        <w:t xml:space="preserve">Une brève justification de </w:t>
      </w:r>
      <w:r w:rsidR="009F3978">
        <w:t>la pertinence de l’utilisation de l’indicateur,</w:t>
      </w:r>
    </w:p>
    <w:p w14:paraId="60143C7C" w14:textId="2479C3B6" w:rsidR="009F3978" w:rsidRDefault="009F3978" w:rsidP="00D82EF7">
      <w:pPr>
        <w:pStyle w:val="Paragraphedeliste"/>
        <w:numPr>
          <w:ilvl w:val="0"/>
          <w:numId w:val="9"/>
        </w:numPr>
      </w:pPr>
      <w:r>
        <w:t>Une méthode de mesure préconisée pour cet indicateur,</w:t>
      </w:r>
    </w:p>
    <w:p w14:paraId="71DED2F6" w14:textId="44282284" w:rsidR="009F3978" w:rsidRDefault="009F3978" w:rsidP="00D82EF7">
      <w:pPr>
        <w:pStyle w:val="Paragraphedeliste"/>
        <w:numPr>
          <w:ilvl w:val="0"/>
          <w:numId w:val="9"/>
        </w:numPr>
      </w:pPr>
      <w:r>
        <w:t xml:space="preserve">Une </w:t>
      </w:r>
      <w:r w:rsidR="004712D2">
        <w:t>interprétation de la valeur de l’indicateur par rapport à un référentiel pertinent.</w:t>
      </w:r>
    </w:p>
    <w:p w14:paraId="4FC7D515" w14:textId="07393C48" w:rsidR="004712D2" w:rsidRDefault="004712D2" w:rsidP="004712D2">
      <w:pPr>
        <w:rPr>
          <w:b/>
          <w:bCs/>
        </w:rPr>
      </w:pPr>
      <w:r>
        <w:t xml:space="preserve">Pour ce dernier point, des </w:t>
      </w:r>
      <w:r w:rsidRPr="006D49C5">
        <w:rPr>
          <w:u w:val="single"/>
        </w:rPr>
        <w:t>exemples</w:t>
      </w:r>
      <w:r w:rsidR="006D49C5">
        <w:rPr>
          <w:u w:val="single"/>
        </w:rPr>
        <w:t>*</w:t>
      </w:r>
      <w:r>
        <w:t xml:space="preserve"> de graphes </w:t>
      </w:r>
      <w:r w:rsidR="007E762E">
        <w:t xml:space="preserve">illustrant la structure de la fonction d’interprétation sont repris. </w:t>
      </w:r>
      <w:r w:rsidR="007E762E" w:rsidRPr="00215CFD">
        <w:rPr>
          <w:b/>
          <w:bCs/>
        </w:rPr>
        <w:t xml:space="preserve">Dans le cas des indicateurs liés au SE </w:t>
      </w:r>
      <w:r w:rsidR="007E762E" w:rsidRPr="00215CFD">
        <w:rPr>
          <w:b/>
          <w:bCs/>
          <w:i/>
          <w:iCs/>
        </w:rPr>
        <w:t>Production</w:t>
      </w:r>
      <w:r w:rsidR="007E762E" w:rsidRPr="00215CFD">
        <w:rPr>
          <w:b/>
          <w:bCs/>
        </w:rPr>
        <w:t>, l’exemple du sous-</w:t>
      </w:r>
      <w:r w:rsidR="00E15383" w:rsidRPr="00215CFD">
        <w:rPr>
          <w:b/>
          <w:bCs/>
        </w:rPr>
        <w:t>service écosystémique</w:t>
      </w:r>
      <w:r w:rsidR="007E762E" w:rsidRPr="00215CFD">
        <w:rPr>
          <w:b/>
          <w:bCs/>
        </w:rPr>
        <w:t xml:space="preserve"> </w:t>
      </w:r>
      <w:r w:rsidR="007E762E" w:rsidRPr="00215CFD">
        <w:rPr>
          <w:b/>
          <w:bCs/>
          <w:i/>
          <w:iCs/>
        </w:rPr>
        <w:t>Production – cultures</w:t>
      </w:r>
      <w:r w:rsidR="007E762E" w:rsidRPr="00215CFD">
        <w:rPr>
          <w:b/>
          <w:bCs/>
        </w:rPr>
        <w:t xml:space="preserve"> est illustré par défaut. Il faut toutefois noter que chaque</w:t>
      </w:r>
      <w:r w:rsidR="00E15383" w:rsidRPr="00215CFD">
        <w:rPr>
          <w:b/>
          <w:bCs/>
        </w:rPr>
        <w:t xml:space="preserve"> sous-service </w:t>
      </w:r>
      <w:r w:rsidR="00B815E5" w:rsidRPr="00215CFD">
        <w:rPr>
          <w:b/>
          <w:bCs/>
        </w:rPr>
        <w:t>possède sa propre fonction d’interprétation, étant donné que les référentiels</w:t>
      </w:r>
      <w:r w:rsidR="00215CFD" w:rsidRPr="00215CFD">
        <w:rPr>
          <w:b/>
          <w:bCs/>
        </w:rPr>
        <w:t xml:space="preserve"> dépendent des exigences liées au type de culture (une valeur de phosphore « optimale » pour une culture n’est pas égale à une valeur considérée optimale pour un usage de type forêt).</w:t>
      </w:r>
    </w:p>
    <w:p w14:paraId="1F6969AF" w14:textId="64822665" w:rsidR="006D49C5" w:rsidRDefault="006D49C5" w:rsidP="004712D2">
      <w:pPr>
        <w:rPr>
          <w:u w:val="single"/>
        </w:rPr>
      </w:pPr>
      <w:r w:rsidRPr="006D49C5">
        <w:t>*</w:t>
      </w:r>
      <w:r w:rsidRPr="006D49C5">
        <w:rPr>
          <w:u w:val="single"/>
        </w:rPr>
        <w:t>Pour ne pas trop charger le document, seuls quelques exemples ont été sélectionnés pour illustration.</w:t>
      </w:r>
    </w:p>
    <w:p w14:paraId="47247105" w14:textId="5C10A156" w:rsidR="00DB2481" w:rsidRDefault="00DB2481">
      <w:pPr>
        <w:jc w:val="left"/>
        <w:rPr>
          <w:u w:val="single"/>
        </w:rPr>
      </w:pPr>
      <w:r>
        <w:rPr>
          <w:u w:val="single"/>
        </w:rPr>
        <w:br w:type="page"/>
      </w:r>
    </w:p>
    <w:p w14:paraId="4C378DA0" w14:textId="6774824C" w:rsidR="00DB2481" w:rsidRDefault="00DB2481" w:rsidP="00DB2481">
      <w:pPr>
        <w:pStyle w:val="Titre1"/>
      </w:pPr>
      <w:bookmarkStart w:id="3" w:name="_Toc241505232"/>
      <w:r>
        <w:lastRenderedPageBreak/>
        <w:t>Table des figures</w:t>
      </w:r>
      <w:bookmarkEnd w:id="3"/>
    </w:p>
    <w:p w14:paraId="5A99C425" w14:textId="3E4084E8" w:rsidR="00DB2481" w:rsidRDefault="00DB2481">
      <w:pPr>
        <w:pStyle w:val="Tabledesillustrations"/>
        <w:tabs>
          <w:tab w:val="right" w:leader="dot" w:pos="9060"/>
        </w:tabs>
        <w:rPr>
          <w:rFonts w:asciiTheme="minorHAnsi" w:eastAsiaTheme="minorEastAsia" w:hAnsiTheme="minorHAnsi"/>
          <w:noProof/>
          <w:sz w:val="24"/>
          <w:lang w:eastAsia="fr-BE"/>
        </w:rPr>
      </w:pPr>
      <w:r>
        <w:rPr>
          <w:u w:val="single"/>
        </w:rPr>
        <w:fldChar w:fldCharType="begin"/>
      </w:r>
      <w:r>
        <w:rPr>
          <w:u w:val="single"/>
        </w:rPr>
        <w:instrText xml:space="preserve"> TOC \h \z \c "Figure" </w:instrText>
      </w:r>
      <w:r>
        <w:rPr>
          <w:u w:val="single"/>
        </w:rPr>
        <w:fldChar w:fldCharType="separate"/>
      </w:r>
      <w:hyperlink w:anchor="_Toc241505107" w:history="1">
        <w:r w:rsidRPr="0023036C">
          <w:rPr>
            <w:rStyle w:val="Lienhypertexte"/>
            <w:noProof/>
          </w:rPr>
          <w:t>Figure 1 : Exemple de fonction d'interprétation pour l’indicateur Masse volumique apparente (fonction Structure, SE Production – cultures) : référentiel de qualité</w:t>
        </w:r>
        <w:r>
          <w:rPr>
            <w:noProof/>
            <w:webHidden/>
          </w:rPr>
          <w:tab/>
        </w:r>
        <w:r>
          <w:rPr>
            <w:noProof/>
            <w:webHidden/>
          </w:rPr>
          <w:fldChar w:fldCharType="begin"/>
        </w:r>
        <w:r>
          <w:rPr>
            <w:noProof/>
            <w:webHidden/>
          </w:rPr>
          <w:instrText xml:space="preserve"> PAGEREF _Toc241505107 \h </w:instrText>
        </w:r>
        <w:r>
          <w:rPr>
            <w:noProof/>
            <w:webHidden/>
          </w:rPr>
        </w:r>
        <w:r>
          <w:rPr>
            <w:noProof/>
            <w:webHidden/>
          </w:rPr>
          <w:fldChar w:fldCharType="separate"/>
        </w:r>
        <w:r>
          <w:rPr>
            <w:noProof/>
            <w:webHidden/>
          </w:rPr>
          <w:t>11</w:t>
        </w:r>
        <w:r>
          <w:rPr>
            <w:noProof/>
            <w:webHidden/>
          </w:rPr>
          <w:fldChar w:fldCharType="end"/>
        </w:r>
      </w:hyperlink>
    </w:p>
    <w:p w14:paraId="5806B8F9" w14:textId="44EB666E"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08" w:history="1">
        <w:r w:rsidRPr="0023036C">
          <w:rPr>
            <w:rStyle w:val="Lienhypertexte"/>
            <w:noProof/>
          </w:rPr>
          <w:t>Figure 2 : Exemple de fonction d'interprétation pour l’indicateur Qualité structurale (fonction Structure, SE Production – cultures)</w:t>
        </w:r>
        <w:r>
          <w:rPr>
            <w:noProof/>
            <w:webHidden/>
          </w:rPr>
          <w:tab/>
        </w:r>
        <w:r>
          <w:rPr>
            <w:noProof/>
            <w:webHidden/>
          </w:rPr>
          <w:fldChar w:fldCharType="begin"/>
        </w:r>
        <w:r>
          <w:rPr>
            <w:noProof/>
            <w:webHidden/>
          </w:rPr>
          <w:instrText xml:space="preserve"> PAGEREF _Toc241505108 \h </w:instrText>
        </w:r>
        <w:r>
          <w:rPr>
            <w:noProof/>
            <w:webHidden/>
          </w:rPr>
        </w:r>
        <w:r>
          <w:rPr>
            <w:noProof/>
            <w:webHidden/>
          </w:rPr>
          <w:fldChar w:fldCharType="separate"/>
        </w:r>
        <w:r>
          <w:rPr>
            <w:noProof/>
            <w:webHidden/>
          </w:rPr>
          <w:t>13</w:t>
        </w:r>
        <w:r>
          <w:rPr>
            <w:noProof/>
            <w:webHidden/>
          </w:rPr>
          <w:fldChar w:fldCharType="end"/>
        </w:r>
      </w:hyperlink>
    </w:p>
    <w:p w14:paraId="14F31A20" w14:textId="4E92D82A"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09" w:history="1">
        <w:r w:rsidRPr="0023036C">
          <w:rPr>
            <w:rStyle w:val="Lienhypertexte"/>
            <w:noProof/>
          </w:rPr>
          <w:t>Figure 3 : Exemple de fonction d'interprétation pour l’indicateur Drainage (fonction Drainage, SE Infiltration)</w:t>
        </w:r>
        <w:r>
          <w:rPr>
            <w:noProof/>
            <w:webHidden/>
          </w:rPr>
          <w:tab/>
        </w:r>
        <w:r>
          <w:rPr>
            <w:noProof/>
            <w:webHidden/>
          </w:rPr>
          <w:fldChar w:fldCharType="begin"/>
        </w:r>
        <w:r>
          <w:rPr>
            <w:noProof/>
            <w:webHidden/>
          </w:rPr>
          <w:instrText xml:space="preserve"> PAGEREF _Toc241505109 \h </w:instrText>
        </w:r>
        <w:r>
          <w:rPr>
            <w:noProof/>
            <w:webHidden/>
          </w:rPr>
        </w:r>
        <w:r>
          <w:rPr>
            <w:noProof/>
            <w:webHidden/>
          </w:rPr>
          <w:fldChar w:fldCharType="separate"/>
        </w:r>
        <w:r>
          <w:rPr>
            <w:noProof/>
            <w:webHidden/>
          </w:rPr>
          <w:t>15</w:t>
        </w:r>
        <w:r>
          <w:rPr>
            <w:noProof/>
            <w:webHidden/>
          </w:rPr>
          <w:fldChar w:fldCharType="end"/>
        </w:r>
      </w:hyperlink>
    </w:p>
    <w:p w14:paraId="4D3E0628" w14:textId="0BE79284"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10" w:history="1">
        <w:r w:rsidRPr="0023036C">
          <w:rPr>
            <w:rStyle w:val="Lienhypertexte"/>
            <w:noProof/>
          </w:rPr>
          <w:t>Figure 4 : Exemple de fonction d'interprétation pour l’indicateur Ksat (fonction Infiltration, SE Infiltration) : référentiel de qualité</w:t>
        </w:r>
        <w:r>
          <w:rPr>
            <w:noProof/>
            <w:webHidden/>
          </w:rPr>
          <w:tab/>
        </w:r>
        <w:r>
          <w:rPr>
            <w:noProof/>
            <w:webHidden/>
          </w:rPr>
          <w:fldChar w:fldCharType="begin"/>
        </w:r>
        <w:r>
          <w:rPr>
            <w:noProof/>
            <w:webHidden/>
          </w:rPr>
          <w:instrText xml:space="preserve"> PAGEREF _Toc241505110 \h </w:instrText>
        </w:r>
        <w:r>
          <w:rPr>
            <w:noProof/>
            <w:webHidden/>
          </w:rPr>
        </w:r>
        <w:r>
          <w:rPr>
            <w:noProof/>
            <w:webHidden/>
          </w:rPr>
          <w:fldChar w:fldCharType="separate"/>
        </w:r>
        <w:r>
          <w:rPr>
            <w:noProof/>
            <w:webHidden/>
          </w:rPr>
          <w:t>16</w:t>
        </w:r>
        <w:r>
          <w:rPr>
            <w:noProof/>
            <w:webHidden/>
          </w:rPr>
          <w:fldChar w:fldCharType="end"/>
        </w:r>
      </w:hyperlink>
    </w:p>
    <w:p w14:paraId="5F7EFFC6" w14:textId="05A52030"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11" w:history="1">
        <w:r w:rsidRPr="0023036C">
          <w:rPr>
            <w:rStyle w:val="Lienhypertexte"/>
            <w:noProof/>
          </w:rPr>
          <w:t>Figure 5 : Exemple de fonction d'interprétation pour l’indicateur Ksat (fonction Infiltration, SE Infiltration) : référentiel de santé</w:t>
        </w:r>
        <w:r>
          <w:rPr>
            <w:noProof/>
            <w:webHidden/>
          </w:rPr>
          <w:tab/>
        </w:r>
        <w:r>
          <w:rPr>
            <w:noProof/>
            <w:webHidden/>
          </w:rPr>
          <w:fldChar w:fldCharType="begin"/>
        </w:r>
        <w:r>
          <w:rPr>
            <w:noProof/>
            <w:webHidden/>
          </w:rPr>
          <w:instrText xml:space="preserve"> PAGEREF _Toc241505111 \h </w:instrText>
        </w:r>
        <w:r>
          <w:rPr>
            <w:noProof/>
            <w:webHidden/>
          </w:rPr>
        </w:r>
        <w:r>
          <w:rPr>
            <w:noProof/>
            <w:webHidden/>
          </w:rPr>
          <w:fldChar w:fldCharType="separate"/>
        </w:r>
        <w:r>
          <w:rPr>
            <w:noProof/>
            <w:webHidden/>
          </w:rPr>
          <w:t>17</w:t>
        </w:r>
        <w:r>
          <w:rPr>
            <w:noProof/>
            <w:webHidden/>
          </w:rPr>
          <w:fldChar w:fldCharType="end"/>
        </w:r>
      </w:hyperlink>
    </w:p>
    <w:p w14:paraId="26274791" w14:textId="1E200451"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12" w:history="1">
        <w:r w:rsidRPr="0023036C">
          <w:rPr>
            <w:rStyle w:val="Lienhypertexte"/>
            <w:noProof/>
          </w:rPr>
          <w:t>Figure 6 : Exemple de fonction d'interprétation pour l’indicateur CEC (fonction Nutrition, SE Production – cultures)</w:t>
        </w:r>
        <w:r>
          <w:rPr>
            <w:noProof/>
            <w:webHidden/>
          </w:rPr>
          <w:tab/>
        </w:r>
        <w:r>
          <w:rPr>
            <w:noProof/>
            <w:webHidden/>
          </w:rPr>
          <w:fldChar w:fldCharType="begin"/>
        </w:r>
        <w:r>
          <w:rPr>
            <w:noProof/>
            <w:webHidden/>
          </w:rPr>
          <w:instrText xml:space="preserve"> PAGEREF _Toc241505112 \h </w:instrText>
        </w:r>
        <w:r>
          <w:rPr>
            <w:noProof/>
            <w:webHidden/>
          </w:rPr>
        </w:r>
        <w:r>
          <w:rPr>
            <w:noProof/>
            <w:webHidden/>
          </w:rPr>
          <w:fldChar w:fldCharType="separate"/>
        </w:r>
        <w:r>
          <w:rPr>
            <w:noProof/>
            <w:webHidden/>
          </w:rPr>
          <w:t>21</w:t>
        </w:r>
        <w:r>
          <w:rPr>
            <w:noProof/>
            <w:webHidden/>
          </w:rPr>
          <w:fldChar w:fldCharType="end"/>
        </w:r>
      </w:hyperlink>
    </w:p>
    <w:p w14:paraId="4BF14A16" w14:textId="6D4920F6"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13" w:history="1">
        <w:r w:rsidRPr="0023036C">
          <w:rPr>
            <w:rStyle w:val="Lienhypertexte"/>
            <w:noProof/>
          </w:rPr>
          <w:t>Figure 7 : Exemple de fonction d'interprétation pour l’indicateur pH KCl (fonction Nutrition, SE Production – cultures)</w:t>
        </w:r>
        <w:r>
          <w:rPr>
            <w:noProof/>
            <w:webHidden/>
          </w:rPr>
          <w:tab/>
        </w:r>
        <w:r>
          <w:rPr>
            <w:noProof/>
            <w:webHidden/>
          </w:rPr>
          <w:fldChar w:fldCharType="begin"/>
        </w:r>
        <w:r>
          <w:rPr>
            <w:noProof/>
            <w:webHidden/>
          </w:rPr>
          <w:instrText xml:space="preserve"> PAGEREF _Toc241505113 \h </w:instrText>
        </w:r>
        <w:r>
          <w:rPr>
            <w:noProof/>
            <w:webHidden/>
          </w:rPr>
        </w:r>
        <w:r>
          <w:rPr>
            <w:noProof/>
            <w:webHidden/>
          </w:rPr>
          <w:fldChar w:fldCharType="separate"/>
        </w:r>
        <w:r>
          <w:rPr>
            <w:noProof/>
            <w:webHidden/>
          </w:rPr>
          <w:t>23</w:t>
        </w:r>
        <w:r>
          <w:rPr>
            <w:noProof/>
            <w:webHidden/>
          </w:rPr>
          <w:fldChar w:fldCharType="end"/>
        </w:r>
      </w:hyperlink>
    </w:p>
    <w:p w14:paraId="02B4019E" w14:textId="0BC7F66E"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14" w:history="1">
        <w:r w:rsidRPr="0023036C">
          <w:rPr>
            <w:rStyle w:val="Lienhypertexte"/>
            <w:noProof/>
          </w:rPr>
          <w:t>Figure 8 : Exemple de fonction d'interprétation pour l’indicateur P disponible (fonction Nutrition, SE Production – cultures) : référentiel de qualité</w:t>
        </w:r>
        <w:r>
          <w:rPr>
            <w:noProof/>
            <w:webHidden/>
          </w:rPr>
          <w:tab/>
        </w:r>
        <w:r>
          <w:rPr>
            <w:noProof/>
            <w:webHidden/>
          </w:rPr>
          <w:fldChar w:fldCharType="begin"/>
        </w:r>
        <w:r>
          <w:rPr>
            <w:noProof/>
            <w:webHidden/>
          </w:rPr>
          <w:instrText xml:space="preserve"> PAGEREF _Toc241505114 \h </w:instrText>
        </w:r>
        <w:r>
          <w:rPr>
            <w:noProof/>
            <w:webHidden/>
          </w:rPr>
        </w:r>
        <w:r>
          <w:rPr>
            <w:noProof/>
            <w:webHidden/>
          </w:rPr>
          <w:fldChar w:fldCharType="separate"/>
        </w:r>
        <w:r>
          <w:rPr>
            <w:noProof/>
            <w:webHidden/>
          </w:rPr>
          <w:t>25</w:t>
        </w:r>
        <w:r>
          <w:rPr>
            <w:noProof/>
            <w:webHidden/>
          </w:rPr>
          <w:fldChar w:fldCharType="end"/>
        </w:r>
      </w:hyperlink>
    </w:p>
    <w:p w14:paraId="4EAEB2C9" w14:textId="36079F93"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15" w:history="1">
        <w:r w:rsidRPr="0023036C">
          <w:rPr>
            <w:rStyle w:val="Lienhypertexte"/>
            <w:noProof/>
          </w:rPr>
          <w:t>Figure 9 : Exemple de fonction d'interprétation pour l’indicateur P disponible (fonction Nutrition, SE Production – cultures) : référentiel de santé</w:t>
        </w:r>
        <w:r>
          <w:rPr>
            <w:noProof/>
            <w:webHidden/>
          </w:rPr>
          <w:tab/>
        </w:r>
        <w:r>
          <w:rPr>
            <w:noProof/>
            <w:webHidden/>
          </w:rPr>
          <w:fldChar w:fldCharType="begin"/>
        </w:r>
        <w:r>
          <w:rPr>
            <w:noProof/>
            <w:webHidden/>
          </w:rPr>
          <w:instrText xml:space="preserve"> PAGEREF _Toc241505115 \h </w:instrText>
        </w:r>
        <w:r>
          <w:rPr>
            <w:noProof/>
            <w:webHidden/>
          </w:rPr>
        </w:r>
        <w:r>
          <w:rPr>
            <w:noProof/>
            <w:webHidden/>
          </w:rPr>
          <w:fldChar w:fldCharType="separate"/>
        </w:r>
        <w:r>
          <w:rPr>
            <w:noProof/>
            <w:webHidden/>
          </w:rPr>
          <w:t>25</w:t>
        </w:r>
        <w:r>
          <w:rPr>
            <w:noProof/>
            <w:webHidden/>
          </w:rPr>
          <w:fldChar w:fldCharType="end"/>
        </w:r>
      </w:hyperlink>
    </w:p>
    <w:p w14:paraId="1F0D9F31" w14:textId="4EF46DCF"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16" w:history="1">
        <w:r w:rsidRPr="0023036C">
          <w:rPr>
            <w:rStyle w:val="Lienhypertexte"/>
            <w:noProof/>
          </w:rPr>
          <w:t>Figure 10 : Exemple de fonction d'interprétation pour l’indicateur P disponible (fonction Diversité potentielle, SE Accueil végétation diversifiée)</w:t>
        </w:r>
        <w:r>
          <w:rPr>
            <w:noProof/>
            <w:webHidden/>
          </w:rPr>
          <w:tab/>
        </w:r>
        <w:r>
          <w:rPr>
            <w:noProof/>
            <w:webHidden/>
          </w:rPr>
          <w:fldChar w:fldCharType="begin"/>
        </w:r>
        <w:r>
          <w:rPr>
            <w:noProof/>
            <w:webHidden/>
          </w:rPr>
          <w:instrText xml:space="preserve"> PAGEREF _Toc241505116 \h </w:instrText>
        </w:r>
        <w:r>
          <w:rPr>
            <w:noProof/>
            <w:webHidden/>
          </w:rPr>
        </w:r>
        <w:r>
          <w:rPr>
            <w:noProof/>
            <w:webHidden/>
          </w:rPr>
          <w:fldChar w:fldCharType="separate"/>
        </w:r>
        <w:r>
          <w:rPr>
            <w:noProof/>
            <w:webHidden/>
          </w:rPr>
          <w:t>26</w:t>
        </w:r>
        <w:r>
          <w:rPr>
            <w:noProof/>
            <w:webHidden/>
          </w:rPr>
          <w:fldChar w:fldCharType="end"/>
        </w:r>
      </w:hyperlink>
    </w:p>
    <w:p w14:paraId="68A0E0EE" w14:textId="45DC2261"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17" w:history="1">
        <w:r w:rsidRPr="0023036C">
          <w:rPr>
            <w:rStyle w:val="Lienhypertexte"/>
            <w:noProof/>
          </w:rPr>
          <w:t>Figure 11 : Exemple de fonction d'interprétation pour l’indicateur K disponible (fonction Nutrition, SE Production – cultures) : référentiel de qualité</w:t>
        </w:r>
        <w:r>
          <w:rPr>
            <w:noProof/>
            <w:webHidden/>
          </w:rPr>
          <w:tab/>
        </w:r>
        <w:r>
          <w:rPr>
            <w:noProof/>
            <w:webHidden/>
          </w:rPr>
          <w:fldChar w:fldCharType="begin"/>
        </w:r>
        <w:r>
          <w:rPr>
            <w:noProof/>
            <w:webHidden/>
          </w:rPr>
          <w:instrText xml:space="preserve"> PAGEREF _Toc241505117 \h </w:instrText>
        </w:r>
        <w:r>
          <w:rPr>
            <w:noProof/>
            <w:webHidden/>
          </w:rPr>
        </w:r>
        <w:r>
          <w:rPr>
            <w:noProof/>
            <w:webHidden/>
          </w:rPr>
          <w:fldChar w:fldCharType="separate"/>
        </w:r>
        <w:r>
          <w:rPr>
            <w:noProof/>
            <w:webHidden/>
          </w:rPr>
          <w:t>28</w:t>
        </w:r>
        <w:r>
          <w:rPr>
            <w:noProof/>
            <w:webHidden/>
          </w:rPr>
          <w:fldChar w:fldCharType="end"/>
        </w:r>
      </w:hyperlink>
    </w:p>
    <w:p w14:paraId="7EE20B42" w14:textId="3FA8B0D4"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18" w:history="1">
        <w:r w:rsidRPr="0023036C">
          <w:rPr>
            <w:rStyle w:val="Lienhypertexte"/>
            <w:noProof/>
          </w:rPr>
          <w:t>Figure 12 : Exemple de fonction d'interprétation pour l’indicateur K disponible (fonction Nutrition, SE Production – cultures) : référentiel de santé</w:t>
        </w:r>
        <w:r>
          <w:rPr>
            <w:noProof/>
            <w:webHidden/>
          </w:rPr>
          <w:tab/>
        </w:r>
        <w:r>
          <w:rPr>
            <w:noProof/>
            <w:webHidden/>
          </w:rPr>
          <w:fldChar w:fldCharType="begin"/>
        </w:r>
        <w:r>
          <w:rPr>
            <w:noProof/>
            <w:webHidden/>
          </w:rPr>
          <w:instrText xml:space="preserve"> PAGEREF _Toc241505118 \h </w:instrText>
        </w:r>
        <w:r>
          <w:rPr>
            <w:noProof/>
            <w:webHidden/>
          </w:rPr>
        </w:r>
        <w:r>
          <w:rPr>
            <w:noProof/>
            <w:webHidden/>
          </w:rPr>
          <w:fldChar w:fldCharType="separate"/>
        </w:r>
        <w:r>
          <w:rPr>
            <w:noProof/>
            <w:webHidden/>
          </w:rPr>
          <w:t>28</w:t>
        </w:r>
        <w:r>
          <w:rPr>
            <w:noProof/>
            <w:webHidden/>
          </w:rPr>
          <w:fldChar w:fldCharType="end"/>
        </w:r>
      </w:hyperlink>
    </w:p>
    <w:p w14:paraId="40D6EC65" w14:textId="6F3C1919"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19" w:history="1">
        <w:r w:rsidRPr="0023036C">
          <w:rPr>
            <w:rStyle w:val="Lienhypertexte"/>
            <w:noProof/>
          </w:rPr>
          <w:t>Figure 13 : Détail des valeurs de risque utilisées pour le calcul de chaque Score</w:t>
        </w:r>
        <w:r w:rsidRPr="0023036C">
          <w:rPr>
            <w:rStyle w:val="Lienhypertexte"/>
            <w:noProof/>
            <w:vertAlign w:val="subscript"/>
          </w:rPr>
          <w:t>polluant</w:t>
        </w:r>
        <w:r w:rsidRPr="0023036C">
          <w:rPr>
            <w:rStyle w:val="Lienhypertexte"/>
            <w:noProof/>
          </w:rPr>
          <w:t xml:space="preserve"> pour chaque situation d'usage</w:t>
        </w:r>
        <w:r>
          <w:rPr>
            <w:noProof/>
            <w:webHidden/>
          </w:rPr>
          <w:tab/>
        </w:r>
        <w:r>
          <w:rPr>
            <w:noProof/>
            <w:webHidden/>
          </w:rPr>
          <w:fldChar w:fldCharType="begin"/>
        </w:r>
        <w:r>
          <w:rPr>
            <w:noProof/>
            <w:webHidden/>
          </w:rPr>
          <w:instrText xml:space="preserve"> PAGEREF _Toc241505119 \h </w:instrText>
        </w:r>
        <w:r>
          <w:rPr>
            <w:noProof/>
            <w:webHidden/>
          </w:rPr>
        </w:r>
        <w:r>
          <w:rPr>
            <w:noProof/>
            <w:webHidden/>
          </w:rPr>
          <w:fldChar w:fldCharType="separate"/>
        </w:r>
        <w:r>
          <w:rPr>
            <w:noProof/>
            <w:webHidden/>
          </w:rPr>
          <w:t>31</w:t>
        </w:r>
        <w:r>
          <w:rPr>
            <w:noProof/>
            <w:webHidden/>
          </w:rPr>
          <w:fldChar w:fldCharType="end"/>
        </w:r>
      </w:hyperlink>
    </w:p>
    <w:p w14:paraId="1037BDA1" w14:textId="477C6E3B"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20" w:history="1">
        <w:r w:rsidRPr="0023036C">
          <w:rPr>
            <w:rStyle w:val="Lienhypertexte"/>
            <w:noProof/>
          </w:rPr>
          <w:t>Figure 14 : Schéma d'évaluation du service écosystémique Protection des nappes</w:t>
        </w:r>
        <w:r>
          <w:rPr>
            <w:noProof/>
            <w:webHidden/>
          </w:rPr>
          <w:tab/>
        </w:r>
        <w:r>
          <w:rPr>
            <w:noProof/>
            <w:webHidden/>
          </w:rPr>
          <w:fldChar w:fldCharType="begin"/>
        </w:r>
        <w:r>
          <w:rPr>
            <w:noProof/>
            <w:webHidden/>
          </w:rPr>
          <w:instrText xml:space="preserve"> PAGEREF _Toc241505120 \h </w:instrText>
        </w:r>
        <w:r>
          <w:rPr>
            <w:noProof/>
            <w:webHidden/>
          </w:rPr>
        </w:r>
        <w:r>
          <w:rPr>
            <w:noProof/>
            <w:webHidden/>
          </w:rPr>
          <w:fldChar w:fldCharType="separate"/>
        </w:r>
        <w:r>
          <w:rPr>
            <w:noProof/>
            <w:webHidden/>
          </w:rPr>
          <w:t>32</w:t>
        </w:r>
        <w:r>
          <w:rPr>
            <w:noProof/>
            <w:webHidden/>
          </w:rPr>
          <w:fldChar w:fldCharType="end"/>
        </w:r>
      </w:hyperlink>
    </w:p>
    <w:p w14:paraId="45728249" w14:textId="399D004F"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21" w:history="1">
        <w:r w:rsidRPr="0023036C">
          <w:rPr>
            <w:rStyle w:val="Lienhypertexte"/>
            <w:noProof/>
          </w:rPr>
          <w:t>Figure 15 : Exemple de fonction d'interprétation pour l’indicateur C microbien (fonction Abondance, SE Biodiversité du sol)</w:t>
        </w:r>
        <w:r>
          <w:rPr>
            <w:noProof/>
            <w:webHidden/>
          </w:rPr>
          <w:tab/>
        </w:r>
        <w:r>
          <w:rPr>
            <w:noProof/>
            <w:webHidden/>
          </w:rPr>
          <w:fldChar w:fldCharType="begin"/>
        </w:r>
        <w:r>
          <w:rPr>
            <w:noProof/>
            <w:webHidden/>
          </w:rPr>
          <w:instrText xml:space="preserve"> PAGEREF _Toc241505121 \h </w:instrText>
        </w:r>
        <w:r>
          <w:rPr>
            <w:noProof/>
            <w:webHidden/>
          </w:rPr>
        </w:r>
        <w:r>
          <w:rPr>
            <w:noProof/>
            <w:webHidden/>
          </w:rPr>
          <w:fldChar w:fldCharType="separate"/>
        </w:r>
        <w:r>
          <w:rPr>
            <w:noProof/>
            <w:webHidden/>
          </w:rPr>
          <w:t>34</w:t>
        </w:r>
        <w:r>
          <w:rPr>
            <w:noProof/>
            <w:webHidden/>
          </w:rPr>
          <w:fldChar w:fldCharType="end"/>
        </w:r>
      </w:hyperlink>
    </w:p>
    <w:p w14:paraId="54FCF838" w14:textId="4353263C"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22" w:history="1">
        <w:r w:rsidRPr="0023036C">
          <w:rPr>
            <w:rStyle w:val="Lienhypertexte"/>
            <w:noProof/>
          </w:rPr>
          <w:t>Figure 16 : Exemple de fonction d'interprétation pour l’indicateur SI des nématodes (fonction Diversité, SE Biodiversité du sol)</w:t>
        </w:r>
        <w:r>
          <w:rPr>
            <w:noProof/>
            <w:webHidden/>
          </w:rPr>
          <w:tab/>
        </w:r>
        <w:r>
          <w:rPr>
            <w:noProof/>
            <w:webHidden/>
          </w:rPr>
          <w:fldChar w:fldCharType="begin"/>
        </w:r>
        <w:r>
          <w:rPr>
            <w:noProof/>
            <w:webHidden/>
          </w:rPr>
          <w:instrText xml:space="preserve"> PAGEREF _Toc241505122 \h </w:instrText>
        </w:r>
        <w:r>
          <w:rPr>
            <w:noProof/>
            <w:webHidden/>
          </w:rPr>
        </w:r>
        <w:r>
          <w:rPr>
            <w:noProof/>
            <w:webHidden/>
          </w:rPr>
          <w:fldChar w:fldCharType="separate"/>
        </w:r>
        <w:r>
          <w:rPr>
            <w:noProof/>
            <w:webHidden/>
          </w:rPr>
          <w:t>36</w:t>
        </w:r>
        <w:r>
          <w:rPr>
            <w:noProof/>
            <w:webHidden/>
          </w:rPr>
          <w:fldChar w:fldCharType="end"/>
        </w:r>
      </w:hyperlink>
    </w:p>
    <w:p w14:paraId="07CB640C" w14:textId="498EAD4D"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23" w:history="1">
        <w:r w:rsidRPr="0023036C">
          <w:rPr>
            <w:rStyle w:val="Lienhypertexte"/>
            <w:noProof/>
          </w:rPr>
          <w:t>Figure 17 : Exemple de fonction d'interprétation pour l’indicateur Corg/argile (fonction Structure, SE Production – cultures) : référentiel de qualité</w:t>
        </w:r>
        <w:r>
          <w:rPr>
            <w:noProof/>
            <w:webHidden/>
          </w:rPr>
          <w:tab/>
        </w:r>
        <w:r>
          <w:rPr>
            <w:noProof/>
            <w:webHidden/>
          </w:rPr>
          <w:fldChar w:fldCharType="begin"/>
        </w:r>
        <w:r>
          <w:rPr>
            <w:noProof/>
            <w:webHidden/>
          </w:rPr>
          <w:instrText xml:space="preserve"> PAGEREF _Toc241505123 \h </w:instrText>
        </w:r>
        <w:r>
          <w:rPr>
            <w:noProof/>
            <w:webHidden/>
          </w:rPr>
        </w:r>
        <w:r>
          <w:rPr>
            <w:noProof/>
            <w:webHidden/>
          </w:rPr>
          <w:fldChar w:fldCharType="separate"/>
        </w:r>
        <w:r>
          <w:rPr>
            <w:noProof/>
            <w:webHidden/>
          </w:rPr>
          <w:t>39</w:t>
        </w:r>
        <w:r>
          <w:rPr>
            <w:noProof/>
            <w:webHidden/>
          </w:rPr>
          <w:fldChar w:fldCharType="end"/>
        </w:r>
      </w:hyperlink>
    </w:p>
    <w:p w14:paraId="20C9E2D3" w14:textId="3A8D13D7"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24" w:history="1">
        <w:r w:rsidRPr="0023036C">
          <w:rPr>
            <w:rStyle w:val="Lienhypertexte"/>
            <w:noProof/>
          </w:rPr>
          <w:t>Figure 18 : Exemple de fonction d'interprétation pour l’indicateur Corg/argile (fonction Structure, SE Production – cultures) : référentiel de santé</w:t>
        </w:r>
        <w:r>
          <w:rPr>
            <w:noProof/>
            <w:webHidden/>
          </w:rPr>
          <w:tab/>
        </w:r>
        <w:r>
          <w:rPr>
            <w:noProof/>
            <w:webHidden/>
          </w:rPr>
          <w:fldChar w:fldCharType="begin"/>
        </w:r>
        <w:r>
          <w:rPr>
            <w:noProof/>
            <w:webHidden/>
          </w:rPr>
          <w:instrText xml:space="preserve"> PAGEREF _Toc241505124 \h </w:instrText>
        </w:r>
        <w:r>
          <w:rPr>
            <w:noProof/>
            <w:webHidden/>
          </w:rPr>
        </w:r>
        <w:r>
          <w:rPr>
            <w:noProof/>
            <w:webHidden/>
          </w:rPr>
          <w:fldChar w:fldCharType="separate"/>
        </w:r>
        <w:r>
          <w:rPr>
            <w:noProof/>
            <w:webHidden/>
          </w:rPr>
          <w:t>40</w:t>
        </w:r>
        <w:r>
          <w:rPr>
            <w:noProof/>
            <w:webHidden/>
          </w:rPr>
          <w:fldChar w:fldCharType="end"/>
        </w:r>
      </w:hyperlink>
    </w:p>
    <w:p w14:paraId="7C0F708C" w14:textId="76B6467F"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25" w:history="1">
        <w:r w:rsidRPr="0023036C">
          <w:rPr>
            <w:rStyle w:val="Lienhypertexte"/>
            <w:noProof/>
          </w:rPr>
          <w:t>Figure 19 : Exemple de fonction d'interprétation pour l’indicateur Stock de carbone (fonction Stockage, SE Stockage de carbone)</w:t>
        </w:r>
        <w:r>
          <w:rPr>
            <w:noProof/>
            <w:webHidden/>
          </w:rPr>
          <w:tab/>
        </w:r>
        <w:r>
          <w:rPr>
            <w:noProof/>
            <w:webHidden/>
          </w:rPr>
          <w:fldChar w:fldCharType="begin"/>
        </w:r>
        <w:r>
          <w:rPr>
            <w:noProof/>
            <w:webHidden/>
          </w:rPr>
          <w:instrText xml:space="preserve"> PAGEREF _Toc241505125 \h </w:instrText>
        </w:r>
        <w:r>
          <w:rPr>
            <w:noProof/>
            <w:webHidden/>
          </w:rPr>
        </w:r>
        <w:r>
          <w:rPr>
            <w:noProof/>
            <w:webHidden/>
          </w:rPr>
          <w:fldChar w:fldCharType="separate"/>
        </w:r>
        <w:r>
          <w:rPr>
            <w:noProof/>
            <w:webHidden/>
          </w:rPr>
          <w:t>42</w:t>
        </w:r>
        <w:r>
          <w:rPr>
            <w:noProof/>
            <w:webHidden/>
          </w:rPr>
          <w:fldChar w:fldCharType="end"/>
        </w:r>
      </w:hyperlink>
    </w:p>
    <w:p w14:paraId="775D9807" w14:textId="376FDCA9"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26" w:history="1">
        <w:r w:rsidRPr="0023036C">
          <w:rPr>
            <w:rStyle w:val="Lienhypertexte"/>
            <w:noProof/>
          </w:rPr>
          <w:t>Figure 20 : représentation des concepts en lien avec la réserve utile (RU), tel que réalisé par Desmet Florence (SPW ARNE Direction R&amp;D, 2023).</w:t>
        </w:r>
        <w:r>
          <w:rPr>
            <w:noProof/>
            <w:webHidden/>
          </w:rPr>
          <w:tab/>
        </w:r>
        <w:r>
          <w:rPr>
            <w:noProof/>
            <w:webHidden/>
          </w:rPr>
          <w:fldChar w:fldCharType="begin"/>
        </w:r>
        <w:r>
          <w:rPr>
            <w:noProof/>
            <w:webHidden/>
          </w:rPr>
          <w:instrText xml:space="preserve"> PAGEREF _Toc241505126 \h </w:instrText>
        </w:r>
        <w:r>
          <w:rPr>
            <w:noProof/>
            <w:webHidden/>
          </w:rPr>
        </w:r>
        <w:r>
          <w:rPr>
            <w:noProof/>
            <w:webHidden/>
          </w:rPr>
          <w:fldChar w:fldCharType="separate"/>
        </w:r>
        <w:r>
          <w:rPr>
            <w:noProof/>
            <w:webHidden/>
          </w:rPr>
          <w:t>43</w:t>
        </w:r>
        <w:r>
          <w:rPr>
            <w:noProof/>
            <w:webHidden/>
          </w:rPr>
          <w:fldChar w:fldCharType="end"/>
        </w:r>
      </w:hyperlink>
    </w:p>
    <w:p w14:paraId="5C9E3768" w14:textId="63188202" w:rsidR="00DB2481" w:rsidRDefault="00DB2481">
      <w:pPr>
        <w:pStyle w:val="Tabledesillustrations"/>
        <w:tabs>
          <w:tab w:val="right" w:leader="dot" w:pos="9060"/>
        </w:tabs>
        <w:rPr>
          <w:rFonts w:asciiTheme="minorHAnsi" w:eastAsiaTheme="minorEastAsia" w:hAnsiTheme="minorHAnsi"/>
          <w:noProof/>
          <w:sz w:val="24"/>
          <w:lang w:eastAsia="fr-BE"/>
        </w:rPr>
      </w:pPr>
      <w:hyperlink w:anchor="_Toc241505127" w:history="1">
        <w:r w:rsidRPr="0023036C">
          <w:rPr>
            <w:rStyle w:val="Lienhypertexte"/>
            <w:noProof/>
          </w:rPr>
          <w:t>Figure 21 : Exemple de fonction d'interprétation pour l’indicateur REU (fonction Fourniture d’eau, SE Production – cultures)</w:t>
        </w:r>
        <w:r>
          <w:rPr>
            <w:noProof/>
            <w:webHidden/>
          </w:rPr>
          <w:tab/>
        </w:r>
        <w:r>
          <w:rPr>
            <w:noProof/>
            <w:webHidden/>
          </w:rPr>
          <w:fldChar w:fldCharType="begin"/>
        </w:r>
        <w:r>
          <w:rPr>
            <w:noProof/>
            <w:webHidden/>
          </w:rPr>
          <w:instrText xml:space="preserve"> PAGEREF _Toc241505127 \h </w:instrText>
        </w:r>
        <w:r>
          <w:rPr>
            <w:noProof/>
            <w:webHidden/>
          </w:rPr>
        </w:r>
        <w:r>
          <w:rPr>
            <w:noProof/>
            <w:webHidden/>
          </w:rPr>
          <w:fldChar w:fldCharType="separate"/>
        </w:r>
        <w:r>
          <w:rPr>
            <w:noProof/>
            <w:webHidden/>
          </w:rPr>
          <w:t>45</w:t>
        </w:r>
        <w:r>
          <w:rPr>
            <w:noProof/>
            <w:webHidden/>
          </w:rPr>
          <w:fldChar w:fldCharType="end"/>
        </w:r>
      </w:hyperlink>
    </w:p>
    <w:p w14:paraId="050A35E4" w14:textId="3CC07C27" w:rsidR="00DB2481" w:rsidRPr="006D49C5" w:rsidRDefault="00DB2481" w:rsidP="004712D2">
      <w:pPr>
        <w:rPr>
          <w:u w:val="single"/>
        </w:rPr>
      </w:pPr>
      <w:r>
        <w:rPr>
          <w:u w:val="single"/>
        </w:rPr>
        <w:fldChar w:fldCharType="end"/>
      </w:r>
    </w:p>
    <w:p w14:paraId="01CCC18E" w14:textId="7625314A" w:rsidR="00C70DC6" w:rsidRDefault="38CC753C" w:rsidP="00876101">
      <w:pPr>
        <w:pStyle w:val="Titre1"/>
        <w:numPr>
          <w:ilvl w:val="0"/>
          <w:numId w:val="3"/>
        </w:numPr>
      </w:pPr>
      <w:bookmarkStart w:id="4" w:name="_Toc241505233"/>
      <w:r>
        <w:lastRenderedPageBreak/>
        <w:t>Indicateurs</w:t>
      </w:r>
      <w:r w:rsidR="00B8619C">
        <w:t xml:space="preserve"> physiques</w:t>
      </w:r>
      <w:bookmarkEnd w:id="2"/>
      <w:bookmarkEnd w:id="4"/>
    </w:p>
    <w:p w14:paraId="49A2BE90" w14:textId="6F9F9D24" w:rsidR="00F06A64" w:rsidRDefault="00F06A64" w:rsidP="00876101">
      <w:pPr>
        <w:pStyle w:val="Titre2"/>
        <w:numPr>
          <w:ilvl w:val="1"/>
          <w:numId w:val="3"/>
        </w:numPr>
      </w:pPr>
      <w:bookmarkStart w:id="5" w:name="_Toc241505234"/>
      <w:r>
        <w:t>Texture</w:t>
      </w:r>
      <w:bookmarkEnd w:id="5"/>
    </w:p>
    <w:p w14:paraId="2930CC87" w14:textId="77777777" w:rsidR="00F06A64" w:rsidRPr="00C82C0F" w:rsidRDefault="00F06A64" w:rsidP="00876101">
      <w:pPr>
        <w:pStyle w:val="Titre3"/>
        <w:numPr>
          <w:ilvl w:val="2"/>
          <w:numId w:val="3"/>
        </w:numPr>
      </w:pPr>
      <w:bookmarkStart w:id="6" w:name="_Toc241505235"/>
      <w:r>
        <w:t>Définition</w:t>
      </w:r>
      <w:bookmarkEnd w:id="6"/>
    </w:p>
    <w:p w14:paraId="502327F7" w14:textId="45E5C4DF" w:rsidR="00F06A64" w:rsidRDefault="00F06A64" w:rsidP="00F06A64">
      <w:r>
        <w:t xml:space="preserve">La </w:t>
      </w:r>
      <w:r w:rsidR="00793AD3">
        <w:t>texture</w:t>
      </w:r>
      <w:r w:rsidR="00B06688">
        <w:t xml:space="preserve"> </w:t>
      </w:r>
      <w:r w:rsidR="00073FBB">
        <w:t>représente</w:t>
      </w:r>
      <w:r w:rsidR="00B06688">
        <w:t xml:space="preserve"> la proportion relative des différentes fractions granulométriques d'un sol</w:t>
      </w:r>
      <w:r w:rsidR="00915341">
        <w:t xml:space="preserve"> (argile</w:t>
      </w:r>
      <w:r w:rsidR="53343E50">
        <w:t>s</w:t>
      </w:r>
      <w:r w:rsidR="00915341">
        <w:t>, limon</w:t>
      </w:r>
      <w:r w:rsidR="2CE6FEC1">
        <w:t>s</w:t>
      </w:r>
      <w:r w:rsidR="00915341">
        <w:t>, sable</w:t>
      </w:r>
      <w:r w:rsidR="76FB2222">
        <w:t>s</w:t>
      </w:r>
      <w:r w:rsidR="00915341">
        <w:t>)</w:t>
      </w:r>
      <w:r w:rsidR="00793AD3">
        <w:t xml:space="preserve">. </w:t>
      </w:r>
    </w:p>
    <w:p w14:paraId="6FC10F29" w14:textId="77777777" w:rsidR="00F06A64" w:rsidRDefault="00F06A64" w:rsidP="00876101">
      <w:pPr>
        <w:pStyle w:val="Titre3"/>
        <w:numPr>
          <w:ilvl w:val="2"/>
          <w:numId w:val="3"/>
        </w:numPr>
      </w:pPr>
      <w:bookmarkStart w:id="7" w:name="_Toc241505236"/>
      <w:r>
        <w:t>Pertinence</w:t>
      </w:r>
      <w:bookmarkEnd w:id="7"/>
    </w:p>
    <w:p w14:paraId="2502D745" w14:textId="57923CF1" w:rsidR="00915341" w:rsidRDefault="00915341" w:rsidP="00F06A64">
      <w:r>
        <w:t xml:space="preserve">La </w:t>
      </w:r>
      <w:r w:rsidR="00CB3644">
        <w:t xml:space="preserve">texture influence directement de nombreux processus </w:t>
      </w:r>
      <w:r w:rsidR="006E1D5F">
        <w:t>du sol : infiltration, rétention d’eau, drainage, rétention des nutriments</w:t>
      </w:r>
      <w:r w:rsidR="00226CD1">
        <w:t xml:space="preserve"> et des polluants, </w:t>
      </w:r>
      <w:r w:rsidR="001D0591">
        <w:t>stockage de carbone</w:t>
      </w:r>
      <w:r w:rsidR="3434EA4C">
        <w:t>,</w:t>
      </w:r>
      <w:r w:rsidR="001D0591">
        <w:t xml:space="preserve"> </w:t>
      </w:r>
      <w:r w:rsidR="00226CD1">
        <w:t xml:space="preserve">etc. Il s’agit d’une propriété statique, généralement déterminée par la nature du matériau parental sous-jacent. </w:t>
      </w:r>
    </w:p>
    <w:p w14:paraId="3EDA7809" w14:textId="77777777" w:rsidR="00F06A64" w:rsidRDefault="00F06A64" w:rsidP="00876101">
      <w:pPr>
        <w:pStyle w:val="Titre3"/>
        <w:numPr>
          <w:ilvl w:val="2"/>
          <w:numId w:val="3"/>
        </w:numPr>
      </w:pPr>
      <w:bookmarkStart w:id="8" w:name="_Toc241505237"/>
      <w:r>
        <w:t>Méthode de mesure</w:t>
      </w:r>
      <w:bookmarkEnd w:id="8"/>
    </w:p>
    <w:p w14:paraId="6A834389" w14:textId="373651A8" w:rsidR="00071504" w:rsidRPr="00071504" w:rsidRDefault="00071504" w:rsidP="00071504">
      <w:r>
        <w:t xml:space="preserve">La texture s’évalue en laboratoire via </w:t>
      </w:r>
      <w:r w:rsidR="00DE36AA">
        <w:t>diverses</w:t>
      </w:r>
      <w:r>
        <w:t xml:space="preserve"> méthode</w:t>
      </w:r>
      <w:r w:rsidR="00DE36AA">
        <w:t xml:space="preserve">s, dont la plus classique est la méthode des </w:t>
      </w:r>
      <w:r w:rsidR="00857824">
        <w:t>pipettes</w:t>
      </w:r>
      <w:r>
        <w:t xml:space="preserve"> </w:t>
      </w:r>
      <w:r w:rsidR="00857824">
        <w:t>(</w:t>
      </w:r>
      <w:r w:rsidR="00DE36AA" w:rsidRPr="00DE36AA">
        <w:t xml:space="preserve">ISO </w:t>
      </w:r>
      <w:proofErr w:type="gramStart"/>
      <w:r w:rsidR="00DE36AA" w:rsidRPr="00DE36AA">
        <w:t>11277:</w:t>
      </w:r>
      <w:proofErr w:type="gramEnd"/>
      <w:r w:rsidR="00DE36AA" w:rsidRPr="00DE36AA">
        <w:t>2020</w:t>
      </w:r>
      <w:r w:rsidR="00857824">
        <w:t xml:space="preserve">). </w:t>
      </w:r>
      <w:r w:rsidR="007516C9">
        <w:t>Le recours à cette méthode (et ses dérivés) ou une méthode équivalente est préconisé.</w:t>
      </w:r>
    </w:p>
    <w:p w14:paraId="3675E826" w14:textId="77777777" w:rsidR="00F06A64" w:rsidRDefault="00F06A64" w:rsidP="00876101">
      <w:pPr>
        <w:pStyle w:val="Titre3"/>
        <w:numPr>
          <w:ilvl w:val="2"/>
          <w:numId w:val="3"/>
        </w:numPr>
      </w:pPr>
      <w:bookmarkStart w:id="9" w:name="_Toc241505238"/>
      <w:r w:rsidRPr="00C23A2C">
        <w:t>Interprétation</w:t>
      </w:r>
      <w:bookmarkEnd w:id="9"/>
    </w:p>
    <w:p w14:paraId="274A885F" w14:textId="0E8AEA7C" w:rsidR="000C4896" w:rsidRDefault="007516C9" w:rsidP="00F06A64">
      <w:r>
        <w:t xml:space="preserve">En tant que </w:t>
      </w:r>
      <w:r w:rsidR="00E55582">
        <w:t>variable de contexte, la texture n</w:t>
      </w:r>
      <w:r w:rsidR="00967BFB">
        <w:t>e se voit</w:t>
      </w:r>
      <w:r w:rsidR="00E55582">
        <w:t xml:space="preserve"> pas </w:t>
      </w:r>
      <w:r w:rsidR="00967BFB">
        <w:t xml:space="preserve">attribuer un score </w:t>
      </w:r>
      <w:r w:rsidR="00E55582">
        <w:t>directement</w:t>
      </w:r>
      <w:r w:rsidR="00967BFB">
        <w:t xml:space="preserve"> </w:t>
      </w:r>
      <w:r w:rsidR="000466BB">
        <w:t xml:space="preserve">dans l’IQSW-pro. </w:t>
      </w:r>
      <w:r w:rsidR="000C4896">
        <w:t xml:space="preserve">En effet, son influence se reflète déjà dans la mesure de nombreux paramètres avec lesquels elle est corrélée. </w:t>
      </w:r>
      <w:r w:rsidR="006D6469">
        <w:t>L’évaluer seule en plus des autres paramètres serait redondant.</w:t>
      </w:r>
      <w:r w:rsidR="00432A1C">
        <w:t xml:space="preserve"> </w:t>
      </w:r>
    </w:p>
    <w:p w14:paraId="49251BBB" w14:textId="1BBBA309" w:rsidR="00F06A64" w:rsidRDefault="000C4896" w:rsidP="00F06A64">
      <w:r>
        <w:t>La texture</w:t>
      </w:r>
      <w:r w:rsidR="00432A1C">
        <w:t xml:space="preserve"> est toutefois cruciale </w:t>
      </w:r>
      <w:r>
        <w:t>pour l’évaluation de la santé du sol. E</w:t>
      </w:r>
      <w:r w:rsidR="00FC58E7">
        <w:t>n effet, e</w:t>
      </w:r>
      <w:r>
        <w:t xml:space="preserve">lle </w:t>
      </w:r>
      <w:r w:rsidR="00432A1C">
        <w:t xml:space="preserve">intervient en tant que </w:t>
      </w:r>
      <w:r w:rsidR="00F85896">
        <w:t>borne</w:t>
      </w:r>
      <w:r w:rsidR="00432A1C">
        <w:t xml:space="preserve"> </w:t>
      </w:r>
      <w:r w:rsidR="004C5E57">
        <w:t xml:space="preserve">de classification </w:t>
      </w:r>
      <w:r w:rsidR="00432A1C">
        <w:t>pour la définition du potentiel du sol</w:t>
      </w:r>
      <w:r w:rsidR="00FC58E7">
        <w:t xml:space="preserve"> quant à de nombreux </w:t>
      </w:r>
      <w:r w:rsidR="0003353A">
        <w:t>indicateurs</w:t>
      </w:r>
      <w:r w:rsidR="00432A1C">
        <w:t>.</w:t>
      </w:r>
      <w:r w:rsidR="000C4DEA">
        <w:t xml:space="preserve"> Une classe texturale est attribuée au sol sur base du référentiel de la</w:t>
      </w:r>
      <w:r w:rsidR="005B6429">
        <w:t xml:space="preserve"> </w:t>
      </w:r>
      <w:r w:rsidR="005B6429" w:rsidRPr="00623903">
        <w:t>Légende de la Carte Numérique des Sols de Wallonie</w:t>
      </w:r>
      <w:r w:rsidR="000C4DEA">
        <w:t xml:space="preserve"> </w:t>
      </w:r>
      <w:r w:rsidR="000C4DEA">
        <w:fldChar w:fldCharType="begin"/>
      </w:r>
      <w:r w:rsidR="000C4DEA">
        <w:instrText xml:space="preserve"> ADDIN ZOTERO_ITEM CSL_CITATION {"citationID":"tzU2TSYw","properties":{"unsorted":false,"formattedCitation":"(Bah et al., 2007)","plainCitation":"(Bah et al., 2007)","noteIndex":0},"citationItems":[{"id":20,"uris":["http://zotero.org/groups/5684833/items/AHCVNBT5"],"itemData":{"id":20,"type":"report","publisher":"Faculté universitaire des Sciences agronomiques de Gembloux – Laboratoire de Géopédologie, en relation avec le PCNSW (convention pour le compte de la Région Wallonne – DGA)","title":"Légende de la Carte Numérique des Sols de Wallonie (Belgique) sur base de la légende originale de la Carte des sols de la Belgique de l’IRSIA à 1/20.000","URL":"https://www.fichierecologique.be/resources/LCNSW_V2.pdf","author":[{"family":"Bah","given":"B."},{"family":"Engels","given":"P."},{"family":"Legrain","given":"X."},{"family":"Colinet","given":"G."}],"issued":{"date-parts":[["2007",12]]}}}],"schema":"https://github.com/citation-style-language/schema/raw/master/csl-citation.json"} </w:instrText>
      </w:r>
      <w:r w:rsidR="000C4DEA">
        <w:fldChar w:fldCharType="separate"/>
      </w:r>
      <w:r w:rsidR="000C4DEA" w:rsidRPr="000C4DEA">
        <w:rPr>
          <w:rFonts w:cs="Calibri"/>
        </w:rPr>
        <w:t>(Bah et al., 2007)</w:t>
      </w:r>
      <w:r w:rsidR="000C4DEA">
        <w:fldChar w:fldCharType="end"/>
      </w:r>
      <w:r w:rsidR="004E5C5A">
        <w:t> qui reprend les lettres (sigles texturaux) suivant</w:t>
      </w:r>
      <w:r w:rsidR="69231323">
        <w:t>e</w:t>
      </w:r>
      <w:r w:rsidR="004E5C5A">
        <w:t>s (du plus sableux au plus argileux) : Z, S, P, L, A, E, U.</w:t>
      </w:r>
    </w:p>
    <w:p w14:paraId="1D64B38C" w14:textId="4C9D032D" w:rsidR="00E95B83" w:rsidRDefault="00E95B83" w:rsidP="00876101">
      <w:pPr>
        <w:pStyle w:val="Titre2"/>
        <w:numPr>
          <w:ilvl w:val="1"/>
          <w:numId w:val="3"/>
        </w:numPr>
      </w:pPr>
      <w:bookmarkStart w:id="10" w:name="_Toc241505239"/>
      <w:r>
        <w:t>Profondeur de sol</w:t>
      </w:r>
      <w:bookmarkEnd w:id="10"/>
    </w:p>
    <w:p w14:paraId="3B48CE5D" w14:textId="77777777" w:rsidR="00E95B83" w:rsidRDefault="00E95B83" w:rsidP="00876101">
      <w:pPr>
        <w:pStyle w:val="Titre3"/>
        <w:numPr>
          <w:ilvl w:val="2"/>
          <w:numId w:val="3"/>
        </w:numPr>
      </w:pPr>
      <w:bookmarkStart w:id="11" w:name="_Toc241505240"/>
      <w:r>
        <w:t>Définition</w:t>
      </w:r>
      <w:bookmarkEnd w:id="11"/>
    </w:p>
    <w:p w14:paraId="04E28B34" w14:textId="6BE7D6C6" w:rsidR="00CD07E5" w:rsidRPr="00CD07E5" w:rsidRDefault="00CD07E5" w:rsidP="00CD07E5">
      <w:r>
        <w:t xml:space="preserve">La profondeur de sol est la profondeur </w:t>
      </w:r>
      <w:r w:rsidR="00E2624E">
        <w:t>jusqu’</w:t>
      </w:r>
      <w:r>
        <w:t>à laquelle</w:t>
      </w:r>
      <w:r w:rsidR="00E2624E">
        <w:t xml:space="preserve"> s’étend</w:t>
      </w:r>
      <w:r>
        <w:t xml:space="preserve"> le sol « meuble », soit le sol apte à la réalisation de fonctions</w:t>
      </w:r>
      <w:r w:rsidR="00E2624E">
        <w:t xml:space="preserve">. </w:t>
      </w:r>
      <w:r w:rsidR="00D24334">
        <w:t>La profondeur de sol disponible pour les fonctions se limite donc</w:t>
      </w:r>
      <w:r w:rsidR="00FE18A7">
        <w:t xml:space="preserve"> théoriquement</w:t>
      </w:r>
      <w:r w:rsidR="00D24334">
        <w:t xml:space="preserve"> au </w:t>
      </w:r>
      <w:r w:rsidR="00FE18A7">
        <w:t>niveau supérieur</w:t>
      </w:r>
      <w:r w:rsidR="00D24334">
        <w:t xml:space="preserve"> du matériau parental. </w:t>
      </w:r>
      <w:r w:rsidR="551B41CC">
        <w:t>Dans le cadre de l’IQSW-pro, l’évaluation de la profondeur de sol se limite au premier mètre.</w:t>
      </w:r>
    </w:p>
    <w:p w14:paraId="68D392E0" w14:textId="77777777" w:rsidR="00E95B83" w:rsidRDefault="00E95B83" w:rsidP="00876101">
      <w:pPr>
        <w:pStyle w:val="Titre3"/>
        <w:numPr>
          <w:ilvl w:val="2"/>
          <w:numId w:val="3"/>
        </w:numPr>
      </w:pPr>
      <w:bookmarkStart w:id="12" w:name="_Toc241505241"/>
      <w:r>
        <w:t>Pertinence</w:t>
      </w:r>
      <w:bookmarkEnd w:id="12"/>
    </w:p>
    <w:p w14:paraId="17B69A15" w14:textId="7EF0E1A2" w:rsidR="00E95B83" w:rsidRDefault="00E95B83" w:rsidP="00E95B83">
      <w:r>
        <w:t>En réduisant le volume de sol utile pour l’accomplissement des fonctions, l</w:t>
      </w:r>
      <w:r w:rsidRPr="00B034D1">
        <w:t xml:space="preserve">a </w:t>
      </w:r>
      <w:r w:rsidR="005F667C">
        <w:t>profondeur de sol</w:t>
      </w:r>
      <w:r>
        <w:t xml:space="preserve"> influence de </w:t>
      </w:r>
      <w:r w:rsidR="005F667C">
        <w:t xml:space="preserve">facto </w:t>
      </w:r>
      <w:r w:rsidR="00CD07E5">
        <w:t>les indicateurs de stock</w:t>
      </w:r>
      <w:r>
        <w:t>. Elle intervient notamment dans le calcul du</w:t>
      </w:r>
      <w:r w:rsidRPr="00B034D1">
        <w:t xml:space="preserve"> stock de carbone du sol</w:t>
      </w:r>
      <w:r w:rsidR="003E0375">
        <w:t xml:space="preserve"> et </w:t>
      </w:r>
      <w:r>
        <w:t>de sa réserve en eau utile</w:t>
      </w:r>
      <w:r w:rsidR="003E0375">
        <w:t xml:space="preserve"> à l’échelle du profil</w:t>
      </w:r>
      <w:r>
        <w:t xml:space="preserve">, et </w:t>
      </w:r>
      <w:r w:rsidR="00402968">
        <w:t>de la quantité</w:t>
      </w:r>
      <w:r>
        <w:t xml:space="preserve"> de nutriments disponibles pour les plantes</w:t>
      </w:r>
      <w:r w:rsidR="003E0375">
        <w:t xml:space="preserve"> dans la couche 0-30 cm</w:t>
      </w:r>
      <w:r w:rsidRPr="00B034D1">
        <w:t>.</w:t>
      </w:r>
      <w:r>
        <w:t xml:space="preserve"> </w:t>
      </w:r>
    </w:p>
    <w:p w14:paraId="75A54300" w14:textId="53EE61F2" w:rsidR="00314C25" w:rsidRDefault="00314C25" w:rsidP="00E95B83">
      <w:r>
        <w:t>Une profondeur de sol très limitée peut également repr</w:t>
      </w:r>
      <w:r w:rsidR="00EF78AA">
        <w:t>ésenter un frein à l’ancrage racinaire de certaines plantes.</w:t>
      </w:r>
    </w:p>
    <w:p w14:paraId="1EFCB244" w14:textId="77777777" w:rsidR="00E95B83" w:rsidRDefault="00E95B83" w:rsidP="00876101">
      <w:pPr>
        <w:pStyle w:val="Titre3"/>
        <w:numPr>
          <w:ilvl w:val="2"/>
          <w:numId w:val="3"/>
        </w:numPr>
      </w:pPr>
      <w:bookmarkStart w:id="13" w:name="_Toc241505242"/>
      <w:r>
        <w:lastRenderedPageBreak/>
        <w:t>Méthode de mesure</w:t>
      </w:r>
      <w:bookmarkEnd w:id="13"/>
    </w:p>
    <w:p w14:paraId="73F89C18" w14:textId="346E6DBA" w:rsidR="00FE18A7" w:rsidRDefault="00FE18A7" w:rsidP="00E95B83">
      <w:r>
        <w:t xml:space="preserve">En pratique, la profondeur de sol est considérée ici comme la profondeur </w:t>
      </w:r>
      <w:r w:rsidR="002335C9">
        <w:t xml:space="preserve">d’apparition d’une contrainte, </w:t>
      </w:r>
      <w:r>
        <w:t xml:space="preserve">à laquelle </w:t>
      </w:r>
      <w:r w:rsidR="00024405">
        <w:t xml:space="preserve">les outils de forage (tarière) ou </w:t>
      </w:r>
      <w:r w:rsidR="00B36D3E">
        <w:t>la tige pénétrométrique sont systématiquement bloqués.</w:t>
      </w:r>
      <w:r w:rsidR="002335C9">
        <w:t xml:space="preserve"> </w:t>
      </w:r>
      <w:r>
        <w:t xml:space="preserve">Lorsqu’aucun obstacle n’est rencontré </w:t>
      </w:r>
      <w:r w:rsidR="002335C9">
        <w:t>par la tarière ou la</w:t>
      </w:r>
      <w:r>
        <w:t xml:space="preserve"> tige pénétrométrique,</w:t>
      </w:r>
      <w:r w:rsidR="002335C9">
        <w:t xml:space="preserve"> la profondeur de sol prend la valeur maximale de 1 m.</w:t>
      </w:r>
    </w:p>
    <w:p w14:paraId="0CF10B26" w14:textId="77777777" w:rsidR="00E95B83" w:rsidRDefault="00E95B83" w:rsidP="00876101">
      <w:pPr>
        <w:pStyle w:val="Titre3"/>
        <w:numPr>
          <w:ilvl w:val="2"/>
          <w:numId w:val="3"/>
        </w:numPr>
      </w:pPr>
      <w:bookmarkStart w:id="14" w:name="_Toc241505243"/>
      <w:r w:rsidRPr="00C23A2C">
        <w:t>Interprétation</w:t>
      </w:r>
      <w:bookmarkEnd w:id="14"/>
    </w:p>
    <w:p w14:paraId="21CBAAD0" w14:textId="28A31822" w:rsidR="00E95B83" w:rsidRPr="00F06A64" w:rsidRDefault="00E95B83" w:rsidP="00F06A64">
      <w:r>
        <w:t xml:space="preserve">En tant que variable de contexte, la </w:t>
      </w:r>
      <w:r w:rsidR="0045163C">
        <w:t>profondeur de sol</w:t>
      </w:r>
      <w:r>
        <w:t xml:space="preserve"> n’est pas directement scorée dans l’IQSW-pro. Toutefois, elle </w:t>
      </w:r>
      <w:r w:rsidR="0045163C">
        <w:t>intervient (avec la charge volumique en</w:t>
      </w:r>
      <w:r w:rsidR="00D51D52">
        <w:t xml:space="preserve"> éléments grossiers</w:t>
      </w:r>
      <w:r w:rsidR="0045163C">
        <w:t>) dans le calcul du</w:t>
      </w:r>
      <w:r>
        <w:t xml:space="preserve"> volume de sol utile disponible pour le remplissage des fonctions</w:t>
      </w:r>
      <w:r w:rsidR="00BB75EF">
        <w:t xml:space="preserve"> liées aux indicateurs de stock</w:t>
      </w:r>
      <w:r>
        <w:t>.</w:t>
      </w:r>
    </w:p>
    <w:p w14:paraId="7109CF00" w14:textId="7F91CABA" w:rsidR="005A69D1" w:rsidRDefault="005A69D1" w:rsidP="00876101">
      <w:pPr>
        <w:pStyle w:val="Titre2"/>
        <w:numPr>
          <w:ilvl w:val="1"/>
          <w:numId w:val="3"/>
        </w:numPr>
      </w:pPr>
      <w:bookmarkStart w:id="15" w:name="_Toc230267131"/>
      <w:bookmarkStart w:id="16" w:name="_Toc241505244"/>
      <w:r w:rsidRPr="0080439A">
        <w:t xml:space="preserve">Charge </w:t>
      </w:r>
      <w:r w:rsidR="00093758">
        <w:t xml:space="preserve">volumique </w:t>
      </w:r>
      <w:r w:rsidRPr="0080439A">
        <w:t>en éléments grossiers</w:t>
      </w:r>
      <w:bookmarkEnd w:id="15"/>
      <w:r w:rsidR="004A54BF">
        <w:t xml:space="preserve"> (%</w:t>
      </w:r>
      <w:r w:rsidR="004A54BF">
        <w:rPr>
          <w:vertAlign w:val="subscript"/>
        </w:rPr>
        <w:t>vol</w:t>
      </w:r>
      <w:r w:rsidR="004A54BF">
        <w:t xml:space="preserve"> EG)</w:t>
      </w:r>
      <w:bookmarkEnd w:id="16"/>
    </w:p>
    <w:p w14:paraId="3AB6CFA8" w14:textId="77777777" w:rsidR="00093758" w:rsidRPr="00C82C0F" w:rsidRDefault="00093758" w:rsidP="00876101">
      <w:pPr>
        <w:pStyle w:val="Titre3"/>
        <w:numPr>
          <w:ilvl w:val="2"/>
          <w:numId w:val="3"/>
        </w:numPr>
      </w:pPr>
      <w:bookmarkStart w:id="17" w:name="_Toc241505245"/>
      <w:r>
        <w:t>Définition</w:t>
      </w:r>
      <w:bookmarkEnd w:id="17"/>
    </w:p>
    <w:p w14:paraId="12494051" w14:textId="2187F7A4" w:rsidR="00093758" w:rsidRDefault="00093758" w:rsidP="00093758">
      <w:r>
        <w:t xml:space="preserve">La charge </w:t>
      </w:r>
      <w:r w:rsidR="00827759" w:rsidRPr="48222D96">
        <w:rPr>
          <w:u w:val="single"/>
        </w:rPr>
        <w:t>volumique</w:t>
      </w:r>
      <w:r w:rsidR="00827759">
        <w:t xml:space="preserve"> en éléments </w:t>
      </w:r>
      <w:r w:rsidR="00355FA3">
        <w:t>grossiers</w:t>
      </w:r>
      <w:r w:rsidR="00F40640">
        <w:t xml:space="preserve"> (</w:t>
      </w:r>
      <w:r w:rsidR="004A54BF">
        <w:t>%</w:t>
      </w:r>
      <w:r w:rsidR="004A54BF" w:rsidRPr="48222D96">
        <w:rPr>
          <w:vertAlign w:val="subscript"/>
        </w:rPr>
        <w:t>vol</w:t>
      </w:r>
      <w:r w:rsidR="004A54BF">
        <w:t xml:space="preserve"> EG</w:t>
      </w:r>
      <w:r w:rsidR="00F40640">
        <w:t>)</w:t>
      </w:r>
      <w:r w:rsidR="0021577C">
        <w:t xml:space="preserve"> correspond au rapport entre le volume des éléments grossiers (dont le diamètre est &gt; 2 mm) et le volume total du sol.</w:t>
      </w:r>
      <w:r w:rsidR="00D40257">
        <w:t xml:space="preserve"> Elle concerne tout type de charge d’origine naturelle (cai</w:t>
      </w:r>
      <w:r w:rsidR="001B63AF">
        <w:t>lloux gréseux, schisteux, calcaires</w:t>
      </w:r>
      <w:r w:rsidR="67DAE060">
        <w:t>,</w:t>
      </w:r>
      <w:r w:rsidR="001B63AF">
        <w:t xml:space="preserve"> etc.</w:t>
      </w:r>
      <w:r w:rsidR="00EA1F00">
        <w:t>) et artificielle (</w:t>
      </w:r>
      <w:r w:rsidR="003C5FB1">
        <w:t xml:space="preserve">gravats, brique, charbon, </w:t>
      </w:r>
      <w:r w:rsidR="001B63AF">
        <w:t>etc.).</w:t>
      </w:r>
    </w:p>
    <w:p w14:paraId="1F352690" w14:textId="77777777" w:rsidR="00093758" w:rsidRDefault="00093758" w:rsidP="00876101">
      <w:pPr>
        <w:pStyle w:val="Titre3"/>
        <w:numPr>
          <w:ilvl w:val="2"/>
          <w:numId w:val="3"/>
        </w:numPr>
      </w:pPr>
      <w:bookmarkStart w:id="18" w:name="_Toc241505246"/>
      <w:r>
        <w:t>Pertinence</w:t>
      </w:r>
      <w:bookmarkEnd w:id="18"/>
    </w:p>
    <w:p w14:paraId="4956213E" w14:textId="79A9066E" w:rsidR="00E64FCB" w:rsidRDefault="00E64FCB" w:rsidP="00E64FCB">
      <w:r>
        <w:t xml:space="preserve">En réduisant le volume de sol utile pour l’accomplissement des fonctions, la présence d’une </w:t>
      </w:r>
      <w:r w:rsidRPr="00E64FCB">
        <w:t>charge volumique en éléments grossiers</w:t>
      </w:r>
      <w:r w:rsidR="003F2C0C">
        <w:t xml:space="preserve"> impacte</w:t>
      </w:r>
      <w:r>
        <w:t xml:space="preserve"> de facto les indicateurs de stock. Elle intervient notamment dans le calcul du</w:t>
      </w:r>
      <w:r w:rsidRPr="00B034D1">
        <w:t xml:space="preserve"> stock de carbone du sol</w:t>
      </w:r>
      <w:r>
        <w:t xml:space="preserve">, de sa </w:t>
      </w:r>
      <w:r w:rsidR="00BD402E">
        <w:t>réserve en eau utile à l’échelle du profil, et de la quantité de nutriments disponibles pour les plantes dans la couche 0-30 cm</w:t>
      </w:r>
      <w:r w:rsidR="00BD402E" w:rsidRPr="00B034D1">
        <w:t>.</w:t>
      </w:r>
    </w:p>
    <w:p w14:paraId="5BAD54A5" w14:textId="4BCEBE49" w:rsidR="00193783" w:rsidRDefault="00193783" w:rsidP="00020CC4">
      <w:r>
        <w:t xml:space="preserve">Une charge élevée </w:t>
      </w:r>
      <w:r w:rsidR="3A76A804">
        <w:t xml:space="preserve">en EG </w:t>
      </w:r>
      <w:r>
        <w:t xml:space="preserve">peut aussi représenter une contrainte </w:t>
      </w:r>
      <w:r w:rsidR="00C303B9">
        <w:t>mécanique au travail du sol</w:t>
      </w:r>
      <w:r w:rsidR="52E9BA93">
        <w:t>,</w:t>
      </w:r>
      <w:r w:rsidR="00A725D3">
        <w:t xml:space="preserve"> à prendre en considération en cas de changement d’usage.</w:t>
      </w:r>
    </w:p>
    <w:p w14:paraId="29418665" w14:textId="20625707" w:rsidR="00093758" w:rsidRDefault="00093758" w:rsidP="00876101">
      <w:pPr>
        <w:pStyle w:val="Titre3"/>
        <w:numPr>
          <w:ilvl w:val="2"/>
          <w:numId w:val="3"/>
        </w:numPr>
      </w:pPr>
      <w:bookmarkStart w:id="19" w:name="_Toc241505247"/>
      <w:r>
        <w:t>Méthode de mesure</w:t>
      </w:r>
      <w:bookmarkEnd w:id="19"/>
    </w:p>
    <w:p w14:paraId="7148E8BB" w14:textId="2AA29A0C" w:rsidR="00020CC4" w:rsidRDefault="00793825" w:rsidP="00020CC4">
      <w:r>
        <w:t>%</w:t>
      </w:r>
      <w:r>
        <w:rPr>
          <w:vertAlign w:val="subscript"/>
        </w:rPr>
        <w:t>vol</w:t>
      </w:r>
      <w:r>
        <w:t xml:space="preserve"> EG </w:t>
      </w:r>
      <w:r w:rsidR="00020CC4">
        <w:t>est déterminé en suivant le protocole utilisé pour la mesure de la masse volumique apparente.</w:t>
      </w:r>
    </w:p>
    <w:p w14:paraId="5892C668" w14:textId="77777777" w:rsidR="00093758" w:rsidRDefault="00093758" w:rsidP="00876101">
      <w:pPr>
        <w:pStyle w:val="Titre3"/>
        <w:numPr>
          <w:ilvl w:val="2"/>
          <w:numId w:val="3"/>
        </w:numPr>
      </w:pPr>
      <w:bookmarkStart w:id="20" w:name="_Toc241505248"/>
      <w:r w:rsidRPr="00C23A2C">
        <w:t>Interprétation</w:t>
      </w:r>
      <w:bookmarkEnd w:id="20"/>
    </w:p>
    <w:p w14:paraId="0C8A52B0" w14:textId="4E153E7B" w:rsidR="00F40640" w:rsidRPr="00F06A64" w:rsidRDefault="00F40640" w:rsidP="00F40640">
      <w:bookmarkStart w:id="21" w:name="_Toc230267132"/>
      <w:r>
        <w:t xml:space="preserve">En tant que variable de contexte, </w:t>
      </w:r>
      <w:r w:rsidR="004A54BF">
        <w:t>%</w:t>
      </w:r>
      <w:r w:rsidR="004A54BF">
        <w:rPr>
          <w:vertAlign w:val="subscript"/>
        </w:rPr>
        <w:t>vol</w:t>
      </w:r>
      <w:r w:rsidR="004A54BF">
        <w:t xml:space="preserve"> EG </w:t>
      </w:r>
      <w:r>
        <w:t xml:space="preserve">n’est pas directement scoré dans l’IQSW-pro. Toutefois, </w:t>
      </w:r>
      <w:r w:rsidR="58819578">
        <w:t>il</w:t>
      </w:r>
      <w:r>
        <w:t xml:space="preserve"> intervient (avec la </w:t>
      </w:r>
      <w:r w:rsidR="00793825">
        <w:t>profondeur de sol</w:t>
      </w:r>
      <w:r>
        <w:t>) dans le calcul du volume de sol utile disponible pour le remplissage des fonctions liées aux indicateurs de stock.</w:t>
      </w:r>
    </w:p>
    <w:bookmarkEnd w:id="21"/>
    <w:p w14:paraId="60DCB563" w14:textId="77777777" w:rsidR="005A69D1" w:rsidRDefault="005A69D1" w:rsidP="005A69D1"/>
    <w:p w14:paraId="3DA66623" w14:textId="0CCBACA2" w:rsidR="00E31224" w:rsidRDefault="00E31224" w:rsidP="00876101">
      <w:pPr>
        <w:pStyle w:val="Titre2"/>
        <w:numPr>
          <w:ilvl w:val="1"/>
          <w:numId w:val="3"/>
        </w:numPr>
      </w:pPr>
      <w:bookmarkStart w:id="22" w:name="_Toc241505249"/>
      <w:r>
        <w:t>Taux de matière sèche</w:t>
      </w:r>
      <w:r w:rsidR="00AA6589">
        <w:t xml:space="preserve"> (%</w:t>
      </w:r>
      <w:r w:rsidR="00AA6589">
        <w:rPr>
          <w:vertAlign w:val="subscript"/>
        </w:rPr>
        <w:t>M.S.</w:t>
      </w:r>
      <w:r w:rsidR="00AA6589">
        <w:t>)</w:t>
      </w:r>
      <w:bookmarkEnd w:id="22"/>
    </w:p>
    <w:p w14:paraId="33A92595" w14:textId="77777777" w:rsidR="00E31224" w:rsidRPr="00C82C0F" w:rsidRDefault="00E31224" w:rsidP="00876101">
      <w:pPr>
        <w:pStyle w:val="Titre3"/>
        <w:numPr>
          <w:ilvl w:val="2"/>
          <w:numId w:val="3"/>
        </w:numPr>
      </w:pPr>
      <w:bookmarkStart w:id="23" w:name="_Toc241505250"/>
      <w:r>
        <w:t>Définition</w:t>
      </w:r>
      <w:bookmarkEnd w:id="23"/>
    </w:p>
    <w:p w14:paraId="7B1388F0" w14:textId="3F7498A2" w:rsidR="00E31224" w:rsidRDefault="002C7E54" w:rsidP="00E31224">
      <w:r>
        <w:t>L</w:t>
      </w:r>
      <w:r w:rsidR="4487905B">
        <w:t>e taux de</w:t>
      </w:r>
      <w:r w:rsidRPr="002C7E54">
        <w:t xml:space="preserve"> matière sèche</w:t>
      </w:r>
      <w:r>
        <w:t xml:space="preserve"> </w:t>
      </w:r>
      <w:r w:rsidR="00AA6589">
        <w:t>(%</w:t>
      </w:r>
      <w:r w:rsidR="00AA6589">
        <w:rPr>
          <w:vertAlign w:val="subscript"/>
        </w:rPr>
        <w:t>M.S.</w:t>
      </w:r>
      <w:r w:rsidR="00AA6589">
        <w:t xml:space="preserve">) </w:t>
      </w:r>
      <w:r w:rsidR="00A52713">
        <w:t>informe du</w:t>
      </w:r>
      <w:r w:rsidR="006C3D2F">
        <w:t xml:space="preserve"> </w:t>
      </w:r>
      <w:r w:rsidR="00E31224">
        <w:t>taux d’humidité de l’échantillon au moment du prélèvement.</w:t>
      </w:r>
    </w:p>
    <w:p w14:paraId="377947CA" w14:textId="77777777" w:rsidR="00E31224" w:rsidRDefault="00E31224" w:rsidP="00876101">
      <w:pPr>
        <w:pStyle w:val="Titre3"/>
        <w:numPr>
          <w:ilvl w:val="2"/>
          <w:numId w:val="3"/>
        </w:numPr>
      </w:pPr>
      <w:bookmarkStart w:id="24" w:name="_Toc241505251"/>
      <w:r>
        <w:lastRenderedPageBreak/>
        <w:t>Pertinence</w:t>
      </w:r>
      <w:bookmarkEnd w:id="24"/>
    </w:p>
    <w:p w14:paraId="42C3D9BD" w14:textId="2390D656" w:rsidR="00E31224" w:rsidRDefault="00E31224" w:rsidP="00E31224">
      <w:r>
        <w:t xml:space="preserve">L’évaluation du taux de matière sèche de l’échantillon est </w:t>
      </w:r>
      <w:r w:rsidR="00C422B5">
        <w:t>nécessair</w:t>
      </w:r>
      <w:r>
        <w:t xml:space="preserve">e pour le calcul de la </w:t>
      </w:r>
      <w:r w:rsidR="00E20767">
        <w:t>masse volumique apparente</w:t>
      </w:r>
      <w:r>
        <w:t>.</w:t>
      </w:r>
      <w:r w:rsidR="17C67056">
        <w:t xml:space="preserve"> Ce taux intervient aussi dans la comparaison aux valeurs seuils de pollution, qui sont établies par unité de matière sèche.</w:t>
      </w:r>
    </w:p>
    <w:p w14:paraId="6E84FAD4" w14:textId="77777777" w:rsidR="00E31224" w:rsidRDefault="00E31224" w:rsidP="00876101">
      <w:pPr>
        <w:pStyle w:val="Titre3"/>
        <w:numPr>
          <w:ilvl w:val="2"/>
          <w:numId w:val="3"/>
        </w:numPr>
      </w:pPr>
      <w:bookmarkStart w:id="25" w:name="_Toc241505252"/>
      <w:r>
        <w:t>Méthode de mesure</w:t>
      </w:r>
      <w:bookmarkEnd w:id="25"/>
    </w:p>
    <w:p w14:paraId="1349B8A8" w14:textId="4654D4C8" w:rsidR="00160792" w:rsidRDefault="00160792" w:rsidP="00D10BFC">
      <w:r>
        <w:t>La</w:t>
      </w:r>
      <w:r w:rsidR="002C7E54">
        <w:t xml:space="preserve"> teneur </w:t>
      </w:r>
      <w:r w:rsidR="00A52713">
        <w:t>massique</w:t>
      </w:r>
      <w:r w:rsidR="002C7E54">
        <w:t xml:space="preserve"> en eau et en matière sèche se mesure suivant les prescriptions du CWEA</w:t>
      </w:r>
      <w:r w:rsidR="0041651A">
        <w:t xml:space="preserve"> </w:t>
      </w:r>
      <w:r>
        <w:fldChar w:fldCharType="begin"/>
      </w:r>
      <w:r>
        <w:instrText xml:space="preserve"> ADDIN ZOTERO_ITEM CSL_CITATION {"citationID":"ec3FGEXV","properties":{"unsorted":false,"formattedCitation":"(ISSeP, 2023a)","plainCitation":"(ISSeP, 2023a)","noteIndex":0},"citationItems":[{"id":565,"uris":["http://zotero.org/groups/5684833/items/CA8KNGWB"],"itemData":{"id":565,"type":"standard","abstract":"Issep","edition":"COMPENDIUM WALLON DES METHODES D’ECHANTILLONNAGE ET D’ANALYSE (CWEA)","language":"fr","title":"Calcul de la teneur pondérale en matière sèche par détermination du résidu sec ou de la teneur en eau","URL":"https://cwea.issep.be/","author":[{"family":"ISSeP","given":""}],"accessed":{"date-parts":[["2026",6,1]]},"issued":{"date-parts":[["2023"]]}}}],"schema":"https://github.com/citation-style-language/schema/raw/master/csl-citation.json"} </w:instrText>
      </w:r>
      <w:r>
        <w:fldChar w:fldCharType="separate"/>
      </w:r>
      <w:r w:rsidR="004E5493" w:rsidRPr="48222D96">
        <w:rPr>
          <w:rFonts w:cs="Calibri"/>
        </w:rPr>
        <w:t>(ISSeP, 2023a)</w:t>
      </w:r>
      <w:r>
        <w:fldChar w:fldCharType="end"/>
      </w:r>
      <w:r w:rsidR="003E4739">
        <w:t>.</w:t>
      </w:r>
    </w:p>
    <w:p w14:paraId="7E9788AE" w14:textId="77777777" w:rsidR="00E31224" w:rsidRDefault="00E31224" w:rsidP="00876101">
      <w:pPr>
        <w:pStyle w:val="Titre3"/>
        <w:numPr>
          <w:ilvl w:val="2"/>
          <w:numId w:val="3"/>
        </w:numPr>
      </w:pPr>
      <w:bookmarkStart w:id="26" w:name="_Toc241505253"/>
      <w:r w:rsidRPr="00C23A2C">
        <w:t>Interprétation</w:t>
      </w:r>
      <w:bookmarkEnd w:id="26"/>
    </w:p>
    <w:p w14:paraId="16636A2F" w14:textId="0224A8A9" w:rsidR="00E31224" w:rsidRPr="00175627" w:rsidRDefault="00E31224" w:rsidP="00E31224">
      <w:r>
        <w:t xml:space="preserve">Ce paramètre intervient en tant que facteur multiplicatif de la masse de sol frais dans le cadre de l’évaluation de la </w:t>
      </w:r>
      <w:r w:rsidR="00E20767">
        <w:t>masse volumique apparente</w:t>
      </w:r>
      <w:r>
        <w:t>.</w:t>
      </w:r>
      <w:r w:rsidR="00647007">
        <w:t xml:space="preserve"> Il n’est donc pas scoré individuellement.</w:t>
      </w:r>
    </w:p>
    <w:p w14:paraId="58341A6C" w14:textId="77777777" w:rsidR="00E31224" w:rsidRDefault="00E31224" w:rsidP="005A69D1"/>
    <w:p w14:paraId="71624B41" w14:textId="73C5C530" w:rsidR="00CC528C" w:rsidRDefault="00E20767" w:rsidP="00876101">
      <w:pPr>
        <w:pStyle w:val="Titre2"/>
        <w:numPr>
          <w:ilvl w:val="1"/>
          <w:numId w:val="3"/>
        </w:numPr>
      </w:pPr>
      <w:bookmarkStart w:id="27" w:name="_Ref233113122"/>
      <w:bookmarkStart w:id="28" w:name="_Toc241505254"/>
      <w:r>
        <w:t>Masse volumique apparente</w:t>
      </w:r>
      <w:r w:rsidR="00CC528C">
        <w:t xml:space="preserve"> (</w:t>
      </w:r>
      <w:proofErr w:type="spellStart"/>
      <w:r w:rsidR="0083634D">
        <w:rPr>
          <w:rFonts w:cs="Calibri"/>
        </w:rPr>
        <w:t>ρ</w:t>
      </w:r>
      <w:r w:rsidR="00255F33">
        <w:rPr>
          <w:rFonts w:cs="Calibri"/>
          <w:vertAlign w:val="subscript"/>
        </w:rPr>
        <w:t>b</w:t>
      </w:r>
      <w:proofErr w:type="spellEnd"/>
      <w:r w:rsidR="00CC528C">
        <w:t>)</w:t>
      </w:r>
      <w:bookmarkEnd w:id="27"/>
      <w:bookmarkEnd w:id="28"/>
    </w:p>
    <w:p w14:paraId="62EDEBBB" w14:textId="77777777" w:rsidR="00CC528C" w:rsidRPr="00C82C0F" w:rsidRDefault="00CC528C" w:rsidP="00876101">
      <w:pPr>
        <w:pStyle w:val="Titre3"/>
        <w:numPr>
          <w:ilvl w:val="2"/>
          <w:numId w:val="3"/>
        </w:numPr>
      </w:pPr>
      <w:bookmarkStart w:id="29" w:name="_Toc241505255"/>
      <w:r>
        <w:t>Définition</w:t>
      </w:r>
      <w:bookmarkEnd w:id="29"/>
    </w:p>
    <w:p w14:paraId="518E5F6A" w14:textId="12A27907" w:rsidR="00BF48DF" w:rsidRDefault="00CC528C" w:rsidP="00CC528C">
      <w:r>
        <w:t xml:space="preserve">La </w:t>
      </w:r>
      <w:r w:rsidR="00E20767">
        <w:t>masse volumique apparente</w:t>
      </w:r>
      <w:r>
        <w:t xml:space="preserve"> (</w:t>
      </w:r>
      <w:proofErr w:type="spellStart"/>
      <w:r w:rsidR="00255F33">
        <w:rPr>
          <w:rFonts w:cs="Calibri"/>
        </w:rPr>
        <w:t>ρ</w:t>
      </w:r>
      <w:r w:rsidR="00255F33">
        <w:rPr>
          <w:rFonts w:cs="Calibri"/>
          <w:vertAlign w:val="subscript"/>
        </w:rPr>
        <w:t>b</w:t>
      </w:r>
      <w:proofErr w:type="spellEnd"/>
      <w:r w:rsidRPr="48222D96">
        <w:rPr>
          <w:rFonts w:cs="Calibri"/>
        </w:rPr>
        <w:t>)</w:t>
      </w:r>
      <w:r>
        <w:t xml:space="preserve"> est un </w:t>
      </w:r>
      <w:r w:rsidR="50C5335C">
        <w:t>indicateur</w:t>
      </w:r>
      <w:r>
        <w:t xml:space="preserve"> du niveau de compacité du sol. Elle correspond au rapport entre la masse de sol sec et le volume de sol de l’échantillon.</w:t>
      </w:r>
      <w:r w:rsidR="00491604">
        <w:t xml:space="preserve"> Il est important de noter qu’il s’agit de la masse volumique apparente de la terre </w:t>
      </w:r>
      <w:r w:rsidR="00491604" w:rsidRPr="00C51B03">
        <w:rPr>
          <w:b/>
          <w:bCs/>
        </w:rPr>
        <w:t>fine</w:t>
      </w:r>
      <w:r w:rsidR="00491604">
        <w:t xml:space="preserve">. </w:t>
      </w:r>
      <w:r w:rsidR="00476F81">
        <w:t>La masse et le volume des éléments grossiers doivent</w:t>
      </w:r>
      <w:r w:rsidR="000434BC">
        <w:t xml:space="preserve"> donc</w:t>
      </w:r>
      <w:r w:rsidR="00476F81">
        <w:t xml:space="preserve">, le cas échéant, être déduit </w:t>
      </w:r>
      <w:r w:rsidR="00844143">
        <w:t>du</w:t>
      </w:r>
      <w:r w:rsidR="000434BC">
        <w:t xml:space="preserve"> volume caractérisé. </w:t>
      </w:r>
      <w:proofErr w:type="spellStart"/>
      <w:proofErr w:type="gramStart"/>
      <w:r w:rsidR="00255F33">
        <w:rPr>
          <w:rFonts w:cs="Calibri"/>
        </w:rPr>
        <w:t>ρ</w:t>
      </w:r>
      <w:proofErr w:type="gramEnd"/>
      <w:r w:rsidR="00255F33">
        <w:rPr>
          <w:rFonts w:cs="Calibri"/>
          <w:vertAlign w:val="subscript"/>
        </w:rPr>
        <w:t>b</w:t>
      </w:r>
      <w:proofErr w:type="spellEnd"/>
      <w:r w:rsidR="00FF06F6" w:rsidRPr="48222D96">
        <w:rPr>
          <w:rFonts w:cs="Calibri"/>
        </w:rPr>
        <w:t xml:space="preserve"> s’exprime en g</w:t>
      </w:r>
      <w:r w:rsidR="002315F4" w:rsidRPr="48222D96">
        <w:rPr>
          <w:rFonts w:cs="Calibri"/>
        </w:rPr>
        <w:t>·</w:t>
      </w:r>
      <w:r w:rsidR="00FF06F6" w:rsidRPr="48222D96">
        <w:rPr>
          <w:rFonts w:cs="Calibri"/>
        </w:rPr>
        <w:t>cm</w:t>
      </w:r>
      <w:r w:rsidR="002315F4" w:rsidRPr="48222D96">
        <w:rPr>
          <w:rFonts w:cs="Calibri"/>
          <w:vertAlign w:val="superscript"/>
        </w:rPr>
        <w:t>-</w:t>
      </w:r>
      <w:r w:rsidR="00FF06F6" w:rsidRPr="48222D96">
        <w:rPr>
          <w:rFonts w:cs="Calibri"/>
        </w:rPr>
        <w:t>³.</w:t>
      </w:r>
    </w:p>
    <w:p w14:paraId="3491EAC6" w14:textId="77777777" w:rsidR="00CC528C" w:rsidRDefault="00CC528C" w:rsidP="00876101">
      <w:pPr>
        <w:pStyle w:val="Titre3"/>
        <w:numPr>
          <w:ilvl w:val="2"/>
          <w:numId w:val="3"/>
        </w:numPr>
      </w:pPr>
      <w:bookmarkStart w:id="30" w:name="_Toc241505256"/>
      <w:r>
        <w:t>Pertinence</w:t>
      </w:r>
      <w:bookmarkEnd w:id="30"/>
    </w:p>
    <w:p w14:paraId="5CE86F57" w14:textId="1B1C2306" w:rsidR="00CC528C" w:rsidRDefault="00CC528C" w:rsidP="00CC528C">
      <w:r>
        <w:t xml:space="preserve">Outre son intérêt pour calculer le stock de carbone du sol, </w:t>
      </w:r>
      <w:proofErr w:type="spellStart"/>
      <w:r w:rsidR="00163B5F">
        <w:rPr>
          <w:rFonts w:cs="Calibri"/>
        </w:rPr>
        <w:t>ρ</w:t>
      </w:r>
      <w:r w:rsidR="00163B5F">
        <w:rPr>
          <w:rFonts w:cs="Calibri"/>
          <w:vertAlign w:val="subscript"/>
        </w:rPr>
        <w:t>b</w:t>
      </w:r>
      <w:proofErr w:type="spellEnd"/>
      <w:r>
        <w:t xml:space="preserve"> est un paramètre indispensable pour évaluer le niveau de compacité d’un sol. Il s’agit d’une propriété dynamique, influencée par les pratiques de gestion.</w:t>
      </w:r>
    </w:p>
    <w:p w14:paraId="5C044C66" w14:textId="77777777" w:rsidR="00CC528C" w:rsidRPr="00150D33" w:rsidRDefault="00CC528C" w:rsidP="00876101">
      <w:pPr>
        <w:pStyle w:val="Titre3"/>
        <w:numPr>
          <w:ilvl w:val="2"/>
          <w:numId w:val="3"/>
        </w:numPr>
      </w:pPr>
      <w:bookmarkStart w:id="31" w:name="_Toc241505257"/>
      <w:r>
        <w:t>Méthode de mesure</w:t>
      </w:r>
      <w:bookmarkEnd w:id="31"/>
    </w:p>
    <w:p w14:paraId="2BF3BF32" w14:textId="243F38BF" w:rsidR="00CC528C" w:rsidRDefault="00CC528C" w:rsidP="00CC528C">
      <w:r>
        <w:t xml:space="preserve">La mesure de </w:t>
      </w:r>
      <w:proofErr w:type="spellStart"/>
      <w:r w:rsidR="00163B5F">
        <w:rPr>
          <w:rFonts w:cs="Calibri"/>
        </w:rPr>
        <w:t>ρ</w:t>
      </w:r>
      <w:r w:rsidR="00163B5F">
        <w:rPr>
          <w:rFonts w:cs="Calibri"/>
          <w:vertAlign w:val="subscript"/>
        </w:rPr>
        <w:t>b</w:t>
      </w:r>
      <w:proofErr w:type="spellEnd"/>
      <w:r>
        <w:t xml:space="preserve"> s’effectue suivant la norme </w:t>
      </w:r>
      <w:r w:rsidRPr="00CD20F1">
        <w:t>ISO 11272</w:t>
      </w:r>
      <w:r>
        <w:t>. Deux protocoles distincts peuvent être suivis en fonction des spécificités du site investigué : pour des sols non-caillouteux, l’</w:t>
      </w:r>
      <w:r w:rsidR="480BC87F">
        <w:t>échantillonneur</w:t>
      </w:r>
      <w:r>
        <w:t xml:space="preserve"> optera pour le prélèvement de Kopecky. Pour les sols caillouteux (là où le prélèvement de Kopecky est complexe), la méthode par excavation-remplacement sera favorisée. Le protocole détaillé est fourni en </w:t>
      </w:r>
      <w:r w:rsidRPr="005F7DF2">
        <w:t xml:space="preserve">Annexe </w:t>
      </w:r>
      <w:r w:rsidR="005F7DF2">
        <w:t>A1</w:t>
      </w:r>
      <w:r>
        <w:t>.</w:t>
      </w:r>
    </w:p>
    <w:p w14:paraId="40FAA859" w14:textId="77777777" w:rsidR="00CC528C" w:rsidRDefault="00CC528C" w:rsidP="00876101">
      <w:pPr>
        <w:pStyle w:val="Titre3"/>
        <w:numPr>
          <w:ilvl w:val="2"/>
          <w:numId w:val="3"/>
        </w:numPr>
      </w:pPr>
      <w:bookmarkStart w:id="32" w:name="_Toc241505258"/>
      <w:r w:rsidRPr="00C23A2C">
        <w:t>Interprétation</w:t>
      </w:r>
      <w:bookmarkEnd w:id="32"/>
    </w:p>
    <w:p w14:paraId="6B19273C" w14:textId="70B2D1E0" w:rsidR="00CC528C" w:rsidRDefault="00CC528C" w:rsidP="00CC528C">
      <w:r>
        <w:t xml:space="preserve">La </w:t>
      </w:r>
      <w:r w:rsidR="00E20767">
        <w:t>masse volumique apparente</w:t>
      </w:r>
      <w:r>
        <w:t xml:space="preserve"> est scorée dans le diagnostic du </w:t>
      </w:r>
      <w:r w:rsidR="00D91119">
        <w:t>service écosystémique</w:t>
      </w:r>
      <w:r>
        <w:t xml:space="preserve"> </w:t>
      </w:r>
      <w:r w:rsidRPr="006B3F22">
        <w:rPr>
          <w:i/>
          <w:iCs/>
        </w:rPr>
        <w:t>Production</w:t>
      </w:r>
      <w:r>
        <w:t xml:space="preserve"> (fonction </w:t>
      </w:r>
      <w:r w:rsidRPr="006B3F22">
        <w:rPr>
          <w:i/>
          <w:iCs/>
        </w:rPr>
        <w:t>Structure</w:t>
      </w:r>
      <w:r>
        <w:t xml:space="preserve">). De nombreuses valeurs de référence sont disponibles dans la littérature concernant l’influence de ce paramètre sur la croissance racinaire. Les auteurs mentionnent généralement des seuils sous lesquels des problèmes d’ancrage surviennent, et au-dessus desquels la pénétration racinaire est entravée. De ce fait, la fonction d’interprétation prend la forme </w:t>
      </w:r>
      <w:r w:rsidR="09BA55BA">
        <w:t xml:space="preserve">d’un </w:t>
      </w:r>
      <w:r>
        <w:t xml:space="preserve">« optimum ». Le référentiel choisi pour l’évaluation de la qualité du sol (IQSW) est tiré de l’étude </w:t>
      </w:r>
      <w:proofErr w:type="spellStart"/>
      <w:r>
        <w:t>Infosol</w:t>
      </w:r>
      <w:proofErr w:type="spellEnd"/>
      <w:r>
        <w:t xml:space="preserve">, réalisée sur des sols limoneux wallons </w:t>
      </w:r>
      <w:r>
        <w:fldChar w:fldCharType="begin"/>
      </w:r>
      <w:r>
        <w:instrText xml:space="preserve"> ADDIN ZOTERO_ITEM CSL_CITATION {"citationID":"Xh0oyvTx","properties":{"unsorted":false,"formattedCitation":"(Bielders et al., 2013)","plainCitation":"(Bielders et al., 2013)","noteIndex":0},"citationItems":[{"id":375,"uris":["http://zotero.org/groups/5684833/items/DDS2F9EX"],"itemData":{"id":375,"type":"article-journal","language":"fr","note":"number: UCL - Université Catholique de Louvain","source":"dial.uclouvain.be","title":"Vers des indicateurs de fonctionnement du sol (INFOSOL): approche méthodologique de développement d'indicateurs pédologiques pour les fonctions édaphiques de régulation hydrique et de support physique pour les plantes","title-short":"Vers des indicateurs de fonctionnement du sol (INFOSOL)","URL":"https://dial.uclouvain.be/pr/boreal/fr/object/boreal%3A127913","author":[{"family":"Bielders","given":"Charles"},{"family":"Javaux","given":"Mathieu"},{"family":"Roisin","given":"Christian"},{"family":"Vanclooster","given":"Marnik"}],"accessed":{"date-parts":[["2026",1,14]]},"issued":{"date-parts":[["2013"]]}}}],"schema":"https://github.com/citation-style-language/schema/raw/master/csl-citation.json"} </w:instrText>
      </w:r>
      <w:r>
        <w:fldChar w:fldCharType="separate"/>
      </w:r>
      <w:r w:rsidRPr="00D563AA">
        <w:rPr>
          <w:rFonts w:cs="Calibri"/>
        </w:rPr>
        <w:t>(Bielders et al., 2013)</w:t>
      </w:r>
      <w:r>
        <w:fldChar w:fldCharType="end"/>
      </w:r>
      <w:r>
        <w:t xml:space="preserve">. </w:t>
      </w:r>
    </w:p>
    <w:p w14:paraId="192788FE" w14:textId="5337B9A9" w:rsidR="002F5BF8" w:rsidRPr="008C5EC1" w:rsidRDefault="00CC528C" w:rsidP="00CC528C">
      <w:pPr>
        <w:rPr>
          <w:rFonts w:cs="Times New Roman"/>
        </w:rPr>
      </w:pPr>
      <w:r>
        <w:t xml:space="preserve">Des valeurs optimales de </w:t>
      </w:r>
      <w:proofErr w:type="spellStart"/>
      <w:r w:rsidR="00163B5F">
        <w:rPr>
          <w:rFonts w:cs="Calibri"/>
        </w:rPr>
        <w:t>ρ</w:t>
      </w:r>
      <w:r w:rsidR="00163B5F">
        <w:rPr>
          <w:rFonts w:cs="Calibri"/>
          <w:vertAlign w:val="subscript"/>
        </w:rPr>
        <w:t>b</w:t>
      </w:r>
      <w:proofErr w:type="spellEnd"/>
      <w:r>
        <w:t xml:space="preserve"> sont également définies par classe texturale, comme c’est le cas dans une table d’interprétation du NCRS Soil </w:t>
      </w:r>
      <w:proofErr w:type="spellStart"/>
      <w:r>
        <w:t>Quality</w:t>
      </w:r>
      <w:proofErr w:type="spellEnd"/>
      <w:r>
        <w:t xml:space="preserve"> Institute </w:t>
      </w:r>
      <w:r>
        <w:fldChar w:fldCharType="begin"/>
      </w:r>
      <w:r>
        <w:instrText xml:space="preserve"> ADDIN ZOTERO_ITEM CSL_CITATION {"citationID":"weXADVsV","properties":{"unsorted":false,"formattedCitation":"(Calzolari et al., 2019)","plainCitation":"(Calzolari et al., 2019)","noteIndex":0},"citationItems":[{"id":562,"uris":["http://zotero.org/groups/5684833/items/DL92HZTX"],"itemData":{"id":562,"type":"article-journal","abstract":"Urban soils are deeply influenced by human activities. They consist of materials different from those of nearby agricultural or natural areas, due to mechanical disturbance, supply or removal of material, contamination with exogenous materials (plastics, asphalt, pollutants, etc.). They are the result of urbanization activities that involve total or partial sealing of the surfaces (Morel et al. 2005).\nThe development of urban soils is controlled by the same factors as natural soils, with a clear and important prevalence of the anthropic factor. The survey of urban soils therefore follows the same criteria of surveying natural or agricultural soils, taking into account that the anthropic disturbance in addition to being prevalent acts in a very short time. This causes a strong heterogeneity in the spatial distribution of the soils and of their characteristics that is problematic to solve in a detailed soil map. \nHuman disturbed soils are classified (FAO World Reference Base For Soil Resources, IUSS - Working Group WRB, 2014) as: \no Anthrosols: soil that has been formed or heavily modified due to long-term human activity, such as from irrigation, addition of organic waste or wet-field cultivation used to create paddy fields\no Technosols: are dominated by their technical origin. They contain either a significant (20% or more) amount of artefacts or some sort of geotechnical liner, or are sealed by technic hard rock (hard material created by humans, having properties unlike natural rock).\nUrban soils perform the same functions as a natural soil contributing to the provision of Ecosystem Services. However, the degree of disturbance to which they are subjected, the level of sealing and the type of coverage have an influence that needs to be described in detail and taken into account.\nGiven the great variability of the urban environment and the differences between different urban environments, there are still no standardized references for the survey and mapping of urban soils. There are some experiences, such as the map of the city of Berlin (https://www.stadtentwicklung.berlin.de/umwelt/umweltatlas/dinh_01.htm) and of New York City (http://www.soilandwater.nyc/urban-soils.html). \nWithin the SOS4LIFE project, a methodology has been developed for defining  urban soil mapping units in the study case of the town of Carpi (MO), based on the type of \"natural\" soils below the urban fabric, the urban typologies and the land cover of unsealed soils. Considering that most of the SEs in urban areas are provided by green areas, the assessment of soils and related functionality has been concentrated in gardens and parks, sports fields and on peri-urban agricultural areas. The gardens in private allotments were not considered, having verified the high degree of impermeabilization of the same (driveways, parking lots, access ramps to garages, etc.). However, even these soils, although strongly altered, maintain some functionalities. The SEs considered are therefore generally underestimated for the entire city.","language":"cpe","note":"Accepted: 2024-02-19T13:57:35Z","source":"iris.cnr.it","title":"Guidelines for assessing soil ecosystem services in urban environment and their management - LIFE15 ENV/IT/000225 GUIDELINES ACTION B1.3","URL":"https://iris.cnr.it/handle/20.500.14243/362331","author":[{"family":"Calzolari","given":"Costanza"},{"family":"Ungaro","given":"Fabrizio"},{"family":"Maienza","given":"Anita"},{"family":"Marchi","given":"Nazaria"},{"family":"Tarocco","given":"Paola"}],"accessed":{"date-parts":[["2026",5,31]]},"issued":{"date-parts":[["2019"]]}}}],"schema":"https://github.com/citation-style-language/schema/raw/master/csl-citation.json"} </w:instrText>
      </w:r>
      <w:r>
        <w:fldChar w:fldCharType="separate"/>
      </w:r>
      <w:r w:rsidRPr="00AE74C3">
        <w:rPr>
          <w:rFonts w:cs="Calibri"/>
        </w:rPr>
        <w:t>(Calzolari et al., 2019)</w:t>
      </w:r>
      <w:r>
        <w:fldChar w:fldCharType="end"/>
      </w:r>
      <w:r>
        <w:t xml:space="preserve">. Comme le suggère la </w:t>
      </w:r>
      <w:r>
        <w:lastRenderedPageBreak/>
        <w:t xml:space="preserve">directive pour la surveillance des sols </w:t>
      </w:r>
      <w:r>
        <w:fldChar w:fldCharType="begin"/>
      </w:r>
      <w:r w:rsidR="00377A1A">
        <w:instrText xml:space="preserve"> ADDIN ZOTERO_ITEM CSL_CITATION {"citationID":"zcY2jipO","properties":{"unsorted":false,"formattedCitation":"(UE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fldChar w:fldCharType="separate"/>
      </w:r>
      <w:r w:rsidR="00377A1A" w:rsidRPr="00377A1A">
        <w:rPr>
          <w:rFonts w:cs="Calibri"/>
        </w:rPr>
        <w:t>(UE 2025/2360, 2025)</w:t>
      </w:r>
      <w:r>
        <w:fldChar w:fldCharType="end"/>
      </w:r>
      <w:r>
        <w:t xml:space="preserve">, les États membres « peuvent </w:t>
      </w:r>
      <w:r w:rsidRPr="003453F9">
        <w:t>appliquer différentes classes ou valeurs texturales correspondant aux niveaux considérés problématiques pour le développement du système radiculaire d'une plante</w:t>
      </w:r>
      <w:r>
        <w:t> »</w:t>
      </w:r>
      <w:r w:rsidRPr="001C778B">
        <w:rPr>
          <w:rFonts w:cs="Times New Roman"/>
        </w:rPr>
        <w:t>.</w:t>
      </w:r>
      <w:r>
        <w:rPr>
          <w:rFonts w:cs="Times New Roman"/>
        </w:rPr>
        <w:t xml:space="preserve"> Ce second référentiel est pertinent pour évaluer l’état de santé d’un sol (ISSW) quant à ce paramètre</w:t>
      </w:r>
      <w:r w:rsidR="6FCB76D7" w:rsidRPr="6CB535F6">
        <w:rPr>
          <w:rFonts w:cs="Times New Roman"/>
        </w:rPr>
        <w:t>,</w:t>
      </w:r>
      <w:r>
        <w:rPr>
          <w:rFonts w:cs="Times New Roman"/>
        </w:rPr>
        <w:t xml:space="preserve"> en considérant sa texture.</w:t>
      </w:r>
    </w:p>
    <w:p w14:paraId="75C4A821" w14:textId="73D4950D" w:rsidR="00CC528C" w:rsidRPr="00CB5F20" w:rsidRDefault="00CC528C" w:rsidP="48222D96">
      <w:pPr>
        <w:pStyle w:val="Lgende"/>
        <w:keepNext/>
        <w:jc w:val="center"/>
        <w:rPr>
          <w:i w:val="0"/>
          <w:iCs w:val="0"/>
        </w:rPr>
      </w:pPr>
      <w:bookmarkStart w:id="33" w:name="_Toc233122657"/>
      <w:r w:rsidRPr="48222D96">
        <w:rPr>
          <w:i w:val="0"/>
          <w:iCs w:val="0"/>
        </w:rPr>
        <w:t xml:space="preserve">Tableau </w:t>
      </w:r>
      <w:r w:rsidRPr="48222D96">
        <w:rPr>
          <w:i w:val="0"/>
          <w:iCs w:val="0"/>
        </w:rPr>
        <w:fldChar w:fldCharType="begin"/>
      </w:r>
      <w:r w:rsidRPr="48222D96">
        <w:rPr>
          <w:i w:val="0"/>
          <w:iCs w:val="0"/>
        </w:rPr>
        <w:instrText xml:space="preserve"> SEQ Tableau \* ARABIC </w:instrText>
      </w:r>
      <w:r w:rsidRPr="48222D96">
        <w:rPr>
          <w:i w:val="0"/>
          <w:iCs w:val="0"/>
        </w:rPr>
        <w:fldChar w:fldCharType="separate"/>
      </w:r>
      <w:r w:rsidR="00F07B4B">
        <w:rPr>
          <w:i w:val="0"/>
          <w:iCs w:val="0"/>
          <w:noProof/>
        </w:rPr>
        <w:t>1</w:t>
      </w:r>
      <w:r w:rsidRPr="48222D96">
        <w:rPr>
          <w:i w:val="0"/>
          <w:iCs w:val="0"/>
          <w:noProof/>
        </w:rPr>
        <w:fldChar w:fldCharType="end"/>
      </w:r>
      <w:r w:rsidRPr="48222D96">
        <w:rPr>
          <w:i w:val="0"/>
          <w:iCs w:val="0"/>
        </w:rPr>
        <w:t xml:space="preserve"> : </w:t>
      </w:r>
      <w:r w:rsidR="00175E4C" w:rsidRPr="48222D96">
        <w:rPr>
          <w:i w:val="0"/>
          <w:iCs w:val="0"/>
        </w:rPr>
        <w:t xml:space="preserve">Référentiels d’interprétation </w:t>
      </w:r>
      <w:r w:rsidR="076A32A5" w:rsidRPr="48222D96">
        <w:rPr>
          <w:i w:val="0"/>
          <w:iCs w:val="0"/>
        </w:rPr>
        <w:t>de l’</w:t>
      </w:r>
      <w:r w:rsidR="00175E4C" w:rsidRPr="48222D96">
        <w:rPr>
          <w:i w:val="0"/>
          <w:iCs w:val="0"/>
        </w:rPr>
        <w:t xml:space="preserve">indicateur pour chaque combinaison service – fonction dans lequel il intervient. </w:t>
      </w:r>
      <w:r w:rsidR="00A250D5">
        <w:rPr>
          <w:i w:val="0"/>
          <w:iCs w:val="0"/>
        </w:rPr>
        <w:t xml:space="preserve">La forme de la fonction d’interprétation est spécifiée </w:t>
      </w:r>
      <w:r w:rsidR="00175E4C" w:rsidRPr="48222D96">
        <w:rPr>
          <w:i w:val="0"/>
          <w:iCs w:val="0"/>
        </w:rPr>
        <w:t>(</w:t>
      </w:r>
      <w:r w:rsidR="00175E4C">
        <w:rPr>
          <w:noProof/>
        </w:rPr>
        <w:drawing>
          <wp:inline distT="0" distB="0" distL="0" distR="0" wp14:anchorId="34C8826F" wp14:editId="5F41B42D">
            <wp:extent cx="91440" cy="118745"/>
            <wp:effectExtent l="0" t="0" r="3810" b="0"/>
            <wp:docPr id="161027215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sidR="00175E4C" w:rsidRPr="48222D96">
        <w:rPr>
          <w:i w:val="0"/>
          <w:iCs w:val="0"/>
        </w:rPr>
        <w:t xml:space="preserve">: more </w:t>
      </w:r>
      <w:proofErr w:type="spellStart"/>
      <w:r w:rsidR="00175E4C" w:rsidRPr="48222D96">
        <w:rPr>
          <w:i w:val="0"/>
          <w:iCs w:val="0"/>
        </w:rPr>
        <w:t>is</w:t>
      </w:r>
      <w:proofErr w:type="spellEnd"/>
      <w:r w:rsidR="00175E4C" w:rsidRPr="48222D96">
        <w:rPr>
          <w:i w:val="0"/>
          <w:iCs w:val="0"/>
        </w:rPr>
        <w:t xml:space="preserve"> </w:t>
      </w:r>
      <w:proofErr w:type="spellStart"/>
      <w:r w:rsidR="00175E4C" w:rsidRPr="48222D96">
        <w:rPr>
          <w:i w:val="0"/>
          <w:iCs w:val="0"/>
        </w:rPr>
        <w:t>better</w:t>
      </w:r>
      <w:proofErr w:type="spellEnd"/>
      <w:r w:rsidR="00175E4C" w:rsidRPr="48222D96">
        <w:rPr>
          <w:i w:val="0"/>
          <w:iCs w:val="0"/>
        </w:rPr>
        <w:t> ; </w:t>
      </w:r>
      <w:r w:rsidR="00175E4C">
        <w:rPr>
          <w:noProof/>
        </w:rPr>
        <w:drawing>
          <wp:inline distT="0" distB="0" distL="0" distR="0" wp14:anchorId="4A5A54CB" wp14:editId="74761AEE">
            <wp:extent cx="85917" cy="88985"/>
            <wp:effectExtent l="0" t="0" r="9525" b="6350"/>
            <wp:docPr id="105100270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sidR="00175E4C" w:rsidRPr="48222D96">
        <w:rPr>
          <w:i w:val="0"/>
          <w:iCs w:val="0"/>
        </w:rPr>
        <w:t xml:space="preserve">: </w:t>
      </w:r>
      <w:proofErr w:type="spellStart"/>
      <w:r w:rsidR="00175E4C" w:rsidRPr="48222D96">
        <w:rPr>
          <w:i w:val="0"/>
          <w:iCs w:val="0"/>
        </w:rPr>
        <w:t>less</w:t>
      </w:r>
      <w:proofErr w:type="spellEnd"/>
      <w:r w:rsidR="00175E4C" w:rsidRPr="48222D96">
        <w:rPr>
          <w:i w:val="0"/>
          <w:iCs w:val="0"/>
        </w:rPr>
        <w:t xml:space="preserve"> </w:t>
      </w:r>
      <w:proofErr w:type="spellStart"/>
      <w:r w:rsidR="00175E4C" w:rsidRPr="48222D96">
        <w:rPr>
          <w:i w:val="0"/>
          <w:iCs w:val="0"/>
        </w:rPr>
        <w:t>is</w:t>
      </w:r>
      <w:proofErr w:type="spellEnd"/>
      <w:r w:rsidR="00175E4C" w:rsidRPr="48222D96">
        <w:rPr>
          <w:i w:val="0"/>
          <w:iCs w:val="0"/>
        </w:rPr>
        <w:t xml:space="preserve"> </w:t>
      </w:r>
      <w:proofErr w:type="spellStart"/>
      <w:r w:rsidR="00175E4C" w:rsidRPr="48222D96">
        <w:rPr>
          <w:i w:val="0"/>
          <w:iCs w:val="0"/>
        </w:rPr>
        <w:t>better</w:t>
      </w:r>
      <w:proofErr w:type="spellEnd"/>
      <w:r w:rsidR="00175E4C" w:rsidRPr="48222D96">
        <w:rPr>
          <w:i w:val="0"/>
          <w:iCs w:val="0"/>
        </w:rPr>
        <w:t> ; </w:t>
      </w:r>
      <w:r w:rsidR="00175E4C">
        <w:rPr>
          <w:noProof/>
        </w:rPr>
        <w:drawing>
          <wp:inline distT="0" distB="0" distL="0" distR="0" wp14:anchorId="25C0F1DE" wp14:editId="227AC6AC">
            <wp:extent cx="164432" cy="65784"/>
            <wp:effectExtent l="0" t="0" r="7620" b="0"/>
            <wp:docPr id="52058330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sidR="00175E4C" w:rsidRPr="48222D96">
        <w:rPr>
          <w:i w:val="0"/>
          <w:iCs w:val="0"/>
        </w:rPr>
        <w:t xml:space="preserve">: optimum). Dans le </w:t>
      </w:r>
      <w:r w:rsidR="00D91119" w:rsidRPr="48222D96">
        <w:rPr>
          <w:i w:val="0"/>
          <w:iCs w:val="0"/>
        </w:rPr>
        <w:t xml:space="preserve">service </w:t>
      </w:r>
      <w:r w:rsidR="00175E4C">
        <w:t>Production</w:t>
      </w:r>
      <w:r w:rsidR="00175E4C" w:rsidRPr="48222D96">
        <w:rPr>
          <w:i w:val="0"/>
          <w:iCs w:val="0"/>
        </w:rPr>
        <w:t>, pour certains indicateurs, une distinction est faite dans le choix des bornes entre les catégories d’usage (C : cultures ; P : prairies ; EV : espaces verts ; F : forêts).</w:t>
      </w:r>
      <w:bookmarkEnd w:id="33"/>
    </w:p>
    <w:tbl>
      <w:tblPr>
        <w:tblStyle w:val="Grilledutableau"/>
        <w:tblW w:w="0" w:type="auto"/>
        <w:tblCellMar>
          <w:top w:w="28" w:type="dxa"/>
          <w:bottom w:w="28" w:type="dxa"/>
        </w:tblCellMar>
        <w:tblLook w:val="04A0" w:firstRow="1" w:lastRow="0" w:firstColumn="1" w:lastColumn="0" w:noHBand="0" w:noVBand="1"/>
      </w:tblPr>
      <w:tblGrid>
        <w:gridCol w:w="1271"/>
        <w:gridCol w:w="1134"/>
        <w:gridCol w:w="1134"/>
        <w:gridCol w:w="1134"/>
        <w:gridCol w:w="4387"/>
      </w:tblGrid>
      <w:tr w:rsidR="00CC528C" w:rsidRPr="0000352D" w14:paraId="1706BD61" w14:textId="77777777" w:rsidTr="00791C1F">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1472E6A3" w14:textId="0E480C91" w:rsidR="00CC528C" w:rsidRPr="0000352D" w:rsidRDefault="00E20767">
            <w:pPr>
              <w:jc w:val="center"/>
              <w:rPr>
                <w:sz w:val="20"/>
                <w:szCs w:val="20"/>
              </w:rPr>
            </w:pPr>
            <w:r>
              <w:rPr>
                <w:sz w:val="20"/>
                <w:szCs w:val="20"/>
              </w:rPr>
              <w:t>Masse volumique apparente</w:t>
            </w:r>
            <w:r w:rsidR="00CC528C" w:rsidRPr="0000352D">
              <w:rPr>
                <w:sz w:val="20"/>
                <w:szCs w:val="20"/>
              </w:rPr>
              <w:t xml:space="preserve"> </w:t>
            </w:r>
            <w:r w:rsidR="00CC528C">
              <w:rPr>
                <w:sz w:val="20"/>
                <w:szCs w:val="20"/>
              </w:rPr>
              <w:t>(</w:t>
            </w:r>
            <w:proofErr w:type="spellStart"/>
            <w:r w:rsidR="00163B5F">
              <w:rPr>
                <w:rFonts w:cs="Calibri"/>
              </w:rPr>
              <w:t>ρ</w:t>
            </w:r>
            <w:r w:rsidR="00163B5F">
              <w:rPr>
                <w:rFonts w:cs="Calibri"/>
                <w:vertAlign w:val="subscript"/>
              </w:rPr>
              <w:t>b</w:t>
            </w:r>
            <w:proofErr w:type="spellEnd"/>
            <w:r w:rsidR="00163B5F" w:rsidRPr="0000352D">
              <w:rPr>
                <w:sz w:val="20"/>
                <w:szCs w:val="20"/>
              </w:rPr>
              <w:t xml:space="preserve"> </w:t>
            </w:r>
            <w:r w:rsidR="00CC528C" w:rsidRPr="0000352D">
              <w:rPr>
                <w:sz w:val="20"/>
                <w:szCs w:val="20"/>
              </w:rPr>
              <w:t>- Référentiel</w:t>
            </w:r>
            <w:r w:rsidR="00CC528C">
              <w:rPr>
                <w:sz w:val="20"/>
                <w:szCs w:val="20"/>
              </w:rPr>
              <w:t>s</w:t>
            </w:r>
            <w:r w:rsidR="00CC528C" w:rsidRPr="0000352D">
              <w:rPr>
                <w:sz w:val="20"/>
                <w:szCs w:val="20"/>
              </w:rPr>
              <w:t xml:space="preserve"> d’interprétation</w:t>
            </w:r>
          </w:p>
        </w:tc>
      </w:tr>
      <w:tr w:rsidR="00CC528C" w:rsidRPr="0000352D" w14:paraId="668E5614" w14:textId="77777777" w:rsidTr="00791C1F">
        <w:tc>
          <w:tcPr>
            <w:tcW w:w="127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789BF49F" w14:textId="184C14DC" w:rsidR="00CC528C" w:rsidRPr="00D378BC" w:rsidRDefault="00CC528C">
            <w:pPr>
              <w:jc w:val="center"/>
              <w:rPr>
                <w:sz w:val="20"/>
                <w:szCs w:val="20"/>
              </w:rPr>
            </w:pPr>
            <w:r w:rsidRPr="00D378BC">
              <w:rPr>
                <w:sz w:val="20"/>
                <w:szCs w:val="20"/>
              </w:rPr>
              <w:t>S</w:t>
            </w:r>
            <w:r w:rsidR="00095D4E">
              <w:rPr>
                <w:sz w:val="20"/>
                <w:szCs w:val="20"/>
              </w:rPr>
              <w:t>ervice</w:t>
            </w:r>
          </w:p>
        </w:tc>
        <w:tc>
          <w:tcPr>
            <w:tcW w:w="1134"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1204756B" w14:textId="77777777" w:rsidR="00CC528C" w:rsidRPr="00D378BC" w:rsidRDefault="00CC528C">
            <w:pPr>
              <w:jc w:val="center"/>
              <w:rPr>
                <w:sz w:val="20"/>
                <w:szCs w:val="20"/>
              </w:rPr>
            </w:pPr>
            <w:r w:rsidRPr="00D378BC">
              <w:rPr>
                <w:sz w:val="20"/>
                <w:szCs w:val="20"/>
              </w:rPr>
              <w:t>Fonction</w:t>
            </w:r>
          </w:p>
        </w:tc>
        <w:tc>
          <w:tcPr>
            <w:tcW w:w="1134"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501954E0" w14:textId="7FB53371" w:rsidR="00CC528C" w:rsidRPr="00D378BC" w:rsidRDefault="002B410D">
            <w:pPr>
              <w:jc w:val="center"/>
              <w:rPr>
                <w:sz w:val="20"/>
                <w:szCs w:val="20"/>
              </w:rPr>
            </w:pPr>
            <w:r>
              <w:rPr>
                <w:sz w:val="20"/>
                <w:szCs w:val="20"/>
              </w:rPr>
              <w:t>Forme</w:t>
            </w:r>
          </w:p>
        </w:tc>
        <w:tc>
          <w:tcPr>
            <w:tcW w:w="1134"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76D9E864" w14:textId="64EE813B" w:rsidR="00CC528C" w:rsidRPr="00D378BC" w:rsidRDefault="002B410D">
            <w:pPr>
              <w:jc w:val="center"/>
              <w:rPr>
                <w:sz w:val="20"/>
                <w:szCs w:val="20"/>
              </w:rPr>
            </w:pPr>
            <w:r w:rsidRPr="00D378BC">
              <w:rPr>
                <w:sz w:val="20"/>
                <w:szCs w:val="20"/>
              </w:rPr>
              <w:t>Évaluation</w:t>
            </w:r>
          </w:p>
        </w:tc>
        <w:tc>
          <w:tcPr>
            <w:tcW w:w="438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20B54E6C" w14:textId="77777777" w:rsidR="00CC528C" w:rsidRPr="00D378BC" w:rsidRDefault="00CC528C">
            <w:pPr>
              <w:jc w:val="center"/>
              <w:rPr>
                <w:sz w:val="20"/>
                <w:szCs w:val="20"/>
              </w:rPr>
            </w:pPr>
            <w:r w:rsidRPr="00D378BC">
              <w:rPr>
                <w:sz w:val="20"/>
                <w:szCs w:val="20"/>
              </w:rPr>
              <w:t>Référentiel</w:t>
            </w:r>
          </w:p>
        </w:tc>
      </w:tr>
      <w:tr w:rsidR="00791C1F" w:rsidRPr="0000352D" w14:paraId="376AFEC5" w14:textId="77777777" w:rsidTr="00791C1F">
        <w:tc>
          <w:tcPr>
            <w:tcW w:w="1271" w:type="dxa"/>
            <w:vMerge w:val="restart"/>
            <w:tcBorders>
              <w:top w:val="single" w:sz="4" w:space="0" w:color="auto"/>
              <w:left w:val="single" w:sz="4" w:space="0" w:color="auto"/>
              <w:bottom w:val="single" w:sz="4" w:space="0" w:color="auto"/>
              <w:right w:val="single" w:sz="4" w:space="0" w:color="auto"/>
            </w:tcBorders>
            <w:vAlign w:val="center"/>
          </w:tcPr>
          <w:p w14:paraId="7D893D17" w14:textId="08380D93" w:rsidR="00791C1F" w:rsidRPr="0000352D" w:rsidRDefault="00791C1F" w:rsidP="00523E5F">
            <w:pPr>
              <w:jc w:val="left"/>
              <w:rPr>
                <w:sz w:val="20"/>
                <w:szCs w:val="20"/>
              </w:rPr>
            </w:pPr>
            <w:r w:rsidRPr="0000352D">
              <w:rPr>
                <w:sz w:val="20"/>
                <w:szCs w:val="20"/>
              </w:rPr>
              <w:t>Production</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4F996EA" w14:textId="5FA18EF4" w:rsidR="00791C1F" w:rsidRPr="0000352D" w:rsidRDefault="00791C1F" w:rsidP="00523E5F">
            <w:pPr>
              <w:jc w:val="left"/>
              <w:rPr>
                <w:sz w:val="20"/>
                <w:szCs w:val="20"/>
              </w:rPr>
            </w:pPr>
            <w:r w:rsidRPr="0000352D">
              <w:rPr>
                <w:sz w:val="20"/>
                <w:szCs w:val="20"/>
              </w:rPr>
              <w:t>Structure</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61F56B7" w14:textId="78B64C37" w:rsidR="00791C1F" w:rsidRPr="0000352D" w:rsidRDefault="00791C1F" w:rsidP="00791C1F">
            <w:pPr>
              <w:jc w:val="center"/>
              <w:rPr>
                <w:sz w:val="20"/>
                <w:szCs w:val="20"/>
              </w:rPr>
            </w:pPr>
            <w:r>
              <w:rPr>
                <w:noProof/>
                <w:sz w:val="20"/>
                <w:szCs w:val="20"/>
              </w:rPr>
              <mc:AlternateContent>
                <mc:Choice Requires="wps">
                  <w:drawing>
                    <wp:inline distT="0" distB="0" distL="0" distR="0" wp14:anchorId="0496CA3A" wp14:editId="27D8CA72">
                      <wp:extent cx="248400" cy="0"/>
                      <wp:effectExtent l="38100" t="76200" r="18415" b="95250"/>
                      <wp:docPr id="166649668" name="Connecteur droit avec flèche 1"/>
                      <wp:cNvGraphicFramePr/>
                      <a:graphic xmlns:a="http://schemas.openxmlformats.org/drawingml/2006/main">
                        <a:graphicData uri="http://schemas.microsoft.com/office/word/2010/wordprocessingShape">
                          <wps:wsp>
                            <wps:cNvCnPr/>
                            <wps:spPr>
                              <a:xfrm flipV="1">
                                <a:off x="0" y="0"/>
                                <a:ext cx="248400" cy="0"/>
                              </a:xfrm>
                              <a:prstGeom prst="straightConnector1">
                                <a:avLst/>
                              </a:prstGeom>
                              <a:ln w="12700">
                                <a:solidFill>
                                  <a:schemeClr val="tx2"/>
                                </a:solidFill>
                                <a:headEnd type="triangl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15556A6" id="Connecteur droit avec flèche 1" o:spid="_x0000_s1026" type="#_x0000_t32" style="width:19.55pt;height:0;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" strokecolor="#0e2841 [3215]" strokeweight="1pt">
                      <v:stroke startarrow="block" endarrow="block" joinstyle="miter"/>
                      <w10:anchorlock/>
                    </v:shape>
                  </w:pict>
                </mc:Fallback>
              </mc:AlternateContent>
            </w:r>
          </w:p>
        </w:tc>
        <w:tc>
          <w:tcPr>
            <w:tcW w:w="1134" w:type="dxa"/>
            <w:tcBorders>
              <w:top w:val="single" w:sz="4" w:space="0" w:color="auto"/>
              <w:left w:val="single" w:sz="4" w:space="0" w:color="auto"/>
              <w:bottom w:val="single" w:sz="4" w:space="0" w:color="auto"/>
              <w:right w:val="single" w:sz="4" w:space="0" w:color="auto"/>
            </w:tcBorders>
            <w:shd w:val="clear" w:color="auto" w:fill="F2F9EB"/>
            <w:vAlign w:val="center"/>
          </w:tcPr>
          <w:p w14:paraId="3B4E7DCD" w14:textId="02C3E1AB" w:rsidR="00791C1F" w:rsidRPr="00AC3D17" w:rsidRDefault="00163B5F" w:rsidP="00523E5F">
            <w:pPr>
              <w:jc w:val="left"/>
              <w:rPr>
                <w:sz w:val="20"/>
                <w:szCs w:val="20"/>
                <w:vertAlign w:val="subscript"/>
              </w:rPr>
            </w:pPr>
            <w:proofErr w:type="spellStart"/>
            <w:proofErr w:type="gramStart"/>
            <w:r>
              <w:rPr>
                <w:rFonts w:cs="Calibri"/>
              </w:rPr>
              <w:t>ρ</w:t>
            </w:r>
            <w:proofErr w:type="gramEnd"/>
            <w:r>
              <w:rPr>
                <w:rFonts w:cs="Calibri"/>
                <w:vertAlign w:val="subscript"/>
              </w:rPr>
              <w:t>b</w:t>
            </w:r>
            <w:proofErr w:type="spellEnd"/>
            <w:r w:rsidR="00ED61F2">
              <w:rPr>
                <w:rFonts w:cs="Calibri"/>
                <w:vertAlign w:val="subscript"/>
              </w:rPr>
              <w:t xml:space="preserve"> </w:t>
            </w:r>
            <w:r w:rsidR="00791C1F">
              <w:rPr>
                <w:sz w:val="20"/>
                <w:szCs w:val="20"/>
                <w:vertAlign w:val="subscript"/>
              </w:rPr>
              <w:t>qualité</w:t>
            </w:r>
          </w:p>
        </w:tc>
        <w:tc>
          <w:tcPr>
            <w:tcW w:w="4387" w:type="dxa"/>
            <w:tcBorders>
              <w:top w:val="single" w:sz="4" w:space="0" w:color="auto"/>
              <w:left w:val="single" w:sz="4" w:space="0" w:color="auto"/>
              <w:bottom w:val="single" w:sz="4" w:space="0" w:color="auto"/>
              <w:right w:val="single" w:sz="4" w:space="0" w:color="auto"/>
            </w:tcBorders>
            <w:shd w:val="clear" w:color="auto" w:fill="F2F9EB"/>
            <w:vAlign w:val="center"/>
          </w:tcPr>
          <w:p w14:paraId="4D3CFAB6" w14:textId="77777777" w:rsidR="00791C1F" w:rsidRPr="0000352D" w:rsidRDefault="00791C1F" w:rsidP="00523E5F">
            <w:pPr>
              <w:jc w:val="left"/>
              <w:rPr>
                <w:sz w:val="20"/>
                <w:szCs w:val="20"/>
              </w:rPr>
            </w:pPr>
            <w:r w:rsidRPr="0000352D">
              <w:rPr>
                <w:sz w:val="20"/>
                <w:szCs w:val="20"/>
              </w:rPr>
              <w:t xml:space="preserve">Valeurs optimales pour croissance racinaire </w:t>
            </w:r>
            <w:r>
              <w:rPr>
                <w:sz w:val="20"/>
                <w:szCs w:val="20"/>
              </w:rPr>
              <w:fldChar w:fldCharType="begin"/>
            </w:r>
            <w:r>
              <w:rPr>
                <w:sz w:val="20"/>
                <w:szCs w:val="20"/>
              </w:rPr>
              <w:instrText xml:space="preserve"> ADDIN ZOTERO_ITEM CSL_CITATION {"citationID":"eIPWvGUk","properties":{"unsorted":false,"formattedCitation":"(Bielders et al., 2013)","plainCitation":"(Bielders et al., 2013)","noteIndex":0},"citationItems":[{"id":375,"uris":["http://zotero.org/groups/5684833/items/DDS2F9EX"],"itemData":{"id":375,"type":"article-journal","language":"fr","note":"number: UCL - Université Catholique de Louvain","source":"dial.uclouvain.be","title":"Vers des indicateurs de fonctionnement du sol (INFOSOL): approche méthodologique de développement d'indicateurs pédologiques pour les fonctions édaphiques de régulation hydrique et de support physique pour les plantes","title-short":"Vers des indicateurs de fonctionnement du sol (INFOSOL)","URL":"https://dial.uclouvain.be/pr/boreal/fr/object/boreal%3A127913","author":[{"family":"Bielders","given":"Charles"},{"family":"Javaux","given":"Mathieu"},{"family":"Roisin","given":"Christian"},{"family":"Vanclooster","given":"Marnik"}],"accessed":{"date-parts":[["2026",1,14]]},"issued":{"date-parts":[["2013"]]}}}],"schema":"https://github.com/citation-style-language/schema/raw/master/csl-citation.json"} </w:instrText>
            </w:r>
            <w:r>
              <w:rPr>
                <w:sz w:val="20"/>
                <w:szCs w:val="20"/>
              </w:rPr>
              <w:fldChar w:fldCharType="separate"/>
            </w:r>
            <w:r w:rsidRPr="00E845A3">
              <w:rPr>
                <w:rFonts w:cs="Calibri"/>
                <w:sz w:val="20"/>
              </w:rPr>
              <w:t>(Bielders et al., 2013)</w:t>
            </w:r>
            <w:r>
              <w:rPr>
                <w:sz w:val="20"/>
                <w:szCs w:val="20"/>
              </w:rPr>
              <w:fldChar w:fldCharType="end"/>
            </w:r>
          </w:p>
        </w:tc>
      </w:tr>
      <w:tr w:rsidR="00791C1F" w:rsidRPr="0000352D" w14:paraId="51CECA6D" w14:textId="77777777" w:rsidTr="00791C1F">
        <w:tc>
          <w:tcPr>
            <w:tcW w:w="1271" w:type="dxa"/>
            <w:vMerge/>
            <w:tcBorders>
              <w:top w:val="single" w:sz="4" w:space="0" w:color="auto"/>
              <w:left w:val="single" w:sz="4" w:space="0" w:color="auto"/>
              <w:bottom w:val="single" w:sz="4" w:space="0" w:color="auto"/>
              <w:right w:val="single" w:sz="4" w:space="0" w:color="auto"/>
            </w:tcBorders>
            <w:vAlign w:val="center"/>
          </w:tcPr>
          <w:p w14:paraId="7AB57C68" w14:textId="294DFEB6" w:rsidR="00791C1F" w:rsidRPr="0000352D" w:rsidRDefault="00791C1F" w:rsidP="00523E5F">
            <w:pPr>
              <w:jc w:val="left"/>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F729C37" w14:textId="24788077" w:rsidR="00791C1F" w:rsidRPr="0000352D" w:rsidRDefault="00791C1F" w:rsidP="00523E5F">
            <w:pPr>
              <w:jc w:val="left"/>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ADFBC55" w14:textId="3EABBD64" w:rsidR="00791C1F" w:rsidRPr="0000352D" w:rsidRDefault="00791C1F" w:rsidP="00523E5F">
            <w:pPr>
              <w:jc w:val="left"/>
              <w:rPr>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EFF5FB"/>
            <w:vAlign w:val="center"/>
          </w:tcPr>
          <w:p w14:paraId="4448ADE5" w14:textId="4F6A5958" w:rsidR="00791C1F" w:rsidRDefault="00163B5F" w:rsidP="00523E5F">
            <w:pPr>
              <w:jc w:val="left"/>
              <w:rPr>
                <w:sz w:val="20"/>
                <w:szCs w:val="20"/>
              </w:rPr>
            </w:pPr>
            <w:proofErr w:type="spellStart"/>
            <w:proofErr w:type="gramStart"/>
            <w:r>
              <w:rPr>
                <w:rFonts w:cs="Calibri"/>
              </w:rPr>
              <w:t>ρ</w:t>
            </w:r>
            <w:proofErr w:type="gramEnd"/>
            <w:r>
              <w:rPr>
                <w:rFonts w:cs="Calibri"/>
                <w:vertAlign w:val="subscript"/>
              </w:rPr>
              <w:t>b</w:t>
            </w:r>
            <w:proofErr w:type="spellEnd"/>
            <w:r w:rsidR="00ED61F2">
              <w:rPr>
                <w:rFonts w:cs="Calibri"/>
                <w:vertAlign w:val="subscript"/>
              </w:rPr>
              <w:t xml:space="preserve"> </w:t>
            </w:r>
            <w:r w:rsidR="00791C1F">
              <w:rPr>
                <w:sz w:val="20"/>
                <w:szCs w:val="20"/>
                <w:vertAlign w:val="subscript"/>
              </w:rPr>
              <w:t>santé</w:t>
            </w:r>
          </w:p>
        </w:tc>
        <w:tc>
          <w:tcPr>
            <w:tcW w:w="4387" w:type="dxa"/>
            <w:tcBorders>
              <w:top w:val="single" w:sz="4" w:space="0" w:color="auto"/>
              <w:left w:val="single" w:sz="4" w:space="0" w:color="auto"/>
              <w:bottom w:val="single" w:sz="4" w:space="0" w:color="auto"/>
              <w:right w:val="single" w:sz="4" w:space="0" w:color="auto"/>
            </w:tcBorders>
            <w:shd w:val="clear" w:color="auto" w:fill="EFF5FB"/>
            <w:vAlign w:val="center"/>
          </w:tcPr>
          <w:p w14:paraId="3343F9B1" w14:textId="109BD7E6" w:rsidR="00791C1F" w:rsidRDefault="00791C1F" w:rsidP="00523E5F">
            <w:pPr>
              <w:jc w:val="left"/>
              <w:rPr>
                <w:sz w:val="20"/>
                <w:szCs w:val="20"/>
              </w:rPr>
            </w:pPr>
            <w:r>
              <w:rPr>
                <w:sz w:val="20"/>
                <w:szCs w:val="20"/>
              </w:rPr>
              <w:t xml:space="preserve">(C-P-EV) </w:t>
            </w:r>
            <w:r w:rsidRPr="0000352D">
              <w:rPr>
                <w:sz w:val="20"/>
                <w:szCs w:val="20"/>
              </w:rPr>
              <w:t xml:space="preserve">Valeurs </w:t>
            </w:r>
            <w:r>
              <w:rPr>
                <w:sz w:val="20"/>
                <w:szCs w:val="20"/>
              </w:rPr>
              <w:t>idéales</w:t>
            </w:r>
            <w:r w:rsidRPr="0000352D">
              <w:rPr>
                <w:sz w:val="20"/>
                <w:szCs w:val="20"/>
              </w:rPr>
              <w:t xml:space="preserve"> </w:t>
            </w:r>
            <w:r>
              <w:rPr>
                <w:sz w:val="20"/>
                <w:szCs w:val="20"/>
              </w:rPr>
              <w:t xml:space="preserve">par classe texturale pour des cultures </w:t>
            </w:r>
            <w:r>
              <w:rPr>
                <w:sz w:val="20"/>
                <w:szCs w:val="20"/>
              </w:rPr>
              <w:fldChar w:fldCharType="begin"/>
            </w:r>
            <w:r>
              <w:rPr>
                <w:sz w:val="20"/>
                <w:szCs w:val="20"/>
              </w:rPr>
              <w:instrText xml:space="preserve"> ADDIN ZOTERO_ITEM CSL_CITATION {"citationID":"Gn6taK2m","properties":{"unsorted":false,"formattedCitation":"(Calzolari et al., 2019)","plainCitation":"(Calzolari et al., 2019)","noteIndex":0},"citationItems":[{"id":562,"uris":["http://zotero.org/groups/5684833/items/DL92HZTX"],"itemData":{"id":562,"type":"article-journal","abstract":"Urban soils are deeply influenced by human activities. They consist of materials different from those of nearby agricultural or natural areas, due to mechanical disturbance, supply or removal of material, contamination with exogenous materials (plastics, asphalt, pollutants, etc.). They are the result of urbanization activities that involve total or partial sealing of the surfaces (Morel et al. 2005).\nThe development of urban soils is controlled by the same factors as natural soils, with a clear and important prevalence of the anthropic factor. The survey of urban soils therefore follows the same criteria of surveying natural or agricultural soils, taking into account that the anthropic disturbance in addition to being prevalent acts in a very short time. This causes a strong heterogeneity in the spatial distribution of the soils and of their characteristics that is problematic to solve in a detailed soil map. \nHuman disturbed soils are classified (FAO World Reference Base For Soil Resources, IUSS - Working Group WRB, 2014) as: \no Anthrosols: soil that has been formed or heavily modified due to long-term human activity, such as from irrigation, addition of organic waste or wet-field cultivation used to create paddy fields\no Technosols: are dominated by their technical origin. They contain either a significant (20% or more) amount of artefacts or some sort of geotechnical liner, or are sealed by technic hard rock (hard material created by humans, having properties unlike natural rock).\nUrban soils perform the same functions as a natural soil contributing to the provision of Ecosystem Services. However, the degree of disturbance to which they are subjected, the level of sealing and the type of coverage have an influence that needs to be described in detail and taken into account.\nGiven the great variability of the urban environment and the differences between different urban environments, there are still no standardized references for the survey and mapping of urban soils. There are some experiences, such as the map of the city of Berlin (https://www.stadtentwicklung.berlin.de/umwelt/umweltatlas/dinh_01.htm) and of New York City (http://www.soilandwater.nyc/urban-soils.html). \nWithin the SOS4LIFE project, a methodology has been developed for defining  urban soil mapping units in the study case of the town of Carpi (MO), based on the type of \"natural\" soils below the urban fabric, the urban typologies and the land cover of unsealed soils. Considering that most of the SEs in urban areas are provided by green areas, the assessment of soils and related functionality has been concentrated in gardens and parks, sports fields and on peri-urban agricultural areas. The gardens in private allotments were not considered, having verified the high degree of impermeabilization of the same (driveways, parking lots, access ramps to garages, etc.). However, even these soils, although strongly altered, maintain some functionalities. The SEs considered are therefore generally underestimated for the entire city.","language":"cpe","note":"Accepted: 2024-02-19T13:57:35Z","source":"iris.cnr.it","title":"Guidelines for assessing soil ecosystem services in urban environment and their management - LIFE15 ENV/IT/000225 GUIDELINES ACTION B1.3","URL":"https://iris.cnr.it/handle/20.500.14243/362331","author":[{"family":"Calzolari","given":"Costanza"},{"family":"Ungaro","given":"Fabrizio"},{"family":"Maienza","given":"Anita"},{"family":"Marchi","given":"Nazaria"},{"family":"Tarocco","given":"Paola"}],"accessed":{"date-parts":[["2026",5,31]]},"issued":{"date-parts":[["2019"]]}}}],"schema":"https://github.com/citation-style-language/schema/raw/master/csl-citation.json"} </w:instrText>
            </w:r>
            <w:r>
              <w:rPr>
                <w:sz w:val="20"/>
                <w:szCs w:val="20"/>
              </w:rPr>
              <w:fldChar w:fldCharType="separate"/>
            </w:r>
            <w:r w:rsidRPr="00C03C8D">
              <w:rPr>
                <w:rFonts w:cs="Calibri"/>
                <w:sz w:val="20"/>
              </w:rPr>
              <w:t>(Calzolari et al., 2019)</w:t>
            </w:r>
            <w:r>
              <w:rPr>
                <w:sz w:val="20"/>
                <w:szCs w:val="20"/>
              </w:rPr>
              <w:fldChar w:fldCharType="end"/>
            </w:r>
            <w:r w:rsidRPr="0000352D">
              <w:rPr>
                <w:sz w:val="20"/>
                <w:szCs w:val="20"/>
              </w:rPr>
              <w:t xml:space="preserve"> </w:t>
            </w:r>
          </w:p>
        </w:tc>
      </w:tr>
      <w:tr w:rsidR="00791C1F" w:rsidRPr="0000352D" w14:paraId="5A9148C9" w14:textId="77777777" w:rsidTr="00791C1F">
        <w:tc>
          <w:tcPr>
            <w:tcW w:w="1271" w:type="dxa"/>
            <w:vMerge/>
            <w:tcBorders>
              <w:top w:val="single" w:sz="4" w:space="0" w:color="auto"/>
              <w:left w:val="single" w:sz="4" w:space="0" w:color="auto"/>
              <w:bottom w:val="single" w:sz="4" w:space="0" w:color="auto"/>
              <w:right w:val="single" w:sz="4" w:space="0" w:color="auto"/>
            </w:tcBorders>
            <w:vAlign w:val="center"/>
          </w:tcPr>
          <w:p w14:paraId="4B081283" w14:textId="30314E94" w:rsidR="00791C1F" w:rsidRPr="0000352D" w:rsidRDefault="00791C1F" w:rsidP="00523E5F">
            <w:pPr>
              <w:jc w:val="left"/>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FBB0821" w14:textId="20514C23" w:rsidR="00791C1F" w:rsidRPr="0000352D" w:rsidRDefault="00791C1F" w:rsidP="00523E5F">
            <w:pPr>
              <w:jc w:val="left"/>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53399FB" w14:textId="3BC05C1D" w:rsidR="00791C1F" w:rsidRPr="0000352D" w:rsidRDefault="00791C1F" w:rsidP="00523E5F">
            <w:pPr>
              <w:jc w:val="left"/>
              <w:rPr>
                <w:sz w:val="20"/>
                <w:szCs w:val="20"/>
              </w:rPr>
            </w:pPr>
          </w:p>
        </w:tc>
        <w:tc>
          <w:tcPr>
            <w:tcW w:w="1134" w:type="dxa"/>
            <w:vMerge/>
            <w:tcBorders>
              <w:top w:val="single" w:sz="4" w:space="0" w:color="auto"/>
              <w:left w:val="single" w:sz="4" w:space="0" w:color="auto"/>
              <w:bottom w:val="single" w:sz="4" w:space="0" w:color="auto"/>
              <w:right w:val="single" w:sz="4" w:space="0" w:color="auto"/>
            </w:tcBorders>
            <w:shd w:val="clear" w:color="auto" w:fill="EFF5FB"/>
            <w:vAlign w:val="center"/>
          </w:tcPr>
          <w:p w14:paraId="77A6EA4D" w14:textId="23EA3476" w:rsidR="00791C1F" w:rsidRDefault="00791C1F" w:rsidP="00523E5F">
            <w:pPr>
              <w:jc w:val="left"/>
              <w:rPr>
                <w:sz w:val="20"/>
                <w:szCs w:val="20"/>
              </w:rPr>
            </w:pPr>
          </w:p>
        </w:tc>
        <w:tc>
          <w:tcPr>
            <w:tcW w:w="4387" w:type="dxa"/>
            <w:tcBorders>
              <w:top w:val="single" w:sz="4" w:space="0" w:color="auto"/>
              <w:left w:val="single" w:sz="4" w:space="0" w:color="auto"/>
              <w:bottom w:val="single" w:sz="4" w:space="0" w:color="auto"/>
              <w:right w:val="single" w:sz="4" w:space="0" w:color="auto"/>
            </w:tcBorders>
            <w:shd w:val="clear" w:color="auto" w:fill="EFF5FB"/>
            <w:vAlign w:val="center"/>
          </w:tcPr>
          <w:p w14:paraId="59778E0C" w14:textId="5AF6BB70" w:rsidR="00791C1F" w:rsidRPr="0000352D" w:rsidRDefault="00791C1F" w:rsidP="00523E5F">
            <w:pPr>
              <w:jc w:val="left"/>
              <w:rPr>
                <w:sz w:val="20"/>
                <w:szCs w:val="20"/>
              </w:rPr>
            </w:pPr>
            <w:r>
              <w:rPr>
                <w:sz w:val="20"/>
                <w:szCs w:val="20"/>
              </w:rPr>
              <w:t xml:space="preserve">(F) Valeurs idéales par classe texturale déterminées empiriquement pour des essences forestières </w:t>
            </w:r>
            <w:r>
              <w:rPr>
                <w:sz w:val="20"/>
                <w:szCs w:val="20"/>
              </w:rPr>
              <w:fldChar w:fldCharType="begin"/>
            </w:r>
            <w:r>
              <w:rPr>
                <w:sz w:val="20"/>
                <w:szCs w:val="20"/>
              </w:rPr>
              <w:instrText xml:space="preserve"> ADDIN ZOTERO_ITEM CSL_CITATION {"citationID":"CHzeojwB","properties":{"unsorted":false,"formattedCitation":"(Ampoorter et al., 2011)","plainCitation":"(Ampoorter et al., 2011)","noteIndex":0},"citationItems":[{"id":438,"uris":["http://zotero.org/groups/5684833/items/JA2Y6HI7"],"itemData":{"id":438,"type":"article-journal","abstract":"Soil compaction due to mechanized harvesting operations in forests can have profound effects on forest soils and, hence, can have a detrimental effect on subsequent forest regeneration. We performed a meta-analysis to quantify the effect of soil compaction on height growth, diameter growth, and survival of tree saplings. These effects were predominantly insignificant, varied strongly and were thus not unambiguously negative. Only on silty soils, growth and survival were significantly reduced by soil compaction, which contrasted with sandy and loamy soils, where the effect of soil compaction was negligible or even slightly positive. A weighted analysis revealed an overall decrease of height growth on the compacted areas, but this result should be interpreted with caution due to the limited number of observations. Although results did not show an overall negative effect of soil compaction, harvesting activities should focus on minimizing soil compaction degree and extent to prevent a decrease of soil productivity. From a methodological point of view we suggest providing more basic statistics in the articles and to include more shade-tolerant tree species in future experimental designs. These species are currently underrepresented.\nZusammenfassung\nDie Bodenverdichtung in Folge mechanisierter Holzerntemethoden kann erhebliche Auswirkungen auf Waldböden haben und damit auch schädliche Auswirkungen auf die nachfolgende Waldregeneration. Wir führten eine Meta-Analyse durch, um den Effekt der Bodenverdichtung auf Wuchshöhe, Dickenwachstum und Überleben der Jungbäume zu quantifizieren. Diese Effekte waren überwiegend nicht signifikant, variierten stark und waren deshalb nicht eindeutig negativ. Nur auf schluffigen Böden wurden Wachstum und Überleben signifikant durch die Bodenverdichtung verringert, Dies stand im Gegensatz zu sandigen und lehmigen Böden, auf denen die Auswirkungen der Bodenverdichtung vernachlässigbar oder sogar positiv waren. Eine gewichtete Analyse erbrachte insgesamt eine Abnahme des Höhenwachstums auf verdichteten Flächen, aber aufgrund der geringen Anzahl von Beobachtungen sollte dieses Ergebnis mit Vorsicht interpretiert werden. Auch wenn die Ergebnisse keinen generell negativen Effekt der Bodenverdichtung zeigten, sollten Erntemaßnahmen darauf gerichtet sein, Grad und Ausmaß der Bodenverdichtung zu minimieren, um einer Abnahme der Produktivität vorzubeugen. Von einem methodischen Standpunkt aus regen wir an, mehr basale Statistiken in den Artikeln zu publizieren und mehr schattentolerante Baumarten in zukünftige Untersuchungen aufzunehmen. Diese Arten sind gegenwärtig unterrepräsentiert.","container-title":"Basic and Applied Ecology","DOI":"10.1016/j.baae.2011.06.003","ISSN":"1439-1791","issue":"5","journalAbbreviation":"Basic and Applied Ecology","page":"394-402","source":"ScienceDirect","title":"Effects of soil compaction on growth and survival of tree saplings: A meta-analysis","title-short":"Effects of soil compaction on growth and survival of tree saplings","volume":"12","author":[{"family":"Ampoorter","given":"E."},{"family":"De Frenne","given":"P."},{"family":"Hermy","given":"M."},{"family":"Verheyen","given":"K."}],"issued":{"date-parts":[["2011",8,1]]}}}],"schema":"https://github.com/citation-style-language/schema/raw/master/csl-citation.json"} </w:instrText>
            </w:r>
            <w:r>
              <w:rPr>
                <w:sz w:val="20"/>
                <w:szCs w:val="20"/>
              </w:rPr>
              <w:fldChar w:fldCharType="separate"/>
            </w:r>
            <w:r w:rsidRPr="00650859">
              <w:rPr>
                <w:rFonts w:cs="Calibri"/>
                <w:sz w:val="20"/>
              </w:rPr>
              <w:t>(Ampoorter et al., 2011)</w:t>
            </w:r>
            <w:r>
              <w:rPr>
                <w:sz w:val="20"/>
                <w:szCs w:val="20"/>
              </w:rPr>
              <w:fldChar w:fldCharType="end"/>
            </w:r>
          </w:p>
        </w:tc>
      </w:tr>
    </w:tbl>
    <w:p w14:paraId="3F8C547C" w14:textId="77777777" w:rsidR="00032A62" w:rsidRDefault="00032A62" w:rsidP="005A69D1"/>
    <w:p w14:paraId="767FC036" w14:textId="77777777" w:rsidR="009E5D53" w:rsidRDefault="00032A62" w:rsidP="009E5D53">
      <w:pPr>
        <w:keepNext/>
      </w:pPr>
      <w:r>
        <w:rPr>
          <w:noProof/>
        </w:rPr>
        <w:drawing>
          <wp:inline distT="0" distB="0" distL="0" distR="0" wp14:anchorId="4822B9D5" wp14:editId="2CED8FC2">
            <wp:extent cx="5753735" cy="4105910"/>
            <wp:effectExtent l="0" t="0" r="0" b="8890"/>
            <wp:docPr id="1226791334"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3735" cy="4105910"/>
                    </a:xfrm>
                    <a:prstGeom prst="rect">
                      <a:avLst/>
                    </a:prstGeom>
                    <a:noFill/>
                    <a:ln>
                      <a:noFill/>
                    </a:ln>
                  </pic:spPr>
                </pic:pic>
              </a:graphicData>
            </a:graphic>
          </wp:inline>
        </w:drawing>
      </w:r>
    </w:p>
    <w:p w14:paraId="50BB4C7D" w14:textId="2D0AB162" w:rsidR="00B54DE6" w:rsidRPr="009E5D53" w:rsidRDefault="009E5D53" w:rsidP="009E5D53">
      <w:pPr>
        <w:pStyle w:val="Lgende"/>
        <w:jc w:val="center"/>
        <w:rPr>
          <w:i w:val="0"/>
          <w:iCs w:val="0"/>
          <w:noProof/>
        </w:rPr>
      </w:pPr>
      <w:bookmarkStart w:id="34" w:name="_Toc241505107"/>
      <w:r w:rsidRPr="009E5D53">
        <w:rPr>
          <w:i w:val="0"/>
          <w:iCs w:val="0"/>
        </w:rPr>
        <w:t xml:space="preserve">Figure </w:t>
      </w:r>
      <w:r w:rsidRPr="009E5D53">
        <w:rPr>
          <w:i w:val="0"/>
          <w:iCs w:val="0"/>
        </w:rPr>
        <w:fldChar w:fldCharType="begin"/>
      </w:r>
      <w:r w:rsidRPr="009E5D53">
        <w:rPr>
          <w:i w:val="0"/>
          <w:iCs w:val="0"/>
        </w:rPr>
        <w:instrText xml:space="preserve"> SEQ Figure \* ARABIC </w:instrText>
      </w:r>
      <w:r w:rsidRPr="009E5D53">
        <w:rPr>
          <w:i w:val="0"/>
          <w:iCs w:val="0"/>
        </w:rPr>
        <w:fldChar w:fldCharType="separate"/>
      </w:r>
      <w:r w:rsidR="00B90382">
        <w:rPr>
          <w:i w:val="0"/>
          <w:iCs w:val="0"/>
          <w:noProof/>
        </w:rPr>
        <w:t>1</w:t>
      </w:r>
      <w:r w:rsidRPr="009E5D53">
        <w:rPr>
          <w:i w:val="0"/>
          <w:iCs w:val="0"/>
        </w:rPr>
        <w:fldChar w:fldCharType="end"/>
      </w:r>
      <w:r w:rsidRPr="009E5D53">
        <w:rPr>
          <w:i w:val="0"/>
          <w:iCs w:val="0"/>
        </w:rPr>
        <w:t xml:space="preserve"> : Exemple de fonction d'interprétation pour l</w:t>
      </w:r>
      <w:r>
        <w:rPr>
          <w:i w:val="0"/>
          <w:iCs w:val="0"/>
        </w:rPr>
        <w:t>’indicateur</w:t>
      </w:r>
      <w:r w:rsidRPr="009E5D53">
        <w:rPr>
          <w:i w:val="0"/>
          <w:iCs w:val="0"/>
        </w:rPr>
        <w:t xml:space="preserve"> </w:t>
      </w:r>
      <w:r w:rsidRPr="009E5D53">
        <w:t>Masse volumique apparente</w:t>
      </w:r>
      <w:r w:rsidR="008736C1">
        <w:rPr>
          <w:i w:val="0"/>
          <w:iCs w:val="0"/>
        </w:rPr>
        <w:t xml:space="preserve"> (</w:t>
      </w:r>
      <w:r>
        <w:rPr>
          <w:i w:val="0"/>
          <w:iCs w:val="0"/>
        </w:rPr>
        <w:t xml:space="preserve">fonction </w:t>
      </w:r>
      <w:r w:rsidRPr="00EB1430">
        <w:t>Structure</w:t>
      </w:r>
      <w:r>
        <w:rPr>
          <w:i w:val="0"/>
          <w:iCs w:val="0"/>
        </w:rPr>
        <w:t xml:space="preserve">, </w:t>
      </w:r>
      <w:r w:rsidR="008736C1">
        <w:rPr>
          <w:i w:val="0"/>
          <w:iCs w:val="0"/>
        </w:rPr>
        <w:t xml:space="preserve">SE </w:t>
      </w:r>
      <w:r w:rsidR="008736C1" w:rsidRPr="00EB1430">
        <w:t>Production – cultures</w:t>
      </w:r>
      <w:r w:rsidR="008736C1">
        <w:rPr>
          <w:i w:val="0"/>
          <w:iCs w:val="0"/>
        </w:rPr>
        <w:t>)</w:t>
      </w:r>
      <w:r w:rsidR="00F43615">
        <w:rPr>
          <w:rStyle w:val="Appelnotedebasdep"/>
          <w:i w:val="0"/>
          <w:iCs w:val="0"/>
        </w:rPr>
        <w:footnoteReference w:id="1"/>
      </w:r>
      <w:r w:rsidR="00FC6700">
        <w:rPr>
          <w:i w:val="0"/>
          <w:iCs w:val="0"/>
        </w:rPr>
        <w:t> : référentiel de qualité</w:t>
      </w:r>
      <w:bookmarkEnd w:id="34"/>
    </w:p>
    <w:p w14:paraId="5E75F4E0" w14:textId="77777777" w:rsidR="00032A62" w:rsidRDefault="00032A62" w:rsidP="00032A62">
      <w:pPr>
        <w:rPr>
          <w:noProof/>
        </w:rPr>
      </w:pPr>
    </w:p>
    <w:p w14:paraId="4F48327A" w14:textId="77777777" w:rsidR="00CC528C" w:rsidRDefault="00CC528C" w:rsidP="00876101">
      <w:pPr>
        <w:pStyle w:val="Titre2"/>
        <w:numPr>
          <w:ilvl w:val="1"/>
          <w:numId w:val="3"/>
        </w:numPr>
      </w:pPr>
      <w:bookmarkStart w:id="35" w:name="_Ref233113106"/>
      <w:bookmarkStart w:id="36" w:name="_Toc241505259"/>
      <w:r>
        <w:t>Qualité structurale (VESS)</w:t>
      </w:r>
      <w:bookmarkEnd w:id="35"/>
      <w:bookmarkEnd w:id="36"/>
    </w:p>
    <w:p w14:paraId="1FC551B5" w14:textId="77777777" w:rsidR="00CC528C" w:rsidRPr="00C82C0F" w:rsidRDefault="00CC528C" w:rsidP="00876101">
      <w:pPr>
        <w:pStyle w:val="Titre3"/>
        <w:numPr>
          <w:ilvl w:val="2"/>
          <w:numId w:val="3"/>
        </w:numPr>
      </w:pPr>
      <w:bookmarkStart w:id="37" w:name="_Toc241505260"/>
      <w:r>
        <w:t>Définition</w:t>
      </w:r>
      <w:bookmarkEnd w:id="37"/>
    </w:p>
    <w:p w14:paraId="6FDC48FE" w14:textId="60454F1A" w:rsidR="00CC528C" w:rsidRDefault="00CC528C" w:rsidP="00CC528C">
      <w:r>
        <w:t>La qualité structurale correspond à l’arrangement hétérogène des solides et des vides dans le sol. Elle caractérise la forme des mottes, soit l’état de la porosité du sol à</w:t>
      </w:r>
      <w:r w:rsidR="60897022">
        <w:t xml:space="preserve"> un</w:t>
      </w:r>
      <w:r>
        <w:t xml:space="preserve"> temps t </w:t>
      </w:r>
      <w:r>
        <w:fldChar w:fldCharType="begin"/>
      </w:r>
      <w:r>
        <w:instrText xml:space="preserve"> ADDIN ZOTERO_ITEM CSL_CITATION {"citationID":"zaCHa7LC","properties":{"unsorted":false,"formattedCitation":"(Cousin et al., 2025)","plainCitation":"(Cousin et al., 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fldChar w:fldCharType="separate"/>
      </w:r>
      <w:r w:rsidRPr="00D64D38">
        <w:rPr>
          <w:rFonts w:cs="Calibri"/>
        </w:rPr>
        <w:t>(Cousin et al., 2025)</w:t>
      </w:r>
      <w:r>
        <w:fldChar w:fldCharType="end"/>
      </w:r>
      <w:r>
        <w:t>.</w:t>
      </w:r>
    </w:p>
    <w:p w14:paraId="70E939F9" w14:textId="77777777" w:rsidR="00CC528C" w:rsidRDefault="00CC528C" w:rsidP="00876101">
      <w:pPr>
        <w:pStyle w:val="Titre3"/>
        <w:numPr>
          <w:ilvl w:val="2"/>
          <w:numId w:val="3"/>
        </w:numPr>
      </w:pPr>
      <w:bookmarkStart w:id="38" w:name="_Toc241505261"/>
      <w:r>
        <w:t>Pertinence</w:t>
      </w:r>
      <w:bookmarkEnd w:id="38"/>
    </w:p>
    <w:p w14:paraId="3E61EF7B" w14:textId="3DF4513F" w:rsidR="00CC528C" w:rsidRDefault="00CC528C" w:rsidP="00CC528C">
      <w:r>
        <w:t>Comme la qualité structurale reflète la qualité de la porosité d’un sol, elle influence les transferts d’eau (infiltration, drainage) et l’aération</w:t>
      </w:r>
      <w:r w:rsidR="608B0DE0">
        <w:t>,</w:t>
      </w:r>
      <w:r>
        <w:t xml:space="preserve"> essentiels à la bonne croissance des racines. Il s’agit d’une propriété dynamique, influencée par les pratiques de gestion.</w:t>
      </w:r>
    </w:p>
    <w:p w14:paraId="4E2D1C6C" w14:textId="77777777" w:rsidR="00CC528C" w:rsidRPr="00150D33" w:rsidRDefault="00CC528C" w:rsidP="00876101">
      <w:pPr>
        <w:pStyle w:val="Titre3"/>
        <w:numPr>
          <w:ilvl w:val="2"/>
          <w:numId w:val="3"/>
        </w:numPr>
      </w:pPr>
      <w:bookmarkStart w:id="39" w:name="_Toc241505262"/>
      <w:r>
        <w:t>Méthode de mesure</w:t>
      </w:r>
      <w:bookmarkEnd w:id="39"/>
    </w:p>
    <w:p w14:paraId="33A833CD" w14:textId="6C0FF023" w:rsidR="00CC528C" w:rsidRDefault="00CC528C" w:rsidP="00CC528C">
      <w:r>
        <w:t xml:space="preserve">Le test VESS (Visual Evaluation of Soil Structure) permet d’évaluer la qualité structurale d’un sol sur le terrain, à travers l’observation et la manipulation de petites mottes prélevées dans une bêchée de sol </w:t>
      </w:r>
      <w:r>
        <w:fldChar w:fldCharType="begin"/>
      </w:r>
      <w:r>
        <w:instrText xml:space="preserve"> ADDIN ZOTERO_ITEM CSL_CITATION {"citationID":"l4wzeP69","properties":{"unsorted":false,"formattedCitation":"(Guimar\\uc0\\u227{}es et al., 2011)","plainCitation":"(Guimarães et al., 2011)","noteIndex":0},"citationItems":[{"id":554,"uris":["http://zotero.org/groups/5684833/items/F8JBLN7L"],"itemData":{"id":554,"type":"article-journal","abstract":"Spade methods to visually evaluate soil structural quality (Sq) are simple, quick, cheap and can be used by farmers, gardeners, consultants and the scientific community. However, European and Brazilian users of one such method, viz. visual evaluation of soil structure (VESS) which is a development of the Peerlkamp test, have been concerned about its subjectivity. The method of soil slice break-up and operator influence on scores have been questioned. Thus, our aim was to make soil scoring by the VESS technique more objective and thus to revise the scoring guide. We compared scoring with normal breaking up of the soil slice by hand with scoring after breaking up the slice by dropping (drop shatter) to make the soil break-up more operator independent. After slice break-up, aggregates were split by hand and their internal porosity was evaluated to develop the use of visible porosity as an aid to scoring. This proved inconclusive on its own, so a method of reducing larger aggregates to 1.5–2.0 cm core fragments and describing their shape and porosity was developed to score soil Sq. Breaking up a spadeful of soil by hand or by dropping resulted in the same Sq score. The method of reducing aggregates and evaluation of their shape improved VESS, particularly in the middle range of soil quality and the revised chart is shown. VESS was sensitive to changes in Sq in layers within the profile and its use for diagnosing Sq in different layers allows targeted soil improvement by tillage.","container-title":"Soil Use and Management","DOI":"10.1111/j.1475-2743.2011.00354.x","ISSN":"1475-2743","issue":"3","language":"en","license":"© 2011 The Authors. Journal compilation © 2011 British Society of Soil Science","note":"_eprint: https://bsssjournals.onlinelibrary.wiley.com/doi/pdf/10.1111/j.1475-2743.2011.00354.x","page":"395-403","source":"Wiley Online Library","title":"Improvements in the visual evaluation of soil structure","volume":"27","author":[{"family":"Guimarães","given":"R. M. L."},{"family":"Ball","given":"B. C."},{"family":"Tormena","given":"C. A."}],"issued":{"date-parts":[["2011"]]}}}],"schema":"https://github.com/citation-style-language/schema/raw/master/csl-citation.json"} </w:instrText>
      </w:r>
      <w:r>
        <w:fldChar w:fldCharType="separate"/>
      </w:r>
      <w:r w:rsidRPr="00F12141">
        <w:rPr>
          <w:rFonts w:cs="Calibri"/>
          <w:kern w:val="0"/>
        </w:rPr>
        <w:t>(Guimarães et al., 2011)</w:t>
      </w:r>
      <w:r>
        <w:fldChar w:fldCharType="end"/>
      </w:r>
      <w:r>
        <w:t>. Le test se base sur divers critères visuels tels que la taille et forme de la motte, la porosité, la résistance lorsqu’on essaie de briser la motte ou la distribution et la couleur des racines. Il s’agit d’attribuer une note à chacun des critères, et la moyenne de ces notes permet d’attribuer un score de qualité structurale au sol, selon une échelle allant Sq1 (friable) à Sq5 (très compact). Pour guider les observations, des chartes VESS ont été développées</w:t>
      </w:r>
      <w:r w:rsidR="5B0FBE98">
        <w:t>,</w:t>
      </w:r>
      <w:r>
        <w:t xml:space="preserve"> comme celle disponible sur le site </w:t>
      </w:r>
      <w:hyperlink r:id="rId20">
        <w:r w:rsidRPr="6CB535F6">
          <w:rPr>
            <w:rStyle w:val="Lienhypertexte"/>
          </w:rPr>
          <w:t>Progrès Sol</w:t>
        </w:r>
      </w:hyperlink>
      <w:r>
        <w:t xml:space="preserve"> </w:t>
      </w:r>
      <w:r>
        <w:fldChar w:fldCharType="begin"/>
      </w:r>
      <w:r w:rsidR="00623903">
        <w:instrText xml:space="preserve"> ADDIN ZOTERO_ITEM CSL_CITATION {"citationID":"3hBNdFOn","properties":{"unsorted":false,"formattedCitation":"(2019)","plainCitation":"(2019)","noteIndex":0},"citationItems":[{"id":563,"uris":["http://zotero.org/groups/5684833/items/FJQH7EQN"],"itemData":{"id":563,"type":"webpage","container-title":"Progrès Sol","publisher":"FiBL, Proconseil, Mandaterre, Canton de Vaud","title":"Progrès Sol  - VESS","URL":"https://www.progres-sol.ch/outils/vess.html","accessed":{"date-parts":[["2026",6,1]]},"issued":{"date-parts":[["2019"]]}},"suppress-author":true}],"schema":"https://github.com/citation-style-language/schema/raw/master/csl-citation.json"} </w:instrText>
      </w:r>
      <w:r>
        <w:fldChar w:fldCharType="separate"/>
      </w:r>
      <w:r w:rsidRPr="004C5AAA">
        <w:rPr>
          <w:rFonts w:cs="Calibri"/>
        </w:rPr>
        <w:t>(2019)</w:t>
      </w:r>
      <w:r>
        <w:fldChar w:fldCharType="end"/>
      </w:r>
      <w:r>
        <w:t>.</w:t>
      </w:r>
    </w:p>
    <w:p w14:paraId="56D80DC6" w14:textId="77777777" w:rsidR="00CC528C" w:rsidRDefault="00CC528C" w:rsidP="00876101">
      <w:pPr>
        <w:pStyle w:val="Titre3"/>
        <w:numPr>
          <w:ilvl w:val="2"/>
          <w:numId w:val="3"/>
        </w:numPr>
      </w:pPr>
      <w:bookmarkStart w:id="40" w:name="_Toc241505263"/>
      <w:r w:rsidRPr="00C23A2C">
        <w:t>Interprétation</w:t>
      </w:r>
      <w:bookmarkEnd w:id="40"/>
    </w:p>
    <w:p w14:paraId="399537A7" w14:textId="07722E5B" w:rsidR="00CC528C" w:rsidRDefault="00CC528C" w:rsidP="00CC528C">
      <w:r>
        <w:t xml:space="preserve">La qualité structurale influence la capacité du sol à supporter la croissance des plantes. En effet, des valeurs de score inférieures ou égales à Sq3 révèlent un environnement propice au développement racinaire, tandis que les racines </w:t>
      </w:r>
      <w:r w:rsidR="53DC4CCF">
        <w:t xml:space="preserve">rencontrent </w:t>
      </w:r>
      <w:r>
        <w:t xml:space="preserve">des difficultés à se développer dans un sol compact (Sq4 à Sq5) </w:t>
      </w:r>
      <w:r>
        <w:fldChar w:fldCharType="begin"/>
      </w:r>
      <w:r>
        <w:instrText xml:space="preserve"> ADDIN ZOTERO_ITEM CSL_CITATION {"citationID":"UIe4Ln3i","properties":{"unsorted":false,"formattedCitation":"(Ball et al., 2017)","plainCitation":"(Ball et al., 2017)","noteIndex":0},"citationItems":[{"id":471,"uris":["http://zotero.org/groups/5684833/items/AGAM8FM8"],"itemData":{"id":471,"type":"article-journal","abstract":"Visual soil evaluation techniques have gained popularity and are increasingly used in agriculture and soil science for research, consultancy and teaching purposes. We describe recent applications, developments, opportunities and limitations, mainly of the Visual Evaluation of Soil Structure (for topsoil (VESS) and for subsoil (SubVESS)), and of the Visual Soil Assessment (VSA). Data are taken from experiments on compaction and from assessments made in farmer’s fields in the UK, Brazil and New Zealand. The methods are widely used to detect compaction and are well-suited for monitoring changes in compaction status, particularly in relation to weather extremes. VESS proved useful in distinguishing grazing vs wheel compaction in the UK and Brazil by permitting detection of layers at different depths within the topsoil zone. The depths of compact layers are important for scoring management decisions for soil improvement. However the use of scores as limiting thresholds in different soil types needs the support of further soil measurements and/or additional visual assessments of soil and crop. VSA and VESS were also used to estimate the risk of significant soil emissions of nitrous oxide where compaction damage was present and rates of mineral N fertiliser were high. Visual assessments also have the potential to assess the risk of surface water runoff and nutrient loss. The potential role of soil colour was shown for the further development of visual evaluation techniques for a soil carbon storage index. Visual soil evaluation techniques also provide a useful visual aid for improving soil awareness in groups of stakeholders, helping the exchange of knowledge and ideas for innovation in agriculture.","collection-title":"Visual soil evaluation and soil compaction research","container-title":"Soil and Tillage Research","DOI":"10.1016/j.still.2016.07.006","ISSN":"0167-1987","journalAbbreviation":"Soil and Tillage Research","page":"114-124","source":"ScienceDirect","title":"Visual soil evaluation: A summary of some applications and potential developments for agriculture","title-short":"Visual soil evaluation","volume":"173","author":[{"family":"Ball","given":"Bruce C."},{"family":"Guimarães","given":"Rachel M. L."},{"family":"Cloy","given":"Joanna M."},{"family":"Hargreaves","given":"Paul R."},{"family":"Shepherd","given":"T. Graham"},{"family":"McKenzie","given":"Blair M."}],"issued":{"date-parts":[["2017",11,1]]}}}],"schema":"https://github.com/citation-style-language/schema/raw/master/csl-citation.json"} </w:instrText>
      </w:r>
      <w:r>
        <w:fldChar w:fldCharType="separate"/>
      </w:r>
      <w:r w:rsidRPr="48222D96">
        <w:rPr>
          <w:rFonts w:cs="Calibri"/>
        </w:rPr>
        <w:t>(Ball et al., 2017)</w:t>
      </w:r>
      <w:r>
        <w:fldChar w:fldCharType="end"/>
      </w:r>
      <w:r>
        <w:t>. Étant donné que, sur l’échelle des notes VESS, l’obtention d’un chiffre plus faible (Sq1) est préférable à un chiffre plus élevé (Sq5), la fonction d’interprétation de ce paramètre prend la forme « </w:t>
      </w:r>
      <w:proofErr w:type="spellStart"/>
      <w:r>
        <w:t>less</w:t>
      </w:r>
      <w:proofErr w:type="spellEnd"/>
      <w:r>
        <w:t xml:space="preserve"> </w:t>
      </w:r>
      <w:proofErr w:type="spellStart"/>
      <w:r>
        <w:t>is</w:t>
      </w:r>
      <w:proofErr w:type="spellEnd"/>
      <w:r>
        <w:t xml:space="preserve"> </w:t>
      </w:r>
      <w:proofErr w:type="spellStart"/>
      <w:r>
        <w:t>better</w:t>
      </w:r>
      <w:proofErr w:type="spellEnd"/>
      <w:r>
        <w:t xml:space="preserve"> » pour la fonction </w:t>
      </w:r>
      <w:r w:rsidRPr="48222D96">
        <w:rPr>
          <w:i/>
          <w:iCs/>
        </w:rPr>
        <w:t>Structure</w:t>
      </w:r>
      <w:r>
        <w:t xml:space="preserve"> du </w:t>
      </w:r>
      <w:r w:rsidR="00095D4E">
        <w:t>service écosystémique</w:t>
      </w:r>
      <w:r>
        <w:t xml:space="preserve"> </w:t>
      </w:r>
      <w:r w:rsidRPr="48222D96">
        <w:rPr>
          <w:i/>
          <w:iCs/>
        </w:rPr>
        <w:t>Production</w:t>
      </w:r>
      <w:r>
        <w:t>.</w:t>
      </w:r>
    </w:p>
    <w:p w14:paraId="33DAE4B6" w14:textId="21E49E24" w:rsidR="002F5BF8" w:rsidRDefault="00CC528C" w:rsidP="00CC528C">
      <w:r>
        <w:t>Comme il n’y a pas de distinctions à faire dans l’interprétation du résultat du test VESS en fonction du type de sol, le score de qualité (IQSW) = le score de santé (ISSB) pour ce paramètre.</w:t>
      </w:r>
    </w:p>
    <w:p w14:paraId="7AF16748" w14:textId="4CAD0ED6" w:rsidR="004C727B" w:rsidRPr="00261C30" w:rsidRDefault="004C727B" w:rsidP="004C727B">
      <w:pPr>
        <w:pStyle w:val="Lgende"/>
        <w:keepNext/>
        <w:jc w:val="center"/>
        <w:rPr>
          <w:i w:val="0"/>
          <w:iCs w:val="0"/>
        </w:rPr>
      </w:pPr>
      <w:bookmarkStart w:id="41" w:name="_Toc233122658"/>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2</w:t>
      </w:r>
      <w:r w:rsidRPr="00261C30">
        <w:rPr>
          <w:i w:val="0"/>
          <w:iCs w:val="0"/>
        </w:rPr>
        <w:fldChar w:fldCharType="end"/>
      </w:r>
      <w:r w:rsidRPr="00261C30">
        <w:rPr>
          <w:i w:val="0"/>
          <w:iCs w:val="0"/>
        </w:rPr>
        <w:t xml:space="preserve"> : Référentiels d’interprétation </w:t>
      </w:r>
      <w:r>
        <w:rPr>
          <w:i w:val="0"/>
          <w:iCs w:val="0"/>
        </w:rPr>
        <w:t>d</w:t>
      </w:r>
      <w:r w:rsidR="33AD3D4B" w:rsidRPr="6CB535F6">
        <w:rPr>
          <w:i w:val="0"/>
          <w:iCs w:val="0"/>
        </w:rPr>
        <w:t>e l’</w:t>
      </w:r>
      <w:r w:rsidRPr="6CB535F6">
        <w:rPr>
          <w:i w:val="0"/>
          <w:iCs w:val="0"/>
        </w:rPr>
        <w:t>indicateur</w:t>
      </w:r>
      <w:r w:rsidRPr="00261C30">
        <w:rPr>
          <w:i w:val="0"/>
          <w:iCs w:val="0"/>
        </w:rPr>
        <w:t xml:space="preserve">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noProof/>
        </w:rPr>
        <w:drawing>
          <wp:inline distT="0" distB="0" distL="0" distR="0" wp14:anchorId="1A14245A" wp14:editId="11C35974">
            <wp:extent cx="91440" cy="118745"/>
            <wp:effectExtent l="0" t="0" r="3810" b="0"/>
            <wp:docPr id="4536805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0E4B78EE" wp14:editId="006B0860">
            <wp:extent cx="85917" cy="88985"/>
            <wp:effectExtent l="0" t="0" r="9525" b="6350"/>
            <wp:docPr id="72346555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252CEA0C" wp14:editId="471B976A">
            <wp:extent cx="164432" cy="65784"/>
            <wp:effectExtent l="0" t="0" r="7620" b="0"/>
            <wp:docPr id="68621555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w:t>
      </w:r>
      <w:bookmarkEnd w:id="41"/>
    </w:p>
    <w:tbl>
      <w:tblPr>
        <w:tblStyle w:val="Grilledutableau"/>
        <w:tblW w:w="0" w:type="auto"/>
        <w:tblCellMar>
          <w:top w:w="28" w:type="dxa"/>
          <w:bottom w:w="28" w:type="dxa"/>
        </w:tblCellMar>
        <w:tblLook w:val="04A0" w:firstRow="1" w:lastRow="0" w:firstColumn="1" w:lastColumn="0" w:noHBand="0" w:noVBand="1"/>
      </w:tblPr>
      <w:tblGrid>
        <w:gridCol w:w="1182"/>
        <w:gridCol w:w="1175"/>
        <w:gridCol w:w="1107"/>
        <w:gridCol w:w="1067"/>
        <w:gridCol w:w="4529"/>
      </w:tblGrid>
      <w:tr w:rsidR="00CC528C" w:rsidRPr="0000352D" w14:paraId="6CDDE48C" w14:textId="77777777" w:rsidTr="00252EF4">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4E2E9A2F" w14:textId="77777777" w:rsidR="00CC528C" w:rsidRPr="0000352D" w:rsidRDefault="00CC528C">
            <w:pPr>
              <w:jc w:val="center"/>
              <w:rPr>
                <w:sz w:val="20"/>
                <w:szCs w:val="20"/>
              </w:rPr>
            </w:pPr>
            <w:r>
              <w:rPr>
                <w:sz w:val="20"/>
                <w:szCs w:val="20"/>
              </w:rPr>
              <w:t>Qualité structurale (VESS)</w:t>
            </w:r>
            <w:r w:rsidRPr="0000352D">
              <w:rPr>
                <w:sz w:val="20"/>
                <w:szCs w:val="20"/>
              </w:rPr>
              <w:t xml:space="preserve"> - Référentiel</w:t>
            </w:r>
            <w:r>
              <w:rPr>
                <w:sz w:val="20"/>
                <w:szCs w:val="20"/>
              </w:rPr>
              <w:t>s</w:t>
            </w:r>
            <w:r w:rsidRPr="0000352D">
              <w:rPr>
                <w:sz w:val="20"/>
                <w:szCs w:val="20"/>
              </w:rPr>
              <w:t xml:space="preserve"> d’interprétation</w:t>
            </w:r>
          </w:p>
        </w:tc>
      </w:tr>
      <w:tr w:rsidR="00CC528C" w:rsidRPr="0000352D" w14:paraId="2C6DC136" w14:textId="77777777" w:rsidTr="00252EF4">
        <w:tc>
          <w:tcPr>
            <w:tcW w:w="1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1795C925" w14:textId="1B7825D6" w:rsidR="00CC528C" w:rsidRPr="00D378BC" w:rsidRDefault="00095D4E">
            <w:pPr>
              <w:jc w:val="center"/>
              <w:rPr>
                <w:sz w:val="20"/>
                <w:szCs w:val="20"/>
              </w:rPr>
            </w:pPr>
            <w:r>
              <w:rPr>
                <w:sz w:val="20"/>
                <w:szCs w:val="20"/>
              </w:rPr>
              <w:t>Service</w:t>
            </w:r>
          </w:p>
        </w:tc>
        <w:tc>
          <w:tcPr>
            <w:tcW w:w="11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685254B3" w14:textId="77777777" w:rsidR="00CC528C" w:rsidRPr="00D378BC" w:rsidRDefault="00CC528C">
            <w:pPr>
              <w:jc w:val="center"/>
              <w:rPr>
                <w:sz w:val="20"/>
                <w:szCs w:val="20"/>
              </w:rPr>
            </w:pPr>
            <w:r w:rsidRPr="00D378BC">
              <w:rPr>
                <w:sz w:val="20"/>
                <w:szCs w:val="20"/>
              </w:rPr>
              <w:t>Fonction</w:t>
            </w:r>
          </w:p>
        </w:tc>
        <w:tc>
          <w:tcPr>
            <w:tcW w:w="11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39884313" w14:textId="7CDC066D" w:rsidR="00CC528C" w:rsidRPr="00D378BC" w:rsidRDefault="00B41692">
            <w:pPr>
              <w:jc w:val="center"/>
              <w:rPr>
                <w:sz w:val="20"/>
                <w:szCs w:val="20"/>
              </w:rPr>
            </w:pPr>
            <w:r>
              <w:rPr>
                <w:sz w:val="20"/>
                <w:szCs w:val="20"/>
              </w:rPr>
              <w:t>Forme</w:t>
            </w:r>
          </w:p>
        </w:tc>
        <w:tc>
          <w:tcPr>
            <w:tcW w:w="10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3B8206E5" w14:textId="3542DDD8" w:rsidR="00CC528C" w:rsidRPr="00D378BC" w:rsidRDefault="008928AB">
            <w:pPr>
              <w:jc w:val="center"/>
              <w:rPr>
                <w:sz w:val="20"/>
                <w:szCs w:val="20"/>
              </w:rPr>
            </w:pPr>
            <w:r w:rsidRPr="00D378BC">
              <w:rPr>
                <w:sz w:val="20"/>
                <w:szCs w:val="20"/>
              </w:rPr>
              <w:t>Évaluation</w:t>
            </w:r>
          </w:p>
        </w:tc>
        <w:tc>
          <w:tcPr>
            <w:tcW w:w="45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064F549D" w14:textId="77777777" w:rsidR="00CC528C" w:rsidRPr="00D378BC" w:rsidRDefault="00CC528C">
            <w:pPr>
              <w:jc w:val="center"/>
              <w:rPr>
                <w:sz w:val="20"/>
                <w:szCs w:val="20"/>
              </w:rPr>
            </w:pPr>
            <w:r w:rsidRPr="00D378BC">
              <w:rPr>
                <w:sz w:val="20"/>
                <w:szCs w:val="20"/>
              </w:rPr>
              <w:t>Référentiel</w:t>
            </w:r>
          </w:p>
        </w:tc>
      </w:tr>
      <w:tr w:rsidR="008928AB" w:rsidRPr="0000352D" w14:paraId="5A4F1899" w14:textId="77777777" w:rsidTr="00915FD6">
        <w:tc>
          <w:tcPr>
            <w:tcW w:w="1182" w:type="dxa"/>
            <w:vMerge w:val="restart"/>
            <w:tcBorders>
              <w:top w:val="single" w:sz="4" w:space="0" w:color="FFFFFF" w:themeColor="background1"/>
            </w:tcBorders>
            <w:vAlign w:val="center"/>
          </w:tcPr>
          <w:p w14:paraId="0999F49C" w14:textId="77777777" w:rsidR="008928AB" w:rsidRPr="0000352D" w:rsidRDefault="008928AB" w:rsidP="00523E5F">
            <w:pPr>
              <w:jc w:val="left"/>
              <w:rPr>
                <w:sz w:val="20"/>
                <w:szCs w:val="20"/>
              </w:rPr>
            </w:pPr>
            <w:r w:rsidRPr="0000352D">
              <w:rPr>
                <w:sz w:val="20"/>
                <w:szCs w:val="20"/>
              </w:rPr>
              <w:t>Production</w:t>
            </w:r>
          </w:p>
        </w:tc>
        <w:tc>
          <w:tcPr>
            <w:tcW w:w="1175" w:type="dxa"/>
            <w:vMerge w:val="restart"/>
            <w:tcBorders>
              <w:top w:val="single" w:sz="4" w:space="0" w:color="FFFFFF" w:themeColor="background1"/>
            </w:tcBorders>
            <w:vAlign w:val="center"/>
          </w:tcPr>
          <w:p w14:paraId="7249BCCA" w14:textId="77777777" w:rsidR="008928AB" w:rsidRPr="0000352D" w:rsidRDefault="008928AB" w:rsidP="00523E5F">
            <w:pPr>
              <w:jc w:val="left"/>
              <w:rPr>
                <w:sz w:val="20"/>
                <w:szCs w:val="20"/>
              </w:rPr>
            </w:pPr>
            <w:r w:rsidRPr="0000352D">
              <w:rPr>
                <w:sz w:val="20"/>
                <w:szCs w:val="20"/>
              </w:rPr>
              <w:t>Structure</w:t>
            </w:r>
          </w:p>
        </w:tc>
        <w:tc>
          <w:tcPr>
            <w:tcW w:w="1107" w:type="dxa"/>
            <w:vMerge w:val="restart"/>
            <w:tcBorders>
              <w:top w:val="single" w:sz="4" w:space="0" w:color="FFFFFF" w:themeColor="background1"/>
            </w:tcBorders>
            <w:vAlign w:val="center"/>
          </w:tcPr>
          <w:p w14:paraId="11DC9376" w14:textId="6D1E247B" w:rsidR="008928AB" w:rsidRPr="008928AB" w:rsidRDefault="00915FD6" w:rsidP="00915FD6">
            <w:pPr>
              <w:jc w:val="center"/>
              <w:rPr>
                <w:sz w:val="20"/>
                <w:szCs w:val="20"/>
              </w:rPr>
            </w:pPr>
            <w:r>
              <w:rPr>
                <w:noProof/>
                <w:sz w:val="20"/>
                <w:szCs w:val="20"/>
              </w:rPr>
              <mc:AlternateContent>
                <mc:Choice Requires="wps">
                  <w:drawing>
                    <wp:inline distT="0" distB="0" distL="0" distR="0" wp14:anchorId="386A6C09" wp14:editId="65BF57BB">
                      <wp:extent cx="94615" cy="153035"/>
                      <wp:effectExtent l="0" t="0" r="76835" b="56515"/>
                      <wp:docPr id="361314639" name="Connecteur droit avec flèche 1"/>
                      <wp:cNvGraphicFramePr/>
                      <a:graphic xmlns:a="http://schemas.openxmlformats.org/drawingml/2006/main">
                        <a:graphicData uri="http://schemas.microsoft.com/office/word/2010/wordprocessingShape">
                          <wps:wsp>
                            <wps:cNvCnPr/>
                            <wps:spPr>
                              <a:xfrm>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751DA511" id="Connecteur droit avec flèche 1" o:spid="_x0000_s1026" type="#_x0000_t32" style="width:7.45pt;height:12.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" strokecolor="#0e2841 [3215]" strokeweight="1pt">
                      <v:stroke endarrow="block" joinstyle="miter"/>
                      <w10:anchorlock/>
                    </v:shape>
                  </w:pict>
                </mc:Fallback>
              </mc:AlternateContent>
            </w:r>
          </w:p>
        </w:tc>
        <w:tc>
          <w:tcPr>
            <w:tcW w:w="1067" w:type="dxa"/>
            <w:tcBorders>
              <w:top w:val="single" w:sz="4" w:space="0" w:color="FFFFFF" w:themeColor="background1"/>
            </w:tcBorders>
            <w:shd w:val="clear" w:color="auto" w:fill="F2F9EB"/>
            <w:vAlign w:val="center"/>
          </w:tcPr>
          <w:p w14:paraId="5611D5EE" w14:textId="31ADF947" w:rsidR="008928AB" w:rsidRPr="00A96F48" w:rsidRDefault="00A96F48" w:rsidP="00523E5F">
            <w:pPr>
              <w:jc w:val="left"/>
              <w:rPr>
                <w:sz w:val="20"/>
                <w:szCs w:val="20"/>
                <w:vertAlign w:val="subscript"/>
              </w:rPr>
            </w:pPr>
            <w:proofErr w:type="spellStart"/>
            <w:r>
              <w:rPr>
                <w:sz w:val="20"/>
                <w:szCs w:val="20"/>
              </w:rPr>
              <w:t>VESS</w:t>
            </w:r>
            <w:r>
              <w:rPr>
                <w:sz w:val="20"/>
                <w:szCs w:val="20"/>
                <w:vertAlign w:val="subscript"/>
              </w:rPr>
              <w:t>qualité</w:t>
            </w:r>
            <w:proofErr w:type="spellEnd"/>
          </w:p>
        </w:tc>
        <w:tc>
          <w:tcPr>
            <w:tcW w:w="4529" w:type="dxa"/>
            <w:vMerge w:val="restart"/>
            <w:tcBorders>
              <w:top w:val="single" w:sz="4" w:space="0" w:color="FFFFFF" w:themeColor="background1"/>
            </w:tcBorders>
            <w:vAlign w:val="center"/>
          </w:tcPr>
          <w:p w14:paraId="0548F0EB" w14:textId="77777777" w:rsidR="008928AB" w:rsidRPr="0000352D" w:rsidRDefault="008928AB" w:rsidP="00523E5F">
            <w:pPr>
              <w:jc w:val="left"/>
              <w:rPr>
                <w:sz w:val="20"/>
                <w:szCs w:val="20"/>
              </w:rPr>
            </w:pPr>
            <w:r w:rsidRPr="0000352D">
              <w:rPr>
                <w:sz w:val="20"/>
                <w:szCs w:val="20"/>
              </w:rPr>
              <w:t xml:space="preserve">Valeurs optimales pour croissance racinaire </w:t>
            </w:r>
            <w:r>
              <w:rPr>
                <w:sz w:val="20"/>
                <w:szCs w:val="20"/>
              </w:rPr>
              <w:fldChar w:fldCharType="begin"/>
            </w:r>
            <w:r>
              <w:rPr>
                <w:sz w:val="20"/>
                <w:szCs w:val="20"/>
              </w:rPr>
              <w:instrText xml:space="preserve"> ADDIN ZOTERO_ITEM CSL_CITATION {"citationID":"WLa4MM1Q","properties":{"unsorted":false,"formattedCitation":"(Ball et al., 2017)","plainCitation":"(Ball et al., 2017)","noteIndex":0},"citationItems":[{"id":471,"uris":["http://zotero.org/groups/5684833/items/AGAM8FM8"],"itemData":{"id":471,"type":"article-journal","abstract":"Visual soil evaluation techniques have gained popularity and are increasingly used in agriculture and soil science for research, consultancy and teaching purposes. We describe recent applications, developments, opportunities and limitations, mainly of the Visual Evaluation of Soil Structure (for topsoil (VESS) and for subsoil (SubVESS)), and of the Visual Soil Assessment (VSA). Data are taken from experiments on compaction and from assessments made in farmer’s fields in the UK, Brazil and New Zealand. The methods are widely used to detect compaction and are well-suited for monitoring changes in compaction status, particularly in relation to weather extremes. VESS proved useful in distinguishing grazing vs wheel compaction in the UK and Brazil by permitting detection of layers at different depths within the topsoil zone. The depths of compact layers are important for scoring management decisions for soil improvement. However the use of scores as limiting thresholds in different soil types needs the support of further soil measurements and/or additional visual assessments of soil and crop. VSA and VESS were also used to estimate the risk of significant soil emissions of nitrous oxide where compaction damage was present and rates of mineral N fertiliser were high. Visual assessments also have the potential to assess the risk of surface water runoff and nutrient loss. The potential role of soil colour was shown for the further development of visual evaluation techniques for a soil carbon storage index. Visual soil evaluation techniques also provide a useful visual aid for improving soil awareness in groups of stakeholders, helping the exchange of knowledge and ideas for innovation in agriculture.","collection-title":"Visual soil evaluation and soil compaction research","container-title":"Soil and Tillage Research","DOI":"10.1016/j.still.2016.07.006","ISSN":"0167-1987","journalAbbreviation":"Soil and Tillage Research","page":"114-124","source":"ScienceDirect","title":"Visual soil evaluation: A summary of some applications and potential developments for agriculture","title-short":"Visual soil evaluation","volume":"173","author":[{"family":"Ball","given":"Bruce C."},{"family":"Guimarães","given":"Rachel M. L."},{"family":"Cloy","given":"Joanna M."},{"family":"Hargreaves","given":"Paul R."},{"family":"Shepherd","given":"T. Graham"},{"family":"McKenzie","given":"Blair M."}],"issued":{"date-parts":[["2017",11,1]]}}}],"schema":"https://github.com/citation-style-language/schema/raw/master/csl-citation.json"} </w:instrText>
            </w:r>
            <w:r>
              <w:rPr>
                <w:sz w:val="20"/>
                <w:szCs w:val="20"/>
              </w:rPr>
              <w:fldChar w:fldCharType="separate"/>
            </w:r>
            <w:r w:rsidRPr="00DA409C">
              <w:rPr>
                <w:rFonts w:cs="Calibri"/>
                <w:sz w:val="20"/>
              </w:rPr>
              <w:t>(Ball et al., 2017)</w:t>
            </w:r>
            <w:r>
              <w:rPr>
                <w:sz w:val="20"/>
                <w:szCs w:val="20"/>
              </w:rPr>
              <w:fldChar w:fldCharType="end"/>
            </w:r>
          </w:p>
        </w:tc>
      </w:tr>
      <w:tr w:rsidR="008928AB" w:rsidRPr="0000352D" w14:paraId="12384696" w14:textId="77777777" w:rsidTr="00252EF4">
        <w:tc>
          <w:tcPr>
            <w:tcW w:w="1182" w:type="dxa"/>
            <w:vMerge/>
            <w:vAlign w:val="center"/>
          </w:tcPr>
          <w:p w14:paraId="276F8C63" w14:textId="77777777" w:rsidR="008928AB" w:rsidRPr="0000352D" w:rsidRDefault="008928AB">
            <w:pPr>
              <w:jc w:val="left"/>
              <w:rPr>
                <w:sz w:val="20"/>
                <w:szCs w:val="20"/>
              </w:rPr>
            </w:pPr>
          </w:p>
        </w:tc>
        <w:tc>
          <w:tcPr>
            <w:tcW w:w="1175" w:type="dxa"/>
            <w:vMerge/>
            <w:vAlign w:val="center"/>
          </w:tcPr>
          <w:p w14:paraId="7D696D88" w14:textId="77777777" w:rsidR="008928AB" w:rsidRPr="0000352D" w:rsidRDefault="008928AB">
            <w:pPr>
              <w:jc w:val="left"/>
              <w:rPr>
                <w:sz w:val="20"/>
                <w:szCs w:val="20"/>
              </w:rPr>
            </w:pPr>
          </w:p>
        </w:tc>
        <w:tc>
          <w:tcPr>
            <w:tcW w:w="1107" w:type="dxa"/>
            <w:vMerge/>
            <w:vAlign w:val="center"/>
          </w:tcPr>
          <w:p w14:paraId="509BE3C1" w14:textId="769947EA" w:rsidR="008928AB" w:rsidRPr="0000352D" w:rsidRDefault="008928AB">
            <w:pPr>
              <w:jc w:val="left"/>
              <w:rPr>
                <w:sz w:val="20"/>
                <w:szCs w:val="20"/>
              </w:rPr>
            </w:pPr>
          </w:p>
        </w:tc>
        <w:tc>
          <w:tcPr>
            <w:tcW w:w="1067" w:type="dxa"/>
            <w:shd w:val="clear" w:color="auto" w:fill="EFF5FB"/>
            <w:vAlign w:val="center"/>
          </w:tcPr>
          <w:p w14:paraId="077D4BF1" w14:textId="0930AC9A" w:rsidR="008928AB" w:rsidRPr="0000352D" w:rsidRDefault="00A96F48" w:rsidP="00252EF4">
            <w:pPr>
              <w:jc w:val="left"/>
              <w:rPr>
                <w:sz w:val="20"/>
                <w:szCs w:val="20"/>
              </w:rPr>
            </w:pPr>
            <w:proofErr w:type="spellStart"/>
            <w:r>
              <w:rPr>
                <w:sz w:val="20"/>
                <w:szCs w:val="20"/>
              </w:rPr>
              <w:t>VESS</w:t>
            </w:r>
            <w:r>
              <w:rPr>
                <w:sz w:val="20"/>
                <w:szCs w:val="20"/>
                <w:vertAlign w:val="subscript"/>
              </w:rPr>
              <w:t>santé</w:t>
            </w:r>
            <w:proofErr w:type="spellEnd"/>
          </w:p>
        </w:tc>
        <w:tc>
          <w:tcPr>
            <w:tcW w:w="4529" w:type="dxa"/>
            <w:vMerge/>
          </w:tcPr>
          <w:p w14:paraId="6CD71472" w14:textId="77777777" w:rsidR="008928AB" w:rsidRPr="0000352D" w:rsidRDefault="008928AB">
            <w:pPr>
              <w:rPr>
                <w:sz w:val="20"/>
                <w:szCs w:val="20"/>
              </w:rPr>
            </w:pPr>
          </w:p>
        </w:tc>
      </w:tr>
    </w:tbl>
    <w:p w14:paraId="0CE5815E" w14:textId="7F54CF55" w:rsidR="00F43615" w:rsidRDefault="00F43615" w:rsidP="00F43615">
      <w:pPr>
        <w:keepNext/>
      </w:pPr>
    </w:p>
    <w:p w14:paraId="6FB382F8" w14:textId="77777777" w:rsidR="00871956" w:rsidRDefault="00871956" w:rsidP="00871956">
      <w:pPr>
        <w:pStyle w:val="Lgende"/>
        <w:keepNext/>
        <w:jc w:val="center"/>
      </w:pPr>
      <w:r>
        <w:rPr>
          <w:i w:val="0"/>
          <w:iCs w:val="0"/>
          <w:noProof/>
        </w:rPr>
        <w:drawing>
          <wp:inline distT="0" distB="0" distL="0" distR="0" wp14:anchorId="60DA3181" wp14:editId="6A5952FE">
            <wp:extent cx="4080681" cy="2914000"/>
            <wp:effectExtent l="0" t="0" r="0" b="1270"/>
            <wp:docPr id="845067140"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89861" cy="2920555"/>
                    </a:xfrm>
                    <a:prstGeom prst="rect">
                      <a:avLst/>
                    </a:prstGeom>
                    <a:noFill/>
                    <a:ln>
                      <a:noFill/>
                    </a:ln>
                  </pic:spPr>
                </pic:pic>
              </a:graphicData>
            </a:graphic>
          </wp:inline>
        </w:drawing>
      </w:r>
    </w:p>
    <w:p w14:paraId="0D7CC1AF" w14:textId="5D472860" w:rsidR="00B43CBD" w:rsidRPr="00871956" w:rsidRDefault="00871956" w:rsidP="00871956">
      <w:pPr>
        <w:pStyle w:val="Lgende"/>
        <w:jc w:val="center"/>
        <w:rPr>
          <w:i w:val="0"/>
          <w:iCs w:val="0"/>
        </w:rPr>
      </w:pPr>
      <w:bookmarkStart w:id="42" w:name="_Toc241505108"/>
      <w:r w:rsidRPr="00871956">
        <w:rPr>
          <w:i w:val="0"/>
          <w:iCs w:val="0"/>
        </w:rPr>
        <w:t xml:space="preserve">Figure </w:t>
      </w:r>
      <w:r w:rsidRPr="00871956">
        <w:rPr>
          <w:i w:val="0"/>
          <w:iCs w:val="0"/>
        </w:rPr>
        <w:fldChar w:fldCharType="begin"/>
      </w:r>
      <w:r w:rsidRPr="00871956">
        <w:rPr>
          <w:i w:val="0"/>
          <w:iCs w:val="0"/>
        </w:rPr>
        <w:instrText xml:space="preserve"> SEQ Figure \* ARABIC </w:instrText>
      </w:r>
      <w:r w:rsidRPr="00871956">
        <w:rPr>
          <w:i w:val="0"/>
          <w:iCs w:val="0"/>
        </w:rPr>
        <w:fldChar w:fldCharType="separate"/>
      </w:r>
      <w:r w:rsidR="00B90382">
        <w:rPr>
          <w:i w:val="0"/>
          <w:iCs w:val="0"/>
          <w:noProof/>
        </w:rPr>
        <w:t>2</w:t>
      </w:r>
      <w:r w:rsidRPr="00871956">
        <w:rPr>
          <w:i w:val="0"/>
          <w:iCs w:val="0"/>
        </w:rPr>
        <w:fldChar w:fldCharType="end"/>
      </w:r>
      <w:r w:rsidRPr="00871956">
        <w:rPr>
          <w:i w:val="0"/>
          <w:iCs w:val="0"/>
        </w:rPr>
        <w:t xml:space="preserve"> : Exemple de fonction d'interprétation pour l’indicateur Qualité structurale (fonction Structure, SE Production – cultures)</w:t>
      </w:r>
      <w:r>
        <w:rPr>
          <w:rStyle w:val="Appelnotedebasdep"/>
          <w:i w:val="0"/>
          <w:iCs w:val="0"/>
        </w:rPr>
        <w:footnoteReference w:id="2"/>
      </w:r>
      <w:bookmarkEnd w:id="42"/>
    </w:p>
    <w:p w14:paraId="4ACD499A" w14:textId="77777777" w:rsidR="00B43CBD" w:rsidRPr="00D266E2" w:rsidRDefault="00B43CBD" w:rsidP="004126FE"/>
    <w:p w14:paraId="2A270E7D" w14:textId="4C465FD7" w:rsidR="00FC24FF" w:rsidRDefault="00493A0D" w:rsidP="00876101">
      <w:pPr>
        <w:pStyle w:val="Titre2"/>
        <w:numPr>
          <w:ilvl w:val="1"/>
          <w:numId w:val="3"/>
        </w:numPr>
      </w:pPr>
      <w:bookmarkStart w:id="43" w:name="_Ref233114529"/>
      <w:bookmarkStart w:id="44" w:name="_Toc241505264"/>
      <w:r>
        <w:t>Drainage (p</w:t>
      </w:r>
      <w:r w:rsidR="00C929E8" w:rsidRPr="00C929E8">
        <w:t xml:space="preserve">résence et profondeur d’apparition des </w:t>
      </w:r>
      <w:r w:rsidR="00C929E8">
        <w:t>t</w:t>
      </w:r>
      <w:r w:rsidR="004126FE">
        <w:t>aches d’hydromorphie</w:t>
      </w:r>
      <w:r>
        <w:t>)</w:t>
      </w:r>
      <w:bookmarkEnd w:id="43"/>
      <w:bookmarkEnd w:id="44"/>
    </w:p>
    <w:p w14:paraId="1C566B00" w14:textId="77777777" w:rsidR="00C52C57" w:rsidRDefault="00C52C57" w:rsidP="00876101">
      <w:pPr>
        <w:pStyle w:val="Titre3"/>
        <w:numPr>
          <w:ilvl w:val="2"/>
          <w:numId w:val="3"/>
        </w:numPr>
      </w:pPr>
      <w:bookmarkStart w:id="45" w:name="_Toc241505265"/>
      <w:r>
        <w:t>Définition</w:t>
      </w:r>
      <w:bookmarkEnd w:id="45"/>
    </w:p>
    <w:p w14:paraId="409BC9A8" w14:textId="5CB93B4F" w:rsidR="00810D78" w:rsidRDefault="00581531" w:rsidP="00C52C57">
      <w:r>
        <w:t xml:space="preserve">Les taches d’hydromorphie font référence à une coloration du sol </w:t>
      </w:r>
      <w:r w:rsidR="000B190E">
        <w:t xml:space="preserve">liée à l’état d’oxydation du fer </w:t>
      </w:r>
      <w:r w:rsidR="007551B5">
        <w:t>en raison d’un engorgement en eau, temporaire ou permanent.</w:t>
      </w:r>
      <w:r w:rsidR="008419DC">
        <w:t xml:space="preserve"> Leur présence témoigne d’un </w:t>
      </w:r>
      <w:r w:rsidR="00493A0D">
        <w:t>drainage</w:t>
      </w:r>
      <w:r w:rsidR="382FFFB8">
        <w:t xml:space="preserve"> faible</w:t>
      </w:r>
      <w:r w:rsidR="00493A0D">
        <w:t>.</w:t>
      </w:r>
      <w:r w:rsidR="007551B5">
        <w:t xml:space="preserve"> </w:t>
      </w:r>
    </w:p>
    <w:p w14:paraId="51368014" w14:textId="0C68D965" w:rsidR="00810D78" w:rsidRDefault="007551B5" w:rsidP="00C52C57">
      <w:r>
        <w:t xml:space="preserve">En cas d’engorgement </w:t>
      </w:r>
      <w:r w:rsidR="00C95332">
        <w:t>temporaire, des taches de couleur rouille</w:t>
      </w:r>
      <w:r w:rsidR="00C14148">
        <w:t xml:space="preserve"> (« </w:t>
      </w:r>
      <w:proofErr w:type="spellStart"/>
      <w:r w:rsidR="00C14148">
        <w:t>pseudo-gley</w:t>
      </w:r>
      <w:proofErr w:type="spellEnd"/>
      <w:r w:rsidR="00C14148">
        <w:t> »)</w:t>
      </w:r>
      <w:r w:rsidR="00C95332">
        <w:t xml:space="preserve"> apparaissent sur le sol, témoins </w:t>
      </w:r>
      <w:r w:rsidR="00FB5B8D">
        <w:t>de l’oxydation du fer liée aux cycles d</w:t>
      </w:r>
      <w:r w:rsidR="00AA1F74">
        <w:t xml:space="preserve">’engorgement et de ressuyage. </w:t>
      </w:r>
      <w:r w:rsidR="009D0E9E">
        <w:t xml:space="preserve">Les causes de ce phénomène d’accumulation temporaire d’eau sont la présence d’une nappe affleurante battante, ou </w:t>
      </w:r>
      <w:r w:rsidR="004B0CC9">
        <w:t>d’une couche compactée (semelle de labour) ou argileuse</w:t>
      </w:r>
      <w:r w:rsidR="00090F50">
        <w:t xml:space="preserve"> limitante pour le </w:t>
      </w:r>
      <w:r w:rsidR="00810D78">
        <w:t xml:space="preserve">drainage. </w:t>
      </w:r>
    </w:p>
    <w:p w14:paraId="3A539A92" w14:textId="438953F2" w:rsidR="00C52C57" w:rsidRPr="00765745" w:rsidRDefault="00810D78" w:rsidP="00C52C57">
      <w:r>
        <w:t>Des taches de couleur gris</w:t>
      </w:r>
      <w:r w:rsidR="00240AF6">
        <w:t>, bleuâtres ou verdâtres</w:t>
      </w:r>
      <w:r>
        <w:t xml:space="preserve"> </w:t>
      </w:r>
      <w:r w:rsidR="000B190E">
        <w:t xml:space="preserve">apparaissent dans le sol </w:t>
      </w:r>
      <w:r w:rsidR="00E32F91">
        <w:t>en cas d’engorgement permanent</w:t>
      </w:r>
      <w:r w:rsidR="00F031CB">
        <w:t xml:space="preserve"> (nappe permanente)</w:t>
      </w:r>
      <w:r w:rsidR="00E32F91">
        <w:t>.</w:t>
      </w:r>
      <w:r w:rsidR="00766A80">
        <w:t xml:space="preserve"> </w:t>
      </w:r>
      <w:r w:rsidR="00B936F5">
        <w:t>Elles reflètent la réduction du fer en l’absence d’oxygène.</w:t>
      </w:r>
      <w:r w:rsidR="00E32F91">
        <w:t xml:space="preserve"> Ces taches sont parfois accompagnées d’odeurs de putréfaction si des résidus organiques non-dégradés sont présents.</w:t>
      </w:r>
    </w:p>
    <w:p w14:paraId="345D9607" w14:textId="77777777" w:rsidR="00C52C57" w:rsidRDefault="00C52C57" w:rsidP="00876101">
      <w:pPr>
        <w:pStyle w:val="Titre3"/>
        <w:numPr>
          <w:ilvl w:val="2"/>
          <w:numId w:val="3"/>
        </w:numPr>
      </w:pPr>
      <w:bookmarkStart w:id="46" w:name="_Toc241505266"/>
      <w:r>
        <w:lastRenderedPageBreak/>
        <w:t>Pertinence</w:t>
      </w:r>
      <w:bookmarkEnd w:id="46"/>
    </w:p>
    <w:p w14:paraId="05514CDC" w14:textId="265C0E1A" w:rsidR="00C52C57" w:rsidRPr="00765745" w:rsidRDefault="00A316E7" w:rsidP="00C52C57">
      <w:r>
        <w:t>Les taches d’hydromorphie sont les signes visibles d</w:t>
      </w:r>
      <w:r w:rsidR="00E073C7">
        <w:t xml:space="preserve">’un drainage </w:t>
      </w:r>
      <w:r w:rsidR="7DEFD90F">
        <w:t>faible</w:t>
      </w:r>
      <w:r w:rsidR="006309FD">
        <w:t xml:space="preserve"> dans </w:t>
      </w:r>
      <w:r w:rsidR="00074CB6">
        <w:t>le profil</w:t>
      </w:r>
      <w:r w:rsidR="00E073C7">
        <w:t xml:space="preserve">. Elles </w:t>
      </w:r>
      <w:r w:rsidR="00074CB6">
        <w:t>permettent de diagnostiquer</w:t>
      </w:r>
      <w:r w:rsidR="00E073C7">
        <w:t xml:space="preserve"> d</w:t>
      </w:r>
      <w:r w:rsidR="006309FD">
        <w:t>e</w:t>
      </w:r>
      <w:r w:rsidR="00074CB6">
        <w:t xml:space="preserve">s </w:t>
      </w:r>
      <w:r w:rsidR="006309FD">
        <w:t xml:space="preserve">conditions </w:t>
      </w:r>
      <w:r w:rsidR="00074CB6">
        <w:t xml:space="preserve">d’anoxie, limitante pour le développement racinaire, </w:t>
      </w:r>
      <w:r w:rsidR="000C5A0F">
        <w:t>et une limitation des capacités d’infiltration et d’évacuation de l’eau.</w:t>
      </w:r>
    </w:p>
    <w:p w14:paraId="1AFE3DE2" w14:textId="77777777" w:rsidR="00C52C57" w:rsidRDefault="00C52C57" w:rsidP="00876101">
      <w:pPr>
        <w:pStyle w:val="Titre3"/>
        <w:numPr>
          <w:ilvl w:val="2"/>
          <w:numId w:val="3"/>
        </w:numPr>
      </w:pPr>
      <w:bookmarkStart w:id="47" w:name="_Toc241505267"/>
      <w:r>
        <w:t>Méthode de mesure</w:t>
      </w:r>
      <w:bookmarkEnd w:id="47"/>
    </w:p>
    <w:p w14:paraId="67E0E14A" w14:textId="0DE55043" w:rsidR="000C5A0F" w:rsidRDefault="000C5A0F" w:rsidP="00C52C57">
      <w:r>
        <w:t xml:space="preserve">Les taches d’hydromorphie s’observent sur le terrain, </w:t>
      </w:r>
      <w:r w:rsidR="00B9377A">
        <w:t xml:space="preserve">dans le cadre de la description du profil tarière. Il s’agit de relever, pour chaque horizon, la présence </w:t>
      </w:r>
      <w:r w:rsidR="001E2CE4">
        <w:t>éventuelle des taches (rouille, gris-bleu, ou les 2) et de prendre note de leur profondeur d’apparition</w:t>
      </w:r>
      <w:r w:rsidR="005502AF">
        <w:t>.</w:t>
      </w:r>
    </w:p>
    <w:p w14:paraId="5E9BCB1B" w14:textId="77777777" w:rsidR="00C52C57" w:rsidRDefault="00C52C57" w:rsidP="00876101">
      <w:pPr>
        <w:pStyle w:val="Titre3"/>
        <w:numPr>
          <w:ilvl w:val="2"/>
          <w:numId w:val="3"/>
        </w:numPr>
      </w:pPr>
      <w:bookmarkStart w:id="48" w:name="_Toc241505268"/>
      <w:r w:rsidRPr="00C23A2C">
        <w:t>Interprétation</w:t>
      </w:r>
      <w:bookmarkEnd w:id="48"/>
    </w:p>
    <w:p w14:paraId="7B357036" w14:textId="1ED9FD2B" w:rsidR="00FF14D9" w:rsidRDefault="00F43F83" w:rsidP="00333852">
      <w:r>
        <w:t xml:space="preserve">La </w:t>
      </w:r>
      <w:r w:rsidR="00623903" w:rsidRPr="00623903">
        <w:t>Légende de la Carte Numérique des Sols de Wallonie</w:t>
      </w:r>
      <w:r w:rsidR="00623903">
        <w:t xml:space="preserve"> </w:t>
      </w:r>
      <w:r w:rsidR="00623903">
        <w:fldChar w:fldCharType="begin"/>
      </w:r>
      <w:r w:rsidR="00623903">
        <w:instrText xml:space="preserve"> ADDIN ZOTERO_ITEM CSL_CITATION {"citationID":"w12ZYBJy","properties":{"unsorted":false,"formattedCitation":"(Bah et al., 2007)","plainCitation":"(Bah et al., 2007)","noteIndex":0},"citationItems":[{"id":20,"uris":["http://zotero.org/groups/5684833/items/AHCVNBT5"],"itemData":{"id":20,"type":"report","publisher":"Faculté universitaire des Sciences agronomiques de Gembloux – Laboratoire de Géopédologie, en relation avec le PCNSW (convention pour le compte de la Région Wallonne – DGA)","title":"Légende de la Carte Numérique des Sols de Wallonie (Belgique) sur base de la légende originale de la Carte des sols de la Belgique de l’IRSIA à 1/20.000","URL":"https://www.fichierecologique.be/resources/LCNSW_V2.pdf","author":[{"family":"Bah","given":"B."},{"family":"Engels","given":"P."},{"family":"Legrain","given":"X."},{"family":"Colinet","given":"G."}],"issued":{"date-parts":[["2007",12]]}}}],"schema":"https://github.com/citation-style-language/schema/raw/master/csl-citation.json"} </w:instrText>
      </w:r>
      <w:r w:rsidR="00623903">
        <w:fldChar w:fldCharType="separate"/>
      </w:r>
      <w:r w:rsidR="00623903" w:rsidRPr="00623903">
        <w:rPr>
          <w:rFonts w:cs="Calibri"/>
        </w:rPr>
        <w:t>(Bah et al., 2007)</w:t>
      </w:r>
      <w:r w:rsidR="00623903">
        <w:fldChar w:fldCharType="end"/>
      </w:r>
      <w:r w:rsidR="0014377D">
        <w:t xml:space="preserve"> </w:t>
      </w:r>
      <w:r w:rsidR="002776CB">
        <w:t xml:space="preserve">présente une </w:t>
      </w:r>
      <w:r w:rsidR="0084104B">
        <w:t>grille d</w:t>
      </w:r>
      <w:r w:rsidR="004E5C5A">
        <w:t xml:space="preserve">’appréciation du </w:t>
      </w:r>
      <w:r w:rsidR="002776CB">
        <w:t xml:space="preserve">drainage </w:t>
      </w:r>
      <w:r w:rsidR="004E5C5A">
        <w:t xml:space="preserve">naturel </w:t>
      </w:r>
      <w:r w:rsidR="002776CB">
        <w:t xml:space="preserve">en fonction de la profondeur d’apparition des taches </w:t>
      </w:r>
      <w:r w:rsidR="00DA10A8">
        <w:t>d’oxydo-réduction et/ou de réduction.</w:t>
      </w:r>
      <w:r w:rsidR="0084104B">
        <w:t xml:space="preserve"> Deux ensembles de classes texturales y sont distinguées : les textures </w:t>
      </w:r>
      <w:r w:rsidR="004E5C5A">
        <w:t xml:space="preserve">plutôt sableuses (Z, S, P) et les textures </w:t>
      </w:r>
      <w:r w:rsidR="00C03E8F">
        <w:t xml:space="preserve">plutôt limoneuses / argileuses ou </w:t>
      </w:r>
      <w:r w:rsidR="00A93E7D">
        <w:t>limono-caillouteuses</w:t>
      </w:r>
      <w:r w:rsidR="00C03E8F">
        <w:t xml:space="preserve"> (L, A, E, U, G).</w:t>
      </w:r>
      <w:r w:rsidR="002342DC">
        <w:t xml:space="preserve"> </w:t>
      </w:r>
      <w:r w:rsidR="005365BB" w:rsidRPr="004C727B">
        <w:t>Ce référentiel est utilisé à la fois pour caractériser la qualité et la santé.</w:t>
      </w:r>
      <w:r w:rsidR="004C727B">
        <w:t xml:space="preserve"> </w:t>
      </w:r>
      <w:r w:rsidR="00156751">
        <w:t>Au plus les taches d’hydromorphie sont profondes, au plus le drainage est considéré comme étant favorable</w:t>
      </w:r>
      <w:r w:rsidR="005365BB">
        <w:t xml:space="preserve"> ; de ce fait, </w:t>
      </w:r>
      <w:r w:rsidR="005167FC">
        <w:t>la fonction</w:t>
      </w:r>
      <w:r w:rsidR="005365BB">
        <w:t xml:space="preserve"> d’interprétation prend une forme « more </w:t>
      </w:r>
      <w:proofErr w:type="spellStart"/>
      <w:r w:rsidR="005365BB">
        <w:t>is</w:t>
      </w:r>
      <w:proofErr w:type="spellEnd"/>
      <w:r w:rsidR="005365BB">
        <w:t xml:space="preserve"> </w:t>
      </w:r>
      <w:proofErr w:type="spellStart"/>
      <w:r w:rsidR="005365BB">
        <w:t>better</w:t>
      </w:r>
      <w:proofErr w:type="spellEnd"/>
      <w:r w:rsidR="005365BB">
        <w:t> ».</w:t>
      </w:r>
    </w:p>
    <w:p w14:paraId="588031D6" w14:textId="36324169" w:rsidR="00C52C57" w:rsidRDefault="00333852" w:rsidP="00C52C57">
      <w:pPr>
        <w:pStyle w:val="Lgende"/>
        <w:keepNext/>
        <w:jc w:val="center"/>
      </w:pPr>
      <w:bookmarkStart w:id="49" w:name="_Toc233122659"/>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3</w:t>
      </w:r>
      <w:r w:rsidRPr="00261C30">
        <w:rPr>
          <w:i w:val="0"/>
          <w:iCs w:val="0"/>
        </w:rPr>
        <w:fldChar w:fldCharType="end"/>
      </w:r>
      <w:r w:rsidRPr="00261C30">
        <w:rPr>
          <w:i w:val="0"/>
          <w:iCs w:val="0"/>
        </w:rPr>
        <w:t xml:space="preserve"> : Référentiels d’interprétation </w:t>
      </w:r>
      <w:r>
        <w:rPr>
          <w:i w:val="0"/>
          <w:iCs w:val="0"/>
        </w:rPr>
        <w:t>du</w:t>
      </w:r>
      <w:r w:rsidRPr="00261C30">
        <w:rPr>
          <w:i w:val="0"/>
          <w:iCs w:val="0"/>
        </w:rPr>
        <w:t xml:space="preserve"> paramètre </w:t>
      </w:r>
      <w:r>
        <w:rPr>
          <w:i w:val="0"/>
          <w:iCs w:val="0"/>
        </w:rPr>
        <w:t>ou</w:t>
      </w:r>
      <w:r w:rsidRPr="00261C30">
        <w:rPr>
          <w:i w:val="0"/>
          <w:iCs w:val="0"/>
        </w:rPr>
        <w:t xml:space="preserve"> indicateur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i w:val="0"/>
          <w:iCs w:val="0"/>
          <w:noProof/>
        </w:rPr>
        <w:drawing>
          <wp:inline distT="0" distB="0" distL="0" distR="0" wp14:anchorId="1C7484A0" wp14:editId="3D10C198">
            <wp:extent cx="91440" cy="118745"/>
            <wp:effectExtent l="0" t="0" r="3810" b="0"/>
            <wp:docPr id="38034204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i w:val="0"/>
          <w:iCs w:val="0"/>
          <w:noProof/>
        </w:rPr>
        <w:drawing>
          <wp:inline distT="0" distB="0" distL="0" distR="0" wp14:anchorId="46DFCB65" wp14:editId="128AC01B">
            <wp:extent cx="85917" cy="88985"/>
            <wp:effectExtent l="0" t="0" r="9525" b="6350"/>
            <wp:docPr id="81430089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i w:val="0"/>
          <w:iCs w:val="0"/>
          <w:noProof/>
        </w:rPr>
        <w:drawing>
          <wp:inline distT="0" distB="0" distL="0" distR="0" wp14:anchorId="6FF87A30" wp14:editId="2A746DFD">
            <wp:extent cx="164432" cy="65784"/>
            <wp:effectExtent l="0" t="0" r="7620" b="0"/>
            <wp:docPr id="115541511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w:t>
      </w:r>
      <w:bookmarkEnd w:id="49"/>
    </w:p>
    <w:tbl>
      <w:tblPr>
        <w:tblStyle w:val="Grilledutableau"/>
        <w:tblW w:w="0" w:type="auto"/>
        <w:tblCellMar>
          <w:top w:w="28" w:type="dxa"/>
          <w:bottom w:w="28" w:type="dxa"/>
        </w:tblCellMar>
        <w:tblLook w:val="04A0" w:firstRow="1" w:lastRow="0" w:firstColumn="1" w:lastColumn="0" w:noHBand="0" w:noVBand="1"/>
      </w:tblPr>
      <w:tblGrid>
        <w:gridCol w:w="1177"/>
        <w:gridCol w:w="1162"/>
        <w:gridCol w:w="1083"/>
        <w:gridCol w:w="1305"/>
        <w:gridCol w:w="4333"/>
      </w:tblGrid>
      <w:tr w:rsidR="00C52C57" w:rsidRPr="0000352D" w14:paraId="55077F5A" w14:textId="77777777" w:rsidTr="48222D96">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4904B7AF" w14:textId="5206E2F4" w:rsidR="00C52C57" w:rsidRPr="0000352D" w:rsidRDefault="00C929E8" w:rsidP="00FC6066">
            <w:pPr>
              <w:jc w:val="center"/>
              <w:rPr>
                <w:sz w:val="20"/>
                <w:szCs w:val="20"/>
              </w:rPr>
            </w:pPr>
            <w:r>
              <w:rPr>
                <w:sz w:val="20"/>
                <w:szCs w:val="20"/>
              </w:rPr>
              <w:t>Présence et profondeur d’apparition des t</w:t>
            </w:r>
            <w:r w:rsidR="005235B7">
              <w:rPr>
                <w:sz w:val="20"/>
                <w:szCs w:val="20"/>
              </w:rPr>
              <w:t>aches d’hydromorphie</w:t>
            </w:r>
            <w:r w:rsidR="00C52C57" w:rsidRPr="0000352D">
              <w:rPr>
                <w:sz w:val="20"/>
                <w:szCs w:val="20"/>
              </w:rPr>
              <w:t xml:space="preserve"> - Référentiel</w:t>
            </w:r>
            <w:r w:rsidR="00C52C57">
              <w:rPr>
                <w:sz w:val="20"/>
                <w:szCs w:val="20"/>
              </w:rPr>
              <w:t>s</w:t>
            </w:r>
            <w:r w:rsidR="00C52C57" w:rsidRPr="0000352D">
              <w:rPr>
                <w:sz w:val="20"/>
                <w:szCs w:val="20"/>
              </w:rPr>
              <w:t xml:space="preserve"> d’interprétation</w:t>
            </w:r>
          </w:p>
        </w:tc>
      </w:tr>
      <w:tr w:rsidR="00C52C57" w:rsidRPr="0000352D" w14:paraId="6F0D318C" w14:textId="77777777" w:rsidTr="48222D96">
        <w:tc>
          <w:tcPr>
            <w:tcW w:w="11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1BAD842D" w14:textId="6D46E90A" w:rsidR="00C52C57" w:rsidRPr="00423C23" w:rsidRDefault="00095D4E">
            <w:pPr>
              <w:jc w:val="center"/>
              <w:rPr>
                <w:sz w:val="20"/>
                <w:szCs w:val="20"/>
              </w:rPr>
            </w:pPr>
            <w:r>
              <w:rPr>
                <w:sz w:val="20"/>
                <w:szCs w:val="20"/>
              </w:rPr>
              <w:t>Service</w:t>
            </w:r>
          </w:p>
        </w:tc>
        <w:tc>
          <w:tcPr>
            <w:tcW w:w="11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6AB47C13" w14:textId="77777777" w:rsidR="00C52C57" w:rsidRPr="00423C23" w:rsidRDefault="00C52C57">
            <w:pPr>
              <w:jc w:val="center"/>
              <w:rPr>
                <w:sz w:val="20"/>
                <w:szCs w:val="20"/>
              </w:rPr>
            </w:pPr>
            <w:r w:rsidRPr="00423C23">
              <w:rPr>
                <w:sz w:val="20"/>
                <w:szCs w:val="20"/>
              </w:rPr>
              <w:t>Fonction</w:t>
            </w:r>
          </w:p>
        </w:tc>
        <w:tc>
          <w:tcPr>
            <w:tcW w:w="10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2908DAEB" w14:textId="73A3CEFA" w:rsidR="00C52C57" w:rsidRPr="00423C23" w:rsidRDefault="00B41692">
            <w:pPr>
              <w:jc w:val="center"/>
              <w:rPr>
                <w:sz w:val="20"/>
                <w:szCs w:val="20"/>
              </w:rPr>
            </w:pPr>
            <w:r>
              <w:rPr>
                <w:sz w:val="20"/>
                <w:szCs w:val="20"/>
              </w:rPr>
              <w:t>Forme</w:t>
            </w:r>
          </w:p>
        </w:tc>
        <w:tc>
          <w:tcPr>
            <w:tcW w:w="13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53C32011" w14:textId="198108C9" w:rsidR="00C52C57" w:rsidRPr="00423C23" w:rsidRDefault="00B41692">
            <w:pPr>
              <w:jc w:val="center"/>
              <w:rPr>
                <w:sz w:val="20"/>
                <w:szCs w:val="20"/>
              </w:rPr>
            </w:pPr>
            <w:r w:rsidRPr="00423C23">
              <w:rPr>
                <w:sz w:val="20"/>
                <w:szCs w:val="20"/>
              </w:rPr>
              <w:t>Évaluation</w:t>
            </w:r>
          </w:p>
        </w:tc>
        <w:tc>
          <w:tcPr>
            <w:tcW w:w="43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7FB21CF0" w14:textId="77777777" w:rsidR="00C52C57" w:rsidRPr="00423C23" w:rsidRDefault="00C52C57">
            <w:pPr>
              <w:jc w:val="center"/>
              <w:rPr>
                <w:sz w:val="20"/>
                <w:szCs w:val="20"/>
              </w:rPr>
            </w:pPr>
            <w:r w:rsidRPr="00423C23">
              <w:rPr>
                <w:sz w:val="20"/>
                <w:szCs w:val="20"/>
              </w:rPr>
              <w:t>Référentiel</w:t>
            </w:r>
          </w:p>
        </w:tc>
      </w:tr>
      <w:tr w:rsidR="00CD1779" w:rsidRPr="0000352D" w14:paraId="17FD9782" w14:textId="77777777" w:rsidTr="48222D96">
        <w:trPr>
          <w:trHeight w:val="577"/>
        </w:trPr>
        <w:tc>
          <w:tcPr>
            <w:tcW w:w="1177" w:type="dxa"/>
            <w:vMerge w:val="restart"/>
            <w:tcBorders>
              <w:top w:val="single" w:sz="4" w:space="0" w:color="FFFFFF" w:themeColor="background1"/>
            </w:tcBorders>
            <w:vAlign w:val="center"/>
          </w:tcPr>
          <w:p w14:paraId="255698D0" w14:textId="3CF47612" w:rsidR="00CD1779" w:rsidRDefault="00CD1779" w:rsidP="00523E5F">
            <w:pPr>
              <w:jc w:val="left"/>
              <w:rPr>
                <w:sz w:val="20"/>
                <w:szCs w:val="20"/>
              </w:rPr>
            </w:pPr>
            <w:r>
              <w:rPr>
                <w:sz w:val="20"/>
                <w:szCs w:val="20"/>
              </w:rPr>
              <w:t>Production</w:t>
            </w:r>
          </w:p>
        </w:tc>
        <w:tc>
          <w:tcPr>
            <w:tcW w:w="1162" w:type="dxa"/>
            <w:vMerge w:val="restart"/>
            <w:tcBorders>
              <w:top w:val="single" w:sz="4" w:space="0" w:color="FFFFFF" w:themeColor="background1"/>
            </w:tcBorders>
            <w:vAlign w:val="center"/>
          </w:tcPr>
          <w:p w14:paraId="06313AB5" w14:textId="66ADD985" w:rsidR="00CD1779" w:rsidRDefault="00CD1779" w:rsidP="00523E5F">
            <w:pPr>
              <w:jc w:val="left"/>
              <w:rPr>
                <w:sz w:val="20"/>
                <w:szCs w:val="20"/>
              </w:rPr>
            </w:pPr>
            <w:r>
              <w:rPr>
                <w:sz w:val="20"/>
                <w:szCs w:val="20"/>
              </w:rPr>
              <w:t>Structure</w:t>
            </w:r>
          </w:p>
        </w:tc>
        <w:tc>
          <w:tcPr>
            <w:tcW w:w="1083" w:type="dxa"/>
            <w:vMerge w:val="restart"/>
            <w:tcBorders>
              <w:top w:val="single" w:sz="4" w:space="0" w:color="FFFFFF" w:themeColor="background1"/>
            </w:tcBorders>
            <w:vAlign w:val="center"/>
          </w:tcPr>
          <w:p w14:paraId="29A5EEBF" w14:textId="1DF05E28" w:rsidR="00CD1779" w:rsidRPr="0000352D" w:rsidRDefault="00CD1779" w:rsidP="008E4502">
            <w:pPr>
              <w:jc w:val="center"/>
              <w:rPr>
                <w:sz w:val="20"/>
                <w:szCs w:val="20"/>
              </w:rPr>
            </w:pPr>
            <w:r>
              <w:rPr>
                <w:noProof/>
                <w:sz w:val="20"/>
                <w:szCs w:val="20"/>
              </w:rPr>
              <mc:AlternateContent>
                <mc:Choice Requires="wps">
                  <w:drawing>
                    <wp:inline distT="0" distB="0" distL="0" distR="0" wp14:anchorId="2958F5AE" wp14:editId="54D5E32F">
                      <wp:extent cx="94615" cy="153035"/>
                      <wp:effectExtent l="0" t="38100" r="57785" b="18415"/>
                      <wp:docPr id="1191855337"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67491C48"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305" w:type="dxa"/>
            <w:tcBorders>
              <w:top w:val="single" w:sz="4" w:space="0" w:color="FFFFFF" w:themeColor="background1"/>
            </w:tcBorders>
            <w:shd w:val="clear" w:color="auto" w:fill="F2F9EB"/>
            <w:vAlign w:val="center"/>
          </w:tcPr>
          <w:p w14:paraId="5DC4E9AE" w14:textId="7B6EC89E" w:rsidR="00CD1779" w:rsidRDefault="00CD1779" w:rsidP="00523E5F">
            <w:pPr>
              <w:jc w:val="left"/>
              <w:rPr>
                <w:sz w:val="20"/>
                <w:szCs w:val="20"/>
              </w:rPr>
            </w:pPr>
            <w:proofErr w:type="spellStart"/>
            <w:r>
              <w:rPr>
                <w:sz w:val="20"/>
                <w:szCs w:val="20"/>
              </w:rPr>
              <w:t>Drainage</w:t>
            </w:r>
            <w:r>
              <w:rPr>
                <w:sz w:val="20"/>
                <w:szCs w:val="20"/>
                <w:vertAlign w:val="subscript"/>
              </w:rPr>
              <w:t>qualité</w:t>
            </w:r>
            <w:proofErr w:type="spellEnd"/>
          </w:p>
        </w:tc>
        <w:tc>
          <w:tcPr>
            <w:tcW w:w="4333" w:type="dxa"/>
            <w:vMerge w:val="restart"/>
            <w:tcBorders>
              <w:top w:val="single" w:sz="4" w:space="0" w:color="FFFFFF" w:themeColor="background1"/>
            </w:tcBorders>
            <w:vAlign w:val="center"/>
          </w:tcPr>
          <w:p w14:paraId="66459F4F" w14:textId="42691095" w:rsidR="00CD1779" w:rsidRPr="0000352D" w:rsidRDefault="3EC97744" w:rsidP="00523E5F">
            <w:pPr>
              <w:jc w:val="left"/>
              <w:rPr>
                <w:sz w:val="20"/>
                <w:szCs w:val="20"/>
              </w:rPr>
            </w:pPr>
            <w:r w:rsidRPr="48222D96">
              <w:rPr>
                <w:sz w:val="20"/>
                <w:szCs w:val="20"/>
              </w:rPr>
              <w:t xml:space="preserve">Appréciation du drainage pour </w:t>
            </w:r>
            <w:r w:rsidR="3EEFD860" w:rsidRPr="48222D96">
              <w:rPr>
                <w:sz w:val="20"/>
                <w:szCs w:val="20"/>
              </w:rPr>
              <w:t>deux</w:t>
            </w:r>
            <w:r w:rsidRPr="48222D96">
              <w:rPr>
                <w:sz w:val="20"/>
                <w:szCs w:val="20"/>
              </w:rPr>
              <w:t xml:space="preserve"> ensembles texturaux sur base de la présence et profondeur d’apparition des taches d’hydromorphie selon la Légende de la Carte Numérique des Sols de Wallonie </w:t>
            </w:r>
            <w:r w:rsidR="00CD1779" w:rsidRPr="48222D96">
              <w:rPr>
                <w:sz w:val="20"/>
                <w:szCs w:val="20"/>
              </w:rPr>
              <w:fldChar w:fldCharType="begin"/>
            </w:r>
            <w:r w:rsidR="00CD1779" w:rsidRPr="48222D96">
              <w:rPr>
                <w:sz w:val="20"/>
                <w:szCs w:val="20"/>
              </w:rPr>
              <w:instrText xml:space="preserve"> ADDIN ZOTERO_ITEM CSL_CITATION {"citationID":"j1rNCbOB","properties":{"unsorted":false,"formattedCitation":"(Bah et al., 2007)","plainCitation":"(Bah et al., 2007)","noteIndex":0},"citationItems":[{"id":20,"uris":["http://zotero.org/groups/5684833/items/AHCVNBT5"],"itemData":{"id":20,"type":"report","publisher":"Faculté universitaire des Sciences agronomiques de Gembloux – Laboratoire de Géopédologie, en relation avec le PCNSW (convention pour le compte de la Région Wallonne – DGA)","title":"Légende de la Carte Numérique des Sols de Wallonie (Belgique) sur base de la légende originale de la Carte des sols de la Belgique de l’IRSIA à 1/20.000","URL":"https://www.fichierecologique.be/resources/LCNSW_V2.pdf","author":[{"family":"Bah","given":"B."},{"family":"Engels","given":"P."},{"family":"Legrain","given":"X."},{"family":"Colinet","given":"G."}],"issued":{"date-parts":[["2007",12]]}}}],"schema":"https://github.com/citation-style-language/schema/raw/master/csl-citation.json"} </w:instrText>
            </w:r>
            <w:r w:rsidR="00CD1779" w:rsidRPr="48222D96">
              <w:rPr>
                <w:sz w:val="20"/>
                <w:szCs w:val="20"/>
              </w:rPr>
              <w:fldChar w:fldCharType="separate"/>
            </w:r>
            <w:r w:rsidRPr="48222D96">
              <w:rPr>
                <w:rFonts w:cs="Calibri"/>
                <w:sz w:val="20"/>
                <w:szCs w:val="20"/>
              </w:rPr>
              <w:t>(Bah et al., 2007)</w:t>
            </w:r>
            <w:r w:rsidR="00CD1779" w:rsidRPr="48222D96">
              <w:rPr>
                <w:sz w:val="20"/>
                <w:szCs w:val="20"/>
              </w:rPr>
              <w:fldChar w:fldCharType="end"/>
            </w:r>
          </w:p>
        </w:tc>
      </w:tr>
      <w:tr w:rsidR="00CD1779" w:rsidRPr="0000352D" w14:paraId="674F31F1" w14:textId="77777777" w:rsidTr="48222D96">
        <w:trPr>
          <w:trHeight w:val="577"/>
        </w:trPr>
        <w:tc>
          <w:tcPr>
            <w:tcW w:w="1177" w:type="dxa"/>
            <w:vMerge/>
            <w:vAlign w:val="center"/>
          </w:tcPr>
          <w:p w14:paraId="0EC0BDBC" w14:textId="77777777" w:rsidR="00CD1779" w:rsidRDefault="00CD1779" w:rsidP="00523E5F">
            <w:pPr>
              <w:jc w:val="left"/>
              <w:rPr>
                <w:sz w:val="20"/>
                <w:szCs w:val="20"/>
              </w:rPr>
            </w:pPr>
          </w:p>
        </w:tc>
        <w:tc>
          <w:tcPr>
            <w:tcW w:w="1162" w:type="dxa"/>
            <w:vMerge/>
            <w:vAlign w:val="center"/>
          </w:tcPr>
          <w:p w14:paraId="133B9BCF" w14:textId="77777777" w:rsidR="00CD1779" w:rsidRDefault="00CD1779" w:rsidP="00523E5F">
            <w:pPr>
              <w:jc w:val="left"/>
              <w:rPr>
                <w:sz w:val="20"/>
                <w:szCs w:val="20"/>
              </w:rPr>
            </w:pPr>
          </w:p>
        </w:tc>
        <w:tc>
          <w:tcPr>
            <w:tcW w:w="1083" w:type="dxa"/>
            <w:vMerge/>
            <w:vAlign w:val="center"/>
          </w:tcPr>
          <w:p w14:paraId="70D504C0" w14:textId="71E247E2" w:rsidR="00CD1779" w:rsidRPr="0000352D" w:rsidRDefault="00CD1779" w:rsidP="008E4502">
            <w:pPr>
              <w:jc w:val="center"/>
              <w:rPr>
                <w:sz w:val="20"/>
                <w:szCs w:val="20"/>
              </w:rPr>
            </w:pPr>
          </w:p>
        </w:tc>
        <w:tc>
          <w:tcPr>
            <w:tcW w:w="1305" w:type="dxa"/>
            <w:tcBorders>
              <w:bottom w:val="single" w:sz="12" w:space="0" w:color="auto"/>
            </w:tcBorders>
            <w:shd w:val="clear" w:color="auto" w:fill="EFF5FB"/>
            <w:vAlign w:val="center"/>
          </w:tcPr>
          <w:p w14:paraId="37242E90" w14:textId="195EF49D" w:rsidR="00CD1779" w:rsidRDefault="00CD1779" w:rsidP="00523E5F">
            <w:pPr>
              <w:jc w:val="left"/>
              <w:rPr>
                <w:sz w:val="20"/>
                <w:szCs w:val="20"/>
              </w:rPr>
            </w:pPr>
            <w:proofErr w:type="spellStart"/>
            <w:r>
              <w:rPr>
                <w:sz w:val="20"/>
                <w:szCs w:val="20"/>
              </w:rPr>
              <w:t>Drainage</w:t>
            </w:r>
            <w:r>
              <w:rPr>
                <w:sz w:val="20"/>
                <w:szCs w:val="20"/>
                <w:vertAlign w:val="subscript"/>
              </w:rPr>
              <w:t>santé</w:t>
            </w:r>
            <w:proofErr w:type="spellEnd"/>
          </w:p>
        </w:tc>
        <w:tc>
          <w:tcPr>
            <w:tcW w:w="4333" w:type="dxa"/>
            <w:vMerge/>
            <w:vAlign w:val="center"/>
          </w:tcPr>
          <w:p w14:paraId="021B2B0D" w14:textId="77777777" w:rsidR="00CD1779" w:rsidRPr="0000352D" w:rsidRDefault="00CD1779" w:rsidP="00523E5F">
            <w:pPr>
              <w:jc w:val="left"/>
              <w:rPr>
                <w:sz w:val="20"/>
                <w:szCs w:val="20"/>
              </w:rPr>
            </w:pPr>
          </w:p>
        </w:tc>
      </w:tr>
      <w:tr w:rsidR="00CD1779" w:rsidRPr="0000352D" w14:paraId="0550455C" w14:textId="77777777" w:rsidTr="48222D96">
        <w:trPr>
          <w:trHeight w:val="577"/>
        </w:trPr>
        <w:tc>
          <w:tcPr>
            <w:tcW w:w="1177" w:type="dxa"/>
            <w:vMerge w:val="restart"/>
            <w:tcBorders>
              <w:top w:val="single" w:sz="12" w:space="0" w:color="auto"/>
            </w:tcBorders>
            <w:vAlign w:val="center"/>
          </w:tcPr>
          <w:p w14:paraId="6832CC8E" w14:textId="77777777" w:rsidR="00CD1779" w:rsidRPr="0000352D" w:rsidRDefault="00CD1779" w:rsidP="00523E5F">
            <w:pPr>
              <w:jc w:val="left"/>
              <w:rPr>
                <w:sz w:val="20"/>
                <w:szCs w:val="20"/>
              </w:rPr>
            </w:pPr>
            <w:r>
              <w:rPr>
                <w:sz w:val="20"/>
                <w:szCs w:val="20"/>
              </w:rPr>
              <w:t>Infiltration</w:t>
            </w:r>
          </w:p>
        </w:tc>
        <w:tc>
          <w:tcPr>
            <w:tcW w:w="1162" w:type="dxa"/>
            <w:vMerge w:val="restart"/>
            <w:tcBorders>
              <w:top w:val="single" w:sz="12" w:space="0" w:color="auto"/>
            </w:tcBorders>
            <w:vAlign w:val="center"/>
          </w:tcPr>
          <w:p w14:paraId="7FDE57CC" w14:textId="12204596" w:rsidR="00CD1779" w:rsidRPr="0000352D" w:rsidRDefault="00CD1779" w:rsidP="00523E5F">
            <w:pPr>
              <w:jc w:val="left"/>
              <w:rPr>
                <w:sz w:val="20"/>
                <w:szCs w:val="20"/>
              </w:rPr>
            </w:pPr>
            <w:r>
              <w:rPr>
                <w:sz w:val="20"/>
                <w:szCs w:val="20"/>
              </w:rPr>
              <w:t>Drainage</w:t>
            </w:r>
          </w:p>
        </w:tc>
        <w:tc>
          <w:tcPr>
            <w:tcW w:w="1083" w:type="dxa"/>
            <w:vMerge w:val="restart"/>
            <w:tcBorders>
              <w:top w:val="single" w:sz="12" w:space="0" w:color="auto"/>
            </w:tcBorders>
            <w:vAlign w:val="center"/>
          </w:tcPr>
          <w:p w14:paraId="0FDB22C0" w14:textId="02C66DD8" w:rsidR="00CD1779" w:rsidRPr="0000352D" w:rsidRDefault="00CD1779" w:rsidP="008E4502">
            <w:pPr>
              <w:jc w:val="center"/>
              <w:rPr>
                <w:sz w:val="20"/>
                <w:szCs w:val="20"/>
              </w:rPr>
            </w:pPr>
            <w:r>
              <w:rPr>
                <w:noProof/>
                <w:sz w:val="20"/>
                <w:szCs w:val="20"/>
              </w:rPr>
              <mc:AlternateContent>
                <mc:Choice Requires="wps">
                  <w:drawing>
                    <wp:inline distT="0" distB="0" distL="0" distR="0" wp14:anchorId="11709B70" wp14:editId="2807D25C">
                      <wp:extent cx="94615" cy="153035"/>
                      <wp:effectExtent l="0" t="38100" r="57785" b="18415"/>
                      <wp:docPr id="764255072"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68B24AF3"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305" w:type="dxa"/>
            <w:tcBorders>
              <w:top w:val="single" w:sz="12" w:space="0" w:color="auto"/>
            </w:tcBorders>
            <w:shd w:val="clear" w:color="auto" w:fill="F2F9EB"/>
            <w:vAlign w:val="center"/>
          </w:tcPr>
          <w:p w14:paraId="64D0DA1E" w14:textId="74F05173" w:rsidR="00CD1779" w:rsidRPr="0000352D" w:rsidRDefault="00CD1779" w:rsidP="00523E5F">
            <w:pPr>
              <w:jc w:val="left"/>
              <w:rPr>
                <w:sz w:val="20"/>
                <w:szCs w:val="20"/>
              </w:rPr>
            </w:pPr>
            <w:proofErr w:type="spellStart"/>
            <w:r>
              <w:rPr>
                <w:sz w:val="20"/>
                <w:szCs w:val="20"/>
              </w:rPr>
              <w:t>Drainage</w:t>
            </w:r>
            <w:r>
              <w:rPr>
                <w:sz w:val="20"/>
                <w:szCs w:val="20"/>
                <w:vertAlign w:val="subscript"/>
              </w:rPr>
              <w:t>qualité</w:t>
            </w:r>
            <w:proofErr w:type="spellEnd"/>
          </w:p>
        </w:tc>
        <w:tc>
          <w:tcPr>
            <w:tcW w:w="4333" w:type="dxa"/>
            <w:vMerge/>
            <w:vAlign w:val="center"/>
          </w:tcPr>
          <w:p w14:paraId="3B4C9DD8" w14:textId="45767892" w:rsidR="00CD1779" w:rsidRPr="0000352D" w:rsidRDefault="00CD1779" w:rsidP="00523E5F">
            <w:pPr>
              <w:jc w:val="left"/>
              <w:rPr>
                <w:sz w:val="20"/>
                <w:szCs w:val="20"/>
              </w:rPr>
            </w:pPr>
          </w:p>
        </w:tc>
      </w:tr>
      <w:tr w:rsidR="00CD1779" w:rsidRPr="0000352D" w14:paraId="41717181" w14:textId="77777777" w:rsidTr="48222D96">
        <w:trPr>
          <w:trHeight w:val="578"/>
        </w:trPr>
        <w:tc>
          <w:tcPr>
            <w:tcW w:w="1177" w:type="dxa"/>
            <w:vMerge/>
            <w:vAlign w:val="center"/>
          </w:tcPr>
          <w:p w14:paraId="73817E62" w14:textId="77777777" w:rsidR="00CD1779" w:rsidRPr="0000352D" w:rsidRDefault="00CD1779" w:rsidP="00B41692">
            <w:pPr>
              <w:jc w:val="left"/>
              <w:rPr>
                <w:sz w:val="20"/>
                <w:szCs w:val="20"/>
              </w:rPr>
            </w:pPr>
          </w:p>
        </w:tc>
        <w:tc>
          <w:tcPr>
            <w:tcW w:w="1162" w:type="dxa"/>
            <w:vMerge/>
            <w:vAlign w:val="center"/>
          </w:tcPr>
          <w:p w14:paraId="49DA7CFF" w14:textId="77777777" w:rsidR="00CD1779" w:rsidRPr="0000352D" w:rsidRDefault="00CD1779" w:rsidP="00B41692">
            <w:pPr>
              <w:jc w:val="left"/>
              <w:rPr>
                <w:sz w:val="20"/>
                <w:szCs w:val="20"/>
              </w:rPr>
            </w:pPr>
          </w:p>
        </w:tc>
        <w:tc>
          <w:tcPr>
            <w:tcW w:w="1083" w:type="dxa"/>
            <w:vMerge/>
            <w:vAlign w:val="center"/>
          </w:tcPr>
          <w:p w14:paraId="5DFA252A" w14:textId="6AFF4420" w:rsidR="00CD1779" w:rsidRPr="0000352D" w:rsidRDefault="00CD1779" w:rsidP="00B41692">
            <w:pPr>
              <w:jc w:val="left"/>
              <w:rPr>
                <w:sz w:val="20"/>
                <w:szCs w:val="20"/>
              </w:rPr>
            </w:pPr>
          </w:p>
        </w:tc>
        <w:tc>
          <w:tcPr>
            <w:tcW w:w="1305" w:type="dxa"/>
            <w:shd w:val="clear" w:color="auto" w:fill="EFF5FB"/>
            <w:vAlign w:val="center"/>
          </w:tcPr>
          <w:p w14:paraId="6070B6FD" w14:textId="0FC064C1" w:rsidR="00CD1779" w:rsidRPr="0000352D" w:rsidRDefault="00CD1779" w:rsidP="00B41692">
            <w:pPr>
              <w:jc w:val="left"/>
              <w:rPr>
                <w:sz w:val="20"/>
                <w:szCs w:val="20"/>
              </w:rPr>
            </w:pPr>
            <w:proofErr w:type="spellStart"/>
            <w:r>
              <w:rPr>
                <w:sz w:val="20"/>
                <w:szCs w:val="20"/>
              </w:rPr>
              <w:t>Drainage</w:t>
            </w:r>
            <w:r>
              <w:rPr>
                <w:sz w:val="20"/>
                <w:szCs w:val="20"/>
                <w:vertAlign w:val="subscript"/>
              </w:rPr>
              <w:t>santé</w:t>
            </w:r>
            <w:proofErr w:type="spellEnd"/>
          </w:p>
        </w:tc>
        <w:tc>
          <w:tcPr>
            <w:tcW w:w="4333" w:type="dxa"/>
            <w:vMerge/>
          </w:tcPr>
          <w:p w14:paraId="5F28F5FA" w14:textId="7FB81AF9" w:rsidR="00CD1779" w:rsidRPr="0000352D" w:rsidRDefault="00CD1779" w:rsidP="00B41692">
            <w:pPr>
              <w:rPr>
                <w:sz w:val="20"/>
                <w:szCs w:val="20"/>
              </w:rPr>
            </w:pPr>
          </w:p>
        </w:tc>
      </w:tr>
    </w:tbl>
    <w:p w14:paraId="76A2B60A" w14:textId="77777777" w:rsidR="004126FE" w:rsidRDefault="004126FE" w:rsidP="004126FE"/>
    <w:p w14:paraId="39FEE12C" w14:textId="77777777" w:rsidR="004C3AF1" w:rsidRDefault="009B5E26" w:rsidP="005275DC">
      <w:pPr>
        <w:keepNext/>
        <w:jc w:val="center"/>
      </w:pPr>
      <w:r>
        <w:rPr>
          <w:noProof/>
        </w:rPr>
        <w:lastRenderedPageBreak/>
        <w:drawing>
          <wp:inline distT="0" distB="0" distL="0" distR="0" wp14:anchorId="79D76CD6" wp14:editId="05910017">
            <wp:extent cx="4845204" cy="3457575"/>
            <wp:effectExtent l="0" t="0" r="0" b="0"/>
            <wp:docPr id="709350204"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65059" cy="3471743"/>
                    </a:xfrm>
                    <a:prstGeom prst="rect">
                      <a:avLst/>
                    </a:prstGeom>
                    <a:noFill/>
                    <a:ln>
                      <a:noFill/>
                    </a:ln>
                  </pic:spPr>
                </pic:pic>
              </a:graphicData>
            </a:graphic>
          </wp:inline>
        </w:drawing>
      </w:r>
    </w:p>
    <w:p w14:paraId="79BBCE20" w14:textId="33665C48" w:rsidR="009B5E26" w:rsidRPr="004C3AF1" w:rsidRDefault="004C3AF1" w:rsidP="004C3AF1">
      <w:pPr>
        <w:pStyle w:val="Lgende"/>
        <w:jc w:val="center"/>
        <w:rPr>
          <w:i w:val="0"/>
          <w:iCs w:val="0"/>
        </w:rPr>
      </w:pPr>
      <w:bookmarkStart w:id="50" w:name="_Toc241505109"/>
      <w:r w:rsidRPr="004C3AF1">
        <w:rPr>
          <w:i w:val="0"/>
          <w:iCs w:val="0"/>
        </w:rPr>
        <w:t xml:space="preserve">Figure </w:t>
      </w:r>
      <w:r w:rsidRPr="004C3AF1">
        <w:rPr>
          <w:i w:val="0"/>
          <w:iCs w:val="0"/>
        </w:rPr>
        <w:fldChar w:fldCharType="begin"/>
      </w:r>
      <w:r w:rsidRPr="004C3AF1">
        <w:rPr>
          <w:i w:val="0"/>
          <w:iCs w:val="0"/>
        </w:rPr>
        <w:instrText xml:space="preserve"> SEQ Figure \* ARABIC </w:instrText>
      </w:r>
      <w:r w:rsidRPr="004C3AF1">
        <w:rPr>
          <w:i w:val="0"/>
          <w:iCs w:val="0"/>
        </w:rPr>
        <w:fldChar w:fldCharType="separate"/>
      </w:r>
      <w:r w:rsidR="00B90382">
        <w:rPr>
          <w:i w:val="0"/>
          <w:iCs w:val="0"/>
          <w:noProof/>
        </w:rPr>
        <w:t>3</w:t>
      </w:r>
      <w:r w:rsidRPr="004C3AF1">
        <w:rPr>
          <w:i w:val="0"/>
          <w:iCs w:val="0"/>
        </w:rPr>
        <w:fldChar w:fldCharType="end"/>
      </w:r>
      <w:r w:rsidRPr="004C3AF1">
        <w:rPr>
          <w:i w:val="0"/>
          <w:iCs w:val="0"/>
        </w:rPr>
        <w:t xml:space="preserve"> : Exemple de fonction d'interprétation pour l’indicateur </w:t>
      </w:r>
      <w:r>
        <w:rPr>
          <w:i w:val="0"/>
          <w:iCs w:val="0"/>
        </w:rPr>
        <w:t>Drainage</w:t>
      </w:r>
      <w:r w:rsidRPr="004C3AF1">
        <w:rPr>
          <w:i w:val="0"/>
          <w:iCs w:val="0"/>
        </w:rPr>
        <w:t xml:space="preserve"> (fonction </w:t>
      </w:r>
      <w:r>
        <w:rPr>
          <w:i w:val="0"/>
          <w:iCs w:val="0"/>
        </w:rPr>
        <w:t>Drainage</w:t>
      </w:r>
      <w:r w:rsidRPr="004C3AF1">
        <w:rPr>
          <w:i w:val="0"/>
          <w:iCs w:val="0"/>
        </w:rPr>
        <w:t xml:space="preserve">, SE </w:t>
      </w:r>
      <w:r>
        <w:rPr>
          <w:i w:val="0"/>
          <w:iCs w:val="0"/>
        </w:rPr>
        <w:t>Infiltration</w:t>
      </w:r>
      <w:r w:rsidRPr="004C3AF1">
        <w:rPr>
          <w:i w:val="0"/>
          <w:iCs w:val="0"/>
        </w:rPr>
        <w:t>)</w:t>
      </w:r>
      <w:bookmarkEnd w:id="50"/>
    </w:p>
    <w:p w14:paraId="00FFC2F9" w14:textId="77777777" w:rsidR="009B5E26" w:rsidRDefault="009B5E26" w:rsidP="004126FE"/>
    <w:p w14:paraId="35C2600D" w14:textId="77777777" w:rsidR="00CC528C" w:rsidRDefault="00CC528C" w:rsidP="00876101">
      <w:pPr>
        <w:pStyle w:val="Titre2"/>
        <w:numPr>
          <w:ilvl w:val="1"/>
          <w:numId w:val="3"/>
        </w:numPr>
      </w:pPr>
      <w:bookmarkStart w:id="51" w:name="_Toc230267137"/>
      <w:bookmarkStart w:id="52" w:name="_Ref233114489"/>
      <w:bookmarkStart w:id="53" w:name="_Toc241505269"/>
      <w:r>
        <w:t>Conductivité hydraulique à saturation (</w:t>
      </w:r>
      <w:proofErr w:type="spellStart"/>
      <w:r>
        <w:t>Ksat</w:t>
      </w:r>
      <w:proofErr w:type="spellEnd"/>
      <w:r>
        <w:t>)</w:t>
      </w:r>
      <w:bookmarkEnd w:id="51"/>
      <w:bookmarkEnd w:id="52"/>
      <w:bookmarkEnd w:id="53"/>
    </w:p>
    <w:p w14:paraId="7CEB94E2" w14:textId="77777777" w:rsidR="00CC528C" w:rsidRDefault="00CC528C" w:rsidP="00876101">
      <w:pPr>
        <w:pStyle w:val="Titre3"/>
        <w:numPr>
          <w:ilvl w:val="2"/>
          <w:numId w:val="3"/>
        </w:numPr>
      </w:pPr>
      <w:bookmarkStart w:id="54" w:name="_Toc241505270"/>
      <w:r>
        <w:t>Définition</w:t>
      </w:r>
      <w:bookmarkEnd w:id="54"/>
    </w:p>
    <w:p w14:paraId="74BB8AD9" w14:textId="59B8886D" w:rsidR="00CC528C" w:rsidRPr="00765745" w:rsidRDefault="00CC528C" w:rsidP="00CC528C">
      <w:r>
        <w:t>La conductivité hydraulique à saturation correspond à la vitesse avec laquelle l’eau s’infiltre dans le sol. Elle est influencée par la texture et la structure du sol.</w:t>
      </w:r>
    </w:p>
    <w:p w14:paraId="59CAA4A3" w14:textId="77777777" w:rsidR="00CC528C" w:rsidRDefault="00CC528C" w:rsidP="00876101">
      <w:pPr>
        <w:pStyle w:val="Titre3"/>
        <w:numPr>
          <w:ilvl w:val="2"/>
          <w:numId w:val="3"/>
        </w:numPr>
      </w:pPr>
      <w:bookmarkStart w:id="55" w:name="_Toc241505271"/>
      <w:r>
        <w:t>Pertinence</w:t>
      </w:r>
      <w:bookmarkEnd w:id="55"/>
    </w:p>
    <w:p w14:paraId="4E1ADA27" w14:textId="60DDA597" w:rsidR="00CC528C" w:rsidRPr="00765745" w:rsidRDefault="00CC528C" w:rsidP="00CC528C">
      <w:r>
        <w:t>Dans des contextes où la gestion des inondations est un enjeu, des sols présentant une conductivité hydraulique élevée sont des alliés précieux</w:t>
      </w:r>
      <w:r w:rsidRPr="00CD1779">
        <w:t>. Il s’agit d’une propriété dynamique, influencée par les pratiques de gestion.</w:t>
      </w:r>
    </w:p>
    <w:p w14:paraId="772FFB4F" w14:textId="77777777" w:rsidR="00CC528C" w:rsidRDefault="00CC528C" w:rsidP="00876101">
      <w:pPr>
        <w:pStyle w:val="Titre3"/>
        <w:numPr>
          <w:ilvl w:val="2"/>
          <w:numId w:val="3"/>
        </w:numPr>
      </w:pPr>
      <w:bookmarkStart w:id="56" w:name="_Toc241505272"/>
      <w:r>
        <w:t>Méthode de mesure</w:t>
      </w:r>
      <w:bookmarkEnd w:id="56"/>
    </w:p>
    <w:p w14:paraId="06C8EA2F" w14:textId="5D0E74E8" w:rsidR="00CC528C" w:rsidRDefault="00CC528C" w:rsidP="00CC528C">
      <w:r>
        <w:t>Ce paramètre peut être déterminé soit en laboratoire, soit sur le terrain (détermination in-situ). Cette seconde méthode est préférée car elle permet, à travers la caractérisation d’un volume représentatif supérieur, de mieux saisir l’hétérogénéité de la structure du sol, principal</w:t>
      </w:r>
      <w:r w:rsidR="00B975DC">
        <w:t>e</w:t>
      </w:r>
      <w:r>
        <w:t xml:space="preserve"> </w:t>
      </w:r>
      <w:r w:rsidR="00B975DC">
        <w:t>variable influençant</w:t>
      </w:r>
      <w:r>
        <w:t xml:space="preserve"> la capacité d’infiltration du sol. </w:t>
      </w:r>
    </w:p>
    <w:p w14:paraId="1B9C8E93" w14:textId="53ADEE75" w:rsidR="00CC528C" w:rsidRPr="00765745" w:rsidRDefault="00CC528C" w:rsidP="00CC528C">
      <w:r>
        <w:t>Plusieurs méthodes in</w:t>
      </w:r>
      <w:r w:rsidR="031F694C">
        <w:t xml:space="preserve"> </w:t>
      </w:r>
      <w:r>
        <w:t xml:space="preserve">situ existent pour la détermination de </w:t>
      </w:r>
      <w:proofErr w:type="spellStart"/>
      <w:r>
        <w:t>Ksat</w:t>
      </w:r>
      <w:proofErr w:type="spellEnd"/>
      <w:r>
        <w:t xml:space="preserve">. La méthode </w:t>
      </w:r>
      <w:proofErr w:type="spellStart"/>
      <w:r>
        <w:t>Porchet</w:t>
      </w:r>
      <w:proofErr w:type="spellEnd"/>
      <w:r>
        <w:t xml:space="preserve"> est ici préconisée. Il s’agit d’un test à charge constante. Le protocole détaillé se trouve en </w:t>
      </w:r>
      <w:r w:rsidR="00153F74">
        <w:t>A</w:t>
      </w:r>
      <w:r>
        <w:t>nnexe</w:t>
      </w:r>
      <w:r w:rsidR="00153F74">
        <w:t xml:space="preserve"> A1</w:t>
      </w:r>
      <w:r>
        <w:t>.</w:t>
      </w:r>
    </w:p>
    <w:p w14:paraId="60164FFA" w14:textId="77777777" w:rsidR="00CC528C" w:rsidRDefault="00CC528C" w:rsidP="00876101">
      <w:pPr>
        <w:pStyle w:val="Titre3"/>
        <w:numPr>
          <w:ilvl w:val="2"/>
          <w:numId w:val="3"/>
        </w:numPr>
      </w:pPr>
      <w:bookmarkStart w:id="57" w:name="_Toc241505273"/>
      <w:r w:rsidRPr="00C23A2C">
        <w:t>Interprétation</w:t>
      </w:r>
      <w:bookmarkEnd w:id="57"/>
    </w:p>
    <w:p w14:paraId="53071AF6" w14:textId="13F457CE" w:rsidR="00CC528C" w:rsidRDefault="00CC528C" w:rsidP="00CC528C">
      <w:proofErr w:type="spellStart"/>
      <w:r>
        <w:t>O’Geen</w:t>
      </w:r>
      <w:proofErr w:type="spellEnd"/>
      <w:r>
        <w:t xml:space="preserve"> </w:t>
      </w:r>
      <w:r>
        <w:fldChar w:fldCharType="begin"/>
      </w:r>
      <w:r>
        <w:instrText xml:space="preserve"> ADDIN ZOTERO_ITEM CSL_CITATION {"citationID":"ybEgr0qO","properties":{"unsorted":false,"formattedCitation":"(2013)","plainCitation":"(2013)","noteIndex":0},"citationItems":[{"id":400,"uris":["http://zotero.org/groups/5684833/items/UVXZIBTE"],"itemData":{"id":400,"type":"document","abstract":"What are the relationships between soil moisture storage, soil water flow, and soil properties?","language":"en","note":"Cg_cat: Soil Water Dynamics\nCg_level: MED\nCg_topic: Soil Water Dynamics","publisher":"Nature Education Knowledge 4(5):9","title":"Soil Water Dynamics","URL":"https://www.nature.com/scitable/knowledge/library/soil-water-dynamics-103089121/","author":[{"family":"O'Geen","given":"A. T."}],"accessed":{"date-parts":[["2026",2,3]]},"issued":{"date-parts":[["2013"]]}},"suppress-author":true}],"schema":"https://github.com/citation-style-language/schema/raw/master/csl-citation.json"} </w:instrText>
      </w:r>
      <w:r>
        <w:fldChar w:fldCharType="separate"/>
      </w:r>
      <w:r w:rsidRPr="00AB0106">
        <w:rPr>
          <w:rFonts w:cs="Calibri"/>
        </w:rPr>
        <w:t>(2013)</w:t>
      </w:r>
      <w:r>
        <w:fldChar w:fldCharType="end"/>
      </w:r>
      <w:r>
        <w:t xml:space="preserve"> identifie des classes de perméabilité (de très lent à très rapide). De telles valeurs d’interprétation « optimales » sont importantes pour évaluer la capacité absolue du sol à remplir le </w:t>
      </w:r>
      <w:r w:rsidR="00095D4E">
        <w:t>service écosystémique</w:t>
      </w:r>
      <w:r>
        <w:t xml:space="preserve"> </w:t>
      </w:r>
      <w:r w:rsidRPr="001B7AD0">
        <w:rPr>
          <w:i/>
          <w:iCs/>
        </w:rPr>
        <w:t>Infiltration</w:t>
      </w:r>
      <w:r>
        <w:t xml:space="preserve"> (IQSW). </w:t>
      </w:r>
    </w:p>
    <w:p w14:paraId="52A233D8" w14:textId="52A1DF89" w:rsidR="00CC528C" w:rsidRDefault="00CC528C" w:rsidP="00CC528C">
      <w:r>
        <w:lastRenderedPageBreak/>
        <w:t xml:space="preserve">Cette même source replace également ces valeurs en regard des gammes de valeurs de conductivité hydraulique habituellement mesurées selon la classe texturale du sol </w:t>
      </w:r>
      <w:r>
        <w:fldChar w:fldCharType="begin"/>
      </w:r>
      <w:r>
        <w:instrText xml:space="preserve"> ADDIN ZOTERO_ITEM CSL_CITATION {"citationID":"6x0RDrhY","properties":{"unsorted":false,"formattedCitation":"(O\\uc0\\u8217{}Geen, 2013)","plainCitation":"(O’Geen, 2013)","noteIndex":0},"citationItems":[{"id":400,"uris":["http://zotero.org/groups/5684833/items/UVXZIBTE"],"itemData":{"id":400,"type":"document","abstract":"What are the relationships between soil moisture storage, soil water flow, and soil properties?","language":"en","note":"Cg_cat: Soil Water Dynamics\nCg_level: MED\nCg_topic: Soil Water Dynamics","publisher":"Nature Education Knowledge 4(5):9","title":"Soil Water Dynamics","URL":"https://www.nature.com/scitable/knowledge/library/soil-water-dynamics-103089121/","author":[{"family":"O'Geen","given":"A. T."}],"accessed":{"date-parts":[["2026",2,3]]},"issued":{"date-parts":[["2013"]]}}}],"schema":"https://github.com/citation-style-language/schema/raw/master/csl-citation.json"} </w:instrText>
      </w:r>
      <w:r>
        <w:fldChar w:fldCharType="separate"/>
      </w:r>
      <w:r w:rsidRPr="004350DD">
        <w:rPr>
          <w:rFonts w:cs="Calibri"/>
          <w:kern w:val="0"/>
        </w:rPr>
        <w:t>(</w:t>
      </w:r>
      <w:r w:rsidRPr="48222D96">
        <w:rPr>
          <w:rFonts w:cs="Calibri"/>
        </w:rPr>
        <w:t>O’Geen, 2013)</w:t>
      </w:r>
      <w:r>
        <w:fldChar w:fldCharType="end"/>
      </w:r>
      <w:r>
        <w:t xml:space="preserve">. </w:t>
      </w:r>
      <w:r w:rsidR="71A1F5C2">
        <w:t>La comparaison entre</w:t>
      </w:r>
      <w:r>
        <w:t xml:space="preserve"> la valeur mesurée et la valeur médiane de la gamme pour la classe texturale </w:t>
      </w:r>
      <w:r w:rsidR="456F7A79">
        <w:t>du sol analysé</w:t>
      </w:r>
      <w:r>
        <w:t xml:space="preserve"> permet d’évaluer l’état de santé du sol (ISSW). Si la valeur mesurée est inférieure au potentiel du sol, cela suggère qu’une dégradation du sol (ex</w:t>
      </w:r>
      <w:r w:rsidR="2EB6BA31">
        <w:t>.</w:t>
      </w:r>
      <w:r>
        <w:t xml:space="preserve"> compaction) est limitante pour le processus d’infiltration de l’eau, contrebalançant éventuellement un impact positif de la texture. À l’inverse, si un sol est diagnostiqué comme étant de mauvaise qualité au regard du </w:t>
      </w:r>
      <w:r w:rsidR="00095D4E">
        <w:t>service écosystémique</w:t>
      </w:r>
      <w:r>
        <w:t xml:space="preserve"> Infiltration, cela ne l’empêche pas d’être en bonne santé s’il s’agit</w:t>
      </w:r>
      <w:r w:rsidR="45B75266">
        <w:t>,</w:t>
      </w:r>
      <w:r>
        <w:t xml:space="preserve"> par exemple</w:t>
      </w:r>
      <w:r w:rsidR="009649BE">
        <w:t>,</w:t>
      </w:r>
      <w:r>
        <w:t xml:space="preserve"> d’un sol très argileux. Dans ce cas, même si des pratiques de gestion adéquates étaient mises en place, la conductivité hydraulique resterait faible.</w:t>
      </w:r>
    </w:p>
    <w:p w14:paraId="33ABD590" w14:textId="7970F927" w:rsidR="00CC528C" w:rsidRDefault="00446C47" w:rsidP="00CC528C">
      <w:pPr>
        <w:pStyle w:val="Lgende"/>
        <w:keepNext/>
        <w:jc w:val="center"/>
      </w:pPr>
      <w:bookmarkStart w:id="58" w:name="_Toc233122660"/>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4</w:t>
      </w:r>
      <w:r w:rsidRPr="00261C30">
        <w:rPr>
          <w:i w:val="0"/>
          <w:iCs w:val="0"/>
        </w:rPr>
        <w:fldChar w:fldCharType="end"/>
      </w:r>
      <w:r w:rsidRPr="00261C30">
        <w:rPr>
          <w:i w:val="0"/>
          <w:iCs w:val="0"/>
        </w:rPr>
        <w:t xml:space="preserve"> : Référentiels d’interprétation </w:t>
      </w:r>
      <w:r>
        <w:rPr>
          <w:i w:val="0"/>
          <w:iCs w:val="0"/>
        </w:rPr>
        <w:t>d</w:t>
      </w:r>
      <w:r w:rsidR="7DC56F33" w:rsidRPr="6CB535F6">
        <w:rPr>
          <w:i w:val="0"/>
          <w:iCs w:val="0"/>
        </w:rPr>
        <w:t>e l’</w:t>
      </w:r>
      <w:r w:rsidRPr="6CB535F6">
        <w:rPr>
          <w:i w:val="0"/>
          <w:iCs w:val="0"/>
        </w:rPr>
        <w:t>indicateur</w:t>
      </w:r>
      <w:r w:rsidRPr="00261C30">
        <w:rPr>
          <w:i w:val="0"/>
          <w:iCs w:val="0"/>
        </w:rPr>
        <w:t xml:space="preserve">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noProof/>
        </w:rPr>
        <w:drawing>
          <wp:inline distT="0" distB="0" distL="0" distR="0" wp14:anchorId="097894C7" wp14:editId="71F04C50">
            <wp:extent cx="91440" cy="118745"/>
            <wp:effectExtent l="0" t="0" r="3810" b="0"/>
            <wp:docPr id="91290888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2AAC97D8" wp14:editId="3A49F9D5">
            <wp:extent cx="85917" cy="88985"/>
            <wp:effectExtent l="0" t="0" r="9525" b="6350"/>
            <wp:docPr id="198943651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43023B58" wp14:editId="47AB6613">
            <wp:extent cx="164432" cy="65784"/>
            <wp:effectExtent l="0" t="0" r="7620" b="0"/>
            <wp:docPr id="192127909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w:t>
      </w:r>
      <w:bookmarkEnd w:id="58"/>
    </w:p>
    <w:tbl>
      <w:tblPr>
        <w:tblStyle w:val="Grilledutableau"/>
        <w:tblW w:w="0" w:type="auto"/>
        <w:tblCellMar>
          <w:top w:w="28" w:type="dxa"/>
          <w:bottom w:w="28" w:type="dxa"/>
        </w:tblCellMar>
        <w:tblLook w:val="04A0" w:firstRow="1" w:lastRow="0" w:firstColumn="1" w:lastColumn="0" w:noHBand="0" w:noVBand="1"/>
      </w:tblPr>
      <w:tblGrid>
        <w:gridCol w:w="1181"/>
        <w:gridCol w:w="1175"/>
        <w:gridCol w:w="1107"/>
        <w:gridCol w:w="1067"/>
        <w:gridCol w:w="4524"/>
      </w:tblGrid>
      <w:tr w:rsidR="00CC528C" w:rsidRPr="0000352D" w14:paraId="6A8CEE6D" w14:textId="77777777" w:rsidTr="00493A0D">
        <w:trPr>
          <w:trHeight w:val="373"/>
        </w:trPr>
        <w:tc>
          <w:tcPr>
            <w:tcW w:w="9054" w:type="dxa"/>
            <w:gridSpan w:val="5"/>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E2841" w:themeFill="text2"/>
            <w:vAlign w:val="center"/>
          </w:tcPr>
          <w:p w14:paraId="622CC4F6" w14:textId="77777777" w:rsidR="00CC528C" w:rsidRPr="0000352D" w:rsidRDefault="00CC528C">
            <w:pPr>
              <w:jc w:val="center"/>
              <w:rPr>
                <w:sz w:val="20"/>
                <w:szCs w:val="20"/>
              </w:rPr>
            </w:pPr>
            <w:r>
              <w:rPr>
                <w:sz w:val="20"/>
                <w:szCs w:val="20"/>
              </w:rPr>
              <w:t>Conductivité hydraulique à saturation (</w:t>
            </w:r>
            <w:proofErr w:type="spellStart"/>
            <w:r>
              <w:rPr>
                <w:sz w:val="20"/>
                <w:szCs w:val="20"/>
              </w:rPr>
              <w:t>Ksat</w:t>
            </w:r>
            <w:proofErr w:type="spellEnd"/>
            <w:r>
              <w:rPr>
                <w:sz w:val="20"/>
                <w:szCs w:val="20"/>
              </w:rPr>
              <w:t>)</w:t>
            </w:r>
            <w:r w:rsidRPr="0000352D">
              <w:rPr>
                <w:sz w:val="20"/>
                <w:szCs w:val="20"/>
              </w:rPr>
              <w:t xml:space="preserve"> - Référentiel</w:t>
            </w:r>
            <w:r>
              <w:rPr>
                <w:sz w:val="20"/>
                <w:szCs w:val="20"/>
              </w:rPr>
              <w:t>s</w:t>
            </w:r>
            <w:r w:rsidRPr="0000352D">
              <w:rPr>
                <w:sz w:val="20"/>
                <w:szCs w:val="20"/>
              </w:rPr>
              <w:t xml:space="preserve"> d’interprétation</w:t>
            </w:r>
          </w:p>
        </w:tc>
      </w:tr>
      <w:tr w:rsidR="00CC528C" w:rsidRPr="0000352D" w14:paraId="2DB65710" w14:textId="77777777" w:rsidTr="00493A0D">
        <w:tc>
          <w:tcPr>
            <w:tcW w:w="118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E2841" w:themeFill="text2"/>
          </w:tcPr>
          <w:p w14:paraId="3BA3BC5E" w14:textId="35514488" w:rsidR="00CC528C" w:rsidRPr="005167FC" w:rsidRDefault="00095D4E">
            <w:pPr>
              <w:jc w:val="center"/>
              <w:rPr>
                <w:sz w:val="20"/>
                <w:szCs w:val="20"/>
              </w:rPr>
            </w:pPr>
            <w:r>
              <w:rPr>
                <w:sz w:val="20"/>
                <w:szCs w:val="20"/>
              </w:rPr>
              <w:t>Service</w:t>
            </w:r>
          </w:p>
        </w:tc>
        <w:tc>
          <w:tcPr>
            <w:tcW w:w="117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E2841" w:themeFill="text2"/>
          </w:tcPr>
          <w:p w14:paraId="137E23CA" w14:textId="77777777" w:rsidR="00CC528C" w:rsidRPr="005167FC" w:rsidRDefault="00CC528C">
            <w:pPr>
              <w:jc w:val="center"/>
              <w:rPr>
                <w:sz w:val="20"/>
                <w:szCs w:val="20"/>
              </w:rPr>
            </w:pPr>
            <w:r w:rsidRPr="005167FC">
              <w:rPr>
                <w:sz w:val="20"/>
                <w:szCs w:val="20"/>
              </w:rPr>
              <w:t>Fonction</w:t>
            </w:r>
          </w:p>
        </w:tc>
        <w:tc>
          <w:tcPr>
            <w:tcW w:w="110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E2841" w:themeFill="text2"/>
          </w:tcPr>
          <w:p w14:paraId="692FB45A" w14:textId="54B3BA27" w:rsidR="00CC528C" w:rsidRPr="005167FC" w:rsidRDefault="00483858">
            <w:pPr>
              <w:jc w:val="center"/>
              <w:rPr>
                <w:sz w:val="20"/>
                <w:szCs w:val="20"/>
              </w:rPr>
            </w:pPr>
            <w:r>
              <w:rPr>
                <w:sz w:val="20"/>
                <w:szCs w:val="20"/>
              </w:rPr>
              <w:t>Forme</w:t>
            </w:r>
          </w:p>
        </w:tc>
        <w:tc>
          <w:tcPr>
            <w:tcW w:w="106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E2841" w:themeFill="text2"/>
          </w:tcPr>
          <w:p w14:paraId="6626D4D5" w14:textId="70D02CAF" w:rsidR="00CC528C" w:rsidRPr="005167FC" w:rsidRDefault="00483858">
            <w:pPr>
              <w:jc w:val="center"/>
              <w:rPr>
                <w:sz w:val="20"/>
                <w:szCs w:val="20"/>
              </w:rPr>
            </w:pPr>
            <w:r w:rsidRPr="005167FC">
              <w:rPr>
                <w:sz w:val="20"/>
                <w:szCs w:val="20"/>
              </w:rPr>
              <w:t>Évaluation</w:t>
            </w:r>
          </w:p>
        </w:tc>
        <w:tc>
          <w:tcPr>
            <w:tcW w:w="452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0E2841" w:themeFill="text2"/>
          </w:tcPr>
          <w:p w14:paraId="7ABFDE0B" w14:textId="77777777" w:rsidR="00CC528C" w:rsidRPr="005167FC" w:rsidRDefault="00CC528C">
            <w:pPr>
              <w:jc w:val="center"/>
              <w:rPr>
                <w:sz w:val="20"/>
                <w:szCs w:val="20"/>
              </w:rPr>
            </w:pPr>
            <w:r w:rsidRPr="005167FC">
              <w:rPr>
                <w:sz w:val="20"/>
                <w:szCs w:val="20"/>
              </w:rPr>
              <w:t>Référentiel</w:t>
            </w:r>
          </w:p>
        </w:tc>
      </w:tr>
      <w:tr w:rsidR="00483858" w:rsidRPr="0000352D" w14:paraId="31C9BFB3" w14:textId="77777777" w:rsidTr="007B217D">
        <w:tc>
          <w:tcPr>
            <w:tcW w:w="1181" w:type="dxa"/>
            <w:vMerge w:val="restart"/>
            <w:tcBorders>
              <w:top w:val="single" w:sz="6" w:space="0" w:color="FFFFFF" w:themeColor="background1"/>
            </w:tcBorders>
            <w:vAlign w:val="center"/>
          </w:tcPr>
          <w:p w14:paraId="4736DF72" w14:textId="77777777" w:rsidR="00483858" w:rsidRPr="0000352D" w:rsidRDefault="00483858" w:rsidP="00493A0D">
            <w:pPr>
              <w:jc w:val="left"/>
              <w:rPr>
                <w:sz w:val="20"/>
                <w:szCs w:val="20"/>
              </w:rPr>
            </w:pPr>
            <w:r>
              <w:rPr>
                <w:sz w:val="20"/>
                <w:szCs w:val="20"/>
              </w:rPr>
              <w:t>Infiltration</w:t>
            </w:r>
          </w:p>
        </w:tc>
        <w:tc>
          <w:tcPr>
            <w:tcW w:w="1175" w:type="dxa"/>
            <w:vMerge w:val="restart"/>
            <w:tcBorders>
              <w:top w:val="single" w:sz="6" w:space="0" w:color="FFFFFF" w:themeColor="background1"/>
            </w:tcBorders>
            <w:vAlign w:val="center"/>
          </w:tcPr>
          <w:p w14:paraId="1F270211" w14:textId="77777777" w:rsidR="00483858" w:rsidRPr="0000352D" w:rsidRDefault="00483858" w:rsidP="00493A0D">
            <w:pPr>
              <w:jc w:val="left"/>
              <w:rPr>
                <w:sz w:val="20"/>
                <w:szCs w:val="20"/>
              </w:rPr>
            </w:pPr>
            <w:r>
              <w:rPr>
                <w:sz w:val="20"/>
                <w:szCs w:val="20"/>
              </w:rPr>
              <w:t>Infiltration</w:t>
            </w:r>
          </w:p>
        </w:tc>
        <w:tc>
          <w:tcPr>
            <w:tcW w:w="1107" w:type="dxa"/>
            <w:vMerge w:val="restart"/>
            <w:tcBorders>
              <w:top w:val="single" w:sz="6" w:space="0" w:color="FFFFFF" w:themeColor="background1"/>
            </w:tcBorders>
            <w:vAlign w:val="center"/>
          </w:tcPr>
          <w:p w14:paraId="3686FE00" w14:textId="7F8E0FF5" w:rsidR="00483858" w:rsidRPr="0000352D" w:rsidRDefault="007B217D" w:rsidP="007B217D">
            <w:pPr>
              <w:jc w:val="center"/>
              <w:rPr>
                <w:sz w:val="20"/>
                <w:szCs w:val="20"/>
              </w:rPr>
            </w:pPr>
            <w:r>
              <w:rPr>
                <w:noProof/>
                <w:sz w:val="20"/>
                <w:szCs w:val="20"/>
              </w:rPr>
              <mc:AlternateContent>
                <mc:Choice Requires="wps">
                  <w:drawing>
                    <wp:inline distT="0" distB="0" distL="0" distR="0" wp14:anchorId="08071861" wp14:editId="133EE3C9">
                      <wp:extent cx="94615" cy="153035"/>
                      <wp:effectExtent l="0" t="38100" r="57785" b="18415"/>
                      <wp:docPr id="565531768"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2CA7BCE4"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067" w:type="dxa"/>
            <w:tcBorders>
              <w:top w:val="single" w:sz="6" w:space="0" w:color="FFFFFF" w:themeColor="background1"/>
            </w:tcBorders>
            <w:shd w:val="clear" w:color="auto" w:fill="F2F9EB"/>
            <w:vAlign w:val="center"/>
          </w:tcPr>
          <w:p w14:paraId="73CB05D6" w14:textId="3C8ADE23" w:rsidR="00483858" w:rsidRPr="00493A0D" w:rsidRDefault="00493A0D" w:rsidP="00493A0D">
            <w:pPr>
              <w:jc w:val="left"/>
              <w:rPr>
                <w:sz w:val="20"/>
                <w:szCs w:val="20"/>
                <w:vertAlign w:val="subscript"/>
              </w:rPr>
            </w:pPr>
            <w:proofErr w:type="spellStart"/>
            <w:r>
              <w:rPr>
                <w:sz w:val="20"/>
                <w:szCs w:val="20"/>
              </w:rPr>
              <w:t>Ksat</w:t>
            </w:r>
            <w:r>
              <w:rPr>
                <w:sz w:val="20"/>
                <w:szCs w:val="20"/>
                <w:vertAlign w:val="subscript"/>
              </w:rPr>
              <w:t>qualité</w:t>
            </w:r>
            <w:proofErr w:type="spellEnd"/>
          </w:p>
        </w:tc>
        <w:tc>
          <w:tcPr>
            <w:tcW w:w="4524" w:type="dxa"/>
            <w:tcBorders>
              <w:top w:val="single" w:sz="6" w:space="0" w:color="FFFFFF" w:themeColor="background1"/>
            </w:tcBorders>
            <w:shd w:val="clear" w:color="auto" w:fill="F2F9EB"/>
            <w:vAlign w:val="center"/>
          </w:tcPr>
          <w:p w14:paraId="4EABD9A7" w14:textId="4AFCD58F" w:rsidR="00483858" w:rsidRPr="0000352D" w:rsidRDefault="00483858" w:rsidP="00493A0D">
            <w:pPr>
              <w:jc w:val="left"/>
              <w:rPr>
                <w:sz w:val="20"/>
                <w:szCs w:val="20"/>
              </w:rPr>
            </w:pPr>
            <w:r w:rsidRPr="0000352D">
              <w:rPr>
                <w:sz w:val="20"/>
                <w:szCs w:val="20"/>
              </w:rPr>
              <w:t xml:space="preserve">Valeurs optimales </w:t>
            </w:r>
            <w:r>
              <w:rPr>
                <w:sz w:val="20"/>
                <w:szCs w:val="20"/>
              </w:rPr>
              <w:fldChar w:fldCharType="begin"/>
            </w:r>
            <w:r>
              <w:rPr>
                <w:sz w:val="20"/>
                <w:szCs w:val="20"/>
              </w:rPr>
              <w:instrText xml:space="preserve"> ADDIN ZOTERO_ITEM CSL_CITATION {"citationID":"gkCaWjiG","properties":{"unsorted":false,"formattedCitation":"(O\\uc0\\u8217{}Geen, 2013)","plainCitation":"(O’Geen, 2013)","noteIndex":0},"citationItems":[{"id":400,"uris":["http://zotero.org/groups/5684833/items/UVXZIBTE"],"itemData":{"id":400,"type":"document","abstract":"What are the relationships between soil moisture storage, soil water flow, and soil properties?","language":"en","note":"Cg_cat: Soil Water Dynamics\nCg_level: MED\nCg_topic: Soil Water Dynamics","publisher":"Nature Education Knowledge 4(5):9","title":"Soil Water Dynamics","URL":"https://www.nature.com/scitable/knowledge/library/soil-water-dynamics-103089121/","author":[{"family":"O'Geen","given":"A. T."}],"accessed":{"date-parts":[["2026",2,3]]},"issued":{"date-parts":[["2013"]]}}}],"schema":"https://github.com/citation-style-language/schema/raw/master/csl-citation.json"} </w:instrText>
            </w:r>
            <w:r>
              <w:rPr>
                <w:sz w:val="20"/>
                <w:szCs w:val="20"/>
              </w:rPr>
              <w:fldChar w:fldCharType="separate"/>
            </w:r>
            <w:r w:rsidRPr="00992E8E">
              <w:rPr>
                <w:rFonts w:cs="Calibri"/>
                <w:kern w:val="0"/>
                <w:sz w:val="20"/>
              </w:rPr>
              <w:t>(O’Geen, 2013)</w:t>
            </w:r>
            <w:r>
              <w:rPr>
                <w:sz w:val="20"/>
                <w:szCs w:val="20"/>
              </w:rPr>
              <w:fldChar w:fldCharType="end"/>
            </w:r>
          </w:p>
        </w:tc>
      </w:tr>
      <w:tr w:rsidR="00483858" w:rsidRPr="0000352D" w14:paraId="338F76F3" w14:textId="77777777" w:rsidTr="00493A0D">
        <w:tc>
          <w:tcPr>
            <w:tcW w:w="1181" w:type="dxa"/>
            <w:vMerge/>
            <w:vAlign w:val="center"/>
          </w:tcPr>
          <w:p w14:paraId="23CBFC50" w14:textId="77777777" w:rsidR="00483858" w:rsidRPr="0000352D" w:rsidRDefault="00483858" w:rsidP="00493A0D">
            <w:pPr>
              <w:jc w:val="left"/>
              <w:rPr>
                <w:sz w:val="20"/>
                <w:szCs w:val="20"/>
              </w:rPr>
            </w:pPr>
          </w:p>
        </w:tc>
        <w:tc>
          <w:tcPr>
            <w:tcW w:w="1175" w:type="dxa"/>
            <w:vMerge/>
            <w:vAlign w:val="center"/>
          </w:tcPr>
          <w:p w14:paraId="639B4B13" w14:textId="77777777" w:rsidR="00483858" w:rsidRPr="0000352D" w:rsidRDefault="00483858" w:rsidP="00493A0D">
            <w:pPr>
              <w:jc w:val="left"/>
              <w:rPr>
                <w:sz w:val="20"/>
                <w:szCs w:val="20"/>
              </w:rPr>
            </w:pPr>
          </w:p>
        </w:tc>
        <w:tc>
          <w:tcPr>
            <w:tcW w:w="1107" w:type="dxa"/>
            <w:vMerge/>
            <w:vAlign w:val="center"/>
          </w:tcPr>
          <w:p w14:paraId="579BF2B7" w14:textId="5DDD5106" w:rsidR="00483858" w:rsidRPr="0000352D" w:rsidRDefault="00483858" w:rsidP="00493A0D">
            <w:pPr>
              <w:jc w:val="left"/>
              <w:rPr>
                <w:sz w:val="20"/>
                <w:szCs w:val="20"/>
              </w:rPr>
            </w:pPr>
          </w:p>
        </w:tc>
        <w:tc>
          <w:tcPr>
            <w:tcW w:w="1067" w:type="dxa"/>
            <w:shd w:val="clear" w:color="auto" w:fill="EFF5FB"/>
            <w:vAlign w:val="center"/>
          </w:tcPr>
          <w:p w14:paraId="14BB3604" w14:textId="372E9EC8" w:rsidR="00483858" w:rsidRPr="00493A0D" w:rsidRDefault="00493A0D" w:rsidP="00493A0D">
            <w:pPr>
              <w:jc w:val="left"/>
              <w:rPr>
                <w:sz w:val="20"/>
                <w:szCs w:val="20"/>
                <w:vertAlign w:val="subscript"/>
              </w:rPr>
            </w:pPr>
            <w:proofErr w:type="spellStart"/>
            <w:r>
              <w:rPr>
                <w:sz w:val="20"/>
                <w:szCs w:val="20"/>
              </w:rPr>
              <w:t>Ksat</w:t>
            </w:r>
            <w:r>
              <w:rPr>
                <w:sz w:val="20"/>
                <w:szCs w:val="20"/>
                <w:vertAlign w:val="subscript"/>
              </w:rPr>
              <w:t>santé</w:t>
            </w:r>
            <w:proofErr w:type="spellEnd"/>
          </w:p>
        </w:tc>
        <w:tc>
          <w:tcPr>
            <w:tcW w:w="4524" w:type="dxa"/>
            <w:shd w:val="clear" w:color="auto" w:fill="EFF5FB"/>
            <w:vAlign w:val="center"/>
          </w:tcPr>
          <w:p w14:paraId="6D1401A1" w14:textId="0FB774DF" w:rsidR="00483858" w:rsidRPr="0000352D" w:rsidRDefault="00483858" w:rsidP="00493A0D">
            <w:pPr>
              <w:jc w:val="left"/>
              <w:rPr>
                <w:sz w:val="20"/>
                <w:szCs w:val="20"/>
              </w:rPr>
            </w:pPr>
            <w:r w:rsidRPr="0000352D">
              <w:rPr>
                <w:sz w:val="20"/>
                <w:szCs w:val="20"/>
              </w:rPr>
              <w:t xml:space="preserve">Valeurs </w:t>
            </w:r>
            <w:r>
              <w:rPr>
                <w:sz w:val="20"/>
                <w:szCs w:val="20"/>
              </w:rPr>
              <w:t>moyennes</w:t>
            </w:r>
            <w:r w:rsidRPr="0000352D">
              <w:rPr>
                <w:sz w:val="20"/>
                <w:szCs w:val="20"/>
              </w:rPr>
              <w:t xml:space="preserve"> </w:t>
            </w:r>
            <w:r w:rsidR="00523E5F">
              <w:rPr>
                <w:sz w:val="20"/>
                <w:szCs w:val="20"/>
              </w:rPr>
              <w:t>par</w:t>
            </w:r>
            <w:r>
              <w:rPr>
                <w:sz w:val="20"/>
                <w:szCs w:val="20"/>
              </w:rPr>
              <w:t xml:space="preserve"> classe texturale </w:t>
            </w:r>
            <w:r>
              <w:rPr>
                <w:sz w:val="20"/>
                <w:szCs w:val="20"/>
              </w:rPr>
              <w:fldChar w:fldCharType="begin"/>
            </w:r>
            <w:r>
              <w:rPr>
                <w:sz w:val="20"/>
                <w:szCs w:val="20"/>
              </w:rPr>
              <w:instrText xml:space="preserve"> ADDIN ZOTERO_ITEM CSL_CITATION {"citationID":"xMryFJ3p","properties":{"unsorted":false,"formattedCitation":"(O\\uc0\\u8217{}Geen, 2013)","plainCitation":"(O’Geen, 2013)","noteIndex":0},"citationItems":[{"id":400,"uris":["http://zotero.org/groups/5684833/items/UVXZIBTE"],"itemData":{"id":400,"type":"document","abstract":"What are the relationships between soil moisture storage, soil water flow, and soil properties?","language":"en","note":"Cg_cat: Soil Water Dynamics\nCg_level: MED\nCg_topic: Soil Water Dynamics","publisher":"Nature Education Knowledge 4(5):9","title":"Soil Water Dynamics","URL":"https://www.nature.com/scitable/knowledge/library/soil-water-dynamics-103089121/","author":[{"family":"O'Geen","given":"A. T."}],"accessed":{"date-parts":[["2026",2,3]]},"issued":{"date-parts":[["2013"]]}}}],"schema":"https://github.com/citation-style-language/schema/raw/master/csl-citation.json"} </w:instrText>
            </w:r>
            <w:r>
              <w:rPr>
                <w:sz w:val="20"/>
                <w:szCs w:val="20"/>
              </w:rPr>
              <w:fldChar w:fldCharType="separate"/>
            </w:r>
            <w:r w:rsidRPr="00992E8E">
              <w:rPr>
                <w:rFonts w:cs="Calibri"/>
                <w:kern w:val="0"/>
                <w:sz w:val="20"/>
              </w:rPr>
              <w:t>(O’Geen, 2013)</w:t>
            </w:r>
            <w:r>
              <w:rPr>
                <w:sz w:val="20"/>
                <w:szCs w:val="20"/>
              </w:rPr>
              <w:fldChar w:fldCharType="end"/>
            </w:r>
          </w:p>
        </w:tc>
      </w:tr>
    </w:tbl>
    <w:p w14:paraId="21D30CB0" w14:textId="77777777" w:rsidR="00CC528C" w:rsidRDefault="00CC528C" w:rsidP="00CC528C"/>
    <w:p w14:paraId="51DBF167" w14:textId="77777777" w:rsidR="006D49C5" w:rsidRDefault="002C1CEA" w:rsidP="005275DC">
      <w:pPr>
        <w:keepNext/>
        <w:jc w:val="center"/>
      </w:pPr>
      <w:r>
        <w:rPr>
          <w:noProof/>
        </w:rPr>
        <w:drawing>
          <wp:inline distT="0" distB="0" distL="0" distR="0" wp14:anchorId="42EFC91F" wp14:editId="4B870B56">
            <wp:extent cx="4196686" cy="2994787"/>
            <wp:effectExtent l="0" t="0" r="0" b="0"/>
            <wp:docPr id="155929404"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10457" cy="3004614"/>
                    </a:xfrm>
                    <a:prstGeom prst="rect">
                      <a:avLst/>
                    </a:prstGeom>
                    <a:noFill/>
                    <a:ln>
                      <a:noFill/>
                    </a:ln>
                  </pic:spPr>
                </pic:pic>
              </a:graphicData>
            </a:graphic>
          </wp:inline>
        </w:drawing>
      </w:r>
    </w:p>
    <w:p w14:paraId="099427DF" w14:textId="096CBA67" w:rsidR="00A563A0" w:rsidRPr="006D49C5" w:rsidRDefault="006D49C5" w:rsidP="006D49C5">
      <w:pPr>
        <w:pStyle w:val="Lgende"/>
        <w:jc w:val="center"/>
        <w:rPr>
          <w:i w:val="0"/>
          <w:iCs w:val="0"/>
        </w:rPr>
      </w:pPr>
      <w:bookmarkStart w:id="59" w:name="_Toc241505110"/>
      <w:r w:rsidRPr="006D49C5">
        <w:rPr>
          <w:i w:val="0"/>
          <w:iCs w:val="0"/>
        </w:rPr>
        <w:t xml:space="preserve">Figure </w:t>
      </w:r>
      <w:r w:rsidRPr="006D49C5">
        <w:rPr>
          <w:i w:val="0"/>
          <w:iCs w:val="0"/>
        </w:rPr>
        <w:fldChar w:fldCharType="begin"/>
      </w:r>
      <w:r w:rsidRPr="006D49C5">
        <w:rPr>
          <w:i w:val="0"/>
          <w:iCs w:val="0"/>
        </w:rPr>
        <w:instrText xml:space="preserve"> SEQ Figure \* ARABIC </w:instrText>
      </w:r>
      <w:r w:rsidRPr="006D49C5">
        <w:rPr>
          <w:i w:val="0"/>
          <w:iCs w:val="0"/>
        </w:rPr>
        <w:fldChar w:fldCharType="separate"/>
      </w:r>
      <w:r w:rsidR="00B90382">
        <w:rPr>
          <w:i w:val="0"/>
          <w:iCs w:val="0"/>
          <w:noProof/>
        </w:rPr>
        <w:t>4</w:t>
      </w:r>
      <w:r w:rsidRPr="006D49C5">
        <w:rPr>
          <w:i w:val="0"/>
          <w:iCs w:val="0"/>
        </w:rPr>
        <w:fldChar w:fldCharType="end"/>
      </w:r>
      <w:r w:rsidRPr="006D49C5">
        <w:rPr>
          <w:i w:val="0"/>
          <w:iCs w:val="0"/>
        </w:rPr>
        <w:t xml:space="preserve"> : Exemple de fonction d'interprétation pour l’indicateur </w:t>
      </w:r>
      <w:proofErr w:type="spellStart"/>
      <w:r>
        <w:rPr>
          <w:i w:val="0"/>
          <w:iCs w:val="0"/>
        </w:rPr>
        <w:t>Ksat</w:t>
      </w:r>
      <w:proofErr w:type="spellEnd"/>
      <w:r w:rsidRPr="006D49C5">
        <w:rPr>
          <w:i w:val="0"/>
          <w:iCs w:val="0"/>
        </w:rPr>
        <w:t xml:space="preserve"> (fonction </w:t>
      </w:r>
      <w:r>
        <w:rPr>
          <w:i w:val="0"/>
          <w:iCs w:val="0"/>
        </w:rPr>
        <w:t>Infiltration</w:t>
      </w:r>
      <w:r w:rsidRPr="006D49C5">
        <w:rPr>
          <w:i w:val="0"/>
          <w:iCs w:val="0"/>
        </w:rPr>
        <w:t xml:space="preserve">, SE </w:t>
      </w:r>
      <w:r>
        <w:rPr>
          <w:i w:val="0"/>
          <w:iCs w:val="0"/>
        </w:rPr>
        <w:t>Infiltration</w:t>
      </w:r>
      <w:r w:rsidRPr="006D49C5">
        <w:rPr>
          <w:i w:val="0"/>
          <w:iCs w:val="0"/>
        </w:rPr>
        <w:t>)</w:t>
      </w:r>
      <w:r>
        <w:rPr>
          <w:i w:val="0"/>
          <w:iCs w:val="0"/>
        </w:rPr>
        <w:t> : référentiel de qualité</w:t>
      </w:r>
      <w:bookmarkEnd w:id="59"/>
    </w:p>
    <w:p w14:paraId="7291E564" w14:textId="77777777" w:rsidR="006D49C5" w:rsidRDefault="008D7F77" w:rsidP="005275DC">
      <w:pPr>
        <w:keepNext/>
        <w:jc w:val="center"/>
      </w:pPr>
      <w:r>
        <w:rPr>
          <w:noProof/>
        </w:rPr>
        <w:lastRenderedPageBreak/>
        <w:drawing>
          <wp:inline distT="0" distB="0" distL="0" distR="0" wp14:anchorId="44386739" wp14:editId="0587F322">
            <wp:extent cx="4350943" cy="3104866"/>
            <wp:effectExtent l="0" t="0" r="0" b="635"/>
            <wp:docPr id="420269696"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58890" cy="3110537"/>
                    </a:xfrm>
                    <a:prstGeom prst="rect">
                      <a:avLst/>
                    </a:prstGeom>
                    <a:noFill/>
                    <a:ln>
                      <a:noFill/>
                    </a:ln>
                  </pic:spPr>
                </pic:pic>
              </a:graphicData>
            </a:graphic>
          </wp:inline>
        </w:drawing>
      </w:r>
    </w:p>
    <w:p w14:paraId="4D223E71" w14:textId="0C16FB86" w:rsidR="00CC528C" w:rsidRPr="006D49C5" w:rsidRDefault="006D49C5" w:rsidP="006D49C5">
      <w:pPr>
        <w:pStyle w:val="Lgende"/>
        <w:rPr>
          <w:i w:val="0"/>
          <w:iCs w:val="0"/>
        </w:rPr>
      </w:pPr>
      <w:bookmarkStart w:id="60" w:name="_Toc241505111"/>
      <w:r w:rsidRPr="006D49C5">
        <w:rPr>
          <w:i w:val="0"/>
          <w:iCs w:val="0"/>
        </w:rPr>
        <w:t xml:space="preserve">Figure </w:t>
      </w:r>
      <w:r w:rsidRPr="006D49C5">
        <w:rPr>
          <w:i w:val="0"/>
          <w:iCs w:val="0"/>
        </w:rPr>
        <w:fldChar w:fldCharType="begin"/>
      </w:r>
      <w:r w:rsidRPr="006D49C5">
        <w:rPr>
          <w:i w:val="0"/>
          <w:iCs w:val="0"/>
        </w:rPr>
        <w:instrText xml:space="preserve"> SEQ Figure \* ARABIC </w:instrText>
      </w:r>
      <w:r w:rsidRPr="006D49C5">
        <w:rPr>
          <w:i w:val="0"/>
          <w:iCs w:val="0"/>
        </w:rPr>
        <w:fldChar w:fldCharType="separate"/>
      </w:r>
      <w:r w:rsidR="00B90382">
        <w:rPr>
          <w:i w:val="0"/>
          <w:iCs w:val="0"/>
          <w:noProof/>
        </w:rPr>
        <w:t>5</w:t>
      </w:r>
      <w:r w:rsidRPr="006D49C5">
        <w:rPr>
          <w:i w:val="0"/>
          <w:iCs w:val="0"/>
        </w:rPr>
        <w:fldChar w:fldCharType="end"/>
      </w:r>
      <w:r w:rsidRPr="006D49C5">
        <w:rPr>
          <w:i w:val="0"/>
          <w:iCs w:val="0"/>
        </w:rPr>
        <w:t xml:space="preserve"> : Exemple de fonction d'interprétation pour l’indicateur </w:t>
      </w:r>
      <w:proofErr w:type="spellStart"/>
      <w:r w:rsidRPr="006D49C5">
        <w:rPr>
          <w:i w:val="0"/>
          <w:iCs w:val="0"/>
        </w:rPr>
        <w:t>Ksat</w:t>
      </w:r>
      <w:proofErr w:type="spellEnd"/>
      <w:r w:rsidRPr="006D49C5">
        <w:rPr>
          <w:i w:val="0"/>
          <w:iCs w:val="0"/>
        </w:rPr>
        <w:t xml:space="preserve"> (fonction Infiltration, SE Infiltration) : référentiel de santé</w:t>
      </w:r>
      <w:bookmarkEnd w:id="60"/>
    </w:p>
    <w:p w14:paraId="25E39906" w14:textId="77777777" w:rsidR="002C1CEA" w:rsidRPr="004126FE" w:rsidRDefault="002C1CEA" w:rsidP="004126FE"/>
    <w:p w14:paraId="44D7BD28" w14:textId="5F047F2E" w:rsidR="00D266E2" w:rsidRPr="00D266E2" w:rsidRDefault="00ED7075" w:rsidP="00876101">
      <w:pPr>
        <w:pStyle w:val="Titre2"/>
        <w:numPr>
          <w:ilvl w:val="1"/>
          <w:numId w:val="3"/>
        </w:numPr>
      </w:pPr>
      <w:bookmarkStart w:id="61" w:name="_Toc241505274"/>
      <w:r>
        <w:t>Artéfacts et i</w:t>
      </w:r>
      <w:r w:rsidR="004126FE">
        <w:t>ndices organoleptiques de pollution</w:t>
      </w:r>
      <w:bookmarkEnd w:id="61"/>
    </w:p>
    <w:p w14:paraId="00C75611" w14:textId="695AE2A8" w:rsidR="005E5E7F" w:rsidRDefault="004A52C3" w:rsidP="005A69D1">
      <w:r>
        <w:t>Lors des observations de terrain, u</w:t>
      </w:r>
      <w:r w:rsidR="00FC24FF">
        <w:t>ne attention particulière doit être portée à</w:t>
      </w:r>
      <w:r>
        <w:t xml:space="preserve"> la présence d’éventuels </w:t>
      </w:r>
      <w:r w:rsidR="00ED7075">
        <w:t>artéfacts</w:t>
      </w:r>
      <w:r>
        <w:t xml:space="preserve"> ou signes organoleptiques laissant suspecter une pollution. Ceci intègre</w:t>
      </w:r>
      <w:r w:rsidR="005E5E7F">
        <w:t> :</w:t>
      </w:r>
    </w:p>
    <w:p w14:paraId="0AD3E997" w14:textId="6FAE9D0C" w:rsidR="005A69D1" w:rsidRDefault="005E5E7F" w:rsidP="00876101">
      <w:pPr>
        <w:pStyle w:val="Paragraphedeliste"/>
        <w:numPr>
          <w:ilvl w:val="0"/>
          <w:numId w:val="4"/>
        </w:numPr>
      </w:pPr>
      <w:r>
        <w:t>L</w:t>
      </w:r>
      <w:r w:rsidR="00FC24FF">
        <w:t>a nature des éléments grossiers</w:t>
      </w:r>
      <w:r>
        <w:t xml:space="preserve"> : évaluer la suspicion liée à des éléments grossiers exogènes </w:t>
      </w:r>
      <w:r w:rsidR="004A52C3">
        <w:t>(gravats, briques</w:t>
      </w:r>
      <w:r w:rsidR="6AE11EE8">
        <w:t>,</w:t>
      </w:r>
      <w:r w:rsidR="004A52C3">
        <w:t xml:space="preserve"> etc.)</w:t>
      </w:r>
      <w:r w:rsidR="00257E38">
        <w:t> ;</w:t>
      </w:r>
    </w:p>
    <w:p w14:paraId="605B00F9" w14:textId="1FB2B146" w:rsidR="00257E38" w:rsidRDefault="00257E38" w:rsidP="00876101">
      <w:pPr>
        <w:pStyle w:val="Paragraphedeliste"/>
        <w:numPr>
          <w:ilvl w:val="0"/>
          <w:numId w:val="4"/>
        </w:numPr>
      </w:pPr>
      <w:r>
        <w:t>D’éventuelles odeurs ou couleurs suspectes ;</w:t>
      </w:r>
    </w:p>
    <w:p w14:paraId="441D4ECA" w14:textId="48C4A736" w:rsidR="00257E38" w:rsidRDefault="00257E38" w:rsidP="00876101">
      <w:pPr>
        <w:pStyle w:val="Paragraphedeliste"/>
        <w:numPr>
          <w:ilvl w:val="0"/>
          <w:numId w:val="4"/>
        </w:numPr>
      </w:pPr>
      <w:r>
        <w:t>…</w:t>
      </w:r>
    </w:p>
    <w:p w14:paraId="49A814EB" w14:textId="53A4EBCD" w:rsidR="008F340E" w:rsidRDefault="00257E38" w:rsidP="00257E38">
      <w:r>
        <w:t xml:space="preserve">Si l’un ou plusieurs de ces éléments sont constatés, </w:t>
      </w:r>
      <w:r w:rsidR="0081679B">
        <w:t xml:space="preserve">une analyse de pollution est requise. </w:t>
      </w:r>
      <w:r w:rsidR="008F340E">
        <w:t>Cette obligation s’applique également en cas d’historique suspect (présence passée ou actuelle de</w:t>
      </w:r>
      <w:r w:rsidR="002C5C39">
        <w:t xml:space="preserve"> source potentielle de pollution</w:t>
      </w:r>
      <w:r w:rsidR="00C040B5">
        <w:t xml:space="preserve"> </w:t>
      </w:r>
      <w:r w:rsidR="002C5C39">
        <w:t>(</w:t>
      </w:r>
      <w:r w:rsidR="008F340E">
        <w:t>SPP</w:t>
      </w:r>
      <w:r w:rsidR="002C5C39">
        <w:t>)</w:t>
      </w:r>
      <w:r w:rsidR="008F340E">
        <w:t xml:space="preserve"> sur la zone).</w:t>
      </w:r>
    </w:p>
    <w:p w14:paraId="75F13C84" w14:textId="46AD180A" w:rsidR="00257E38" w:rsidRDefault="0081679B" w:rsidP="00257E38">
      <w:r>
        <w:t xml:space="preserve">Le choix des polluants à analyser ainsi que la stratégie de caractérisation </w:t>
      </w:r>
      <w:r w:rsidR="002666D6">
        <w:t>sont laissés à l’appréciation de l’expert et en veillant à être cohérent, dans la mesure du possible, aux préconisations du Décret sols.</w:t>
      </w:r>
      <w:r w:rsidR="00031FAC">
        <w:t xml:space="preserve"> Dans le cas d’un</w:t>
      </w:r>
      <w:r w:rsidR="00C51B82">
        <w:t xml:space="preserve">e tache de pollution suspectée ou avérée, associée à une source ponctuelle, un échantillon </w:t>
      </w:r>
      <w:r w:rsidR="00507691">
        <w:t>ponctuel sera préconisé. Si la pollution est liée à un remblai</w:t>
      </w:r>
      <w:r w:rsidR="002C5C39">
        <w:t xml:space="preserve"> présent dans la zone homogène, l’analyse d’un échantillon composite </w:t>
      </w:r>
      <w:r w:rsidR="00C040B5">
        <w:t>sera favorisée</w:t>
      </w:r>
      <w:r w:rsidR="002C5C39">
        <w:t xml:space="preserve"> en vue d’une </w:t>
      </w:r>
      <w:r w:rsidR="00C040B5">
        <w:t>meilleure représentativité des concentrations</w:t>
      </w:r>
      <w:r w:rsidR="002C5C39">
        <w:t>.</w:t>
      </w:r>
    </w:p>
    <w:p w14:paraId="6696C847" w14:textId="77777777" w:rsidR="007901DF" w:rsidRDefault="007901DF" w:rsidP="00876101">
      <w:pPr>
        <w:pStyle w:val="Titre2"/>
        <w:numPr>
          <w:ilvl w:val="1"/>
          <w:numId w:val="3"/>
        </w:numPr>
      </w:pPr>
      <w:bookmarkStart w:id="62" w:name="_Toc241505275"/>
      <w:r>
        <w:t>Pour aller plus loin</w:t>
      </w:r>
      <w:bookmarkEnd w:id="62"/>
    </w:p>
    <w:p w14:paraId="418E45E4" w14:textId="77777777" w:rsidR="007901DF" w:rsidRDefault="007901DF" w:rsidP="00876101">
      <w:pPr>
        <w:pStyle w:val="Titre3"/>
        <w:numPr>
          <w:ilvl w:val="2"/>
          <w:numId w:val="3"/>
        </w:numPr>
      </w:pPr>
      <w:bookmarkStart w:id="63" w:name="_Toc241505276"/>
      <w:r>
        <w:t>Stabilité structurale (Quanti-</w:t>
      </w:r>
      <w:proofErr w:type="spellStart"/>
      <w:r>
        <w:t>Slake</w:t>
      </w:r>
      <w:proofErr w:type="spellEnd"/>
      <w:r>
        <w:t xml:space="preserve"> test)</w:t>
      </w:r>
      <w:bookmarkEnd w:id="63"/>
    </w:p>
    <w:p w14:paraId="08FF0DD0" w14:textId="433F5D81" w:rsidR="006E7D7C" w:rsidRPr="00AB507B" w:rsidRDefault="007901DF" w:rsidP="007901DF">
      <w:r>
        <w:t>La mesure de la stabilité structurale (à travers le protocole du Quanti-</w:t>
      </w:r>
      <w:proofErr w:type="spellStart"/>
      <w:r>
        <w:t>Slake</w:t>
      </w:r>
      <w:proofErr w:type="spellEnd"/>
      <w:r>
        <w:t xml:space="preserve"> test) pourrait être ajoutée </w:t>
      </w:r>
      <w:r w:rsidR="00B14AC8">
        <w:t xml:space="preserve">au jeu de paramètres mesurés, mais uniquement en tant que « Pour aller plus loin ». En effet, ce test </w:t>
      </w:r>
      <w:r w:rsidR="00B14AC8">
        <w:lastRenderedPageBreak/>
        <w:t xml:space="preserve">ne s’applique qu’à un certain type d’usage (sols en culture) et </w:t>
      </w:r>
      <w:r w:rsidR="00190FF2">
        <w:t>le résultat est difficile à mettre en lien avec des scores.</w:t>
      </w:r>
      <w:r w:rsidR="006E7D7C">
        <w:br w:type="page"/>
      </w:r>
    </w:p>
    <w:p w14:paraId="3ADA4AE6" w14:textId="41E953BB" w:rsidR="00B8619C" w:rsidRDefault="00B8619C" w:rsidP="00876101">
      <w:pPr>
        <w:pStyle w:val="Titre1"/>
        <w:numPr>
          <w:ilvl w:val="0"/>
          <w:numId w:val="3"/>
        </w:numPr>
      </w:pPr>
      <w:bookmarkStart w:id="64" w:name="_Toc230267120"/>
      <w:bookmarkStart w:id="65" w:name="_Toc241505277"/>
      <w:r>
        <w:lastRenderedPageBreak/>
        <w:t>Paramètres chimiques</w:t>
      </w:r>
      <w:bookmarkEnd w:id="64"/>
      <w:bookmarkEnd w:id="65"/>
    </w:p>
    <w:p w14:paraId="769FCDBE" w14:textId="4F186F18" w:rsidR="00B8619C" w:rsidRDefault="00A055F3" w:rsidP="00876101">
      <w:pPr>
        <w:pStyle w:val="Titre2"/>
        <w:numPr>
          <w:ilvl w:val="1"/>
          <w:numId w:val="3"/>
        </w:numPr>
      </w:pPr>
      <w:bookmarkStart w:id="66" w:name="_Ref232412165"/>
      <w:bookmarkStart w:id="67" w:name="_Toc241505278"/>
      <w:r>
        <w:t>Carbone organique total</w:t>
      </w:r>
      <w:bookmarkEnd w:id="66"/>
      <w:bookmarkEnd w:id="67"/>
    </w:p>
    <w:p w14:paraId="66E44C00" w14:textId="77777777" w:rsidR="00A055F3" w:rsidRDefault="00A055F3" w:rsidP="00876101">
      <w:pPr>
        <w:pStyle w:val="Titre3"/>
        <w:numPr>
          <w:ilvl w:val="2"/>
          <w:numId w:val="3"/>
        </w:numPr>
      </w:pPr>
      <w:bookmarkStart w:id="68" w:name="_Toc241505279"/>
      <w:r>
        <w:t>Définition</w:t>
      </w:r>
      <w:bookmarkEnd w:id="68"/>
    </w:p>
    <w:p w14:paraId="6C912CFB" w14:textId="2F12977D" w:rsidR="00A055F3" w:rsidRPr="009E4C10" w:rsidRDefault="00F32AEB" w:rsidP="00A055F3">
      <w:r>
        <w:t xml:space="preserve">Le carbone organique total </w:t>
      </w:r>
      <w:r w:rsidR="009441E7">
        <w:t>du sol</w:t>
      </w:r>
      <w:r w:rsidR="00E01A8C">
        <w:t xml:space="preserve"> (</w:t>
      </w:r>
      <w:proofErr w:type="spellStart"/>
      <w:r w:rsidR="00E01A8C">
        <w:t>C</w:t>
      </w:r>
      <w:r w:rsidR="00E01A8C" w:rsidRPr="48222D96">
        <w:rPr>
          <w:vertAlign w:val="subscript"/>
        </w:rPr>
        <w:t>org</w:t>
      </w:r>
      <w:proofErr w:type="spellEnd"/>
      <w:r w:rsidR="00E01A8C">
        <w:t>)</w:t>
      </w:r>
      <w:r w:rsidR="009441E7">
        <w:t xml:space="preserve"> correspond à la fraction carbonée de la matière organique des sols.</w:t>
      </w:r>
      <w:r w:rsidR="00E01A8C">
        <w:t xml:space="preserve"> La teneur en matière organique </w:t>
      </w:r>
      <w:r w:rsidR="21DBDF2D">
        <w:t>(MO)</w:t>
      </w:r>
      <w:r w:rsidR="00E01A8C">
        <w:t xml:space="preserve"> d’un sol peut être déduite de la teneur en </w:t>
      </w:r>
      <w:proofErr w:type="spellStart"/>
      <w:r w:rsidR="00E01A8C">
        <w:t>C</w:t>
      </w:r>
      <w:r w:rsidR="00E01A8C" w:rsidRPr="48222D96">
        <w:rPr>
          <w:vertAlign w:val="subscript"/>
        </w:rPr>
        <w:t>org</w:t>
      </w:r>
      <w:proofErr w:type="spellEnd"/>
      <w:r w:rsidR="00E01A8C">
        <w:t xml:space="preserve"> via la relation suivante : MO = </w:t>
      </w:r>
      <w:r w:rsidR="009E4C10">
        <w:t xml:space="preserve">2 </w:t>
      </w:r>
      <w:r w:rsidR="002E3BF5" w:rsidRPr="48222D96">
        <w:rPr>
          <w:rFonts w:cs="Calibri"/>
        </w:rPr>
        <w:t>·</w:t>
      </w:r>
      <w:r w:rsidR="009E4C10">
        <w:t xml:space="preserve"> </w:t>
      </w:r>
      <w:proofErr w:type="spellStart"/>
      <w:r w:rsidR="009E4C10">
        <w:t>C</w:t>
      </w:r>
      <w:r w:rsidR="009E4C10" w:rsidRPr="48222D96">
        <w:rPr>
          <w:vertAlign w:val="subscript"/>
        </w:rPr>
        <w:t>org</w:t>
      </w:r>
      <w:proofErr w:type="spellEnd"/>
      <w:r w:rsidR="009E4C10">
        <w:t>.</w:t>
      </w:r>
    </w:p>
    <w:p w14:paraId="18778289" w14:textId="77777777" w:rsidR="00A055F3" w:rsidRDefault="00A055F3" w:rsidP="00876101">
      <w:pPr>
        <w:pStyle w:val="Titre3"/>
        <w:numPr>
          <w:ilvl w:val="2"/>
          <w:numId w:val="3"/>
        </w:numPr>
      </w:pPr>
      <w:bookmarkStart w:id="69" w:name="_Toc241505280"/>
      <w:r>
        <w:t>Pertinence</w:t>
      </w:r>
      <w:bookmarkEnd w:id="69"/>
    </w:p>
    <w:p w14:paraId="2490A6AF" w14:textId="7300B40D" w:rsidR="00A055F3" w:rsidRPr="00765745" w:rsidRDefault="00ED6A22" w:rsidP="00A055F3">
      <w:r>
        <w:t xml:space="preserve">La matière organique d’un sol est essentielle pour </w:t>
      </w:r>
      <w:r w:rsidR="008E0171">
        <w:t xml:space="preserve">le bon fonctionnement </w:t>
      </w:r>
      <w:r w:rsidR="00437F08">
        <w:t>de nombreux</w:t>
      </w:r>
      <w:r w:rsidR="003A15BD">
        <w:t xml:space="preserve"> </w:t>
      </w:r>
      <w:r w:rsidR="008E0171">
        <w:t xml:space="preserve">processus pédologiques. </w:t>
      </w:r>
      <w:r w:rsidR="006F2C36">
        <w:t>En effet, elle favorise la stabilité structurale du sol</w:t>
      </w:r>
      <w:r w:rsidR="006A460F">
        <w:t xml:space="preserve"> (limitant ainsi l’érosion et la compaction), </w:t>
      </w:r>
      <w:r w:rsidR="0073771B">
        <w:t>elle augmente la capacité de rétention des nutriments et des polluants</w:t>
      </w:r>
      <w:r w:rsidR="00994021">
        <w:t xml:space="preserve">. En </w:t>
      </w:r>
      <w:r w:rsidR="0073771B">
        <w:t>ser</w:t>
      </w:r>
      <w:r w:rsidR="00994021">
        <w:t>vant</w:t>
      </w:r>
      <w:r w:rsidR="0073771B">
        <w:t xml:space="preserve"> </w:t>
      </w:r>
      <w:r w:rsidR="009B5AE0">
        <w:t>de garde-manger pour les microorganismes</w:t>
      </w:r>
      <w:r w:rsidR="00994021">
        <w:t xml:space="preserve">, elle </w:t>
      </w:r>
      <w:r w:rsidR="00820B05">
        <w:t>contribue au bon fonctionnement des cycles biogéochimiques</w:t>
      </w:r>
      <w:r w:rsidR="00437F08">
        <w:t xml:space="preserve"> et à la résilience de la nutrition végétale</w:t>
      </w:r>
      <w:r w:rsidR="009B5AE0">
        <w:t>.</w:t>
      </w:r>
      <w:r w:rsidR="00820B05">
        <w:t xml:space="preserve"> De plus, </w:t>
      </w:r>
      <w:r w:rsidR="007D558F">
        <w:t>elle participe à la mitigation du réchauffement climatique en constituant un potentiel puits de carbone stable</w:t>
      </w:r>
      <w:r w:rsidR="00A055F3">
        <w:t xml:space="preserve"> </w:t>
      </w:r>
      <w:r w:rsidR="00A055F3">
        <w:rPr>
          <w:rFonts w:cs="Calibri"/>
          <w:kern w:val="0"/>
        </w:rPr>
        <w:fldChar w:fldCharType="begin"/>
      </w:r>
      <w:r w:rsidR="00377A1A">
        <w:rPr>
          <w:rFonts w:cs="Calibri"/>
          <w:kern w:val="0"/>
        </w:rPr>
        <w:instrText xml:space="preserve"> ADDIN ZOTERO_ITEM CSL_CITATION {"citationID":"Z6iNPmDw","properties":{"formattedCitation":"(UE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A055F3">
        <w:rPr>
          <w:rFonts w:cs="Calibri"/>
          <w:kern w:val="0"/>
        </w:rPr>
        <w:fldChar w:fldCharType="separate"/>
      </w:r>
      <w:r w:rsidR="00377A1A" w:rsidRPr="00377A1A">
        <w:rPr>
          <w:rFonts w:cs="Calibri"/>
        </w:rPr>
        <w:t>(UE 2025/2360, 2025)</w:t>
      </w:r>
      <w:r w:rsidR="00A055F3">
        <w:rPr>
          <w:rFonts w:cs="Calibri"/>
          <w:kern w:val="0"/>
        </w:rPr>
        <w:fldChar w:fldCharType="end"/>
      </w:r>
      <w:r w:rsidR="00A055F3" w:rsidRPr="00143BEF">
        <w:t>.</w:t>
      </w:r>
    </w:p>
    <w:p w14:paraId="55F8A9B1" w14:textId="77777777" w:rsidR="00A055F3" w:rsidRDefault="00A055F3" w:rsidP="00876101">
      <w:pPr>
        <w:pStyle w:val="Titre3"/>
        <w:numPr>
          <w:ilvl w:val="2"/>
          <w:numId w:val="3"/>
        </w:numPr>
      </w:pPr>
      <w:bookmarkStart w:id="70" w:name="_Toc241505281"/>
      <w:r>
        <w:t>Méthode de mesure</w:t>
      </w:r>
      <w:bookmarkEnd w:id="70"/>
    </w:p>
    <w:p w14:paraId="56C34F48" w14:textId="7EDA8D25" w:rsidR="000F6E17" w:rsidRPr="000F6E17" w:rsidRDefault="000F6E17" w:rsidP="000F6E17">
      <w:r>
        <w:t xml:space="preserve">Le carbone organique total du sol se mesure </w:t>
      </w:r>
      <w:r w:rsidR="00390E72">
        <w:t>par combustion sèche en laboratoire, ou méthode équivalente (</w:t>
      </w:r>
      <w:r w:rsidR="00390E72" w:rsidRPr="00390E72">
        <w:t xml:space="preserve">ISO </w:t>
      </w:r>
      <w:proofErr w:type="gramStart"/>
      <w:r w:rsidR="00390E72" w:rsidRPr="00390E72">
        <w:t>10694:</w:t>
      </w:r>
      <w:proofErr w:type="gramEnd"/>
      <w:r w:rsidR="00390E72" w:rsidRPr="00390E72">
        <w:t>1995</w:t>
      </w:r>
      <w:r w:rsidR="00390E72">
        <w:t xml:space="preserve">), sur un échantillon composite prélevé sur la </w:t>
      </w:r>
      <w:r w:rsidR="00C36BC7">
        <w:t>couche</w:t>
      </w:r>
      <w:r w:rsidR="00390E72">
        <w:t xml:space="preserve"> 0-30 cm.</w:t>
      </w:r>
    </w:p>
    <w:p w14:paraId="7F876661" w14:textId="77777777" w:rsidR="00A055F3" w:rsidRDefault="00A055F3" w:rsidP="00876101">
      <w:pPr>
        <w:pStyle w:val="Titre3"/>
        <w:numPr>
          <w:ilvl w:val="2"/>
          <w:numId w:val="3"/>
        </w:numPr>
      </w:pPr>
      <w:bookmarkStart w:id="71" w:name="_Toc241505282"/>
      <w:r w:rsidRPr="00C23A2C">
        <w:t>Interprétation</w:t>
      </w:r>
      <w:bookmarkEnd w:id="71"/>
    </w:p>
    <w:p w14:paraId="5E9AA099" w14:textId="14F7E84B" w:rsidR="008A1E08" w:rsidRPr="008C7112" w:rsidRDefault="00EB3994" w:rsidP="008A1E08">
      <w:r>
        <w:t>Une</w:t>
      </w:r>
      <w:r w:rsidR="008A1E08">
        <w:t xml:space="preserve"> teneur en carbone organique total élevée signifie </w:t>
      </w:r>
      <w:r>
        <w:t xml:space="preserve">que le sol est riche est matière organique, </w:t>
      </w:r>
      <w:r w:rsidR="00160E08">
        <w:t>représentant elle-même</w:t>
      </w:r>
      <w:r w:rsidR="00F71D98">
        <w:t xml:space="preserve"> un pool de nutriments potentiellement mobilisables</w:t>
      </w:r>
      <w:r w:rsidR="008672F6">
        <w:t xml:space="preserve"> par les plantes</w:t>
      </w:r>
      <w:r w:rsidR="00F71D98">
        <w:t xml:space="preserve">. </w:t>
      </w:r>
      <w:proofErr w:type="spellStart"/>
      <w:r w:rsidR="008672F6">
        <w:t>C</w:t>
      </w:r>
      <w:r w:rsidR="008672F6" w:rsidRPr="48222D96">
        <w:rPr>
          <w:vertAlign w:val="subscript"/>
        </w:rPr>
        <w:t>org</w:t>
      </w:r>
      <w:proofErr w:type="spellEnd"/>
      <w:r w:rsidR="008672F6">
        <w:t xml:space="preserve"> constitue </w:t>
      </w:r>
      <w:r w:rsidR="00015655">
        <w:t>donc un prox</w:t>
      </w:r>
      <w:r w:rsidR="17C0EA64">
        <w:t>y</w:t>
      </w:r>
      <w:r w:rsidR="00015655">
        <w:t xml:space="preserve"> de la résilience </w:t>
      </w:r>
      <w:r w:rsidR="008672F6">
        <w:t>de la nutrition végétale</w:t>
      </w:r>
      <w:r w:rsidR="00DE2D93">
        <w:t xml:space="preserve"> (</w:t>
      </w:r>
      <w:r w:rsidR="00095D4E">
        <w:t>service écosystémique</w:t>
      </w:r>
      <w:r w:rsidR="00DE2D93">
        <w:t xml:space="preserve"> </w:t>
      </w:r>
      <w:r w:rsidR="00DE2D93" w:rsidRPr="48222D96">
        <w:rPr>
          <w:i/>
          <w:iCs/>
        </w:rPr>
        <w:t>Production</w:t>
      </w:r>
      <w:r w:rsidR="00DE2D93">
        <w:t>)</w:t>
      </w:r>
      <w:r w:rsidR="008672F6">
        <w:t>.</w:t>
      </w:r>
      <w:r w:rsidR="008C7112">
        <w:t xml:space="preserve"> Une teneur en </w:t>
      </w:r>
      <w:proofErr w:type="spellStart"/>
      <w:r w:rsidR="008C7112">
        <w:t>C</w:t>
      </w:r>
      <w:r w:rsidR="008C7112" w:rsidRPr="48222D96">
        <w:rPr>
          <w:vertAlign w:val="subscript"/>
        </w:rPr>
        <w:t>org</w:t>
      </w:r>
      <w:proofErr w:type="spellEnd"/>
      <w:r w:rsidR="008C7112" w:rsidRPr="48222D96">
        <w:rPr>
          <w:vertAlign w:val="subscript"/>
        </w:rPr>
        <w:t xml:space="preserve"> </w:t>
      </w:r>
      <w:r w:rsidR="008C7112">
        <w:t xml:space="preserve">supérieure à 2 </w:t>
      </w:r>
      <w:r w:rsidR="00740B2E">
        <w:t>% est généralement considérée comme satisfaisante</w:t>
      </w:r>
      <w:r w:rsidR="0026500A">
        <w:t xml:space="preserve"> pour assurer la nutrition et la stabilité structurale des sols agricoles </w:t>
      </w:r>
      <w:r>
        <w:fldChar w:fldCharType="begin"/>
      </w:r>
      <w:r>
        <w:instrText xml:space="preserve"> ADDIN ZOTERO_ITEM CSL_CITATION {"citationID":"CkN8YyBl","properties":{"unsorted":false,"formattedCitation":"(Baritz et al., 2023)","plainCitation":"(Baritz et al., 2023)","noteIndex":0},"citationItems":[{"id":82,"uris":["http://zotero.org/groups/5684833/items/2R2SZSKQ"],"itemData":{"id":82,"type":"report","abstract":"This report describes the rationale for a series of common and broadly accepted soil health indicators to support policy. The focus is on soil threats, and indicators were selected in view of their appropriateness for assessing the condition of soil, its degradation, its resilience and its valuable services. For each indicator, a rationale is provided for using thresholds as critical limits to indicate that soil is in good condition, i.e. healthy soil, in respect of of specific soil functions and local conditions.","call-number":"TH-AL-22-018-EN-N","ISBN":"978-92-9480-538-6","language":"eng","number":"08/2022","publisher":"European Environment Agency","source":"Publications Office of the European Union","title":"Soil monitoring in Europe: indicators and thresholds for soil quality assessments","title-short":"Soil monitoring in Europe","URL":"https://data.europa.eu/doi/10.2800/956606","author":[{"family":"Baritz","given":"Rainer"},{"family":"Amelung","given":"Wulf"},{"family":"Trombetti","given":"Marco"},{"family":"Hijbeek","given":"Renske"},{"family":"Romkens","given":"Paul"},{"family":"Vries","given":"Wim","non-dropping-particle":"de"}],"accessed":{"date-parts":[["2024",9,27]]},"issued":{"date-parts":[["2023"]]}}}],"schema":"https://github.com/citation-style-language/schema/raw/master/csl-citation.json"} </w:instrText>
      </w:r>
      <w:r>
        <w:fldChar w:fldCharType="separate"/>
      </w:r>
      <w:r w:rsidR="0026500A" w:rsidRPr="48222D96">
        <w:rPr>
          <w:rFonts w:cs="Calibri"/>
        </w:rPr>
        <w:t>(Baritz et al., 2023)</w:t>
      </w:r>
      <w:r>
        <w:fldChar w:fldCharType="end"/>
      </w:r>
      <w:r w:rsidR="00740B2E">
        <w:t>.</w:t>
      </w:r>
    </w:p>
    <w:p w14:paraId="51ADC25B" w14:textId="51A02325" w:rsidR="00802F9F" w:rsidRDefault="006C54F6" w:rsidP="008A1E08">
      <w:r>
        <w:t>REQUASUD</w:t>
      </w:r>
      <w:r w:rsidR="00D97331">
        <w:t xml:space="preserve"> présente des teneurs </w:t>
      </w:r>
      <w:r w:rsidR="0083659C">
        <w:t xml:space="preserve">en </w:t>
      </w:r>
      <w:proofErr w:type="spellStart"/>
      <w:r w:rsidR="0083659C">
        <w:t>C</w:t>
      </w:r>
      <w:r w:rsidR="0083659C">
        <w:rPr>
          <w:vertAlign w:val="subscript"/>
        </w:rPr>
        <w:t>org</w:t>
      </w:r>
      <w:proofErr w:type="spellEnd"/>
      <w:r w:rsidR="0083659C">
        <w:t xml:space="preserve"> </w:t>
      </w:r>
      <w:r w:rsidR="00D97331">
        <w:t xml:space="preserve">habituellement rencontrées dans des sols en fonction de leur texture </w:t>
      </w:r>
      <w:r w:rsidR="0083659C">
        <w:t xml:space="preserve">– argile, limon ou sable – </w:t>
      </w:r>
      <w:r w:rsidR="00A04566">
        <w:fldChar w:fldCharType="begin"/>
      </w:r>
      <w:r w:rsidR="009B3EB5">
        <w:instrText xml:space="preserve"> ADDIN ZOTERO_ITEM CSL_CITATION {"citationID":"aVmpFi48","properties":{"unsorted":false,"formattedCitation":"(Mariage, 2019)","plainCitation":"(Mariage, 2019)","noteIndex":0},"citationItems":[{"id":118,"uris":["http://zotero.org/groups/5684833/items/WR8HRSK5"],"itemData":{"id":118,"type":"document","publisher":"REQUASUD","title":"Les matières organiques et la fertilité du sol","URL":"https://www.requasud.be/assets/pdf/publications/presentations/fiche_explicative_carbone_v01.pdf","author":[{"family":"Mariage","given":"Clémence"}],"issued":{"date-parts":[["2019"]]}}}],"schema":"https://github.com/citation-style-language/schema/raw/master/csl-citation.json"} </w:instrText>
      </w:r>
      <w:r w:rsidR="00A04566">
        <w:fldChar w:fldCharType="separate"/>
      </w:r>
      <w:r w:rsidR="009B3EB5" w:rsidRPr="009B3EB5">
        <w:rPr>
          <w:rFonts w:cs="Calibri"/>
        </w:rPr>
        <w:t>(Mariage, 2019)</w:t>
      </w:r>
      <w:r w:rsidR="00A04566">
        <w:fldChar w:fldCharType="end"/>
      </w:r>
      <w:r w:rsidR="0083659C">
        <w:t>. Ces gammes de valeur peuvent servir comme point de comparaison pour évaluer l’état de santé du sol quant à ce paramètre.</w:t>
      </w:r>
      <w:r w:rsidR="00802F9F">
        <w:t xml:space="preserve"> </w:t>
      </w:r>
    </w:p>
    <w:p w14:paraId="08D0BF17" w14:textId="528A9ADD" w:rsidR="00A055F3" w:rsidRDefault="00936804" w:rsidP="00936804">
      <w:pPr>
        <w:pStyle w:val="Lgende"/>
        <w:keepNext/>
        <w:jc w:val="left"/>
      </w:pPr>
      <w:proofErr w:type="spellStart"/>
      <w:r w:rsidRPr="6CB535F6">
        <w:rPr>
          <w:i w:val="0"/>
          <w:color w:val="auto"/>
          <w:sz w:val="22"/>
          <w:szCs w:val="22"/>
        </w:rPr>
        <w:t>C</w:t>
      </w:r>
      <w:r w:rsidR="003C3622">
        <w:rPr>
          <w:i w:val="0"/>
          <w:color w:val="auto"/>
          <w:sz w:val="22"/>
          <w:szCs w:val="22"/>
          <w:vertAlign w:val="subscript"/>
        </w:rPr>
        <w:t>org</w:t>
      </w:r>
      <w:proofErr w:type="spellEnd"/>
      <w:r w:rsidRPr="6CB535F6">
        <w:rPr>
          <w:i w:val="0"/>
          <w:color w:val="auto"/>
          <w:sz w:val="22"/>
          <w:szCs w:val="22"/>
        </w:rPr>
        <w:t xml:space="preserve"> est également utilisé dans le calcul du stock de carbone</w:t>
      </w:r>
      <w:r w:rsidR="00DE2D93" w:rsidRPr="6CB535F6">
        <w:rPr>
          <w:i w:val="0"/>
          <w:color w:val="auto"/>
          <w:sz w:val="22"/>
          <w:szCs w:val="22"/>
        </w:rPr>
        <w:t xml:space="preserve"> </w:t>
      </w:r>
      <w:r w:rsidR="003C3622">
        <w:rPr>
          <w:i w:val="0"/>
          <w:color w:val="auto"/>
          <w:sz w:val="22"/>
          <w:szCs w:val="22"/>
        </w:rPr>
        <w:t xml:space="preserve">(voir partie </w:t>
      </w:r>
      <w:r w:rsidR="003C3622">
        <w:rPr>
          <w:i w:val="0"/>
          <w:color w:val="auto"/>
          <w:sz w:val="22"/>
          <w:szCs w:val="22"/>
        </w:rPr>
        <w:fldChar w:fldCharType="begin"/>
      </w:r>
      <w:r w:rsidR="003C3622">
        <w:rPr>
          <w:i w:val="0"/>
          <w:color w:val="auto"/>
          <w:sz w:val="22"/>
          <w:szCs w:val="22"/>
        </w:rPr>
        <w:instrText xml:space="preserve"> REF _Ref233120348 \r \h </w:instrText>
      </w:r>
      <w:r w:rsidR="003C3622">
        <w:rPr>
          <w:i w:val="0"/>
          <w:color w:val="auto"/>
          <w:sz w:val="22"/>
          <w:szCs w:val="22"/>
        </w:rPr>
      </w:r>
      <w:r w:rsidR="003C3622">
        <w:rPr>
          <w:i w:val="0"/>
          <w:color w:val="auto"/>
          <w:sz w:val="22"/>
          <w:szCs w:val="22"/>
        </w:rPr>
        <w:fldChar w:fldCharType="separate"/>
      </w:r>
      <w:r w:rsidR="003C3622">
        <w:rPr>
          <w:i w:val="0"/>
          <w:color w:val="auto"/>
          <w:sz w:val="22"/>
          <w:szCs w:val="22"/>
        </w:rPr>
        <w:t>5.7.3</w:t>
      </w:r>
      <w:r w:rsidR="003C3622">
        <w:rPr>
          <w:i w:val="0"/>
          <w:color w:val="auto"/>
          <w:sz w:val="22"/>
          <w:szCs w:val="22"/>
        </w:rPr>
        <w:fldChar w:fldCharType="end"/>
      </w:r>
      <w:r w:rsidR="003C3622">
        <w:rPr>
          <w:i w:val="0"/>
          <w:color w:val="auto"/>
          <w:sz w:val="22"/>
          <w:szCs w:val="22"/>
        </w:rPr>
        <w:t xml:space="preserve">) pour le </w:t>
      </w:r>
      <w:r w:rsidR="00095D4E">
        <w:rPr>
          <w:i w:val="0"/>
          <w:color w:val="auto"/>
          <w:sz w:val="22"/>
          <w:szCs w:val="22"/>
        </w:rPr>
        <w:t>service écosystémique</w:t>
      </w:r>
      <w:r w:rsidR="00DE2D93" w:rsidRPr="6CB535F6">
        <w:rPr>
          <w:i w:val="0"/>
          <w:color w:val="auto"/>
          <w:sz w:val="22"/>
          <w:szCs w:val="22"/>
        </w:rPr>
        <w:t xml:space="preserve"> </w:t>
      </w:r>
      <w:r w:rsidR="00DE2D93" w:rsidRPr="6CB535F6">
        <w:rPr>
          <w:color w:val="auto"/>
          <w:sz w:val="22"/>
          <w:szCs w:val="22"/>
        </w:rPr>
        <w:t>Stockage de carbone</w:t>
      </w:r>
      <w:r w:rsidR="006B72A6" w:rsidRPr="6CB535F6">
        <w:rPr>
          <w:i w:val="0"/>
          <w:color w:val="auto"/>
          <w:sz w:val="22"/>
          <w:szCs w:val="22"/>
        </w:rPr>
        <w:t>.</w:t>
      </w:r>
    </w:p>
    <w:p w14:paraId="4B3F80D0" w14:textId="3E1193BE" w:rsidR="00A055F3" w:rsidRDefault="00C1685B" w:rsidP="00A055F3">
      <w:pPr>
        <w:pStyle w:val="Lgende"/>
        <w:keepNext/>
        <w:jc w:val="center"/>
      </w:pPr>
      <w:bookmarkStart w:id="72" w:name="_Toc233122661"/>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5</w:t>
      </w:r>
      <w:r w:rsidRPr="00261C30">
        <w:rPr>
          <w:i w:val="0"/>
          <w:iCs w:val="0"/>
        </w:rPr>
        <w:fldChar w:fldCharType="end"/>
      </w:r>
      <w:r w:rsidRPr="00261C30">
        <w:rPr>
          <w:i w:val="0"/>
          <w:iCs w:val="0"/>
        </w:rPr>
        <w:t xml:space="preserve"> : Référentiels d’interprétation </w:t>
      </w:r>
      <w:r>
        <w:rPr>
          <w:i w:val="0"/>
          <w:iCs w:val="0"/>
        </w:rPr>
        <w:t>d</w:t>
      </w:r>
      <w:r w:rsidR="276D888A" w:rsidRPr="6CB535F6">
        <w:rPr>
          <w:i w:val="0"/>
          <w:iCs w:val="0"/>
        </w:rPr>
        <w:t>e l’</w:t>
      </w:r>
      <w:r w:rsidRPr="6CB535F6">
        <w:rPr>
          <w:i w:val="0"/>
          <w:iCs w:val="0"/>
        </w:rPr>
        <w:t>indicateur</w:t>
      </w:r>
      <w:r w:rsidRPr="00261C30">
        <w:rPr>
          <w:i w:val="0"/>
          <w:iCs w:val="0"/>
        </w:rPr>
        <w:t xml:space="preserve">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noProof/>
        </w:rPr>
        <w:drawing>
          <wp:inline distT="0" distB="0" distL="0" distR="0" wp14:anchorId="1B9F622F" wp14:editId="4C86703A">
            <wp:extent cx="91440" cy="118745"/>
            <wp:effectExtent l="0" t="0" r="3810" b="0"/>
            <wp:docPr id="101668142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5C8C4207" wp14:editId="0BCDE209">
            <wp:extent cx="85917" cy="88985"/>
            <wp:effectExtent l="0" t="0" r="9525" b="6350"/>
            <wp:docPr id="8462328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74651E6D" wp14:editId="664D2D69">
            <wp:extent cx="164432" cy="65784"/>
            <wp:effectExtent l="0" t="0" r="7620" b="0"/>
            <wp:docPr id="43911372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w:t>
      </w:r>
      <w:bookmarkEnd w:id="72"/>
    </w:p>
    <w:tbl>
      <w:tblPr>
        <w:tblStyle w:val="Grilledutableau"/>
        <w:tblW w:w="0" w:type="auto"/>
        <w:tblCellMar>
          <w:top w:w="28" w:type="dxa"/>
          <w:bottom w:w="28" w:type="dxa"/>
        </w:tblCellMar>
        <w:tblLook w:val="04A0" w:firstRow="1" w:lastRow="0" w:firstColumn="1" w:lastColumn="0" w:noHBand="0" w:noVBand="1"/>
      </w:tblPr>
      <w:tblGrid>
        <w:gridCol w:w="1182"/>
        <w:gridCol w:w="1175"/>
        <w:gridCol w:w="1107"/>
        <w:gridCol w:w="1067"/>
        <w:gridCol w:w="4529"/>
      </w:tblGrid>
      <w:tr w:rsidR="00A055F3" w:rsidRPr="0000352D" w14:paraId="7B38FACF" w14:textId="77777777" w:rsidTr="00493A0D">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5E3D92E3" w14:textId="6614446E" w:rsidR="00A055F3" w:rsidRPr="0000352D" w:rsidRDefault="00862D14">
            <w:pPr>
              <w:jc w:val="center"/>
              <w:rPr>
                <w:sz w:val="20"/>
                <w:szCs w:val="20"/>
              </w:rPr>
            </w:pPr>
            <w:r>
              <w:rPr>
                <w:sz w:val="20"/>
                <w:szCs w:val="20"/>
              </w:rPr>
              <w:t>Carbone organique total (</w:t>
            </w:r>
            <w:proofErr w:type="spellStart"/>
            <w:r>
              <w:t>C</w:t>
            </w:r>
            <w:r>
              <w:rPr>
                <w:vertAlign w:val="subscript"/>
              </w:rPr>
              <w:t>org</w:t>
            </w:r>
            <w:proofErr w:type="spellEnd"/>
            <w:r>
              <w:rPr>
                <w:sz w:val="20"/>
                <w:szCs w:val="20"/>
              </w:rPr>
              <w:t>)</w:t>
            </w:r>
            <w:r w:rsidR="00A055F3" w:rsidRPr="0000352D">
              <w:rPr>
                <w:sz w:val="20"/>
                <w:szCs w:val="20"/>
              </w:rPr>
              <w:t xml:space="preserve"> - Référentiel</w:t>
            </w:r>
            <w:r w:rsidR="00A055F3">
              <w:rPr>
                <w:sz w:val="20"/>
                <w:szCs w:val="20"/>
              </w:rPr>
              <w:t>s</w:t>
            </w:r>
            <w:r w:rsidR="00A055F3" w:rsidRPr="0000352D">
              <w:rPr>
                <w:sz w:val="20"/>
                <w:szCs w:val="20"/>
              </w:rPr>
              <w:t xml:space="preserve"> d’interprétation</w:t>
            </w:r>
          </w:p>
        </w:tc>
      </w:tr>
      <w:tr w:rsidR="00A055F3" w:rsidRPr="0000352D" w14:paraId="114D6C77" w14:textId="77777777" w:rsidTr="00493A0D">
        <w:tc>
          <w:tcPr>
            <w:tcW w:w="1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53FACA10" w14:textId="638ACFAD" w:rsidR="00A055F3" w:rsidRPr="00423C23" w:rsidRDefault="00095D4E">
            <w:pPr>
              <w:jc w:val="center"/>
              <w:rPr>
                <w:sz w:val="20"/>
                <w:szCs w:val="20"/>
              </w:rPr>
            </w:pPr>
            <w:r>
              <w:rPr>
                <w:sz w:val="20"/>
                <w:szCs w:val="20"/>
              </w:rPr>
              <w:t>Service</w:t>
            </w:r>
          </w:p>
        </w:tc>
        <w:tc>
          <w:tcPr>
            <w:tcW w:w="11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5726B32F" w14:textId="77777777" w:rsidR="00A055F3" w:rsidRPr="00423C23" w:rsidRDefault="00A055F3">
            <w:pPr>
              <w:jc w:val="center"/>
              <w:rPr>
                <w:sz w:val="20"/>
                <w:szCs w:val="20"/>
              </w:rPr>
            </w:pPr>
            <w:r w:rsidRPr="00423C23">
              <w:rPr>
                <w:sz w:val="20"/>
                <w:szCs w:val="20"/>
              </w:rPr>
              <w:t>Fonction</w:t>
            </w:r>
          </w:p>
        </w:tc>
        <w:tc>
          <w:tcPr>
            <w:tcW w:w="11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02B4F715" w14:textId="264B28ED" w:rsidR="00A055F3" w:rsidRPr="00423C23" w:rsidRDefault="00B41692">
            <w:pPr>
              <w:jc w:val="center"/>
              <w:rPr>
                <w:sz w:val="20"/>
                <w:szCs w:val="20"/>
              </w:rPr>
            </w:pPr>
            <w:r>
              <w:rPr>
                <w:sz w:val="20"/>
                <w:szCs w:val="20"/>
              </w:rPr>
              <w:t>Forme</w:t>
            </w:r>
          </w:p>
        </w:tc>
        <w:tc>
          <w:tcPr>
            <w:tcW w:w="10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73778E68" w14:textId="2912E8AF" w:rsidR="00A055F3" w:rsidRPr="00423C23" w:rsidRDefault="00B41692">
            <w:pPr>
              <w:jc w:val="center"/>
              <w:rPr>
                <w:sz w:val="20"/>
                <w:szCs w:val="20"/>
              </w:rPr>
            </w:pPr>
            <w:r w:rsidRPr="00423C23">
              <w:rPr>
                <w:sz w:val="20"/>
                <w:szCs w:val="20"/>
              </w:rPr>
              <w:t>Évaluation</w:t>
            </w:r>
          </w:p>
        </w:tc>
        <w:tc>
          <w:tcPr>
            <w:tcW w:w="45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4C9F2B50" w14:textId="77777777" w:rsidR="00A055F3" w:rsidRPr="00423C23" w:rsidRDefault="00A055F3">
            <w:pPr>
              <w:jc w:val="center"/>
              <w:rPr>
                <w:sz w:val="20"/>
                <w:szCs w:val="20"/>
              </w:rPr>
            </w:pPr>
            <w:r w:rsidRPr="00423C23">
              <w:rPr>
                <w:sz w:val="20"/>
                <w:szCs w:val="20"/>
              </w:rPr>
              <w:t>Référentiel</w:t>
            </w:r>
          </w:p>
        </w:tc>
      </w:tr>
      <w:tr w:rsidR="00B41692" w:rsidRPr="0000352D" w14:paraId="0CFBA859" w14:textId="77777777" w:rsidTr="009000E7">
        <w:trPr>
          <w:trHeight w:val="355"/>
        </w:trPr>
        <w:tc>
          <w:tcPr>
            <w:tcW w:w="1182" w:type="dxa"/>
            <w:vMerge w:val="restart"/>
            <w:tcBorders>
              <w:top w:val="single" w:sz="4" w:space="0" w:color="FFFFFF" w:themeColor="background1"/>
            </w:tcBorders>
            <w:vAlign w:val="center"/>
          </w:tcPr>
          <w:p w14:paraId="6246C0E2" w14:textId="77777777" w:rsidR="00B41692" w:rsidRDefault="00B41692" w:rsidP="00493A0D">
            <w:pPr>
              <w:jc w:val="left"/>
              <w:rPr>
                <w:sz w:val="20"/>
                <w:szCs w:val="20"/>
              </w:rPr>
            </w:pPr>
            <w:r>
              <w:rPr>
                <w:sz w:val="20"/>
                <w:szCs w:val="20"/>
              </w:rPr>
              <w:t>Production</w:t>
            </w:r>
          </w:p>
        </w:tc>
        <w:tc>
          <w:tcPr>
            <w:tcW w:w="1175" w:type="dxa"/>
            <w:vMerge w:val="restart"/>
            <w:tcBorders>
              <w:top w:val="single" w:sz="4" w:space="0" w:color="FFFFFF" w:themeColor="background1"/>
            </w:tcBorders>
            <w:vAlign w:val="center"/>
          </w:tcPr>
          <w:p w14:paraId="4F628C05" w14:textId="524A40A5" w:rsidR="00B41692" w:rsidRDefault="00A21E2F" w:rsidP="00493A0D">
            <w:pPr>
              <w:jc w:val="left"/>
              <w:rPr>
                <w:sz w:val="20"/>
                <w:szCs w:val="20"/>
              </w:rPr>
            </w:pPr>
            <w:r>
              <w:rPr>
                <w:sz w:val="20"/>
                <w:szCs w:val="20"/>
              </w:rPr>
              <w:t>Fourniture nutriments</w:t>
            </w:r>
          </w:p>
        </w:tc>
        <w:tc>
          <w:tcPr>
            <w:tcW w:w="1107" w:type="dxa"/>
            <w:vMerge w:val="restart"/>
            <w:tcBorders>
              <w:top w:val="single" w:sz="4" w:space="0" w:color="FFFFFF" w:themeColor="background1"/>
            </w:tcBorders>
            <w:vAlign w:val="center"/>
          </w:tcPr>
          <w:p w14:paraId="12A28791" w14:textId="418228A3" w:rsidR="00B41692" w:rsidRPr="0000352D" w:rsidRDefault="009000E7" w:rsidP="009000E7">
            <w:pPr>
              <w:jc w:val="center"/>
              <w:rPr>
                <w:sz w:val="20"/>
                <w:szCs w:val="20"/>
              </w:rPr>
            </w:pPr>
            <w:r>
              <w:rPr>
                <w:noProof/>
                <w:sz w:val="20"/>
                <w:szCs w:val="20"/>
              </w:rPr>
              <mc:AlternateContent>
                <mc:Choice Requires="wps">
                  <w:drawing>
                    <wp:inline distT="0" distB="0" distL="0" distR="0" wp14:anchorId="395DD02E" wp14:editId="5F084748">
                      <wp:extent cx="94615" cy="153035"/>
                      <wp:effectExtent l="0" t="38100" r="57785" b="18415"/>
                      <wp:docPr id="1616813087"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24A774BC"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067" w:type="dxa"/>
            <w:tcBorders>
              <w:top w:val="single" w:sz="4" w:space="0" w:color="FFFFFF" w:themeColor="background1"/>
            </w:tcBorders>
            <w:shd w:val="clear" w:color="auto" w:fill="F2F9EB"/>
            <w:vAlign w:val="center"/>
          </w:tcPr>
          <w:p w14:paraId="003780CC" w14:textId="723D7571" w:rsidR="00B41692" w:rsidRPr="00493A0D" w:rsidRDefault="00493A0D" w:rsidP="00493A0D">
            <w:pPr>
              <w:jc w:val="left"/>
              <w:rPr>
                <w:sz w:val="20"/>
                <w:szCs w:val="20"/>
                <w:vertAlign w:val="subscript"/>
              </w:rPr>
            </w:pPr>
            <w:proofErr w:type="spellStart"/>
            <w:r>
              <w:rPr>
                <w:sz w:val="20"/>
                <w:szCs w:val="20"/>
              </w:rPr>
              <w:t>C</w:t>
            </w:r>
            <w:r>
              <w:rPr>
                <w:sz w:val="20"/>
                <w:szCs w:val="20"/>
                <w:vertAlign w:val="subscript"/>
              </w:rPr>
              <w:t>org</w:t>
            </w:r>
            <w:proofErr w:type="spellEnd"/>
            <w:r>
              <w:rPr>
                <w:sz w:val="20"/>
                <w:szCs w:val="20"/>
                <w:vertAlign w:val="subscript"/>
              </w:rPr>
              <w:t xml:space="preserve"> qualité</w:t>
            </w:r>
          </w:p>
        </w:tc>
        <w:tc>
          <w:tcPr>
            <w:tcW w:w="4529" w:type="dxa"/>
            <w:tcBorders>
              <w:top w:val="single" w:sz="4" w:space="0" w:color="FFFFFF" w:themeColor="background1"/>
            </w:tcBorders>
            <w:vAlign w:val="center"/>
          </w:tcPr>
          <w:p w14:paraId="6C54D1A5" w14:textId="78D54876" w:rsidR="00B41692" w:rsidRPr="0000352D" w:rsidRDefault="00B41692" w:rsidP="00493A0D">
            <w:pPr>
              <w:jc w:val="left"/>
              <w:rPr>
                <w:sz w:val="20"/>
                <w:szCs w:val="20"/>
              </w:rPr>
            </w:pPr>
            <w:r>
              <w:rPr>
                <w:sz w:val="20"/>
                <w:szCs w:val="20"/>
              </w:rPr>
              <w:t>Valeur cibl</w:t>
            </w:r>
            <w:r w:rsidR="003E3E9D">
              <w:rPr>
                <w:sz w:val="20"/>
                <w:szCs w:val="20"/>
              </w:rPr>
              <w:t xml:space="preserve">e </w:t>
            </w:r>
            <w:r w:rsidR="003E3E9D">
              <w:rPr>
                <w:sz w:val="20"/>
                <w:szCs w:val="20"/>
              </w:rPr>
              <w:fldChar w:fldCharType="begin"/>
            </w:r>
            <w:r w:rsidR="003E3E9D">
              <w:rPr>
                <w:sz w:val="20"/>
                <w:szCs w:val="20"/>
              </w:rPr>
              <w:instrText xml:space="preserve"> ADDIN ZOTERO_ITEM CSL_CITATION {"citationID":"JwlGeE89","properties":{"unsorted":false,"formattedCitation":"(Baritz et al., 2023)","plainCitation":"(Baritz et al., 2023)","noteIndex":0},"citationItems":[{"id":82,"uris":["http://zotero.org/groups/5684833/items/2R2SZSKQ"],"itemData":{"id":82,"type":"report","abstract":"This report describes the rationale for a series of common and broadly accepted soil health indicators to support policy. The focus is on soil threats, and indicators were selected in view of their appropriateness for assessing the condition of soil, its degradation, its resilience and its valuable services. For each indicator, a rationale is provided for using thresholds as critical limits to indicate that soil is in good condition, i.e. healthy soil, in respect of of specific soil functions and local conditions.","call-number":"TH-AL-22-018-EN-N","ISBN":"978-92-9480-538-6","language":"eng","number":"08/2022","publisher":"European Environment Agency","source":"Publications Office of the European Union","title":"Soil monitoring in Europe: indicators and thresholds for soil quality assessments","title-short":"Soil monitoring in Europe","URL":"https://data.europa.eu/doi/10.2800/956606","author":[{"family":"Baritz","given":"Rainer"},{"family":"Amelung","given":"Wulf"},{"family":"Trombetti","given":"Marco"},{"family":"Hijbeek","given":"Renske"},{"family":"Romkens","given":"Paul"},{"family":"Vries","given":"Wim","non-dropping-particle":"de"}],"accessed":{"date-parts":[["2024",9,27]]},"issued":{"date-parts":[["2023"]]}}}],"schema":"https://github.com/citation-style-language/schema/raw/master/csl-citation.json"} </w:instrText>
            </w:r>
            <w:r w:rsidR="003E3E9D">
              <w:rPr>
                <w:sz w:val="20"/>
                <w:szCs w:val="20"/>
              </w:rPr>
              <w:fldChar w:fldCharType="separate"/>
            </w:r>
            <w:r w:rsidR="003E3E9D" w:rsidRPr="003E3E9D">
              <w:rPr>
                <w:rFonts w:cs="Calibri"/>
                <w:sz w:val="20"/>
              </w:rPr>
              <w:t>(Baritz et al., 2023)</w:t>
            </w:r>
            <w:r w:rsidR="003E3E9D">
              <w:rPr>
                <w:sz w:val="20"/>
                <w:szCs w:val="20"/>
              </w:rPr>
              <w:fldChar w:fldCharType="end"/>
            </w:r>
          </w:p>
        </w:tc>
      </w:tr>
      <w:tr w:rsidR="00B41692" w:rsidRPr="0000352D" w14:paraId="00D1DE47" w14:textId="77777777" w:rsidTr="00493A0D">
        <w:tc>
          <w:tcPr>
            <w:tcW w:w="1182" w:type="dxa"/>
            <w:vMerge/>
            <w:tcBorders>
              <w:bottom w:val="single" w:sz="4" w:space="0" w:color="auto"/>
            </w:tcBorders>
            <w:vAlign w:val="center"/>
          </w:tcPr>
          <w:p w14:paraId="2D761482" w14:textId="77777777" w:rsidR="00B41692" w:rsidRDefault="00B41692" w:rsidP="00493A0D">
            <w:pPr>
              <w:jc w:val="left"/>
              <w:rPr>
                <w:sz w:val="20"/>
                <w:szCs w:val="20"/>
              </w:rPr>
            </w:pPr>
          </w:p>
        </w:tc>
        <w:tc>
          <w:tcPr>
            <w:tcW w:w="1175" w:type="dxa"/>
            <w:vMerge/>
            <w:tcBorders>
              <w:bottom w:val="single" w:sz="4" w:space="0" w:color="auto"/>
            </w:tcBorders>
            <w:vAlign w:val="center"/>
          </w:tcPr>
          <w:p w14:paraId="25FD7F38" w14:textId="77777777" w:rsidR="00B41692" w:rsidRDefault="00B41692" w:rsidP="00493A0D">
            <w:pPr>
              <w:jc w:val="left"/>
              <w:rPr>
                <w:sz w:val="20"/>
                <w:szCs w:val="20"/>
              </w:rPr>
            </w:pPr>
          </w:p>
        </w:tc>
        <w:tc>
          <w:tcPr>
            <w:tcW w:w="1107" w:type="dxa"/>
            <w:vMerge/>
            <w:tcBorders>
              <w:bottom w:val="single" w:sz="4" w:space="0" w:color="auto"/>
            </w:tcBorders>
            <w:vAlign w:val="center"/>
          </w:tcPr>
          <w:p w14:paraId="09063F78" w14:textId="3F5335E7" w:rsidR="00B41692" w:rsidRPr="0000352D" w:rsidRDefault="00B41692" w:rsidP="00493A0D">
            <w:pPr>
              <w:jc w:val="left"/>
              <w:rPr>
                <w:sz w:val="20"/>
                <w:szCs w:val="20"/>
              </w:rPr>
            </w:pPr>
          </w:p>
        </w:tc>
        <w:tc>
          <w:tcPr>
            <w:tcW w:w="1067" w:type="dxa"/>
            <w:tcBorders>
              <w:bottom w:val="single" w:sz="4" w:space="0" w:color="auto"/>
            </w:tcBorders>
            <w:shd w:val="clear" w:color="auto" w:fill="EFF5FB"/>
            <w:vAlign w:val="center"/>
          </w:tcPr>
          <w:p w14:paraId="4FBD93F1" w14:textId="2C625BBD" w:rsidR="00B41692" w:rsidRPr="00493A0D" w:rsidRDefault="00493A0D" w:rsidP="00493A0D">
            <w:pPr>
              <w:jc w:val="left"/>
              <w:rPr>
                <w:sz w:val="20"/>
                <w:szCs w:val="20"/>
                <w:vertAlign w:val="subscript"/>
              </w:rPr>
            </w:pPr>
            <w:proofErr w:type="spellStart"/>
            <w:r>
              <w:rPr>
                <w:sz w:val="20"/>
                <w:szCs w:val="20"/>
              </w:rPr>
              <w:t>C</w:t>
            </w:r>
            <w:r>
              <w:rPr>
                <w:sz w:val="20"/>
                <w:szCs w:val="20"/>
                <w:vertAlign w:val="subscript"/>
              </w:rPr>
              <w:t>org</w:t>
            </w:r>
            <w:proofErr w:type="spellEnd"/>
            <w:r>
              <w:rPr>
                <w:sz w:val="20"/>
                <w:szCs w:val="20"/>
                <w:vertAlign w:val="subscript"/>
              </w:rPr>
              <w:t xml:space="preserve"> santé</w:t>
            </w:r>
          </w:p>
        </w:tc>
        <w:tc>
          <w:tcPr>
            <w:tcW w:w="4529" w:type="dxa"/>
            <w:vAlign w:val="center"/>
          </w:tcPr>
          <w:p w14:paraId="36E16AFB" w14:textId="6E15E72E" w:rsidR="00B41692" w:rsidRPr="0000352D" w:rsidRDefault="00B41692" w:rsidP="00493A0D">
            <w:pPr>
              <w:jc w:val="left"/>
              <w:rPr>
                <w:sz w:val="20"/>
                <w:szCs w:val="20"/>
              </w:rPr>
            </w:pPr>
            <w:r>
              <w:rPr>
                <w:sz w:val="20"/>
                <w:szCs w:val="20"/>
              </w:rPr>
              <w:t xml:space="preserve">Valeurs considérées « satisfaisante » par classe texturale </w:t>
            </w:r>
            <w:r>
              <w:rPr>
                <w:sz w:val="20"/>
                <w:szCs w:val="20"/>
              </w:rPr>
              <w:fldChar w:fldCharType="begin"/>
            </w:r>
            <w:r w:rsidR="009B3EB5">
              <w:rPr>
                <w:sz w:val="20"/>
                <w:szCs w:val="20"/>
              </w:rPr>
              <w:instrText xml:space="preserve"> ADDIN ZOTERO_ITEM CSL_CITATION {"citationID":"hFLKvH9B","properties":{"unsorted":false,"formattedCitation":"(Mariage, 2019)","plainCitation":"(Mariage, 2019)","noteIndex":0},"citationItems":[{"id":118,"uris":["http://zotero.org/groups/5684833/items/WR8HRSK5"],"itemData":{"id":118,"type":"document","publisher":"REQUASUD","title":"Les matières organiques et la fertilité du sol","URL":"https://www.requasud.be/assets/pdf/publications/presentations/fiche_explicative_carbone_v01.pdf","author":[{"family":"Mariage","given":"Clémence"}],"issued":{"date-parts":[["2019"]]}}}],"schema":"https://github.com/citation-style-language/schema/raw/master/csl-citation.json"} </w:instrText>
            </w:r>
            <w:r>
              <w:rPr>
                <w:sz w:val="20"/>
                <w:szCs w:val="20"/>
              </w:rPr>
              <w:fldChar w:fldCharType="separate"/>
            </w:r>
            <w:r w:rsidR="009B3EB5" w:rsidRPr="009B3EB5">
              <w:rPr>
                <w:rFonts w:cs="Calibri"/>
                <w:sz w:val="20"/>
              </w:rPr>
              <w:t>(Mariage, 2019)</w:t>
            </w:r>
            <w:r>
              <w:rPr>
                <w:sz w:val="20"/>
                <w:szCs w:val="20"/>
              </w:rPr>
              <w:fldChar w:fldCharType="end"/>
            </w:r>
          </w:p>
        </w:tc>
      </w:tr>
    </w:tbl>
    <w:p w14:paraId="6199DDF1" w14:textId="77777777" w:rsidR="00A055F3" w:rsidRDefault="00A055F3" w:rsidP="00A055F3"/>
    <w:p w14:paraId="0155D939" w14:textId="741DAD86" w:rsidR="00B50C9B" w:rsidRDefault="00B50C9B" w:rsidP="00A055F3"/>
    <w:p w14:paraId="772EA507" w14:textId="64B476F9" w:rsidR="004F7729" w:rsidRDefault="004F7729" w:rsidP="00876101">
      <w:pPr>
        <w:pStyle w:val="Titre2"/>
        <w:numPr>
          <w:ilvl w:val="1"/>
          <w:numId w:val="3"/>
        </w:numPr>
      </w:pPr>
      <w:bookmarkStart w:id="73" w:name="_Ref232412171"/>
      <w:bookmarkStart w:id="74" w:name="_Toc241505283"/>
      <w:r>
        <w:lastRenderedPageBreak/>
        <w:t>Capacité d’échange cationique (CEC)</w:t>
      </w:r>
      <w:bookmarkEnd w:id="73"/>
      <w:bookmarkEnd w:id="74"/>
    </w:p>
    <w:p w14:paraId="537DF98C" w14:textId="77777777" w:rsidR="004F7729" w:rsidRDefault="004F7729" w:rsidP="00876101">
      <w:pPr>
        <w:pStyle w:val="Titre3"/>
        <w:numPr>
          <w:ilvl w:val="2"/>
          <w:numId w:val="3"/>
        </w:numPr>
      </w:pPr>
      <w:bookmarkStart w:id="75" w:name="_Toc241505284"/>
      <w:r>
        <w:t>Définition</w:t>
      </w:r>
      <w:bookmarkEnd w:id="75"/>
    </w:p>
    <w:p w14:paraId="22DB6161" w14:textId="507C1C59" w:rsidR="004F7729" w:rsidRPr="009E4C10" w:rsidRDefault="004F7729" w:rsidP="48222D96">
      <w:r>
        <w:t>L</w:t>
      </w:r>
      <w:r w:rsidR="00EA1C8D">
        <w:t xml:space="preserve">a </w:t>
      </w:r>
      <w:r w:rsidR="457652D7">
        <w:t>c</w:t>
      </w:r>
      <w:r w:rsidR="00EA1C8D">
        <w:t>apacité d’</w:t>
      </w:r>
      <w:r w:rsidR="24CD5D4D">
        <w:t>é</w:t>
      </w:r>
      <w:r w:rsidR="00EA1C8D">
        <w:t xml:space="preserve">change </w:t>
      </w:r>
      <w:r w:rsidR="30F27BE0">
        <w:t>c</w:t>
      </w:r>
      <w:r w:rsidR="00EA1C8D">
        <w:t xml:space="preserve">ationique (CEC) </w:t>
      </w:r>
      <w:r w:rsidR="00353C28">
        <w:t xml:space="preserve">d’un sol est la quantité maximale de cations qu’un sol peut </w:t>
      </w:r>
      <w:r w:rsidR="006B312A">
        <w:t>retenir</w:t>
      </w:r>
      <w:r w:rsidR="00353C28">
        <w:t>.</w:t>
      </w:r>
      <w:r w:rsidR="00CA0ED1">
        <w:t xml:space="preserve"> Les principales contributions à la CEC sont la matière organique et les argiles</w:t>
      </w:r>
      <w:r w:rsidR="00735899">
        <w:t xml:space="preserve"> qui, grâce à leurs charges négatives de surface, sont capables de retenir les ions chargés positivement.</w:t>
      </w:r>
      <w:r w:rsidR="00353C28">
        <w:t xml:space="preserve"> </w:t>
      </w:r>
      <w:r w:rsidR="003B41E7">
        <w:t xml:space="preserve">Elle est exprimée en </w:t>
      </w:r>
      <w:r w:rsidR="00402A02">
        <w:t>milliéquivalents</w:t>
      </w:r>
      <w:r w:rsidR="00046B41">
        <w:t xml:space="preserve"> </w:t>
      </w:r>
      <w:r w:rsidR="00046B41" w:rsidRPr="48222D96">
        <w:rPr>
          <w:rFonts w:cs="Calibri"/>
        </w:rPr>
        <w:t>·</w:t>
      </w:r>
      <w:r w:rsidR="00046B41">
        <w:t xml:space="preserve"> </w:t>
      </w:r>
      <w:r w:rsidR="00402A02">
        <w:t>100 g</w:t>
      </w:r>
      <w:r w:rsidR="00046B41" w:rsidRPr="48222D96">
        <w:rPr>
          <w:vertAlign w:val="superscript"/>
        </w:rPr>
        <w:t>-1</w:t>
      </w:r>
      <w:r w:rsidR="00402A02">
        <w:t xml:space="preserve"> de sol (</w:t>
      </w:r>
      <w:proofErr w:type="spellStart"/>
      <w:r w:rsidR="00402A02">
        <w:t>meq</w:t>
      </w:r>
      <w:proofErr w:type="spellEnd"/>
      <w:r w:rsidR="00843CEC">
        <w:t xml:space="preserve"> </w:t>
      </w:r>
      <w:r w:rsidR="00843CEC" w:rsidRPr="48222D96">
        <w:rPr>
          <w:rFonts w:cs="Calibri"/>
        </w:rPr>
        <w:t>·</w:t>
      </w:r>
      <w:r w:rsidR="00843CEC">
        <w:t xml:space="preserve"> 100 g</w:t>
      </w:r>
      <w:r w:rsidR="00843CEC" w:rsidRPr="48222D96">
        <w:rPr>
          <w:vertAlign w:val="superscript"/>
        </w:rPr>
        <w:t>-1</w:t>
      </w:r>
      <w:r w:rsidR="00402A02">
        <w:t xml:space="preserve">) ou </w:t>
      </w:r>
      <w:r w:rsidR="005046F1">
        <w:t>centimoles de charge positive par kg de sol (</w:t>
      </w:r>
      <w:proofErr w:type="spellStart"/>
      <w:r w:rsidR="005046F1">
        <w:t>cmol</w:t>
      </w:r>
      <w:proofErr w:type="spellEnd"/>
      <w:r w:rsidR="005046F1" w:rsidRPr="48222D96">
        <w:rPr>
          <w:vertAlign w:val="superscript"/>
        </w:rPr>
        <w:t>+</w:t>
      </w:r>
      <w:r w:rsidR="2A9E31B8">
        <w:t xml:space="preserve"> </w:t>
      </w:r>
      <w:r w:rsidR="2A9E31B8" w:rsidRPr="48222D96">
        <w:rPr>
          <w:rFonts w:cs="Calibri"/>
        </w:rPr>
        <w:t xml:space="preserve">· </w:t>
      </w:r>
      <w:r w:rsidR="005046F1">
        <w:t>kg</w:t>
      </w:r>
      <w:r w:rsidR="005046F1" w:rsidRPr="48222D96">
        <w:rPr>
          <w:vertAlign w:val="superscript"/>
        </w:rPr>
        <w:t>-1</w:t>
      </w:r>
      <w:r w:rsidR="005046F1">
        <w:t>)</w:t>
      </w:r>
    </w:p>
    <w:p w14:paraId="553380D5" w14:textId="77777777" w:rsidR="004F7729" w:rsidRDefault="004F7729" w:rsidP="00876101">
      <w:pPr>
        <w:pStyle w:val="Titre3"/>
        <w:numPr>
          <w:ilvl w:val="2"/>
          <w:numId w:val="3"/>
        </w:numPr>
      </w:pPr>
      <w:bookmarkStart w:id="76" w:name="_Toc241505285"/>
      <w:r>
        <w:t>Pertinence</w:t>
      </w:r>
      <w:bookmarkEnd w:id="76"/>
    </w:p>
    <w:p w14:paraId="071EA353" w14:textId="11E40C95" w:rsidR="00917D90" w:rsidRDefault="00774D27" w:rsidP="004F7729">
      <w:r>
        <w:t>La CEC</w:t>
      </w:r>
      <w:r w:rsidR="00917D90">
        <w:t xml:space="preserve"> </w:t>
      </w:r>
      <w:r w:rsidR="005C6785">
        <w:t>assure la résilience de la nutrition des plantes.</w:t>
      </w:r>
      <w:r w:rsidR="00DD2ADC">
        <w:t xml:space="preserve"> La CEC est un paramètre relativement statique</w:t>
      </w:r>
      <w:r w:rsidR="002A7CFB">
        <w:t xml:space="preserve"> </w:t>
      </w:r>
      <w:r w:rsidR="00917D90">
        <w:fldChar w:fldCharType="begin"/>
      </w:r>
      <w:r w:rsidR="00917D90">
        <w:instrText xml:space="preserve"> ADDIN ZOTERO_ITEM CSL_CITATION {"citationID":"SIZEVtlz","properties":{"unsorted":false,"formattedCitation":"(Cousin et al., 2025)","plainCitation":"(Cousin et al., 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rsidR="00917D90">
        <w:fldChar w:fldCharType="separate"/>
      </w:r>
      <w:r w:rsidR="002A7CFB" w:rsidRPr="48222D96">
        <w:rPr>
          <w:rFonts w:cs="Calibri"/>
        </w:rPr>
        <w:t>(Cousin et al., 2025)</w:t>
      </w:r>
      <w:r w:rsidR="00917D90">
        <w:fldChar w:fldCharType="end"/>
      </w:r>
      <w:r w:rsidR="00DD2ADC">
        <w:t>.</w:t>
      </w:r>
    </w:p>
    <w:p w14:paraId="566C5770" w14:textId="77777777" w:rsidR="004F7729" w:rsidRDefault="004F7729" w:rsidP="00876101">
      <w:pPr>
        <w:pStyle w:val="Titre3"/>
        <w:numPr>
          <w:ilvl w:val="2"/>
          <w:numId w:val="3"/>
        </w:numPr>
      </w:pPr>
      <w:bookmarkStart w:id="77" w:name="_Toc241505286"/>
      <w:r>
        <w:t>Méthode de mesure</w:t>
      </w:r>
      <w:bookmarkEnd w:id="77"/>
    </w:p>
    <w:p w14:paraId="66923F7B" w14:textId="0CA7388A" w:rsidR="00F72F22" w:rsidRPr="000F6E17" w:rsidRDefault="00423996" w:rsidP="00F72F22">
      <w:r>
        <w:t>La</w:t>
      </w:r>
      <w:r w:rsidR="00F72F22">
        <w:t xml:space="preserve"> mesure de la CEC effective</w:t>
      </w:r>
      <w:r w:rsidR="000735DD">
        <w:t xml:space="preserve">, soit </w:t>
      </w:r>
      <w:r w:rsidR="00C316BD">
        <w:t xml:space="preserve">la </w:t>
      </w:r>
      <w:r w:rsidR="000735DD">
        <w:t>CEC au pH du sol (</w:t>
      </w:r>
      <w:proofErr w:type="spellStart"/>
      <w:r w:rsidR="000735DD">
        <w:t>cobaltihexamine</w:t>
      </w:r>
      <w:proofErr w:type="spellEnd"/>
      <w:r w:rsidR="000735DD">
        <w:t>)</w:t>
      </w:r>
      <w:r>
        <w:t>,</w:t>
      </w:r>
      <w:r w:rsidR="000735DD">
        <w:t xml:space="preserve"> </w:t>
      </w:r>
      <w:r w:rsidR="00F72F22">
        <w:t xml:space="preserve">est </w:t>
      </w:r>
      <w:r w:rsidR="002065A7">
        <w:t>retenue</w:t>
      </w:r>
      <w:r>
        <w:t>.</w:t>
      </w:r>
    </w:p>
    <w:p w14:paraId="1ABADB89" w14:textId="77777777" w:rsidR="004F7729" w:rsidRDefault="004F7729" w:rsidP="00876101">
      <w:pPr>
        <w:pStyle w:val="Titre3"/>
        <w:numPr>
          <w:ilvl w:val="2"/>
          <w:numId w:val="3"/>
        </w:numPr>
      </w:pPr>
      <w:bookmarkStart w:id="78" w:name="_Toc241505287"/>
      <w:r w:rsidRPr="00C23A2C">
        <w:t>Interprétation</w:t>
      </w:r>
      <w:bookmarkEnd w:id="78"/>
    </w:p>
    <w:p w14:paraId="0D84E9CB" w14:textId="7377FA6B" w:rsidR="004F7729" w:rsidRDefault="0011728A" w:rsidP="004A61B1">
      <w:r w:rsidRPr="0011728A">
        <w:t>La CEC est portée par les argiles et la matière organique</w:t>
      </w:r>
      <w:r>
        <w:t>.</w:t>
      </w:r>
      <w:r w:rsidRPr="0011728A">
        <w:t xml:space="preserve"> </w:t>
      </w:r>
      <w:r w:rsidR="00FB351F">
        <w:t xml:space="preserve">REQUASUD propose un référentiel de </w:t>
      </w:r>
      <w:r w:rsidR="00E9316A">
        <w:t>gammes de valeurs</w:t>
      </w:r>
      <w:r w:rsidR="000F70E1">
        <w:t xml:space="preserve"> de CEC</w:t>
      </w:r>
      <w:r w:rsidR="00E9316A">
        <w:t xml:space="preserve"> allant de « faible » à « très élevée »</w:t>
      </w:r>
      <w:r w:rsidR="00600DB1">
        <w:t xml:space="preserve"> </w:t>
      </w:r>
      <w:r w:rsidR="00600DB1">
        <w:fldChar w:fldCharType="begin"/>
      </w:r>
      <w:r w:rsidR="004A61B1">
        <w:instrText xml:space="preserve"> ADDIN ZOTERO_ITEM CSL_CITATION {"citationID":"MYQpRbd9","properties":{"unsorted":false,"formattedCitation":"(Cugnon,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sidR="00600DB1">
        <w:fldChar w:fldCharType="separate"/>
      </w:r>
      <w:r w:rsidR="004A61B1" w:rsidRPr="004A61B1">
        <w:rPr>
          <w:rFonts w:cs="Calibri"/>
        </w:rPr>
        <w:t>(Cugnon, 2025)</w:t>
      </w:r>
      <w:r w:rsidR="00600DB1">
        <w:fldChar w:fldCharType="end"/>
      </w:r>
      <w:r w:rsidR="00E9316A">
        <w:t>.</w:t>
      </w:r>
      <w:r w:rsidR="000F70E1">
        <w:t xml:space="preserve"> Ces mêmes gammes sont mises en parallèle avec </w:t>
      </w:r>
      <w:r w:rsidR="00600DB1">
        <w:t>des tendances par classe texturale.</w:t>
      </w:r>
      <w:r w:rsidR="00E9316A">
        <w:t xml:space="preserve"> </w:t>
      </w:r>
      <w:r w:rsidR="004A61B1">
        <w:t>De manière générale</w:t>
      </w:r>
      <w:r w:rsidR="1B4945E4">
        <w:t xml:space="preserve"> la fonction </w:t>
      </w:r>
      <w:r w:rsidR="00A21E2F">
        <w:rPr>
          <w:i/>
          <w:iCs/>
        </w:rPr>
        <w:t>Fourniture en nutriments</w:t>
      </w:r>
      <w:r w:rsidR="1B4945E4">
        <w:t xml:space="preserve"> est positivement corrélée </w:t>
      </w:r>
      <w:r w:rsidR="54629CC7">
        <w:t xml:space="preserve">à </w:t>
      </w:r>
      <w:r w:rsidR="004A61B1">
        <w:t>la CEC</w:t>
      </w:r>
      <w:r w:rsidR="5587C359">
        <w:t xml:space="preserve">. Il s’agit donc d’une </w:t>
      </w:r>
      <w:r w:rsidR="004A61B1">
        <w:t xml:space="preserve">fonction « more </w:t>
      </w:r>
      <w:proofErr w:type="spellStart"/>
      <w:r w:rsidR="004A61B1">
        <w:t>is</w:t>
      </w:r>
      <w:proofErr w:type="spellEnd"/>
      <w:r w:rsidR="004A61B1">
        <w:t xml:space="preserve"> </w:t>
      </w:r>
      <w:proofErr w:type="spellStart"/>
      <w:r w:rsidR="004A61B1">
        <w:t>better</w:t>
      </w:r>
      <w:proofErr w:type="spellEnd"/>
      <w:r w:rsidR="004A61B1">
        <w:t> ».</w:t>
      </w:r>
    </w:p>
    <w:p w14:paraId="3F09CE1D" w14:textId="401FDA46" w:rsidR="004F7729" w:rsidRDefault="00583050" w:rsidP="004F7729">
      <w:pPr>
        <w:pStyle w:val="Lgende"/>
        <w:keepNext/>
        <w:jc w:val="center"/>
      </w:pPr>
      <w:bookmarkStart w:id="79" w:name="_Toc233122662"/>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6</w:t>
      </w:r>
      <w:r w:rsidRPr="00261C30">
        <w:rPr>
          <w:i w:val="0"/>
          <w:iCs w:val="0"/>
        </w:rPr>
        <w:fldChar w:fldCharType="end"/>
      </w:r>
      <w:r w:rsidRPr="00261C30">
        <w:rPr>
          <w:i w:val="0"/>
          <w:iCs w:val="0"/>
        </w:rPr>
        <w:t xml:space="preserve"> : Référentiels d’interprétation </w:t>
      </w:r>
      <w:r>
        <w:rPr>
          <w:i w:val="0"/>
          <w:iCs w:val="0"/>
        </w:rPr>
        <w:t>d</w:t>
      </w:r>
      <w:r w:rsidR="6DEA11E0" w:rsidRPr="6CB535F6">
        <w:rPr>
          <w:i w:val="0"/>
          <w:iCs w:val="0"/>
        </w:rPr>
        <w:t>e l’</w:t>
      </w:r>
      <w:r w:rsidRPr="6CB535F6">
        <w:rPr>
          <w:i w:val="0"/>
          <w:iCs w:val="0"/>
        </w:rPr>
        <w:t>indicateur</w:t>
      </w:r>
      <w:r w:rsidRPr="00261C30">
        <w:rPr>
          <w:i w:val="0"/>
          <w:iCs w:val="0"/>
        </w:rPr>
        <w:t xml:space="preserve">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noProof/>
        </w:rPr>
        <w:drawing>
          <wp:inline distT="0" distB="0" distL="0" distR="0" wp14:anchorId="5410EBDA" wp14:editId="2834F425">
            <wp:extent cx="91440" cy="118745"/>
            <wp:effectExtent l="0" t="0" r="3810" b="0"/>
            <wp:docPr id="47932722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12870324" wp14:editId="60902B6E">
            <wp:extent cx="85917" cy="88985"/>
            <wp:effectExtent l="0" t="0" r="9525" b="6350"/>
            <wp:docPr id="178052486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15DF1360" wp14:editId="29F6F962">
            <wp:extent cx="164432" cy="65784"/>
            <wp:effectExtent l="0" t="0" r="7620" b="0"/>
            <wp:docPr id="211523149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w:t>
      </w:r>
      <w:bookmarkEnd w:id="79"/>
    </w:p>
    <w:tbl>
      <w:tblPr>
        <w:tblStyle w:val="Grilledutableau"/>
        <w:tblW w:w="0" w:type="auto"/>
        <w:tblCellMar>
          <w:top w:w="28" w:type="dxa"/>
          <w:bottom w:w="28" w:type="dxa"/>
        </w:tblCellMar>
        <w:tblLook w:val="04A0" w:firstRow="1" w:lastRow="0" w:firstColumn="1" w:lastColumn="0" w:noHBand="0" w:noVBand="1"/>
      </w:tblPr>
      <w:tblGrid>
        <w:gridCol w:w="1182"/>
        <w:gridCol w:w="1175"/>
        <w:gridCol w:w="1107"/>
        <w:gridCol w:w="1067"/>
        <w:gridCol w:w="4529"/>
      </w:tblGrid>
      <w:tr w:rsidR="004F7729" w:rsidRPr="0000352D" w14:paraId="6A334C31" w14:textId="77777777" w:rsidTr="00493A0D">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7634FF4E" w14:textId="3EC9FA3D" w:rsidR="004F7729" w:rsidRPr="0000352D" w:rsidRDefault="004515A0">
            <w:pPr>
              <w:jc w:val="center"/>
              <w:rPr>
                <w:sz w:val="20"/>
                <w:szCs w:val="20"/>
              </w:rPr>
            </w:pPr>
            <w:r>
              <w:rPr>
                <w:sz w:val="20"/>
                <w:szCs w:val="20"/>
              </w:rPr>
              <w:t>Capacité d’échange cationique (CEC)</w:t>
            </w:r>
            <w:r w:rsidR="004F7729" w:rsidRPr="0000352D">
              <w:rPr>
                <w:sz w:val="20"/>
                <w:szCs w:val="20"/>
              </w:rPr>
              <w:t xml:space="preserve"> - Référentiel</w:t>
            </w:r>
            <w:r w:rsidR="004F7729">
              <w:rPr>
                <w:sz w:val="20"/>
                <w:szCs w:val="20"/>
              </w:rPr>
              <w:t>s</w:t>
            </w:r>
            <w:r w:rsidR="004F7729" w:rsidRPr="0000352D">
              <w:rPr>
                <w:sz w:val="20"/>
                <w:szCs w:val="20"/>
              </w:rPr>
              <w:t xml:space="preserve"> d’interprétation</w:t>
            </w:r>
          </w:p>
        </w:tc>
      </w:tr>
      <w:tr w:rsidR="004F7729" w:rsidRPr="0000352D" w14:paraId="36237CC5" w14:textId="77777777" w:rsidTr="00493A0D">
        <w:tc>
          <w:tcPr>
            <w:tcW w:w="1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4CFEF38E" w14:textId="6165D2C9" w:rsidR="004F7729" w:rsidRPr="00423C23" w:rsidRDefault="000100FD">
            <w:pPr>
              <w:jc w:val="center"/>
              <w:rPr>
                <w:sz w:val="20"/>
                <w:szCs w:val="20"/>
              </w:rPr>
            </w:pPr>
            <w:r>
              <w:rPr>
                <w:sz w:val="20"/>
                <w:szCs w:val="20"/>
              </w:rPr>
              <w:t>Service</w:t>
            </w:r>
          </w:p>
        </w:tc>
        <w:tc>
          <w:tcPr>
            <w:tcW w:w="11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6BD25CCF" w14:textId="77777777" w:rsidR="004F7729" w:rsidRPr="00423C23" w:rsidRDefault="004F7729">
            <w:pPr>
              <w:jc w:val="center"/>
              <w:rPr>
                <w:sz w:val="20"/>
                <w:szCs w:val="20"/>
              </w:rPr>
            </w:pPr>
            <w:r w:rsidRPr="00423C23">
              <w:rPr>
                <w:sz w:val="20"/>
                <w:szCs w:val="20"/>
              </w:rPr>
              <w:t>Fonction</w:t>
            </w:r>
          </w:p>
        </w:tc>
        <w:tc>
          <w:tcPr>
            <w:tcW w:w="11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003F6352" w14:textId="20072398" w:rsidR="004F7729" w:rsidRPr="00423C23" w:rsidRDefault="00862D14">
            <w:pPr>
              <w:jc w:val="center"/>
              <w:rPr>
                <w:sz w:val="20"/>
                <w:szCs w:val="20"/>
              </w:rPr>
            </w:pPr>
            <w:r>
              <w:rPr>
                <w:sz w:val="20"/>
                <w:szCs w:val="20"/>
              </w:rPr>
              <w:t>Forme</w:t>
            </w:r>
          </w:p>
        </w:tc>
        <w:tc>
          <w:tcPr>
            <w:tcW w:w="10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1AD1E67B" w14:textId="550D8F05" w:rsidR="004F7729" w:rsidRPr="00423C23" w:rsidRDefault="00862D14">
            <w:pPr>
              <w:jc w:val="center"/>
              <w:rPr>
                <w:sz w:val="20"/>
                <w:szCs w:val="20"/>
              </w:rPr>
            </w:pPr>
            <w:r w:rsidRPr="00423C23">
              <w:rPr>
                <w:sz w:val="20"/>
                <w:szCs w:val="20"/>
              </w:rPr>
              <w:t>Évaluation</w:t>
            </w:r>
          </w:p>
        </w:tc>
        <w:tc>
          <w:tcPr>
            <w:tcW w:w="45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0183BE2D" w14:textId="77777777" w:rsidR="004F7729" w:rsidRPr="00423C23" w:rsidRDefault="004F7729">
            <w:pPr>
              <w:jc w:val="center"/>
              <w:rPr>
                <w:sz w:val="20"/>
                <w:szCs w:val="20"/>
              </w:rPr>
            </w:pPr>
            <w:r w:rsidRPr="00423C23">
              <w:rPr>
                <w:sz w:val="20"/>
                <w:szCs w:val="20"/>
              </w:rPr>
              <w:t>Référentiel</w:t>
            </w:r>
          </w:p>
        </w:tc>
      </w:tr>
      <w:tr w:rsidR="00862D14" w:rsidRPr="0000352D" w14:paraId="4B04D764" w14:textId="77777777" w:rsidTr="00544469">
        <w:tc>
          <w:tcPr>
            <w:tcW w:w="1182" w:type="dxa"/>
            <w:vMerge w:val="restart"/>
            <w:tcBorders>
              <w:top w:val="single" w:sz="4" w:space="0" w:color="FFFFFF" w:themeColor="background1"/>
            </w:tcBorders>
            <w:vAlign w:val="center"/>
          </w:tcPr>
          <w:p w14:paraId="0A7662CB" w14:textId="77777777" w:rsidR="00862D14" w:rsidRDefault="00862D14">
            <w:pPr>
              <w:jc w:val="left"/>
              <w:rPr>
                <w:sz w:val="20"/>
                <w:szCs w:val="20"/>
              </w:rPr>
            </w:pPr>
            <w:r>
              <w:rPr>
                <w:sz w:val="20"/>
                <w:szCs w:val="20"/>
              </w:rPr>
              <w:t>Production</w:t>
            </w:r>
          </w:p>
        </w:tc>
        <w:tc>
          <w:tcPr>
            <w:tcW w:w="1175" w:type="dxa"/>
            <w:vMerge w:val="restart"/>
            <w:tcBorders>
              <w:top w:val="single" w:sz="4" w:space="0" w:color="FFFFFF" w:themeColor="background1"/>
            </w:tcBorders>
            <w:vAlign w:val="center"/>
          </w:tcPr>
          <w:p w14:paraId="7AB8C0C9" w14:textId="734903DE" w:rsidR="00862D14" w:rsidRDefault="00A21E2F">
            <w:pPr>
              <w:jc w:val="left"/>
              <w:rPr>
                <w:sz w:val="20"/>
                <w:szCs w:val="20"/>
              </w:rPr>
            </w:pPr>
            <w:r>
              <w:rPr>
                <w:sz w:val="20"/>
                <w:szCs w:val="20"/>
              </w:rPr>
              <w:t>Fourniture nutriments</w:t>
            </w:r>
          </w:p>
        </w:tc>
        <w:tc>
          <w:tcPr>
            <w:tcW w:w="1107" w:type="dxa"/>
            <w:vMerge w:val="restart"/>
            <w:tcBorders>
              <w:top w:val="single" w:sz="4" w:space="0" w:color="FFFFFF" w:themeColor="background1"/>
            </w:tcBorders>
            <w:vAlign w:val="center"/>
          </w:tcPr>
          <w:p w14:paraId="1CC8E452" w14:textId="418056E5" w:rsidR="00862D14" w:rsidRPr="0000352D" w:rsidRDefault="00544469" w:rsidP="00544469">
            <w:pPr>
              <w:jc w:val="center"/>
              <w:rPr>
                <w:sz w:val="20"/>
                <w:szCs w:val="20"/>
              </w:rPr>
            </w:pPr>
            <w:r>
              <w:rPr>
                <w:noProof/>
                <w:sz w:val="20"/>
                <w:szCs w:val="20"/>
              </w:rPr>
              <mc:AlternateContent>
                <mc:Choice Requires="wps">
                  <w:drawing>
                    <wp:inline distT="0" distB="0" distL="0" distR="0" wp14:anchorId="73925D7D" wp14:editId="51197D7E">
                      <wp:extent cx="94615" cy="153035"/>
                      <wp:effectExtent l="0" t="38100" r="57785" b="18415"/>
                      <wp:docPr id="1386720221"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5F6B3CD"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067" w:type="dxa"/>
            <w:tcBorders>
              <w:top w:val="single" w:sz="4" w:space="0" w:color="FFFFFF" w:themeColor="background1"/>
            </w:tcBorders>
            <w:shd w:val="clear" w:color="auto" w:fill="F2F9EB"/>
            <w:vAlign w:val="center"/>
          </w:tcPr>
          <w:p w14:paraId="61EBD6A8" w14:textId="41AC8B7D" w:rsidR="00862D14" w:rsidRPr="00493A0D" w:rsidRDefault="00493A0D">
            <w:pPr>
              <w:jc w:val="left"/>
              <w:rPr>
                <w:sz w:val="20"/>
                <w:szCs w:val="20"/>
                <w:vertAlign w:val="subscript"/>
              </w:rPr>
            </w:pPr>
            <w:proofErr w:type="spellStart"/>
            <w:r>
              <w:rPr>
                <w:sz w:val="20"/>
                <w:szCs w:val="20"/>
              </w:rPr>
              <w:t>CEC</w:t>
            </w:r>
            <w:r>
              <w:rPr>
                <w:sz w:val="20"/>
                <w:szCs w:val="20"/>
                <w:vertAlign w:val="subscript"/>
              </w:rPr>
              <w:t>qualité</w:t>
            </w:r>
            <w:proofErr w:type="spellEnd"/>
          </w:p>
        </w:tc>
        <w:tc>
          <w:tcPr>
            <w:tcW w:w="4529" w:type="dxa"/>
            <w:tcBorders>
              <w:top w:val="single" w:sz="4" w:space="0" w:color="FFFFFF" w:themeColor="background1"/>
            </w:tcBorders>
          </w:tcPr>
          <w:p w14:paraId="2F96E611" w14:textId="6C7B0AAE" w:rsidR="00862D14" w:rsidRPr="0000352D" w:rsidRDefault="00862D14">
            <w:pPr>
              <w:rPr>
                <w:sz w:val="20"/>
                <w:szCs w:val="20"/>
              </w:rPr>
            </w:pPr>
            <w:r>
              <w:rPr>
                <w:sz w:val="20"/>
                <w:szCs w:val="20"/>
              </w:rPr>
              <w:t xml:space="preserve">Interprétation absolue des gammes de CEC </w:t>
            </w:r>
            <w:r>
              <w:rPr>
                <w:sz w:val="20"/>
                <w:szCs w:val="20"/>
              </w:rPr>
              <w:fldChar w:fldCharType="begin"/>
            </w:r>
            <w:r>
              <w:rPr>
                <w:sz w:val="20"/>
                <w:szCs w:val="20"/>
              </w:rPr>
              <w:instrText xml:space="preserve"> ADDIN ZOTERO_ITEM CSL_CITATION {"citationID":"o9EDNzeJ","properties":{"unsorted":false,"formattedCitation":"(Cugnon,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Pr>
                <w:sz w:val="20"/>
                <w:szCs w:val="20"/>
              </w:rPr>
              <w:fldChar w:fldCharType="separate"/>
            </w:r>
            <w:r w:rsidRPr="004A61B1">
              <w:rPr>
                <w:rFonts w:cs="Calibri"/>
                <w:sz w:val="20"/>
              </w:rPr>
              <w:t>(Cugnon, 2025)</w:t>
            </w:r>
            <w:r>
              <w:rPr>
                <w:sz w:val="20"/>
                <w:szCs w:val="20"/>
              </w:rPr>
              <w:fldChar w:fldCharType="end"/>
            </w:r>
            <w:r>
              <w:rPr>
                <w:sz w:val="20"/>
                <w:szCs w:val="20"/>
              </w:rPr>
              <w:t xml:space="preserve"> </w:t>
            </w:r>
          </w:p>
        </w:tc>
      </w:tr>
      <w:tr w:rsidR="00862D14" w:rsidRPr="0000352D" w14:paraId="2F3C356B" w14:textId="77777777" w:rsidTr="00493A0D">
        <w:tc>
          <w:tcPr>
            <w:tcW w:w="1182" w:type="dxa"/>
            <w:vMerge/>
            <w:tcBorders>
              <w:bottom w:val="single" w:sz="4" w:space="0" w:color="auto"/>
            </w:tcBorders>
            <w:vAlign w:val="center"/>
          </w:tcPr>
          <w:p w14:paraId="13C80088" w14:textId="77777777" w:rsidR="00862D14" w:rsidRDefault="00862D14">
            <w:pPr>
              <w:jc w:val="left"/>
              <w:rPr>
                <w:sz w:val="20"/>
                <w:szCs w:val="20"/>
              </w:rPr>
            </w:pPr>
          </w:p>
        </w:tc>
        <w:tc>
          <w:tcPr>
            <w:tcW w:w="1175" w:type="dxa"/>
            <w:vMerge/>
            <w:tcBorders>
              <w:bottom w:val="single" w:sz="4" w:space="0" w:color="auto"/>
            </w:tcBorders>
            <w:vAlign w:val="center"/>
          </w:tcPr>
          <w:p w14:paraId="7AC915C7" w14:textId="77777777" w:rsidR="00862D14" w:rsidRDefault="00862D14">
            <w:pPr>
              <w:jc w:val="left"/>
              <w:rPr>
                <w:sz w:val="20"/>
                <w:szCs w:val="20"/>
              </w:rPr>
            </w:pPr>
          </w:p>
        </w:tc>
        <w:tc>
          <w:tcPr>
            <w:tcW w:w="1107" w:type="dxa"/>
            <w:vMerge/>
            <w:tcBorders>
              <w:bottom w:val="single" w:sz="4" w:space="0" w:color="auto"/>
            </w:tcBorders>
            <w:vAlign w:val="center"/>
          </w:tcPr>
          <w:p w14:paraId="0F55723A" w14:textId="035448F5" w:rsidR="00862D14" w:rsidRPr="0000352D" w:rsidRDefault="00862D14">
            <w:pPr>
              <w:jc w:val="left"/>
              <w:rPr>
                <w:sz w:val="20"/>
                <w:szCs w:val="20"/>
              </w:rPr>
            </w:pPr>
          </w:p>
        </w:tc>
        <w:tc>
          <w:tcPr>
            <w:tcW w:w="1067" w:type="dxa"/>
            <w:tcBorders>
              <w:bottom w:val="single" w:sz="4" w:space="0" w:color="auto"/>
            </w:tcBorders>
            <w:shd w:val="clear" w:color="auto" w:fill="EFF5FB"/>
            <w:vAlign w:val="center"/>
          </w:tcPr>
          <w:p w14:paraId="5C0BC328" w14:textId="1001B310" w:rsidR="00862D14" w:rsidRPr="00493A0D" w:rsidRDefault="00493A0D">
            <w:pPr>
              <w:jc w:val="left"/>
              <w:rPr>
                <w:sz w:val="20"/>
                <w:szCs w:val="20"/>
                <w:vertAlign w:val="subscript"/>
              </w:rPr>
            </w:pPr>
            <w:proofErr w:type="spellStart"/>
            <w:r>
              <w:rPr>
                <w:sz w:val="20"/>
                <w:szCs w:val="20"/>
              </w:rPr>
              <w:t>CEC</w:t>
            </w:r>
            <w:r>
              <w:rPr>
                <w:sz w:val="20"/>
                <w:szCs w:val="20"/>
                <w:vertAlign w:val="subscript"/>
              </w:rPr>
              <w:t>santé</w:t>
            </w:r>
            <w:proofErr w:type="spellEnd"/>
          </w:p>
        </w:tc>
        <w:tc>
          <w:tcPr>
            <w:tcW w:w="4529" w:type="dxa"/>
          </w:tcPr>
          <w:p w14:paraId="4A4AB630" w14:textId="0AB8D535" w:rsidR="00862D14" w:rsidRPr="0000352D" w:rsidRDefault="00862D14">
            <w:pPr>
              <w:rPr>
                <w:sz w:val="20"/>
                <w:szCs w:val="20"/>
              </w:rPr>
            </w:pPr>
            <w:r>
              <w:rPr>
                <w:sz w:val="20"/>
                <w:szCs w:val="20"/>
              </w:rPr>
              <w:t xml:space="preserve">Gammes de CEC par classe texturale </w:t>
            </w:r>
            <w:r>
              <w:rPr>
                <w:sz w:val="20"/>
                <w:szCs w:val="20"/>
              </w:rPr>
              <w:fldChar w:fldCharType="begin"/>
            </w:r>
            <w:r>
              <w:rPr>
                <w:sz w:val="20"/>
                <w:szCs w:val="20"/>
              </w:rPr>
              <w:instrText xml:space="preserve"> ADDIN ZOTERO_ITEM CSL_CITATION {"citationID":"Dq92exCo","properties":{"unsorted":false,"formattedCitation":"(Cugnon,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Pr>
                <w:sz w:val="20"/>
                <w:szCs w:val="20"/>
              </w:rPr>
              <w:fldChar w:fldCharType="separate"/>
            </w:r>
            <w:r w:rsidRPr="004515A0">
              <w:rPr>
                <w:rFonts w:cs="Calibri"/>
                <w:sz w:val="20"/>
              </w:rPr>
              <w:t>(Cugnon, 2025)</w:t>
            </w:r>
            <w:r>
              <w:rPr>
                <w:sz w:val="20"/>
                <w:szCs w:val="20"/>
              </w:rPr>
              <w:fldChar w:fldCharType="end"/>
            </w:r>
          </w:p>
        </w:tc>
      </w:tr>
    </w:tbl>
    <w:p w14:paraId="4B27746E" w14:textId="77777777" w:rsidR="004F7729" w:rsidRDefault="004F7729" w:rsidP="004F7729"/>
    <w:p w14:paraId="52168444" w14:textId="77777777" w:rsidR="00095291" w:rsidRDefault="00095291" w:rsidP="005275DC">
      <w:pPr>
        <w:keepNext/>
        <w:jc w:val="center"/>
      </w:pPr>
      <w:r>
        <w:rPr>
          <w:noProof/>
        </w:rPr>
        <w:lastRenderedPageBreak/>
        <w:drawing>
          <wp:inline distT="0" distB="0" distL="0" distR="0" wp14:anchorId="50B1DE1E" wp14:editId="7DFD9D49">
            <wp:extent cx="4261961" cy="3043451"/>
            <wp:effectExtent l="0" t="0" r="5715" b="5080"/>
            <wp:docPr id="175441410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66219" cy="3046492"/>
                    </a:xfrm>
                    <a:prstGeom prst="rect">
                      <a:avLst/>
                    </a:prstGeom>
                    <a:noFill/>
                    <a:ln>
                      <a:noFill/>
                    </a:ln>
                  </pic:spPr>
                </pic:pic>
              </a:graphicData>
            </a:graphic>
          </wp:inline>
        </w:drawing>
      </w:r>
    </w:p>
    <w:p w14:paraId="3AF87542" w14:textId="02DC169F" w:rsidR="005068D0" w:rsidRPr="00095291" w:rsidRDefault="00095291" w:rsidP="00095291">
      <w:pPr>
        <w:pStyle w:val="Lgende"/>
        <w:jc w:val="center"/>
        <w:rPr>
          <w:i w:val="0"/>
          <w:iCs w:val="0"/>
        </w:rPr>
      </w:pPr>
      <w:bookmarkStart w:id="80" w:name="_Toc241505112"/>
      <w:r w:rsidRPr="00095291">
        <w:rPr>
          <w:i w:val="0"/>
          <w:iCs w:val="0"/>
        </w:rPr>
        <w:t xml:space="preserve">Figure </w:t>
      </w:r>
      <w:r w:rsidRPr="00095291">
        <w:rPr>
          <w:i w:val="0"/>
          <w:iCs w:val="0"/>
        </w:rPr>
        <w:fldChar w:fldCharType="begin"/>
      </w:r>
      <w:r w:rsidRPr="00095291">
        <w:rPr>
          <w:i w:val="0"/>
          <w:iCs w:val="0"/>
        </w:rPr>
        <w:instrText xml:space="preserve"> SEQ Figure \* ARABIC </w:instrText>
      </w:r>
      <w:r w:rsidRPr="00095291">
        <w:rPr>
          <w:i w:val="0"/>
          <w:iCs w:val="0"/>
        </w:rPr>
        <w:fldChar w:fldCharType="separate"/>
      </w:r>
      <w:r w:rsidR="00B90382">
        <w:rPr>
          <w:i w:val="0"/>
          <w:iCs w:val="0"/>
          <w:noProof/>
        </w:rPr>
        <w:t>6</w:t>
      </w:r>
      <w:r w:rsidRPr="00095291">
        <w:rPr>
          <w:i w:val="0"/>
          <w:iCs w:val="0"/>
        </w:rPr>
        <w:fldChar w:fldCharType="end"/>
      </w:r>
      <w:r w:rsidRPr="00095291">
        <w:rPr>
          <w:i w:val="0"/>
          <w:iCs w:val="0"/>
        </w:rPr>
        <w:t xml:space="preserve"> : Exemple de fonction d'interprétation pour l’indicateur </w:t>
      </w:r>
      <w:r>
        <w:rPr>
          <w:i w:val="0"/>
          <w:iCs w:val="0"/>
        </w:rPr>
        <w:t>CEC</w:t>
      </w:r>
      <w:r w:rsidRPr="00095291">
        <w:rPr>
          <w:i w:val="0"/>
          <w:iCs w:val="0"/>
        </w:rPr>
        <w:t xml:space="preserve"> (fonction </w:t>
      </w:r>
      <w:r>
        <w:rPr>
          <w:i w:val="0"/>
          <w:iCs w:val="0"/>
        </w:rPr>
        <w:t>Nutrition</w:t>
      </w:r>
      <w:r w:rsidRPr="00095291">
        <w:rPr>
          <w:i w:val="0"/>
          <w:iCs w:val="0"/>
        </w:rPr>
        <w:t xml:space="preserve">, SE </w:t>
      </w:r>
      <w:r>
        <w:rPr>
          <w:i w:val="0"/>
          <w:iCs w:val="0"/>
        </w:rPr>
        <w:t>Production – cultures</w:t>
      </w:r>
      <w:r w:rsidRPr="00095291">
        <w:rPr>
          <w:i w:val="0"/>
          <w:iCs w:val="0"/>
        </w:rPr>
        <w:t>)</w:t>
      </w:r>
      <w:r w:rsidR="00B90382">
        <w:rPr>
          <w:rStyle w:val="Appelnotedebasdep"/>
          <w:i w:val="0"/>
          <w:iCs w:val="0"/>
        </w:rPr>
        <w:footnoteReference w:id="3"/>
      </w:r>
      <w:bookmarkEnd w:id="80"/>
    </w:p>
    <w:p w14:paraId="60F6E091" w14:textId="06FCCB47" w:rsidR="001D60C8" w:rsidRDefault="00EA1092" w:rsidP="00876101">
      <w:pPr>
        <w:pStyle w:val="Titre2"/>
        <w:numPr>
          <w:ilvl w:val="1"/>
          <w:numId w:val="3"/>
        </w:numPr>
      </w:pPr>
      <w:bookmarkStart w:id="81" w:name="_Toc241505288"/>
      <w:r>
        <w:t>Statut acido-basique</w:t>
      </w:r>
      <w:r w:rsidR="001D60C8">
        <w:t xml:space="preserve"> (pH)</w:t>
      </w:r>
      <w:bookmarkEnd w:id="81"/>
    </w:p>
    <w:p w14:paraId="7A11FE67" w14:textId="77777777" w:rsidR="001D60C8" w:rsidRDefault="001D60C8" w:rsidP="00876101">
      <w:pPr>
        <w:pStyle w:val="Titre3"/>
        <w:numPr>
          <w:ilvl w:val="2"/>
          <w:numId w:val="3"/>
        </w:numPr>
      </w:pPr>
      <w:bookmarkStart w:id="82" w:name="_Toc241505289"/>
      <w:r>
        <w:t>Définition</w:t>
      </w:r>
      <w:bookmarkEnd w:id="82"/>
    </w:p>
    <w:p w14:paraId="23976F1C" w14:textId="014D2DBC" w:rsidR="00F84405" w:rsidRPr="00F84405" w:rsidRDefault="00D3095A" w:rsidP="00F84405">
      <w:r>
        <w:t xml:space="preserve">Le pH d’un sol </w:t>
      </w:r>
      <w:r w:rsidR="00EA1092">
        <w:t xml:space="preserve">exprime </w:t>
      </w:r>
      <w:r w:rsidR="00C650D4">
        <w:t xml:space="preserve">son </w:t>
      </w:r>
      <w:r w:rsidR="00EA1092">
        <w:t>statut acido-basique (</w:t>
      </w:r>
      <w:r w:rsidR="00C650D4">
        <w:t>niveau d’acidité</w:t>
      </w:r>
      <w:r w:rsidR="00EA1092">
        <w:t>)</w:t>
      </w:r>
      <w:r w:rsidR="00C650D4">
        <w:t xml:space="preserve">, c’est-à-dire la concentration en protons contenue dans </w:t>
      </w:r>
      <w:r w:rsidR="00FD0677">
        <w:t>l’eau en contact avec le sol</w:t>
      </w:r>
      <w:r w:rsidR="00C650D4">
        <w:t xml:space="preserve">. </w:t>
      </w:r>
    </w:p>
    <w:p w14:paraId="4E3D963B" w14:textId="77777777" w:rsidR="001D60C8" w:rsidRDefault="001D60C8" w:rsidP="00876101">
      <w:pPr>
        <w:pStyle w:val="Titre3"/>
        <w:numPr>
          <w:ilvl w:val="2"/>
          <w:numId w:val="3"/>
        </w:numPr>
      </w:pPr>
      <w:bookmarkStart w:id="83" w:name="_Toc241505290"/>
      <w:r>
        <w:t>Pertinence</w:t>
      </w:r>
      <w:bookmarkEnd w:id="83"/>
    </w:p>
    <w:p w14:paraId="07F80338" w14:textId="44316D4B" w:rsidR="00275565" w:rsidRDefault="00F84405" w:rsidP="001D60C8">
      <w:r>
        <w:t>Le pH influence la disponibilité des nutriments</w:t>
      </w:r>
      <w:r w:rsidR="002559F2">
        <w:t xml:space="preserve">, l’activité microbienne et </w:t>
      </w:r>
      <w:r w:rsidR="0011736B">
        <w:t>la structuration du sol</w:t>
      </w:r>
      <w:r w:rsidR="002559F2">
        <w:t xml:space="preserve"> </w:t>
      </w:r>
      <w:r w:rsidR="006001B3">
        <w:fldChar w:fldCharType="begin"/>
      </w:r>
      <w:r w:rsidR="00275565">
        <w:instrText xml:space="preserve"> ADDIN ZOTERO_ITEM CSL_CITATION {"citationID":"f4QiaTfb","properties":{"unsorted":false,"formattedCitation":"(Genot et al., 2012)","plainCitation":"(Genot et al., 2012)","noteIndex":0},"citationItems":[{"id":136,"uris":["http://zotero.org/groups/5684833/items/W9MIP2M4"],"itemData":{"id":136,"type":"document","title":"Base de données sols de REQUASUD - 3ème synthèse","URL":"https://www.requasud.be/wp-content/uploads/2017/07/brochure_sols_2012.pdf","author":[{"family":"Genot","given":"V."},{"family":"Renneson","given":"M."},{"family":"Colinet","given":"G."},{"family":"Goffaux","given":"M-J."},{"family":"Cugnon","given":"T."},{"family":"Toussaint","given":"B."},{"family":"Buffet","given":"D."},{"family":"Oger","given":"R."}],"issued":{"date-parts":[["2012"]]}}}],"schema":"https://github.com/citation-style-language/schema/raw/master/csl-citation.json"} </w:instrText>
      </w:r>
      <w:r w:rsidR="006001B3">
        <w:fldChar w:fldCharType="separate"/>
      </w:r>
      <w:r w:rsidR="00275565" w:rsidRPr="00275565">
        <w:rPr>
          <w:rFonts w:cs="Calibri"/>
        </w:rPr>
        <w:t>(Genot et al., 2012)</w:t>
      </w:r>
      <w:r w:rsidR="006001B3">
        <w:fldChar w:fldCharType="end"/>
      </w:r>
      <w:r>
        <w:t>.</w:t>
      </w:r>
    </w:p>
    <w:p w14:paraId="7C59EAF3" w14:textId="61173F1C" w:rsidR="001D60C8" w:rsidRDefault="0072543F" w:rsidP="001D60C8">
      <w:r>
        <w:t xml:space="preserve">Le pH, en contrôlant </w:t>
      </w:r>
      <w:r w:rsidR="00F83A84">
        <w:t xml:space="preserve">les </w:t>
      </w:r>
      <w:r w:rsidR="00B00713">
        <w:t xml:space="preserve">processus liés aux cycles des nutriments (nitrification, </w:t>
      </w:r>
      <w:r w:rsidR="00A062F1">
        <w:t xml:space="preserve">dénitrification etc.), influence directement les cortèges microbiens du sol </w:t>
      </w:r>
      <w:r w:rsidR="00A062F1">
        <w:fldChar w:fldCharType="begin"/>
      </w:r>
      <w:r w:rsidR="00A062F1">
        <w:instrText xml:space="preserve"> ADDIN ZOTERO_ITEM CSL_CITATION {"citationID":"DUgGpcoK","properties":{"unsorted":false,"formattedCitation":"(Smith &amp; Doran, 1997)","plainCitation":"(Smith &amp; Doran, 1997)","noteIndex":0},"citationItems":[{"id":483,"uris":["http://zotero.org/groups/5684833/items/KUE3PBKU"],"itemData":{"id":483,"type":"chapter","abstract":"The analysis of soil quality is complex due to the many factors that make up a good soil. This chapter focuses on the measurement and use of pH, as a measure of soil acidity, and electrical conductivity (EC), an estimate of salt content or chemical supply, to evaluate soil quality. On-farm measurements of pH and EC are important for monitoring the effects of agricultural management practices on the efficiency of nitrogen use and related environmental impacts. Both pH and EC need to be measured since a good range for electrical conductivity could be found in an acid soil that was unsuitable for plant growth. The measurement of both pH and EC provides a more complete indication of the chemical nature of the soil. The parameters of EC and pH can be indicators of effects on biological activity where certain microbial mediated processes are affected by shifts in pH or EC.","container-title":"Methods for Assessing Soil Quality","DOI":"10.2136/sssaspecpub49.c10","ISBN":"978-0-89118-944-2","language":"en","license":"Copyright © 1996 Soil Science Society of America","note":"section: 10\n_eprint: https://acsess.onlinelibrary.wiley.com/doi/pdf/10.2136/sssaspecpub49.c10\nDOI: 10.2136/sssaspecpub49.c10","page":"169-185","publisher":"John Wiley &amp; Sons, Ltd","source":"Wiley Online Library","title":"Measurement and Use of pH and Electrical Conductivity for Soil Quality Analysis","URL":"https://onlinelibrary.wiley.com/doi/abs/10.2136/sssaspecpub49.c10","author":[{"family":"Smith","given":"Jeffrey L."},{"family":"Doran","given":"John W."}],"accessed":{"date-parts":[["2026",3,11]]},"issued":{"date-parts":[["1997"]]}}}],"schema":"https://github.com/citation-style-language/schema/raw/master/csl-citation.json"} </w:instrText>
      </w:r>
      <w:r w:rsidR="00A062F1">
        <w:fldChar w:fldCharType="separate"/>
      </w:r>
      <w:r w:rsidR="00A062F1" w:rsidRPr="00A062F1">
        <w:rPr>
          <w:rFonts w:cs="Calibri"/>
        </w:rPr>
        <w:t>(Smith &amp; Doran, 1997)</w:t>
      </w:r>
      <w:r w:rsidR="00A062F1">
        <w:fldChar w:fldCharType="end"/>
      </w:r>
      <w:r w:rsidR="00A062F1">
        <w:t>.</w:t>
      </w:r>
      <w:r w:rsidR="006F1F22">
        <w:t xml:space="preserve"> </w:t>
      </w:r>
      <w:r w:rsidR="00145A43">
        <w:t xml:space="preserve">Le pH </w:t>
      </w:r>
      <w:r w:rsidR="00AD3EBC">
        <w:t>impacte également la disponibilité des éléments traces</w:t>
      </w:r>
      <w:r w:rsidR="00880489">
        <w:t xml:space="preserve">, </w:t>
      </w:r>
      <w:r w:rsidR="00AD3EBC">
        <w:t>principalement le cadmium et le zinc</w:t>
      </w:r>
      <w:r w:rsidR="00880489">
        <w:t xml:space="preserve">, et le plomb dans une moindre mesure </w:t>
      </w:r>
      <w:r w:rsidR="00880489">
        <w:fldChar w:fldCharType="begin"/>
      </w:r>
      <w:r w:rsidR="00880489">
        <w:instrText xml:space="preserve"> ADDIN ZOTERO_ITEM CSL_CITATION {"citationID":"zx9lrfTI","properties":{"unsorted":false,"formattedCitation":"(Matson et al., 2025)","plainCitation":"(Matson et al., 2025)","noteIndex":0},"citationItems":[{"id":324,"uris":["http://zotero.org/groups/5684833/items/2NI7WLN4"],"itemData":{"id":324,"type":"article-journal","DOI":"10.18174/686912","language":"Dutch","publisher":"Wageningen Environmental Research","source":"research.wur.nl","title":"De Bodemgezondheidsindex Amsterdam: Stedelijke bodemgezondheid meten, beoordelen en verbeteren","title-short":"De Bodemgezondheidsindex Amsterdam","URL":"https://research.wur.nl/en/publications/de-bodemgezondheidsindex-amsterdam-stedelijke-bodemgezondheid-met/","author":[{"family":"Matson","given":"Amanda"},{"family":"Elsen","given":"Erik","dropping-particle":"van den"},{"family":"Teuling","given":"Kees"},{"family":"Woolderink","given":"Hessel"},{"family":"Korthals","given":"Gerard"},{"family":"Römkens","given":"Paul"}],"accessed":{"date-parts":[["2025",12,17]]},"issued":{"date-parts":[["2025",4]]}}}],"schema":"https://github.com/citation-style-language/schema/raw/master/csl-citation.json"} </w:instrText>
      </w:r>
      <w:r w:rsidR="00880489">
        <w:fldChar w:fldCharType="separate"/>
      </w:r>
      <w:r w:rsidR="00880489" w:rsidRPr="00880489">
        <w:rPr>
          <w:rFonts w:cs="Calibri"/>
        </w:rPr>
        <w:t>(Matson et al., 2025)</w:t>
      </w:r>
      <w:r w:rsidR="00880489">
        <w:fldChar w:fldCharType="end"/>
      </w:r>
      <w:r w:rsidR="00AD3EBC">
        <w:t>.</w:t>
      </w:r>
    </w:p>
    <w:p w14:paraId="761353CB" w14:textId="7AB62026" w:rsidR="004A1603" w:rsidRPr="00765745" w:rsidRDefault="004A1603" w:rsidP="001D60C8">
      <w:r>
        <w:t>Le pH d’un sol peut être facilement augmenté, mais plus difficilement diminué</w:t>
      </w:r>
      <w:r w:rsidR="006422FD">
        <w:t xml:space="preserve"> (processus plus long)</w:t>
      </w:r>
      <w:r>
        <w:t xml:space="preserve">, ce qui en fait un </w:t>
      </w:r>
      <w:r w:rsidR="006422FD">
        <w:t>paramètre</w:t>
      </w:r>
      <w:r>
        <w:t xml:space="preserve"> </w:t>
      </w:r>
      <w:r w:rsidR="006422FD">
        <w:t>relativement dynamique.</w:t>
      </w:r>
    </w:p>
    <w:p w14:paraId="20976344" w14:textId="77777777" w:rsidR="001D60C8" w:rsidRDefault="001D60C8" w:rsidP="00876101">
      <w:pPr>
        <w:pStyle w:val="Titre3"/>
        <w:numPr>
          <w:ilvl w:val="2"/>
          <w:numId w:val="3"/>
        </w:numPr>
      </w:pPr>
      <w:bookmarkStart w:id="84" w:name="_Toc241505291"/>
      <w:r>
        <w:t>Méthode de mesure</w:t>
      </w:r>
      <w:bookmarkEnd w:id="84"/>
    </w:p>
    <w:p w14:paraId="56897B8F" w14:textId="335ED125" w:rsidR="00F84405" w:rsidRPr="00232D92" w:rsidRDefault="00D9077B" w:rsidP="00F84405">
      <w:r>
        <w:t xml:space="preserve">Le pH peut être mesuré </w:t>
      </w:r>
      <w:r w:rsidR="00232D92">
        <w:t>soit directement après une mise en solution</w:t>
      </w:r>
      <w:r w:rsidR="00507326">
        <w:t xml:space="preserve"> du sol</w:t>
      </w:r>
      <w:r w:rsidR="00232D92">
        <w:t xml:space="preserve"> dans l’eau (</w:t>
      </w:r>
      <w:proofErr w:type="spellStart"/>
      <w:r w:rsidR="00B764FB">
        <w:t>pH</w:t>
      </w:r>
      <w:r w:rsidR="00B764FB" w:rsidRPr="48222D96">
        <w:rPr>
          <w:vertAlign w:val="subscript"/>
        </w:rPr>
        <w:t>eau</w:t>
      </w:r>
      <w:proofErr w:type="spellEnd"/>
      <w:r w:rsidR="00232D92">
        <w:t>), soit dans une solution de KCl (</w:t>
      </w:r>
      <w:proofErr w:type="spellStart"/>
      <w:r w:rsidR="00B764FB">
        <w:t>pH</w:t>
      </w:r>
      <w:r w:rsidR="00B764FB" w:rsidRPr="48222D96">
        <w:rPr>
          <w:vertAlign w:val="subscript"/>
        </w:rPr>
        <w:t>KCl</w:t>
      </w:r>
      <w:proofErr w:type="spellEnd"/>
      <w:r w:rsidR="00232D92">
        <w:t>).</w:t>
      </w:r>
      <w:r w:rsidR="00891CBB">
        <w:t xml:space="preserve"> </w:t>
      </w:r>
      <w:r w:rsidR="00C230C7">
        <w:t xml:space="preserve">Étant donné que </w:t>
      </w:r>
      <w:r w:rsidR="00A6312F">
        <w:t>certains</w:t>
      </w:r>
      <w:r w:rsidR="00C230C7">
        <w:t xml:space="preserve"> référentiels sont </w:t>
      </w:r>
      <w:r w:rsidR="00A31B0D">
        <w:t>basés</w:t>
      </w:r>
      <w:r w:rsidR="00A6312F">
        <w:t xml:space="preserve"> sur le </w:t>
      </w:r>
      <w:r w:rsidR="009A57C4">
        <w:t>premier, d’autres sur le second</w:t>
      </w:r>
      <w:r w:rsidR="00A31B0D">
        <w:t>, les 2 mesures sont préconisées.</w:t>
      </w:r>
    </w:p>
    <w:p w14:paraId="12BFA7E6" w14:textId="77777777" w:rsidR="001D60C8" w:rsidRDefault="001D60C8" w:rsidP="00876101">
      <w:pPr>
        <w:pStyle w:val="Titre3"/>
        <w:numPr>
          <w:ilvl w:val="2"/>
          <w:numId w:val="3"/>
        </w:numPr>
      </w:pPr>
      <w:bookmarkStart w:id="85" w:name="_Toc241505292"/>
      <w:r w:rsidRPr="00C23A2C">
        <w:lastRenderedPageBreak/>
        <w:t>Interprétation</w:t>
      </w:r>
      <w:bookmarkEnd w:id="85"/>
    </w:p>
    <w:p w14:paraId="326B043A" w14:textId="462BA6A5" w:rsidR="0009372D" w:rsidRDefault="00F676D9" w:rsidP="0009372D">
      <w:r>
        <w:t>Par</w:t>
      </w:r>
      <w:r w:rsidR="00D12F6B">
        <w:t xml:space="preserve"> son influence sur la disponibilité des nutriments, le pH intervient dans l’évaluation de la fonction </w:t>
      </w:r>
      <w:r w:rsidR="00A21E2F">
        <w:rPr>
          <w:i/>
          <w:iCs/>
        </w:rPr>
        <w:t>Fourniture en nutriments</w:t>
      </w:r>
      <w:r w:rsidR="00D12F6B">
        <w:t xml:space="preserve"> du </w:t>
      </w:r>
      <w:r w:rsidR="000100FD">
        <w:t>service écosystémique</w:t>
      </w:r>
      <w:r w:rsidR="00D12F6B">
        <w:t xml:space="preserve"> </w:t>
      </w:r>
      <w:r w:rsidR="00D12F6B" w:rsidRPr="00D12F6B">
        <w:rPr>
          <w:i/>
          <w:iCs/>
        </w:rPr>
        <w:t>Production</w:t>
      </w:r>
      <w:r w:rsidR="00D12F6B">
        <w:t xml:space="preserve">. </w:t>
      </w:r>
      <w:r w:rsidR="00701A5E">
        <w:t>Des distinctions s’imposent en fonction de l’usage</w:t>
      </w:r>
      <w:r w:rsidR="008E67DF">
        <w:t xml:space="preserve"> : </w:t>
      </w:r>
      <w:r w:rsidR="00701A5E">
        <w:t>autant les sols agricoles exigent des gammes de pH optimales spécifiques pour fournir un rendement satisfaisant, autant ce paramètre n’est pas limitant pour l</w:t>
      </w:r>
      <w:r w:rsidR="004A1603">
        <w:t>a bonne croissance d’un peuplement forestier</w:t>
      </w:r>
      <w:r w:rsidR="008E67DF">
        <w:t>. En effet,</w:t>
      </w:r>
      <w:r w:rsidR="004A1603">
        <w:t xml:space="preserve"> dans ce contexte,</w:t>
      </w:r>
      <w:r w:rsidR="008E67DF">
        <w:t xml:space="preserve"> la disponibilité des nutriments n’est pas limitante,</w:t>
      </w:r>
      <w:r w:rsidR="004A1603">
        <w:t xml:space="preserve"> seul prévaut le risque de mobilisation des ETM à pH très bas.</w:t>
      </w:r>
    </w:p>
    <w:p w14:paraId="617B29B5" w14:textId="50D60C3A" w:rsidR="003A0C16" w:rsidRDefault="004732B1" w:rsidP="0009372D">
      <w:r>
        <w:t xml:space="preserve">REQUASUD présente des </w:t>
      </w:r>
      <w:r w:rsidR="006E153F">
        <w:t xml:space="preserve">gammes de valeurs optimales </w:t>
      </w:r>
      <w:r w:rsidR="00B764FB">
        <w:t>(</w:t>
      </w:r>
      <w:proofErr w:type="spellStart"/>
      <w:r w:rsidR="00B764FB">
        <w:t>pH</w:t>
      </w:r>
      <w:r w:rsidR="00B764FB">
        <w:rPr>
          <w:vertAlign w:val="subscript"/>
        </w:rPr>
        <w:t>KCl</w:t>
      </w:r>
      <w:proofErr w:type="spellEnd"/>
      <w:r w:rsidR="00B764FB">
        <w:t xml:space="preserve">) </w:t>
      </w:r>
      <w:r w:rsidR="006E153F">
        <w:t xml:space="preserve">pour les cultures et les prairies </w:t>
      </w:r>
      <w:r w:rsidR="00991E74">
        <w:fldChar w:fldCharType="begin"/>
      </w:r>
      <w:r w:rsidR="00991E74">
        <w:instrText xml:space="preserve"> ADDIN ZOTERO_ITEM CSL_CITATION {"citationID":"Pi7JABA3","properties":{"unsorted":false,"formattedCitation":"(Cugnon,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sidR="00991E74">
        <w:fldChar w:fldCharType="separate"/>
      </w:r>
      <w:r w:rsidR="00991E74" w:rsidRPr="00991E74">
        <w:rPr>
          <w:rFonts w:cs="Calibri"/>
        </w:rPr>
        <w:t>(Cugnon, 2025)</w:t>
      </w:r>
      <w:r w:rsidR="00991E74">
        <w:fldChar w:fldCharType="end"/>
      </w:r>
      <w:r w:rsidR="009106CD">
        <w:t xml:space="preserve">. Le Fichier Écologique des Essences présente quant à lui des </w:t>
      </w:r>
      <w:r w:rsidR="00DF7533">
        <w:t>gammes d’interprétation</w:t>
      </w:r>
      <w:r w:rsidR="0093670F">
        <w:t xml:space="preserve"> du </w:t>
      </w:r>
      <w:proofErr w:type="spellStart"/>
      <w:r w:rsidR="0093670F">
        <w:t>pH</w:t>
      </w:r>
      <w:r w:rsidR="00B764FB">
        <w:rPr>
          <w:vertAlign w:val="subscript"/>
        </w:rPr>
        <w:t>eau</w:t>
      </w:r>
      <w:proofErr w:type="spellEnd"/>
      <w:r w:rsidR="009106CD">
        <w:t xml:space="preserve"> </w:t>
      </w:r>
      <w:r w:rsidR="00DF7533">
        <w:t xml:space="preserve">pour les sols forestiers </w:t>
      </w:r>
      <w:r w:rsidR="00DF7533">
        <w:fldChar w:fldCharType="begin"/>
      </w:r>
      <w:r w:rsidR="00DF7533">
        <w:instrText xml:space="preserve"> ADDIN ZOTERO_ITEM CSL_CITATION {"citationID":"iTHppdD7","properties":{"unsorted":false,"formattedCitation":"({\\i{}Fichier \\uc0\\u233{}cologique des essences}, s.\\uc0\\u160{}d.)","plainCitation":"(Fichier écologique des essences, s. d.)","noteIndex":0},"citationItems":[{"id":569,"uris":["http://zotero.org/groups/5684833/items/8E5EHNH6"],"itemData":{"id":569,"type":"document","title":"Fichier écologique des essences","URL":"https://www.fichierecologique.be/#!/","accessed":{"date-parts":[["2026",6,2]]}}}],"schema":"https://github.com/citation-style-language/schema/raw/master/csl-citation.json"} </w:instrText>
      </w:r>
      <w:r w:rsidR="00DF7533">
        <w:fldChar w:fldCharType="separate"/>
      </w:r>
      <w:r w:rsidR="00DF7533" w:rsidRPr="00DF7533">
        <w:rPr>
          <w:rFonts w:cs="Calibri"/>
          <w:kern w:val="0"/>
        </w:rPr>
        <w:t>(</w:t>
      </w:r>
      <w:r w:rsidR="00DF7533" w:rsidRPr="00DF7533">
        <w:rPr>
          <w:rFonts w:cs="Calibri"/>
          <w:i/>
          <w:iCs/>
          <w:kern w:val="0"/>
        </w:rPr>
        <w:t>Fichier écologique des essences</w:t>
      </w:r>
      <w:r w:rsidR="00DF7533" w:rsidRPr="00DF7533">
        <w:rPr>
          <w:rFonts w:cs="Calibri"/>
          <w:kern w:val="0"/>
        </w:rPr>
        <w:t>, s. d.)</w:t>
      </w:r>
      <w:r w:rsidR="00DF7533">
        <w:fldChar w:fldCharType="end"/>
      </w:r>
      <w:r w:rsidR="00082CBF">
        <w:t xml:space="preserve">. </w:t>
      </w:r>
    </w:p>
    <w:p w14:paraId="07C79D88" w14:textId="0761D48C" w:rsidR="004732B1" w:rsidRDefault="00082CBF" w:rsidP="0009372D">
      <w:r>
        <w:t xml:space="preserve">Les gammes de </w:t>
      </w:r>
      <w:proofErr w:type="spellStart"/>
      <w:r w:rsidR="001C2061">
        <w:t>pH</w:t>
      </w:r>
      <w:r w:rsidR="001C2061">
        <w:rPr>
          <w:vertAlign w:val="subscript"/>
        </w:rPr>
        <w:t>KCl</w:t>
      </w:r>
      <w:proofErr w:type="spellEnd"/>
      <w:r w:rsidR="001C2061">
        <w:t xml:space="preserve"> </w:t>
      </w:r>
      <w:r>
        <w:t>idéales</w:t>
      </w:r>
      <w:r w:rsidR="001C2061">
        <w:t xml:space="preserve"> </w:t>
      </w:r>
      <w:r>
        <w:t xml:space="preserve">pour les espaces verts ont </w:t>
      </w:r>
      <w:r w:rsidR="001C2061">
        <w:t xml:space="preserve">été </w:t>
      </w:r>
      <w:r>
        <w:t xml:space="preserve">établies en cohérence </w:t>
      </w:r>
      <w:r w:rsidR="007A6781">
        <w:t>avec ces sources et le</w:t>
      </w:r>
      <w:r w:rsidR="003A0C16">
        <w:t xml:space="preserve">s exigences </w:t>
      </w:r>
      <w:r w:rsidR="000B52F5">
        <w:t>relatives aux terres pour gazonnements et plantations du</w:t>
      </w:r>
      <w:r w:rsidR="003A0C16">
        <w:t xml:space="preserve"> </w:t>
      </w:r>
      <w:r w:rsidR="003A0C16" w:rsidRPr="003A0C16">
        <w:t xml:space="preserve">Cahier des Charges type </w:t>
      </w:r>
      <w:proofErr w:type="spellStart"/>
      <w:r w:rsidR="003A0C16" w:rsidRPr="003A0C16">
        <w:t>Qualiroutes</w:t>
      </w:r>
      <w:proofErr w:type="spellEnd"/>
      <w:r w:rsidR="003A0C16" w:rsidRPr="003A0C16">
        <w:t xml:space="preserve"> - Chapitre C : Matériaux et produits de construction</w:t>
      </w:r>
      <w:r w:rsidR="007A6781">
        <w:t xml:space="preserve"> </w:t>
      </w:r>
      <w:r w:rsidR="00EE11C5">
        <w:fldChar w:fldCharType="begin"/>
      </w:r>
      <w:r w:rsidR="00EE11C5">
        <w:instrText xml:space="preserve"> ADDIN ZOTERO_ITEM CSL_CITATION {"citationID":"miGmpIwJ","properties":{"unsorted":false,"formattedCitation":"(SPW Mobilit\\uc0\\u233{} Infrastructures, 2026)","plainCitation":"(SPW Mobilité Infrastructures, 2026)","noteIndex":0},"citationItems":[{"id":571,"uris":["http://zotero.org/groups/5684833/items/XUAHKAZ9"],"itemData":{"id":571,"type":"standard","abstract":"Sur cet onglet vous trouverez le site Qualité et Construction","language":"fr","publisher":"Service Public de Wallonie","title":"Cahier des Charges type Qualiroutes - Chapitre C : Matériaux et produits de construction","URL":"https://infrastructures.wallonie.be/cms/render/live/fr/sites/routes/pouvoirs-locaux/nos-thematiques/routes/qualite--construction/qualiroutes.html","version":"approuvé par le Gouvernement wallon en date du 20 juillet 2011","author":[{"family":"SPW Mobilité Infrastructures","given":""}],"accessed":{"date-parts":[["2026",6,2]]},"issued":{"date-parts":[["2026"]]}}}],"schema":"https://github.com/citation-style-language/schema/raw/master/csl-citation.json"} </w:instrText>
      </w:r>
      <w:r w:rsidR="00EE11C5">
        <w:fldChar w:fldCharType="separate"/>
      </w:r>
      <w:r w:rsidR="00EE11C5" w:rsidRPr="00EE11C5">
        <w:rPr>
          <w:rFonts w:cs="Calibri"/>
          <w:kern w:val="0"/>
        </w:rPr>
        <w:t>(SPW Mobilité Infrastructures, 2026)</w:t>
      </w:r>
      <w:r w:rsidR="00EE11C5">
        <w:fldChar w:fldCharType="end"/>
      </w:r>
      <w:r w:rsidR="003A0C16">
        <w:t>.</w:t>
      </w:r>
    </w:p>
    <w:p w14:paraId="2755EA5D" w14:textId="3BCF9EBC" w:rsidR="002F5BF8" w:rsidRDefault="004A7B21" w:rsidP="004A7B21">
      <w:r>
        <w:t>Les valeurs de pH ne sont pas interprétées en fonction de la classe texturale. De ce fait, IQSW = ISSW pour ce paramètre.</w:t>
      </w:r>
    </w:p>
    <w:p w14:paraId="24074835" w14:textId="6973D679" w:rsidR="00C51E4E" w:rsidRPr="00261C30" w:rsidRDefault="00C51E4E" w:rsidP="00C51E4E">
      <w:pPr>
        <w:pStyle w:val="Lgende"/>
        <w:keepNext/>
        <w:jc w:val="center"/>
        <w:rPr>
          <w:i w:val="0"/>
          <w:iCs w:val="0"/>
        </w:rPr>
      </w:pPr>
      <w:bookmarkStart w:id="86" w:name="_Toc233122663"/>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7</w:t>
      </w:r>
      <w:r w:rsidRPr="00261C30">
        <w:rPr>
          <w:i w:val="0"/>
          <w:iCs w:val="0"/>
        </w:rPr>
        <w:fldChar w:fldCharType="end"/>
      </w:r>
      <w:r w:rsidRPr="00261C30">
        <w:rPr>
          <w:i w:val="0"/>
          <w:iCs w:val="0"/>
        </w:rPr>
        <w:t xml:space="preserve"> : Référentiels d’interprétation </w:t>
      </w:r>
      <w:r w:rsidR="3B1861BA" w:rsidRPr="6CB535F6">
        <w:rPr>
          <w:i w:val="0"/>
          <w:iCs w:val="0"/>
        </w:rPr>
        <w:t>de l’</w:t>
      </w:r>
      <w:r w:rsidRPr="6CB535F6">
        <w:rPr>
          <w:i w:val="0"/>
          <w:iCs w:val="0"/>
        </w:rPr>
        <w:t>indicateur</w:t>
      </w:r>
      <w:r w:rsidRPr="00261C30">
        <w:rPr>
          <w:i w:val="0"/>
          <w:iCs w:val="0"/>
        </w:rPr>
        <w:t xml:space="preserve">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noProof/>
        </w:rPr>
        <w:drawing>
          <wp:inline distT="0" distB="0" distL="0" distR="0" wp14:anchorId="4669EF92" wp14:editId="69189777">
            <wp:extent cx="91440" cy="118745"/>
            <wp:effectExtent l="0" t="0" r="3810" b="0"/>
            <wp:docPr id="4579715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6F77B1DB" wp14:editId="5DEF018A">
            <wp:extent cx="85917" cy="88985"/>
            <wp:effectExtent l="0" t="0" r="9525" b="6350"/>
            <wp:docPr id="27617855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351AE306" wp14:editId="6384397D">
            <wp:extent cx="164432" cy="65784"/>
            <wp:effectExtent l="0" t="0" r="7620" b="0"/>
            <wp:docPr id="100298685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 xml:space="preserve">). Dans le </w:t>
      </w:r>
      <w:r w:rsidR="000100FD">
        <w:rPr>
          <w:i w:val="0"/>
          <w:iCs w:val="0"/>
        </w:rPr>
        <w:t>service</w:t>
      </w:r>
      <w:r>
        <w:rPr>
          <w:i w:val="0"/>
          <w:iCs w:val="0"/>
        </w:rPr>
        <w:t xml:space="preserve"> </w:t>
      </w:r>
      <w:r w:rsidRPr="008E326C">
        <w:t>Production</w:t>
      </w:r>
      <w:r>
        <w:rPr>
          <w:i w:val="0"/>
          <w:iCs w:val="0"/>
        </w:rPr>
        <w:t>, pour certains indicateurs, une distinction est faite dans le choix des bornes entre les catégories d’usage (C : cultures ; P : prairies ; EV : espaces verts ; F : forêts).</w:t>
      </w:r>
      <w:bookmarkEnd w:id="86"/>
    </w:p>
    <w:tbl>
      <w:tblPr>
        <w:tblStyle w:val="Grilledutableau"/>
        <w:tblW w:w="0" w:type="auto"/>
        <w:tblLayout w:type="fixed"/>
        <w:tblCellMar>
          <w:top w:w="28" w:type="dxa"/>
          <w:bottom w:w="28" w:type="dxa"/>
        </w:tblCellMar>
        <w:tblLook w:val="04A0" w:firstRow="1" w:lastRow="0" w:firstColumn="1" w:lastColumn="0" w:noHBand="0" w:noVBand="1"/>
      </w:tblPr>
      <w:tblGrid>
        <w:gridCol w:w="1555"/>
        <w:gridCol w:w="1134"/>
        <w:gridCol w:w="850"/>
        <w:gridCol w:w="1134"/>
        <w:gridCol w:w="4387"/>
      </w:tblGrid>
      <w:tr w:rsidR="001D60C8" w:rsidRPr="0000352D" w14:paraId="2647DDAB" w14:textId="77777777" w:rsidTr="00C51E4E">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473A652A" w14:textId="3DE936B0" w:rsidR="001D60C8" w:rsidRPr="0000352D" w:rsidRDefault="00F84405">
            <w:pPr>
              <w:jc w:val="center"/>
              <w:rPr>
                <w:sz w:val="20"/>
                <w:szCs w:val="20"/>
              </w:rPr>
            </w:pPr>
            <w:r>
              <w:rPr>
                <w:sz w:val="20"/>
                <w:szCs w:val="20"/>
              </w:rPr>
              <w:t>Acidité (pH)</w:t>
            </w:r>
            <w:r w:rsidR="001D60C8" w:rsidRPr="0000352D">
              <w:rPr>
                <w:sz w:val="20"/>
                <w:szCs w:val="20"/>
              </w:rPr>
              <w:t xml:space="preserve"> - Référentiel</w:t>
            </w:r>
            <w:r w:rsidR="001D60C8">
              <w:rPr>
                <w:sz w:val="20"/>
                <w:szCs w:val="20"/>
              </w:rPr>
              <w:t>s</w:t>
            </w:r>
            <w:r w:rsidR="001D60C8" w:rsidRPr="0000352D">
              <w:rPr>
                <w:sz w:val="20"/>
                <w:szCs w:val="20"/>
              </w:rPr>
              <w:t xml:space="preserve"> d’interprétation</w:t>
            </w:r>
          </w:p>
        </w:tc>
      </w:tr>
      <w:tr w:rsidR="001D60C8" w:rsidRPr="0000352D" w14:paraId="7CF81049" w14:textId="77777777" w:rsidTr="008932E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2E0FA1B2" w14:textId="311F5D4F" w:rsidR="001D60C8" w:rsidRPr="00423C23" w:rsidRDefault="000100FD">
            <w:pPr>
              <w:jc w:val="center"/>
              <w:rPr>
                <w:sz w:val="20"/>
                <w:szCs w:val="20"/>
              </w:rPr>
            </w:pPr>
            <w:r>
              <w:rPr>
                <w:sz w:val="20"/>
                <w:szCs w:val="20"/>
              </w:rPr>
              <w:t>Service</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28BAE276" w14:textId="77777777" w:rsidR="001D60C8" w:rsidRPr="00423C23" w:rsidRDefault="001D60C8">
            <w:pPr>
              <w:jc w:val="center"/>
              <w:rPr>
                <w:sz w:val="20"/>
                <w:szCs w:val="20"/>
              </w:rPr>
            </w:pPr>
            <w:r w:rsidRPr="00423C23">
              <w:rPr>
                <w:sz w:val="20"/>
                <w:szCs w:val="20"/>
              </w:rPr>
              <w:t>Fonction</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248E9692" w14:textId="4D13D262" w:rsidR="001D60C8" w:rsidRPr="00423C23" w:rsidRDefault="00375DE1">
            <w:pPr>
              <w:jc w:val="center"/>
              <w:rPr>
                <w:sz w:val="20"/>
                <w:szCs w:val="20"/>
              </w:rPr>
            </w:pPr>
            <w:r>
              <w:rPr>
                <w:sz w:val="20"/>
                <w:szCs w:val="20"/>
              </w:rPr>
              <w:t>Forme</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0D332061" w14:textId="616F40C1" w:rsidR="001D60C8" w:rsidRPr="00423C23" w:rsidRDefault="00375DE1">
            <w:pPr>
              <w:jc w:val="center"/>
              <w:rPr>
                <w:sz w:val="20"/>
                <w:szCs w:val="20"/>
              </w:rPr>
            </w:pPr>
            <w:r w:rsidRPr="00423C23">
              <w:rPr>
                <w:sz w:val="20"/>
                <w:szCs w:val="20"/>
              </w:rPr>
              <w:t>Évaluation</w:t>
            </w:r>
          </w:p>
        </w:tc>
        <w:tc>
          <w:tcPr>
            <w:tcW w:w="43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7D6DEBB2" w14:textId="77777777" w:rsidR="001D60C8" w:rsidRPr="00423C23" w:rsidRDefault="001D60C8">
            <w:pPr>
              <w:jc w:val="center"/>
              <w:rPr>
                <w:sz w:val="20"/>
                <w:szCs w:val="20"/>
              </w:rPr>
            </w:pPr>
            <w:r w:rsidRPr="00423C23">
              <w:rPr>
                <w:sz w:val="20"/>
                <w:szCs w:val="20"/>
              </w:rPr>
              <w:t>Référentiel</w:t>
            </w:r>
          </w:p>
        </w:tc>
      </w:tr>
      <w:tr w:rsidR="00C51E4E" w:rsidRPr="0000352D" w14:paraId="713C3738" w14:textId="77777777" w:rsidTr="008932E6">
        <w:tc>
          <w:tcPr>
            <w:tcW w:w="1555" w:type="dxa"/>
            <w:vMerge w:val="restart"/>
            <w:tcBorders>
              <w:top w:val="single" w:sz="4" w:space="0" w:color="FFFFFF" w:themeColor="background1"/>
            </w:tcBorders>
            <w:vAlign w:val="center"/>
          </w:tcPr>
          <w:p w14:paraId="5395ADD7" w14:textId="4C3C4031" w:rsidR="00C51E4E" w:rsidRDefault="00C51E4E" w:rsidP="002315F4">
            <w:pPr>
              <w:jc w:val="left"/>
              <w:rPr>
                <w:sz w:val="20"/>
                <w:szCs w:val="20"/>
              </w:rPr>
            </w:pPr>
            <w:r>
              <w:rPr>
                <w:sz w:val="20"/>
                <w:szCs w:val="20"/>
              </w:rPr>
              <w:t>Production</w:t>
            </w:r>
          </w:p>
        </w:tc>
        <w:tc>
          <w:tcPr>
            <w:tcW w:w="1134" w:type="dxa"/>
            <w:vMerge w:val="restart"/>
            <w:tcBorders>
              <w:top w:val="single" w:sz="4" w:space="0" w:color="FFFFFF" w:themeColor="background1"/>
            </w:tcBorders>
            <w:vAlign w:val="center"/>
          </w:tcPr>
          <w:p w14:paraId="303AEB8C" w14:textId="7EBBCD40" w:rsidR="00C51E4E" w:rsidRDefault="00A21E2F" w:rsidP="002315F4">
            <w:pPr>
              <w:jc w:val="left"/>
              <w:rPr>
                <w:sz w:val="20"/>
                <w:szCs w:val="20"/>
              </w:rPr>
            </w:pPr>
            <w:r>
              <w:rPr>
                <w:sz w:val="20"/>
                <w:szCs w:val="20"/>
              </w:rPr>
              <w:t>Fourniture nutriments</w:t>
            </w:r>
          </w:p>
        </w:tc>
        <w:tc>
          <w:tcPr>
            <w:tcW w:w="850" w:type="dxa"/>
            <w:vMerge w:val="restart"/>
            <w:tcBorders>
              <w:top w:val="single" w:sz="4" w:space="0" w:color="FFFFFF" w:themeColor="background1"/>
            </w:tcBorders>
            <w:vAlign w:val="center"/>
          </w:tcPr>
          <w:p w14:paraId="5F6B168D" w14:textId="7E210460" w:rsidR="00C51E4E" w:rsidRPr="0000352D" w:rsidRDefault="009642D7" w:rsidP="009642D7">
            <w:pPr>
              <w:jc w:val="center"/>
              <w:rPr>
                <w:sz w:val="20"/>
                <w:szCs w:val="20"/>
              </w:rPr>
            </w:pPr>
            <w:r>
              <w:rPr>
                <w:noProof/>
                <w:sz w:val="20"/>
                <w:szCs w:val="20"/>
              </w:rPr>
              <mc:AlternateContent>
                <mc:Choice Requires="wps">
                  <w:drawing>
                    <wp:inline distT="0" distB="0" distL="0" distR="0" wp14:anchorId="53B1D175" wp14:editId="67BD55A3">
                      <wp:extent cx="248400" cy="0"/>
                      <wp:effectExtent l="38100" t="76200" r="18415" b="95250"/>
                      <wp:docPr id="1721694128" name="Connecteur droit avec flèche 1"/>
                      <wp:cNvGraphicFramePr/>
                      <a:graphic xmlns:a="http://schemas.openxmlformats.org/drawingml/2006/main">
                        <a:graphicData uri="http://schemas.microsoft.com/office/word/2010/wordprocessingShape">
                          <wps:wsp>
                            <wps:cNvCnPr/>
                            <wps:spPr>
                              <a:xfrm flipV="1">
                                <a:off x="0" y="0"/>
                                <a:ext cx="248400" cy="0"/>
                              </a:xfrm>
                              <a:prstGeom prst="straightConnector1">
                                <a:avLst/>
                              </a:prstGeom>
                              <a:ln w="12700">
                                <a:solidFill>
                                  <a:schemeClr val="tx2"/>
                                </a:solidFill>
                                <a:headEnd type="triangl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640C12E7" id="Connecteur droit avec flèche 1" o:spid="_x0000_s1026" type="#_x0000_t32" style="width:19.55pt;height:0;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" strokecolor="#0e2841 [3215]" strokeweight="1pt">
                      <v:stroke startarrow="block" endarrow="block" joinstyle="miter"/>
                      <w10:anchorlock/>
                    </v:shape>
                  </w:pict>
                </mc:Fallback>
              </mc:AlternateContent>
            </w:r>
          </w:p>
        </w:tc>
        <w:tc>
          <w:tcPr>
            <w:tcW w:w="1134" w:type="dxa"/>
            <w:tcBorders>
              <w:top w:val="single" w:sz="4" w:space="0" w:color="FFFFFF" w:themeColor="background1"/>
            </w:tcBorders>
            <w:shd w:val="clear" w:color="auto" w:fill="F2F9EB"/>
            <w:vAlign w:val="center"/>
          </w:tcPr>
          <w:p w14:paraId="2A4CFE02" w14:textId="0D23AD4A" w:rsidR="00C51E4E" w:rsidRDefault="00C51E4E" w:rsidP="002315F4">
            <w:pPr>
              <w:jc w:val="left"/>
              <w:rPr>
                <w:sz w:val="20"/>
                <w:szCs w:val="20"/>
              </w:rPr>
            </w:pPr>
            <w:proofErr w:type="spellStart"/>
            <w:proofErr w:type="gramStart"/>
            <w:r>
              <w:rPr>
                <w:sz w:val="20"/>
                <w:szCs w:val="20"/>
              </w:rPr>
              <w:t>pH</w:t>
            </w:r>
            <w:r>
              <w:rPr>
                <w:sz w:val="20"/>
                <w:szCs w:val="20"/>
                <w:vertAlign w:val="subscript"/>
              </w:rPr>
              <w:t>qualité</w:t>
            </w:r>
            <w:proofErr w:type="spellEnd"/>
            <w:proofErr w:type="gramEnd"/>
          </w:p>
        </w:tc>
        <w:tc>
          <w:tcPr>
            <w:tcW w:w="4387" w:type="dxa"/>
            <w:vMerge w:val="restart"/>
            <w:tcBorders>
              <w:top w:val="single" w:sz="4" w:space="0" w:color="FFFFFF" w:themeColor="background1"/>
            </w:tcBorders>
            <w:vAlign w:val="center"/>
          </w:tcPr>
          <w:p w14:paraId="66B963F2" w14:textId="7BEFAB98" w:rsidR="00C51E4E" w:rsidRPr="0000352D" w:rsidRDefault="00C51E4E" w:rsidP="002315F4">
            <w:pPr>
              <w:jc w:val="left"/>
              <w:rPr>
                <w:sz w:val="20"/>
                <w:szCs w:val="20"/>
              </w:rPr>
            </w:pPr>
            <w:r>
              <w:rPr>
                <w:sz w:val="20"/>
                <w:szCs w:val="20"/>
              </w:rPr>
              <w:t>(C) Gammes optimales (</w:t>
            </w:r>
            <w:proofErr w:type="spellStart"/>
            <w:r>
              <w:t>pH</w:t>
            </w:r>
            <w:r>
              <w:rPr>
                <w:vertAlign w:val="subscript"/>
              </w:rPr>
              <w:t>KCl</w:t>
            </w:r>
            <w:proofErr w:type="spellEnd"/>
            <w:r>
              <w:t>)</w:t>
            </w:r>
            <w:r>
              <w:rPr>
                <w:sz w:val="20"/>
                <w:szCs w:val="20"/>
              </w:rPr>
              <w:t xml:space="preserve"> REQUASUD pour les cultures </w:t>
            </w:r>
            <w:r>
              <w:rPr>
                <w:sz w:val="20"/>
                <w:szCs w:val="20"/>
              </w:rPr>
              <w:fldChar w:fldCharType="begin"/>
            </w:r>
            <w:r>
              <w:rPr>
                <w:sz w:val="20"/>
                <w:szCs w:val="20"/>
              </w:rPr>
              <w:instrText xml:space="preserve"> ADDIN ZOTERO_ITEM CSL_CITATION {"citationID":"QYxtnR98","properties":{"unsorted":false,"formattedCitation":"(Cugnon,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Pr>
                <w:sz w:val="20"/>
                <w:szCs w:val="20"/>
              </w:rPr>
              <w:fldChar w:fldCharType="separate"/>
            </w:r>
            <w:r w:rsidRPr="00400639">
              <w:rPr>
                <w:rFonts w:cs="Calibri"/>
                <w:sz w:val="20"/>
              </w:rPr>
              <w:t>(Cugnon, 2025)</w:t>
            </w:r>
            <w:r>
              <w:rPr>
                <w:sz w:val="20"/>
                <w:szCs w:val="20"/>
              </w:rPr>
              <w:fldChar w:fldCharType="end"/>
            </w:r>
          </w:p>
        </w:tc>
      </w:tr>
      <w:tr w:rsidR="00C51E4E" w:rsidRPr="0000352D" w14:paraId="58171107" w14:textId="77777777" w:rsidTr="008932E6">
        <w:tc>
          <w:tcPr>
            <w:tcW w:w="1555" w:type="dxa"/>
            <w:vMerge/>
            <w:vAlign w:val="center"/>
          </w:tcPr>
          <w:p w14:paraId="2E1F464C" w14:textId="77777777" w:rsidR="00C51E4E" w:rsidRDefault="00C51E4E" w:rsidP="002315F4">
            <w:pPr>
              <w:jc w:val="left"/>
              <w:rPr>
                <w:sz w:val="20"/>
                <w:szCs w:val="20"/>
              </w:rPr>
            </w:pPr>
          </w:p>
        </w:tc>
        <w:tc>
          <w:tcPr>
            <w:tcW w:w="1134" w:type="dxa"/>
            <w:vMerge/>
            <w:vAlign w:val="center"/>
          </w:tcPr>
          <w:p w14:paraId="00D89B45" w14:textId="4725BEA3" w:rsidR="00C51E4E" w:rsidRDefault="00C51E4E" w:rsidP="002315F4">
            <w:pPr>
              <w:jc w:val="left"/>
              <w:rPr>
                <w:sz w:val="20"/>
                <w:szCs w:val="20"/>
              </w:rPr>
            </w:pPr>
          </w:p>
        </w:tc>
        <w:tc>
          <w:tcPr>
            <w:tcW w:w="850" w:type="dxa"/>
            <w:vMerge/>
            <w:vAlign w:val="center"/>
          </w:tcPr>
          <w:p w14:paraId="10C94863" w14:textId="67D371E8" w:rsidR="00C51E4E" w:rsidRPr="0000352D" w:rsidRDefault="00C51E4E" w:rsidP="002315F4">
            <w:pPr>
              <w:jc w:val="left"/>
              <w:rPr>
                <w:sz w:val="20"/>
                <w:szCs w:val="20"/>
              </w:rPr>
            </w:pPr>
          </w:p>
        </w:tc>
        <w:tc>
          <w:tcPr>
            <w:tcW w:w="1134" w:type="dxa"/>
            <w:tcBorders>
              <w:bottom w:val="single" w:sz="4" w:space="0" w:color="auto"/>
            </w:tcBorders>
            <w:shd w:val="clear" w:color="auto" w:fill="EFF5FB"/>
            <w:vAlign w:val="center"/>
          </w:tcPr>
          <w:p w14:paraId="14EAB8CA" w14:textId="298A175B" w:rsidR="00C51E4E" w:rsidRDefault="00C51E4E" w:rsidP="002315F4">
            <w:pPr>
              <w:jc w:val="left"/>
              <w:rPr>
                <w:sz w:val="20"/>
                <w:szCs w:val="20"/>
              </w:rPr>
            </w:pPr>
            <w:proofErr w:type="spellStart"/>
            <w:proofErr w:type="gramStart"/>
            <w:r>
              <w:rPr>
                <w:sz w:val="20"/>
                <w:szCs w:val="20"/>
              </w:rPr>
              <w:t>pH</w:t>
            </w:r>
            <w:r>
              <w:rPr>
                <w:sz w:val="20"/>
                <w:szCs w:val="20"/>
                <w:vertAlign w:val="subscript"/>
              </w:rPr>
              <w:t>santé</w:t>
            </w:r>
            <w:proofErr w:type="spellEnd"/>
            <w:proofErr w:type="gramEnd"/>
          </w:p>
        </w:tc>
        <w:tc>
          <w:tcPr>
            <w:tcW w:w="4387" w:type="dxa"/>
            <w:vMerge/>
            <w:vAlign w:val="center"/>
          </w:tcPr>
          <w:p w14:paraId="0BBFCC8E" w14:textId="77777777" w:rsidR="00C51E4E" w:rsidRPr="0000352D" w:rsidRDefault="00C51E4E" w:rsidP="002315F4">
            <w:pPr>
              <w:jc w:val="left"/>
              <w:rPr>
                <w:sz w:val="20"/>
                <w:szCs w:val="20"/>
              </w:rPr>
            </w:pPr>
          </w:p>
        </w:tc>
      </w:tr>
      <w:tr w:rsidR="00C51E4E" w:rsidRPr="0000352D" w14:paraId="0CCA70C5" w14:textId="77777777" w:rsidTr="008932E6">
        <w:tc>
          <w:tcPr>
            <w:tcW w:w="1555" w:type="dxa"/>
            <w:vMerge/>
            <w:vAlign w:val="center"/>
          </w:tcPr>
          <w:p w14:paraId="07F52CE6" w14:textId="60912992" w:rsidR="00C51E4E" w:rsidRPr="0000352D" w:rsidRDefault="00C51E4E" w:rsidP="002315F4">
            <w:pPr>
              <w:jc w:val="left"/>
              <w:rPr>
                <w:sz w:val="20"/>
                <w:szCs w:val="20"/>
              </w:rPr>
            </w:pPr>
          </w:p>
        </w:tc>
        <w:tc>
          <w:tcPr>
            <w:tcW w:w="1134" w:type="dxa"/>
            <w:vMerge/>
            <w:vAlign w:val="center"/>
          </w:tcPr>
          <w:p w14:paraId="63C82C33" w14:textId="2243AAD1" w:rsidR="00C51E4E" w:rsidRPr="0000352D" w:rsidRDefault="00C51E4E" w:rsidP="002315F4">
            <w:pPr>
              <w:jc w:val="left"/>
              <w:rPr>
                <w:sz w:val="20"/>
                <w:szCs w:val="20"/>
              </w:rPr>
            </w:pPr>
          </w:p>
        </w:tc>
        <w:tc>
          <w:tcPr>
            <w:tcW w:w="850" w:type="dxa"/>
            <w:vMerge/>
            <w:vAlign w:val="center"/>
          </w:tcPr>
          <w:p w14:paraId="115486A8" w14:textId="3E28AF2B" w:rsidR="00C51E4E" w:rsidRPr="0000352D" w:rsidRDefault="00C51E4E" w:rsidP="002315F4">
            <w:pPr>
              <w:jc w:val="left"/>
              <w:rPr>
                <w:sz w:val="20"/>
                <w:szCs w:val="20"/>
              </w:rPr>
            </w:pPr>
          </w:p>
        </w:tc>
        <w:tc>
          <w:tcPr>
            <w:tcW w:w="1134" w:type="dxa"/>
            <w:tcBorders>
              <w:top w:val="single" w:sz="4" w:space="0" w:color="auto"/>
            </w:tcBorders>
            <w:shd w:val="clear" w:color="auto" w:fill="F2F9EB"/>
            <w:vAlign w:val="center"/>
          </w:tcPr>
          <w:p w14:paraId="72BEA49C" w14:textId="70A2E7E5" w:rsidR="00C51E4E" w:rsidRPr="0000352D" w:rsidRDefault="00C51E4E" w:rsidP="002315F4">
            <w:pPr>
              <w:jc w:val="left"/>
              <w:rPr>
                <w:sz w:val="20"/>
                <w:szCs w:val="20"/>
              </w:rPr>
            </w:pPr>
            <w:proofErr w:type="spellStart"/>
            <w:proofErr w:type="gramStart"/>
            <w:r>
              <w:rPr>
                <w:sz w:val="20"/>
                <w:szCs w:val="20"/>
              </w:rPr>
              <w:t>pH</w:t>
            </w:r>
            <w:r>
              <w:rPr>
                <w:sz w:val="20"/>
                <w:szCs w:val="20"/>
                <w:vertAlign w:val="subscript"/>
              </w:rPr>
              <w:t>qualité</w:t>
            </w:r>
            <w:proofErr w:type="spellEnd"/>
            <w:proofErr w:type="gramEnd"/>
          </w:p>
        </w:tc>
        <w:tc>
          <w:tcPr>
            <w:tcW w:w="4387" w:type="dxa"/>
            <w:vMerge w:val="restart"/>
            <w:tcBorders>
              <w:top w:val="single" w:sz="4" w:space="0" w:color="auto"/>
            </w:tcBorders>
            <w:vAlign w:val="center"/>
          </w:tcPr>
          <w:p w14:paraId="16BDDCC0" w14:textId="2B47341E" w:rsidR="00C51E4E" w:rsidRPr="0000352D" w:rsidRDefault="00C51E4E" w:rsidP="002315F4">
            <w:pPr>
              <w:jc w:val="left"/>
              <w:rPr>
                <w:sz w:val="20"/>
                <w:szCs w:val="20"/>
              </w:rPr>
            </w:pPr>
            <w:r>
              <w:rPr>
                <w:sz w:val="20"/>
                <w:szCs w:val="20"/>
              </w:rPr>
              <w:t>(P) Gammes optimales (</w:t>
            </w:r>
            <w:proofErr w:type="spellStart"/>
            <w:r>
              <w:t>pH</w:t>
            </w:r>
            <w:r>
              <w:rPr>
                <w:vertAlign w:val="subscript"/>
              </w:rPr>
              <w:t>KCl</w:t>
            </w:r>
            <w:proofErr w:type="spellEnd"/>
            <w:r>
              <w:t>)</w:t>
            </w:r>
            <w:r>
              <w:rPr>
                <w:sz w:val="20"/>
                <w:szCs w:val="20"/>
              </w:rPr>
              <w:t xml:space="preserve"> REQUASUD pour les prairies </w:t>
            </w:r>
            <w:r>
              <w:rPr>
                <w:sz w:val="20"/>
                <w:szCs w:val="20"/>
              </w:rPr>
              <w:fldChar w:fldCharType="begin"/>
            </w:r>
            <w:r>
              <w:rPr>
                <w:sz w:val="20"/>
                <w:szCs w:val="20"/>
              </w:rPr>
              <w:instrText xml:space="preserve"> ADDIN ZOTERO_ITEM CSL_CITATION {"citationID":"RKyPFLJQ","properties":{"unsorted":false,"formattedCitation":"(Cugnon,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Pr>
                <w:sz w:val="20"/>
                <w:szCs w:val="20"/>
              </w:rPr>
              <w:fldChar w:fldCharType="separate"/>
            </w:r>
            <w:r w:rsidRPr="00400639">
              <w:rPr>
                <w:rFonts w:cs="Calibri"/>
                <w:sz w:val="20"/>
              </w:rPr>
              <w:t>(Cugnon, 2025)</w:t>
            </w:r>
            <w:r>
              <w:rPr>
                <w:sz w:val="20"/>
                <w:szCs w:val="20"/>
              </w:rPr>
              <w:fldChar w:fldCharType="end"/>
            </w:r>
          </w:p>
        </w:tc>
      </w:tr>
      <w:tr w:rsidR="00C51E4E" w:rsidRPr="0000352D" w14:paraId="3773A2B2" w14:textId="77777777" w:rsidTr="008932E6">
        <w:tc>
          <w:tcPr>
            <w:tcW w:w="1555" w:type="dxa"/>
            <w:vMerge/>
            <w:vAlign w:val="center"/>
          </w:tcPr>
          <w:p w14:paraId="4D54DFD3" w14:textId="77777777" w:rsidR="00C51E4E" w:rsidRPr="0000352D" w:rsidRDefault="00C51E4E" w:rsidP="002315F4">
            <w:pPr>
              <w:jc w:val="left"/>
              <w:rPr>
                <w:sz w:val="20"/>
                <w:szCs w:val="20"/>
              </w:rPr>
            </w:pPr>
          </w:p>
        </w:tc>
        <w:tc>
          <w:tcPr>
            <w:tcW w:w="1134" w:type="dxa"/>
            <w:vMerge/>
            <w:vAlign w:val="center"/>
          </w:tcPr>
          <w:p w14:paraId="4C1B8C93" w14:textId="77777777" w:rsidR="00C51E4E" w:rsidRPr="0000352D" w:rsidRDefault="00C51E4E" w:rsidP="002315F4">
            <w:pPr>
              <w:jc w:val="left"/>
              <w:rPr>
                <w:sz w:val="20"/>
                <w:szCs w:val="20"/>
              </w:rPr>
            </w:pPr>
          </w:p>
        </w:tc>
        <w:tc>
          <w:tcPr>
            <w:tcW w:w="850" w:type="dxa"/>
            <w:vMerge/>
            <w:vAlign w:val="center"/>
          </w:tcPr>
          <w:p w14:paraId="57ECC4F5" w14:textId="3D6F4B13" w:rsidR="00C51E4E" w:rsidRPr="0000352D" w:rsidRDefault="00C51E4E" w:rsidP="002315F4">
            <w:pPr>
              <w:jc w:val="left"/>
              <w:rPr>
                <w:sz w:val="20"/>
                <w:szCs w:val="20"/>
              </w:rPr>
            </w:pPr>
          </w:p>
        </w:tc>
        <w:tc>
          <w:tcPr>
            <w:tcW w:w="1134" w:type="dxa"/>
            <w:tcBorders>
              <w:bottom w:val="single" w:sz="4" w:space="0" w:color="auto"/>
            </w:tcBorders>
            <w:shd w:val="clear" w:color="auto" w:fill="EFF5FB"/>
            <w:vAlign w:val="center"/>
          </w:tcPr>
          <w:p w14:paraId="314CD7E0" w14:textId="11AE0369" w:rsidR="00C51E4E" w:rsidRPr="0000352D" w:rsidRDefault="00C51E4E" w:rsidP="002315F4">
            <w:pPr>
              <w:jc w:val="left"/>
              <w:rPr>
                <w:sz w:val="20"/>
                <w:szCs w:val="20"/>
              </w:rPr>
            </w:pPr>
            <w:proofErr w:type="spellStart"/>
            <w:proofErr w:type="gramStart"/>
            <w:r>
              <w:rPr>
                <w:sz w:val="20"/>
                <w:szCs w:val="20"/>
              </w:rPr>
              <w:t>pH</w:t>
            </w:r>
            <w:r>
              <w:rPr>
                <w:sz w:val="20"/>
                <w:szCs w:val="20"/>
                <w:vertAlign w:val="subscript"/>
              </w:rPr>
              <w:t>santé</w:t>
            </w:r>
            <w:proofErr w:type="spellEnd"/>
            <w:proofErr w:type="gramEnd"/>
          </w:p>
        </w:tc>
        <w:tc>
          <w:tcPr>
            <w:tcW w:w="4387" w:type="dxa"/>
            <w:vMerge/>
            <w:vAlign w:val="center"/>
          </w:tcPr>
          <w:p w14:paraId="6C02834A" w14:textId="77777777" w:rsidR="00C51E4E" w:rsidRPr="0000352D" w:rsidRDefault="00C51E4E" w:rsidP="002315F4">
            <w:pPr>
              <w:jc w:val="left"/>
              <w:rPr>
                <w:sz w:val="20"/>
                <w:szCs w:val="20"/>
              </w:rPr>
            </w:pPr>
          </w:p>
        </w:tc>
      </w:tr>
      <w:tr w:rsidR="00C51E4E" w:rsidRPr="0000352D" w14:paraId="601B60FC" w14:textId="77777777" w:rsidTr="008932E6">
        <w:tc>
          <w:tcPr>
            <w:tcW w:w="1555" w:type="dxa"/>
            <w:vMerge/>
            <w:vAlign w:val="center"/>
          </w:tcPr>
          <w:p w14:paraId="376D00FC" w14:textId="3BF4AAAB" w:rsidR="00C51E4E" w:rsidRPr="0000352D" w:rsidRDefault="00C51E4E" w:rsidP="002315F4">
            <w:pPr>
              <w:jc w:val="left"/>
              <w:rPr>
                <w:sz w:val="20"/>
                <w:szCs w:val="20"/>
              </w:rPr>
            </w:pPr>
          </w:p>
        </w:tc>
        <w:tc>
          <w:tcPr>
            <w:tcW w:w="1134" w:type="dxa"/>
            <w:vMerge/>
            <w:vAlign w:val="center"/>
          </w:tcPr>
          <w:p w14:paraId="6BCB9F55" w14:textId="77777777" w:rsidR="00C51E4E" w:rsidRPr="0000352D" w:rsidRDefault="00C51E4E" w:rsidP="002315F4">
            <w:pPr>
              <w:jc w:val="left"/>
              <w:rPr>
                <w:sz w:val="20"/>
                <w:szCs w:val="20"/>
              </w:rPr>
            </w:pPr>
          </w:p>
        </w:tc>
        <w:tc>
          <w:tcPr>
            <w:tcW w:w="850" w:type="dxa"/>
            <w:vMerge/>
            <w:vAlign w:val="center"/>
          </w:tcPr>
          <w:p w14:paraId="7DAC6D45" w14:textId="77777777" w:rsidR="00C51E4E" w:rsidRPr="0000352D" w:rsidRDefault="00C51E4E" w:rsidP="002315F4">
            <w:pPr>
              <w:jc w:val="left"/>
              <w:rPr>
                <w:sz w:val="20"/>
                <w:szCs w:val="20"/>
              </w:rPr>
            </w:pPr>
          </w:p>
        </w:tc>
        <w:tc>
          <w:tcPr>
            <w:tcW w:w="1134" w:type="dxa"/>
            <w:tcBorders>
              <w:top w:val="single" w:sz="4" w:space="0" w:color="auto"/>
            </w:tcBorders>
            <w:shd w:val="clear" w:color="auto" w:fill="F2F9EB"/>
            <w:vAlign w:val="center"/>
          </w:tcPr>
          <w:p w14:paraId="5AE8F7C3" w14:textId="0FAAB618" w:rsidR="00C51E4E" w:rsidRDefault="00C51E4E" w:rsidP="002315F4">
            <w:pPr>
              <w:jc w:val="left"/>
              <w:rPr>
                <w:sz w:val="20"/>
                <w:szCs w:val="20"/>
              </w:rPr>
            </w:pPr>
            <w:proofErr w:type="spellStart"/>
            <w:proofErr w:type="gramStart"/>
            <w:r>
              <w:rPr>
                <w:sz w:val="20"/>
                <w:szCs w:val="20"/>
              </w:rPr>
              <w:t>pH</w:t>
            </w:r>
            <w:r>
              <w:rPr>
                <w:sz w:val="20"/>
                <w:szCs w:val="20"/>
                <w:vertAlign w:val="subscript"/>
              </w:rPr>
              <w:t>qualité</w:t>
            </w:r>
            <w:proofErr w:type="spellEnd"/>
            <w:proofErr w:type="gramEnd"/>
          </w:p>
        </w:tc>
        <w:tc>
          <w:tcPr>
            <w:tcW w:w="4387" w:type="dxa"/>
            <w:vMerge w:val="restart"/>
            <w:tcBorders>
              <w:top w:val="single" w:sz="4" w:space="0" w:color="auto"/>
            </w:tcBorders>
            <w:vAlign w:val="center"/>
          </w:tcPr>
          <w:p w14:paraId="3675CBE2" w14:textId="7E74DA27" w:rsidR="00C51E4E" w:rsidRPr="0000352D" w:rsidRDefault="00C51E4E" w:rsidP="002315F4">
            <w:pPr>
              <w:jc w:val="left"/>
              <w:rPr>
                <w:sz w:val="20"/>
                <w:szCs w:val="20"/>
              </w:rPr>
            </w:pPr>
            <w:r>
              <w:rPr>
                <w:sz w:val="20"/>
                <w:szCs w:val="20"/>
              </w:rPr>
              <w:t>(EV) Adaptation des gammes optimales (</w:t>
            </w:r>
            <w:proofErr w:type="spellStart"/>
            <w:r>
              <w:t>pH</w:t>
            </w:r>
            <w:r>
              <w:rPr>
                <w:vertAlign w:val="subscript"/>
              </w:rPr>
              <w:t>KCl</w:t>
            </w:r>
            <w:proofErr w:type="spellEnd"/>
            <w:r>
              <w:t>)</w:t>
            </w:r>
            <w:r>
              <w:rPr>
                <w:sz w:val="20"/>
                <w:szCs w:val="20"/>
              </w:rPr>
              <w:t xml:space="preserve"> REQUASUD // chapitre C </w:t>
            </w:r>
            <w:proofErr w:type="spellStart"/>
            <w:r>
              <w:rPr>
                <w:sz w:val="20"/>
                <w:szCs w:val="20"/>
              </w:rPr>
              <w:t>Qualiroutes</w:t>
            </w:r>
            <w:proofErr w:type="spellEnd"/>
            <w:r>
              <w:rPr>
                <w:sz w:val="20"/>
                <w:szCs w:val="20"/>
              </w:rPr>
              <w:t xml:space="preserve"> </w:t>
            </w:r>
            <w:r>
              <w:rPr>
                <w:sz w:val="20"/>
                <w:szCs w:val="20"/>
              </w:rPr>
              <w:fldChar w:fldCharType="begin"/>
            </w:r>
            <w:r>
              <w:rPr>
                <w:sz w:val="20"/>
                <w:szCs w:val="20"/>
              </w:rPr>
              <w:instrText xml:space="preserve"> ADDIN ZOTERO_ITEM CSL_CITATION {"citationID":"RzjfUPAY","properties":{"unsorted":false,"formattedCitation":"(SPW Mobilit\\uc0\\u233{} Infrastructures, 2026)","plainCitation":"(SPW Mobilité Infrastructures, 2026)","noteIndex":0},"citationItems":[{"id":571,"uris":["http://zotero.org/groups/5684833/items/XUAHKAZ9"],"itemData":{"id":571,"type":"standard","abstract":"Sur cet onglet vous trouverez le site Qualité et Construction","language":"fr","publisher":"Service Public de Wallonie","title":"Cahier des Charges type Qualiroutes - Chapitre C : Matériaux et produits de construction","URL":"https://infrastructures.wallonie.be/cms/render/live/fr/sites/routes/pouvoirs-locaux/nos-thematiques/routes/qualite--construction/qualiroutes.html","version":"approuvé par le Gouvernement wallon en date du 20 juillet 2011","author":[{"family":"SPW Mobilité Infrastructures","given":""}],"accessed":{"date-parts":[["2026",6,2]]},"issued":{"date-parts":[["2026"]]}}}],"schema":"https://github.com/citation-style-language/schema/raw/master/csl-citation.json"} </w:instrText>
            </w:r>
            <w:r>
              <w:rPr>
                <w:sz w:val="20"/>
                <w:szCs w:val="20"/>
              </w:rPr>
              <w:fldChar w:fldCharType="separate"/>
            </w:r>
            <w:r w:rsidRPr="00BF6371">
              <w:rPr>
                <w:rFonts w:cs="Calibri"/>
                <w:kern w:val="0"/>
                <w:sz w:val="20"/>
              </w:rPr>
              <w:t>(SPW Mobilité Infrastructures, 2026)</w:t>
            </w:r>
            <w:r>
              <w:rPr>
                <w:sz w:val="20"/>
                <w:szCs w:val="20"/>
              </w:rPr>
              <w:fldChar w:fldCharType="end"/>
            </w:r>
          </w:p>
        </w:tc>
      </w:tr>
      <w:tr w:rsidR="00C51E4E" w:rsidRPr="0000352D" w14:paraId="6E38C821" w14:textId="77777777" w:rsidTr="008932E6">
        <w:tc>
          <w:tcPr>
            <w:tcW w:w="1555" w:type="dxa"/>
            <w:vMerge/>
            <w:vAlign w:val="center"/>
          </w:tcPr>
          <w:p w14:paraId="579A8899" w14:textId="77777777" w:rsidR="00C51E4E" w:rsidRPr="0000352D" w:rsidRDefault="00C51E4E" w:rsidP="002315F4">
            <w:pPr>
              <w:jc w:val="left"/>
              <w:rPr>
                <w:sz w:val="20"/>
                <w:szCs w:val="20"/>
              </w:rPr>
            </w:pPr>
          </w:p>
        </w:tc>
        <w:tc>
          <w:tcPr>
            <w:tcW w:w="1134" w:type="dxa"/>
            <w:vMerge/>
            <w:vAlign w:val="center"/>
          </w:tcPr>
          <w:p w14:paraId="5E774393" w14:textId="77777777" w:rsidR="00C51E4E" w:rsidRPr="0000352D" w:rsidRDefault="00C51E4E" w:rsidP="002315F4">
            <w:pPr>
              <w:jc w:val="left"/>
              <w:rPr>
                <w:sz w:val="20"/>
                <w:szCs w:val="20"/>
              </w:rPr>
            </w:pPr>
          </w:p>
        </w:tc>
        <w:tc>
          <w:tcPr>
            <w:tcW w:w="850" w:type="dxa"/>
            <w:vMerge/>
            <w:vAlign w:val="center"/>
          </w:tcPr>
          <w:p w14:paraId="2068511F" w14:textId="77777777" w:rsidR="00C51E4E" w:rsidRPr="0000352D" w:rsidRDefault="00C51E4E" w:rsidP="002315F4">
            <w:pPr>
              <w:jc w:val="left"/>
              <w:rPr>
                <w:sz w:val="20"/>
                <w:szCs w:val="20"/>
              </w:rPr>
            </w:pPr>
          </w:p>
        </w:tc>
        <w:tc>
          <w:tcPr>
            <w:tcW w:w="1134" w:type="dxa"/>
            <w:tcBorders>
              <w:bottom w:val="single" w:sz="4" w:space="0" w:color="auto"/>
            </w:tcBorders>
            <w:shd w:val="clear" w:color="auto" w:fill="EFF5FB"/>
            <w:vAlign w:val="center"/>
          </w:tcPr>
          <w:p w14:paraId="5CFCC942" w14:textId="421E06B4" w:rsidR="00C51E4E" w:rsidRDefault="00C51E4E" w:rsidP="002315F4">
            <w:pPr>
              <w:jc w:val="left"/>
              <w:rPr>
                <w:sz w:val="20"/>
                <w:szCs w:val="20"/>
              </w:rPr>
            </w:pPr>
            <w:proofErr w:type="spellStart"/>
            <w:proofErr w:type="gramStart"/>
            <w:r>
              <w:rPr>
                <w:sz w:val="20"/>
                <w:szCs w:val="20"/>
              </w:rPr>
              <w:t>pH</w:t>
            </w:r>
            <w:r>
              <w:rPr>
                <w:sz w:val="20"/>
                <w:szCs w:val="20"/>
                <w:vertAlign w:val="subscript"/>
              </w:rPr>
              <w:t>santé</w:t>
            </w:r>
            <w:proofErr w:type="spellEnd"/>
            <w:proofErr w:type="gramEnd"/>
          </w:p>
        </w:tc>
        <w:tc>
          <w:tcPr>
            <w:tcW w:w="4387" w:type="dxa"/>
            <w:vMerge/>
            <w:vAlign w:val="center"/>
          </w:tcPr>
          <w:p w14:paraId="68C1CF40" w14:textId="77777777" w:rsidR="00C51E4E" w:rsidRPr="0000352D" w:rsidRDefault="00C51E4E" w:rsidP="002315F4">
            <w:pPr>
              <w:jc w:val="left"/>
              <w:rPr>
                <w:sz w:val="20"/>
                <w:szCs w:val="20"/>
              </w:rPr>
            </w:pPr>
          </w:p>
        </w:tc>
      </w:tr>
      <w:tr w:rsidR="00C51E4E" w:rsidRPr="0000352D" w14:paraId="79BEA5C1" w14:textId="77777777" w:rsidTr="008932E6">
        <w:tc>
          <w:tcPr>
            <w:tcW w:w="1555" w:type="dxa"/>
            <w:vMerge/>
            <w:vAlign w:val="center"/>
          </w:tcPr>
          <w:p w14:paraId="513EA027" w14:textId="344439CA" w:rsidR="00C51E4E" w:rsidRPr="0000352D" w:rsidRDefault="00C51E4E" w:rsidP="002315F4">
            <w:pPr>
              <w:jc w:val="left"/>
              <w:rPr>
                <w:sz w:val="20"/>
                <w:szCs w:val="20"/>
              </w:rPr>
            </w:pPr>
          </w:p>
        </w:tc>
        <w:tc>
          <w:tcPr>
            <w:tcW w:w="1134" w:type="dxa"/>
            <w:vMerge/>
            <w:vAlign w:val="center"/>
          </w:tcPr>
          <w:p w14:paraId="6A92E736" w14:textId="77777777" w:rsidR="00C51E4E" w:rsidRPr="0000352D" w:rsidRDefault="00C51E4E" w:rsidP="002315F4">
            <w:pPr>
              <w:jc w:val="left"/>
              <w:rPr>
                <w:sz w:val="20"/>
                <w:szCs w:val="20"/>
              </w:rPr>
            </w:pPr>
          </w:p>
        </w:tc>
        <w:tc>
          <w:tcPr>
            <w:tcW w:w="850" w:type="dxa"/>
            <w:vMerge/>
            <w:vAlign w:val="center"/>
          </w:tcPr>
          <w:p w14:paraId="20BCE3CD" w14:textId="77777777" w:rsidR="00C51E4E" w:rsidRPr="0000352D" w:rsidRDefault="00C51E4E" w:rsidP="002315F4">
            <w:pPr>
              <w:jc w:val="left"/>
              <w:rPr>
                <w:sz w:val="20"/>
                <w:szCs w:val="20"/>
              </w:rPr>
            </w:pPr>
          </w:p>
        </w:tc>
        <w:tc>
          <w:tcPr>
            <w:tcW w:w="1134" w:type="dxa"/>
            <w:tcBorders>
              <w:top w:val="single" w:sz="4" w:space="0" w:color="auto"/>
            </w:tcBorders>
            <w:shd w:val="clear" w:color="auto" w:fill="F2F9EB"/>
            <w:vAlign w:val="center"/>
          </w:tcPr>
          <w:p w14:paraId="097BF981" w14:textId="7DFECBAE" w:rsidR="00C51E4E" w:rsidRDefault="00C51E4E" w:rsidP="002315F4">
            <w:pPr>
              <w:jc w:val="left"/>
              <w:rPr>
                <w:sz w:val="20"/>
                <w:szCs w:val="20"/>
              </w:rPr>
            </w:pPr>
            <w:proofErr w:type="spellStart"/>
            <w:proofErr w:type="gramStart"/>
            <w:r>
              <w:rPr>
                <w:sz w:val="20"/>
                <w:szCs w:val="20"/>
              </w:rPr>
              <w:t>pH</w:t>
            </w:r>
            <w:r>
              <w:rPr>
                <w:sz w:val="20"/>
                <w:szCs w:val="20"/>
                <w:vertAlign w:val="subscript"/>
              </w:rPr>
              <w:t>qualité</w:t>
            </w:r>
            <w:proofErr w:type="spellEnd"/>
            <w:proofErr w:type="gramEnd"/>
          </w:p>
        </w:tc>
        <w:tc>
          <w:tcPr>
            <w:tcW w:w="4387" w:type="dxa"/>
            <w:vMerge w:val="restart"/>
            <w:tcBorders>
              <w:top w:val="single" w:sz="4" w:space="0" w:color="auto"/>
            </w:tcBorders>
            <w:vAlign w:val="center"/>
          </w:tcPr>
          <w:p w14:paraId="741F8F05" w14:textId="6EEEF746" w:rsidR="00C51E4E" w:rsidRPr="0000352D" w:rsidRDefault="00C51E4E" w:rsidP="002315F4">
            <w:pPr>
              <w:jc w:val="left"/>
              <w:rPr>
                <w:sz w:val="20"/>
                <w:szCs w:val="20"/>
              </w:rPr>
            </w:pPr>
            <w:r>
              <w:rPr>
                <w:sz w:val="20"/>
                <w:szCs w:val="20"/>
              </w:rPr>
              <w:t>(F) Gammes d’interprétation (</w:t>
            </w:r>
            <w:proofErr w:type="spellStart"/>
            <w:r>
              <w:t>pH</w:t>
            </w:r>
            <w:r>
              <w:rPr>
                <w:vertAlign w:val="subscript"/>
              </w:rPr>
              <w:t>eau</w:t>
            </w:r>
            <w:proofErr w:type="spellEnd"/>
            <w:r>
              <w:t>)</w:t>
            </w:r>
            <w:r>
              <w:rPr>
                <w:sz w:val="20"/>
                <w:szCs w:val="20"/>
              </w:rPr>
              <w:t xml:space="preserve"> pour les sols forestiers </w:t>
            </w:r>
            <w:r>
              <w:rPr>
                <w:sz w:val="20"/>
                <w:szCs w:val="20"/>
              </w:rPr>
              <w:fldChar w:fldCharType="begin"/>
            </w:r>
            <w:r>
              <w:rPr>
                <w:sz w:val="20"/>
                <w:szCs w:val="20"/>
              </w:rPr>
              <w:instrText xml:space="preserve"> ADDIN ZOTERO_ITEM CSL_CITATION {"citationID":"r85K1wSA","properties":{"unsorted":false,"formattedCitation":"({\\i{}Fichier \\uc0\\u233{}cologique des essences}, s.\\uc0\\u160{}d.)","plainCitation":"(Fichier écologique des essences, s. d.)","noteIndex":0},"citationItems":[{"id":569,"uris":["http://zotero.org/groups/5684833/items/8E5EHNH6"],"itemData":{"id":569,"type":"document","title":"Fichier écologique des essences","URL":"https://www.fichierecologique.be/#!/","accessed":{"date-parts":[["2026",6,2]]}}}],"schema":"https://github.com/citation-style-language/schema/raw/master/csl-citation.json"} </w:instrText>
            </w:r>
            <w:r>
              <w:rPr>
                <w:sz w:val="20"/>
                <w:szCs w:val="20"/>
              </w:rPr>
              <w:fldChar w:fldCharType="separate"/>
            </w:r>
            <w:r w:rsidRPr="00D522F1">
              <w:rPr>
                <w:rFonts w:cs="Calibri"/>
                <w:kern w:val="0"/>
                <w:sz w:val="20"/>
              </w:rPr>
              <w:t>(</w:t>
            </w:r>
            <w:r w:rsidRPr="00D522F1">
              <w:rPr>
                <w:rFonts w:cs="Calibri"/>
                <w:i/>
                <w:iCs/>
                <w:kern w:val="0"/>
                <w:sz w:val="20"/>
              </w:rPr>
              <w:t>Fichier écologique des essences</w:t>
            </w:r>
            <w:r w:rsidRPr="00D522F1">
              <w:rPr>
                <w:rFonts w:cs="Calibri"/>
                <w:kern w:val="0"/>
                <w:sz w:val="20"/>
              </w:rPr>
              <w:t>, s. d.)</w:t>
            </w:r>
            <w:r>
              <w:rPr>
                <w:sz w:val="20"/>
                <w:szCs w:val="20"/>
              </w:rPr>
              <w:fldChar w:fldCharType="end"/>
            </w:r>
          </w:p>
        </w:tc>
      </w:tr>
      <w:tr w:rsidR="00C51E4E" w:rsidRPr="0000352D" w14:paraId="0F4D278E" w14:textId="77777777" w:rsidTr="008932E6">
        <w:tc>
          <w:tcPr>
            <w:tcW w:w="1555" w:type="dxa"/>
            <w:vMerge/>
            <w:vAlign w:val="center"/>
          </w:tcPr>
          <w:p w14:paraId="7C941593" w14:textId="77777777" w:rsidR="00C51E4E" w:rsidRPr="0000352D" w:rsidRDefault="00C51E4E" w:rsidP="00375DE1">
            <w:pPr>
              <w:jc w:val="left"/>
              <w:rPr>
                <w:sz w:val="20"/>
                <w:szCs w:val="20"/>
              </w:rPr>
            </w:pPr>
          </w:p>
        </w:tc>
        <w:tc>
          <w:tcPr>
            <w:tcW w:w="1134" w:type="dxa"/>
            <w:vMerge/>
            <w:vAlign w:val="center"/>
          </w:tcPr>
          <w:p w14:paraId="580C9BA4" w14:textId="77777777" w:rsidR="00C51E4E" w:rsidRPr="0000352D" w:rsidRDefault="00C51E4E" w:rsidP="00375DE1">
            <w:pPr>
              <w:jc w:val="left"/>
              <w:rPr>
                <w:sz w:val="20"/>
                <w:szCs w:val="20"/>
              </w:rPr>
            </w:pPr>
          </w:p>
        </w:tc>
        <w:tc>
          <w:tcPr>
            <w:tcW w:w="850" w:type="dxa"/>
            <w:vMerge/>
            <w:vAlign w:val="center"/>
          </w:tcPr>
          <w:p w14:paraId="76BBCA80" w14:textId="77777777" w:rsidR="00C51E4E" w:rsidRPr="0000352D" w:rsidRDefault="00C51E4E" w:rsidP="00375DE1">
            <w:pPr>
              <w:jc w:val="left"/>
              <w:rPr>
                <w:sz w:val="20"/>
                <w:szCs w:val="20"/>
              </w:rPr>
            </w:pPr>
          </w:p>
        </w:tc>
        <w:tc>
          <w:tcPr>
            <w:tcW w:w="1134" w:type="dxa"/>
            <w:shd w:val="clear" w:color="auto" w:fill="EFF5FB"/>
            <w:vAlign w:val="center"/>
          </w:tcPr>
          <w:p w14:paraId="1D548E3B" w14:textId="6FD7667E" w:rsidR="00C51E4E" w:rsidRDefault="00C51E4E" w:rsidP="00375DE1">
            <w:pPr>
              <w:jc w:val="left"/>
              <w:rPr>
                <w:sz w:val="20"/>
                <w:szCs w:val="20"/>
              </w:rPr>
            </w:pPr>
            <w:proofErr w:type="spellStart"/>
            <w:proofErr w:type="gramStart"/>
            <w:r>
              <w:rPr>
                <w:sz w:val="20"/>
                <w:szCs w:val="20"/>
              </w:rPr>
              <w:t>pH</w:t>
            </w:r>
            <w:r>
              <w:rPr>
                <w:sz w:val="20"/>
                <w:szCs w:val="20"/>
                <w:vertAlign w:val="subscript"/>
              </w:rPr>
              <w:t>santé</w:t>
            </w:r>
            <w:proofErr w:type="spellEnd"/>
            <w:proofErr w:type="gramEnd"/>
          </w:p>
        </w:tc>
        <w:tc>
          <w:tcPr>
            <w:tcW w:w="4387" w:type="dxa"/>
            <w:vMerge/>
          </w:tcPr>
          <w:p w14:paraId="4FE13F7B" w14:textId="77777777" w:rsidR="00C51E4E" w:rsidRPr="0000352D" w:rsidRDefault="00C51E4E" w:rsidP="00375DE1">
            <w:pPr>
              <w:rPr>
                <w:sz w:val="20"/>
                <w:szCs w:val="20"/>
              </w:rPr>
            </w:pPr>
          </w:p>
        </w:tc>
      </w:tr>
    </w:tbl>
    <w:p w14:paraId="39BEF200" w14:textId="77777777" w:rsidR="004F7729" w:rsidRDefault="004F7729" w:rsidP="00A055F3"/>
    <w:p w14:paraId="6A82BC19" w14:textId="77777777" w:rsidR="005275DC" w:rsidRDefault="005E1A2A" w:rsidP="005275DC">
      <w:pPr>
        <w:keepNext/>
        <w:jc w:val="center"/>
      </w:pPr>
      <w:r>
        <w:rPr>
          <w:noProof/>
        </w:rPr>
        <w:lastRenderedPageBreak/>
        <w:drawing>
          <wp:inline distT="0" distB="0" distL="0" distR="0" wp14:anchorId="686236CE" wp14:editId="7CA917A9">
            <wp:extent cx="4442347" cy="3170093"/>
            <wp:effectExtent l="0" t="0" r="0" b="0"/>
            <wp:docPr id="549040049"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47523" cy="3173786"/>
                    </a:xfrm>
                    <a:prstGeom prst="rect">
                      <a:avLst/>
                    </a:prstGeom>
                    <a:noFill/>
                    <a:ln>
                      <a:noFill/>
                    </a:ln>
                  </pic:spPr>
                </pic:pic>
              </a:graphicData>
            </a:graphic>
          </wp:inline>
        </w:drawing>
      </w:r>
    </w:p>
    <w:p w14:paraId="0E1C0051" w14:textId="4D678A0E" w:rsidR="00853290" w:rsidRPr="005275DC" w:rsidRDefault="005275DC" w:rsidP="005275DC">
      <w:pPr>
        <w:pStyle w:val="Lgende"/>
        <w:jc w:val="center"/>
        <w:rPr>
          <w:i w:val="0"/>
          <w:iCs w:val="0"/>
        </w:rPr>
      </w:pPr>
      <w:bookmarkStart w:id="87" w:name="_Toc241505113"/>
      <w:r w:rsidRPr="005275DC">
        <w:rPr>
          <w:i w:val="0"/>
          <w:iCs w:val="0"/>
        </w:rPr>
        <w:t xml:space="preserve">Figure </w:t>
      </w:r>
      <w:r w:rsidRPr="005275DC">
        <w:rPr>
          <w:i w:val="0"/>
          <w:iCs w:val="0"/>
        </w:rPr>
        <w:fldChar w:fldCharType="begin"/>
      </w:r>
      <w:r w:rsidRPr="005275DC">
        <w:rPr>
          <w:i w:val="0"/>
          <w:iCs w:val="0"/>
        </w:rPr>
        <w:instrText xml:space="preserve"> SEQ Figure \* ARABIC </w:instrText>
      </w:r>
      <w:r w:rsidRPr="005275DC">
        <w:rPr>
          <w:i w:val="0"/>
          <w:iCs w:val="0"/>
        </w:rPr>
        <w:fldChar w:fldCharType="separate"/>
      </w:r>
      <w:r w:rsidR="00B90382">
        <w:rPr>
          <w:i w:val="0"/>
          <w:iCs w:val="0"/>
          <w:noProof/>
        </w:rPr>
        <w:t>7</w:t>
      </w:r>
      <w:r w:rsidRPr="005275DC">
        <w:rPr>
          <w:i w:val="0"/>
          <w:iCs w:val="0"/>
        </w:rPr>
        <w:fldChar w:fldCharType="end"/>
      </w:r>
      <w:r w:rsidRPr="005275DC">
        <w:rPr>
          <w:i w:val="0"/>
          <w:iCs w:val="0"/>
        </w:rPr>
        <w:t xml:space="preserve"> : Exemple de fonction d'interprétation pour l’indicateur pH KCl (fonction Nutrition, SE Production – cultures)</w:t>
      </w:r>
      <w:bookmarkEnd w:id="87"/>
    </w:p>
    <w:p w14:paraId="5FEEAD49" w14:textId="77777777" w:rsidR="005E1A2A" w:rsidRDefault="005E1A2A" w:rsidP="00A055F3"/>
    <w:p w14:paraId="2C011773" w14:textId="6397A5A3" w:rsidR="004F7729" w:rsidRDefault="004F7729" w:rsidP="00876101">
      <w:pPr>
        <w:pStyle w:val="Titre2"/>
        <w:numPr>
          <w:ilvl w:val="1"/>
          <w:numId w:val="3"/>
        </w:numPr>
      </w:pPr>
      <w:bookmarkStart w:id="88" w:name="_Ref232412179"/>
      <w:bookmarkStart w:id="89" w:name="_Toc241505293"/>
      <w:r>
        <w:t>Phosphore</w:t>
      </w:r>
      <w:r w:rsidR="007F544F">
        <w:t xml:space="preserve"> </w:t>
      </w:r>
      <w:r>
        <w:t>disponible</w:t>
      </w:r>
      <w:bookmarkEnd w:id="88"/>
      <w:bookmarkEnd w:id="89"/>
    </w:p>
    <w:p w14:paraId="40ED5D36" w14:textId="77777777" w:rsidR="004F7729" w:rsidRDefault="004F7729" w:rsidP="00876101">
      <w:pPr>
        <w:pStyle w:val="Titre3"/>
        <w:numPr>
          <w:ilvl w:val="2"/>
          <w:numId w:val="3"/>
        </w:numPr>
      </w:pPr>
      <w:bookmarkStart w:id="90" w:name="_Toc241505294"/>
      <w:r>
        <w:t>Définition</w:t>
      </w:r>
      <w:bookmarkEnd w:id="90"/>
    </w:p>
    <w:p w14:paraId="6D1DB090" w14:textId="4F14E096" w:rsidR="004F7729" w:rsidRPr="009E4C10" w:rsidRDefault="006A5A28" w:rsidP="004F7729">
      <w:r>
        <w:t>Le phosphore</w:t>
      </w:r>
      <w:r w:rsidR="00DB5CB4">
        <w:t xml:space="preserve"> (P)</w:t>
      </w:r>
      <w:r>
        <w:t xml:space="preserve"> est un élément majeur essentiel pour la </w:t>
      </w:r>
      <w:r w:rsidR="00A21E2F">
        <w:t>fourniture en nutriments</w:t>
      </w:r>
      <w:r>
        <w:t xml:space="preserve"> des plantes</w:t>
      </w:r>
      <w:r w:rsidR="004F7729">
        <w:t>.</w:t>
      </w:r>
      <w:r>
        <w:t xml:space="preserve"> </w:t>
      </w:r>
      <w:r w:rsidR="0094392F">
        <w:t>Il est présent dans diverses formes dans le sol (phosphore total, phosphore disponible, phosphore extractible</w:t>
      </w:r>
      <w:r w:rsidR="38CBC089">
        <w:t>,</w:t>
      </w:r>
      <w:r w:rsidR="0094392F">
        <w:t xml:space="preserve"> etc.).</w:t>
      </w:r>
    </w:p>
    <w:p w14:paraId="270B7D40" w14:textId="77777777" w:rsidR="004F7729" w:rsidRDefault="004F7729" w:rsidP="00876101">
      <w:pPr>
        <w:pStyle w:val="Titre3"/>
        <w:numPr>
          <w:ilvl w:val="2"/>
          <w:numId w:val="3"/>
        </w:numPr>
      </w:pPr>
      <w:bookmarkStart w:id="91" w:name="_Toc241505295"/>
      <w:r>
        <w:t>Pertinence</w:t>
      </w:r>
      <w:bookmarkEnd w:id="91"/>
    </w:p>
    <w:p w14:paraId="1FB465FF" w14:textId="3A862771" w:rsidR="00A415B8" w:rsidRPr="00A415B8" w:rsidRDefault="00986482" w:rsidP="00A415B8">
      <w:r>
        <w:t>Le phosphore est un élément</w:t>
      </w:r>
      <w:r w:rsidR="00A415B8">
        <w:t xml:space="preserve"> </w:t>
      </w:r>
      <w:r>
        <w:t xml:space="preserve">indispensable à la </w:t>
      </w:r>
      <w:r w:rsidR="00A21E2F">
        <w:t>fourniture en nutriments</w:t>
      </w:r>
      <w:r>
        <w:t xml:space="preserve"> </w:t>
      </w:r>
      <w:r w:rsidR="00312EA2">
        <w:t>végétale</w:t>
      </w:r>
      <w:r>
        <w:t>.</w:t>
      </w:r>
      <w:r w:rsidR="007C5CE6">
        <w:t xml:space="preserve"> </w:t>
      </w:r>
      <w:r>
        <w:t>S’il est présent en excès dans les sols, il présente un risque de lixiviation vers les eaux souterraines, d’où l’importance d’une fertilisation raisonnée.</w:t>
      </w:r>
      <w:r w:rsidR="007C5CE6">
        <w:t xml:space="preserve"> Le phosphore impacte également la capacité d’accueil pour la biodiversité du sol</w:t>
      </w:r>
      <w:r w:rsidR="00DA6B31">
        <w:t>.</w:t>
      </w:r>
      <w:r w:rsidR="004F0549">
        <w:t xml:space="preserve"> En effet, on observe</w:t>
      </w:r>
      <w:r w:rsidR="00DA6B31">
        <w:t xml:space="preserve"> </w:t>
      </w:r>
      <w:r w:rsidR="004F0549">
        <w:t xml:space="preserve">une diminution drastique du nombre d’espèces végétales sur une prairie </w:t>
      </w:r>
      <w:r w:rsidR="001F64E3">
        <w:t xml:space="preserve">à partir d’un </w:t>
      </w:r>
      <w:r w:rsidR="00345DA8">
        <w:t xml:space="preserve">certain seuil de phosphore, </w:t>
      </w:r>
      <w:r w:rsidR="001F64E3">
        <w:t xml:space="preserve">en faveur de quelques espèces « productives » plus compétitrices </w:t>
      </w:r>
      <w:r w:rsidR="001F64E3">
        <w:fldChar w:fldCharType="begin"/>
      </w:r>
      <w:r w:rsidR="001F64E3">
        <w:instrText xml:space="preserve"> ADDIN ZOTERO_ITEM CSL_CITATION {"citationID":"LFCUE2GH","properties":{"unsorted":false,"formattedCitation":"(Janssens &amp; Peeters, 1999)","plainCitation":"(Janssens &amp; Peeters, 1999)","noteIndex":0},"citationItems":[{"id":124,"uris":["http://zotero.org/groups/5684833/items/6FFL6DXR"],"itemData":{"id":124,"type":"article-journal","language":"fr","source":"dial.uclouvain.be","title":"Talus et pré fleuris : mode d'emploi. Un guide pour l'aménagement écologique d'espaces verts","title-short":"Talus et pré fleuris","URL":"https://dial.uclouvain.be/pr/boreal/object/boreal:84530","author":[{"family":"Janssens","given":"Frédéric"},{"family":"Peeters","given":"Alain"}],"accessed":{"date-parts":[["2025",7,30]]},"issued":{"date-parts":[["1999"]]}}}],"schema":"https://github.com/citation-style-language/schema/raw/master/csl-citation.json"} </w:instrText>
      </w:r>
      <w:r w:rsidR="001F64E3">
        <w:fldChar w:fldCharType="separate"/>
      </w:r>
      <w:r w:rsidR="001F64E3" w:rsidRPr="001F64E3">
        <w:rPr>
          <w:rFonts w:cs="Calibri"/>
        </w:rPr>
        <w:t>(Janssens &amp; Peeters, 1999)</w:t>
      </w:r>
      <w:r w:rsidR="001F64E3">
        <w:fldChar w:fldCharType="end"/>
      </w:r>
      <w:r w:rsidR="000357DD">
        <w:t>.</w:t>
      </w:r>
    </w:p>
    <w:p w14:paraId="1E5C6272" w14:textId="77777777" w:rsidR="004F7729" w:rsidRDefault="004F7729" w:rsidP="00876101">
      <w:pPr>
        <w:pStyle w:val="Titre3"/>
        <w:numPr>
          <w:ilvl w:val="2"/>
          <w:numId w:val="3"/>
        </w:numPr>
      </w:pPr>
      <w:bookmarkStart w:id="92" w:name="_Toc241505296"/>
      <w:r>
        <w:t>Méthode de mesure</w:t>
      </w:r>
      <w:bookmarkEnd w:id="92"/>
    </w:p>
    <w:p w14:paraId="59395FD1" w14:textId="4AD5D4F6" w:rsidR="004F7729" w:rsidRPr="000F6E17" w:rsidRDefault="00F97A72" w:rsidP="004F7729">
      <w:r>
        <w:t>La mesure d</w:t>
      </w:r>
      <w:r w:rsidR="00B6105E">
        <w:t xml:space="preserve">e P disponible est retenue, </w:t>
      </w:r>
      <w:r w:rsidR="00B93067">
        <w:t xml:space="preserve">sur base d’une extraction </w:t>
      </w:r>
      <w:r w:rsidR="00CD2788">
        <w:t xml:space="preserve">à l’aide d’une solution </w:t>
      </w:r>
      <w:r w:rsidR="00272700" w:rsidRPr="00272700">
        <w:t xml:space="preserve">d’acétate ammonique, d’acide acétique et d’acide éthylène diamine </w:t>
      </w:r>
      <w:proofErr w:type="spellStart"/>
      <w:r w:rsidR="00272700">
        <w:t>tétracétique</w:t>
      </w:r>
      <w:proofErr w:type="spellEnd"/>
      <w:r w:rsidR="24CA0C3B">
        <w:t xml:space="preserve"> (AA-EDTA)</w:t>
      </w:r>
      <w:r w:rsidR="00D061B8">
        <w:t xml:space="preserve"> </w:t>
      </w:r>
      <w:r w:rsidR="00D061B8">
        <w:fldChar w:fldCharType="begin"/>
      </w:r>
      <w:r w:rsidR="00D061B8">
        <w:instrText xml:space="preserve"> ADDIN ZOTERO_ITEM CSL_CITATION {"citationID":"aAJBIiPP","properties":{"unsorted":false,"formattedCitation":"(Lakanen &amp; Ervi\\uc0\\u246{}, 1971)","plainCitation":"(Lakanen &amp; Erviö, 1971)","noteIndex":0},"citationItems":[{"id":621,"uris":["http://zotero.org/groups/5684833/items/N44ZIR6J"],"itemData":{"id":621,"type":"article-journal","container-title":"Acta Agralia Fennica","DOI":"0039-5595","page":"223-232","title":"A comparison of eight extradants for the determination of plant available micronutrients in soils","volume":"123","author":[{"family":"Lakanen","given":"E."},{"family":"Erviö","given":"R."}],"issued":{"date-parts":[["1971"]]}}}],"schema":"https://github.com/citation-style-language/schema/raw/master/csl-citation.json"} </w:instrText>
      </w:r>
      <w:r w:rsidR="00D061B8">
        <w:fldChar w:fldCharType="separate"/>
      </w:r>
      <w:r w:rsidR="00D061B8" w:rsidRPr="48222D96">
        <w:rPr>
          <w:rFonts w:cs="Calibri"/>
        </w:rPr>
        <w:t>(Lakanen &amp; Erviö, 1971)</w:t>
      </w:r>
      <w:r w:rsidR="00D061B8">
        <w:fldChar w:fldCharType="end"/>
      </w:r>
      <w:r w:rsidR="002D2CE7">
        <w:t xml:space="preserve">, </w:t>
      </w:r>
      <w:r w:rsidR="00C656A6">
        <w:t>conformément au</w:t>
      </w:r>
      <w:r w:rsidR="002D2CE7">
        <w:t xml:space="preserve"> CWEA S-II-13</w:t>
      </w:r>
      <w:r w:rsidRPr="00436690">
        <w:rPr>
          <w:rStyle w:val="Appelnotedebasdep"/>
        </w:rPr>
        <w:footnoteReference w:id="4"/>
      </w:r>
      <w:r w:rsidR="002D2CE7">
        <w:t>.</w:t>
      </w:r>
    </w:p>
    <w:p w14:paraId="091DBBCE" w14:textId="77777777" w:rsidR="004F7729" w:rsidRDefault="004F7729" w:rsidP="00876101">
      <w:pPr>
        <w:pStyle w:val="Titre3"/>
        <w:numPr>
          <w:ilvl w:val="2"/>
          <w:numId w:val="3"/>
        </w:numPr>
      </w:pPr>
      <w:bookmarkStart w:id="93" w:name="_Toc241505297"/>
      <w:r w:rsidRPr="00C23A2C">
        <w:lastRenderedPageBreak/>
        <w:t>Interprétation</w:t>
      </w:r>
      <w:bookmarkEnd w:id="93"/>
    </w:p>
    <w:p w14:paraId="312B653D" w14:textId="194599E2" w:rsidR="00A853BE" w:rsidRDefault="00822337" w:rsidP="00822337">
      <w:r>
        <w:t xml:space="preserve">REQUASUD présente </w:t>
      </w:r>
      <w:r w:rsidR="00BC5115">
        <w:t>une grille d’appréciation</w:t>
      </w:r>
      <w:r w:rsidR="00F736E3">
        <w:t xml:space="preserve"> des teneurs en phosphore </w:t>
      </w:r>
      <w:r w:rsidR="00EE792D">
        <w:t>selon trois classes texturales</w:t>
      </w:r>
      <w:r w:rsidR="12CA3833">
        <w:t xml:space="preserve"> (</w:t>
      </w:r>
      <w:r w:rsidR="00EE792D">
        <w:t>sols légers, moyens et lourds</w:t>
      </w:r>
      <w:r w:rsidR="510BCB20">
        <w:t>)</w:t>
      </w:r>
      <w:r w:rsidR="00A853BE">
        <w:t xml:space="preserve"> et en fonction du pH</w:t>
      </w:r>
      <w:r w:rsidR="6DAA35E0">
        <w:t xml:space="preserve"> (</w:t>
      </w:r>
      <w:r w:rsidR="0078396D">
        <w:t>avec une distinction sur base du seuil</w:t>
      </w:r>
      <w:r w:rsidR="0008305C">
        <w:t xml:space="preserve"> </w:t>
      </w:r>
      <w:proofErr w:type="spellStart"/>
      <w:r w:rsidR="0008305C">
        <w:t>pH</w:t>
      </w:r>
      <w:r w:rsidR="0008305C">
        <w:rPr>
          <w:vertAlign w:val="subscript"/>
        </w:rPr>
        <w:t>KCl</w:t>
      </w:r>
      <w:proofErr w:type="spellEnd"/>
      <w:r w:rsidR="0008305C">
        <w:t xml:space="preserve"> fixé à 5,5</w:t>
      </w:r>
      <w:r w:rsidR="616530B0">
        <w:t>)</w:t>
      </w:r>
      <w:r w:rsidR="0078396D">
        <w:t xml:space="preserve"> </w:t>
      </w:r>
      <w:r w:rsidR="00BC5115">
        <w:fldChar w:fldCharType="begin"/>
      </w:r>
      <w:r w:rsidR="00BC5115">
        <w:instrText xml:space="preserve"> ADDIN ZOTERO_ITEM CSL_CITATION {"citationID":"TxmXtVVW","properties":{"unsorted":false,"formattedCitation":"(Genot et al., 2011)","plainCitation":"(Genot et al., 2011)","noteIndex":0},"citationItems":[{"id":120,"uris":["http://zotero.org/groups/5684833/items/C2MGHKXM"],"itemData":{"id":120,"type":"report","publisher":"REQUASUD","title":"Un conseil de fumure raisonné - Le cas du phosphore","URL":"https://www.requasud.be/wp-content/uploads/2017/07/brochure_cr2451_requasud_ld.pdf","author":[{"family":"Genot","given":"V."},{"family":"Renneson","given":"M."},{"family":"Bock","given":"L."},{"family":"Colinet","given":"G."}],"issued":{"date-parts":[["2011"]]}}}],"schema":"https://github.com/citation-style-language/schema/raw/master/csl-citation.json"} </w:instrText>
      </w:r>
      <w:r w:rsidR="00BC5115">
        <w:fldChar w:fldCharType="separate"/>
      </w:r>
      <w:r w:rsidR="00BC5115" w:rsidRPr="00BC5115">
        <w:rPr>
          <w:rFonts w:cs="Calibri"/>
        </w:rPr>
        <w:t>(Genot et al., 2011)</w:t>
      </w:r>
      <w:r w:rsidR="00BC5115">
        <w:fldChar w:fldCharType="end"/>
      </w:r>
      <w:r w:rsidR="00EE792D">
        <w:t xml:space="preserve">. </w:t>
      </w:r>
      <w:r w:rsidR="00042CD8">
        <w:t>Ce référentiel est utile pour positionner le sol par rapport à son potentiel (santé du sol</w:t>
      </w:r>
      <w:r w:rsidR="7CC7109B">
        <w:t>,</w:t>
      </w:r>
      <w:r w:rsidR="0093670F">
        <w:t xml:space="preserve"> ISSW</w:t>
      </w:r>
      <w:r w:rsidR="00042CD8">
        <w:t>)</w:t>
      </w:r>
      <w:r w:rsidR="486D1F7E">
        <w:t>.</w:t>
      </w:r>
      <w:r w:rsidR="001A6717">
        <w:t xml:space="preserve"> </w:t>
      </w:r>
      <w:r w:rsidR="17D6C090">
        <w:t>L</w:t>
      </w:r>
      <w:r w:rsidR="001A6717">
        <w:t xml:space="preserve">a borne inférieure de la </w:t>
      </w:r>
      <w:r w:rsidR="00A67EA2">
        <w:t>classe</w:t>
      </w:r>
      <w:r w:rsidR="001A6717">
        <w:t xml:space="preserve"> « bon » </w:t>
      </w:r>
      <w:r w:rsidR="5F703FCF">
        <w:t>es</w:t>
      </w:r>
      <w:r w:rsidR="001A6717">
        <w:t>t définie comme le potentiel du sol</w:t>
      </w:r>
      <w:r w:rsidR="00EB1FA8">
        <w:t>, et ce peu importe l’usage considéré</w:t>
      </w:r>
      <w:r w:rsidR="001A6717">
        <w:t>.</w:t>
      </w:r>
    </w:p>
    <w:p w14:paraId="0507C144" w14:textId="1B4BB691" w:rsidR="00706A2D" w:rsidRDefault="0059439A" w:rsidP="00A055F3">
      <w:r>
        <w:t xml:space="preserve">En termes de qualité du sol (IQSW), des référentiels différents sont adoptés en fonction de l’usage. En effet, là où la teneur en phosphore disponible doit être à un bon niveau pour </w:t>
      </w:r>
      <w:r w:rsidR="00A72B07">
        <w:t xml:space="preserve">la production de cultures, cette variable est </w:t>
      </w:r>
      <w:r w:rsidR="004307ED" w:rsidRPr="004307ED">
        <w:rPr>
          <w:i/>
          <w:iCs/>
        </w:rPr>
        <w:t>a priori</w:t>
      </w:r>
      <w:r w:rsidR="004307ED">
        <w:t xml:space="preserve"> </w:t>
      </w:r>
      <w:r w:rsidR="00A72B07">
        <w:t xml:space="preserve">peu déterminante pour </w:t>
      </w:r>
      <w:r w:rsidR="004307ED">
        <w:t xml:space="preserve">évaluer la capacité d’un sol à accueillir un peuplement forestier (voir Fichier Écologique des Essences pour </w:t>
      </w:r>
      <w:r w:rsidR="00F165AE">
        <w:t>des spécificités liées aux essences)</w:t>
      </w:r>
      <w:r w:rsidR="004307ED">
        <w:t xml:space="preserve">. </w:t>
      </w:r>
      <w:r w:rsidR="007E78CD">
        <w:t>De ce fait, pour</w:t>
      </w:r>
      <w:r w:rsidR="00F165AE">
        <w:t xml:space="preserve"> l</w:t>
      </w:r>
      <w:r w:rsidR="00D430BC">
        <w:t xml:space="preserve">e </w:t>
      </w:r>
      <w:r w:rsidR="000100FD">
        <w:t>service écosystémique</w:t>
      </w:r>
      <w:r w:rsidR="00D430BC">
        <w:t xml:space="preserve"> </w:t>
      </w:r>
      <w:r w:rsidR="00D430BC" w:rsidRPr="00D430BC">
        <w:rPr>
          <w:i/>
          <w:iCs/>
        </w:rPr>
        <w:t>Production (cultures)</w:t>
      </w:r>
      <w:r w:rsidR="00F165AE">
        <w:t>, l</w:t>
      </w:r>
      <w:r w:rsidR="00A853BE">
        <w:t>a valeur minimale</w:t>
      </w:r>
      <w:r w:rsidR="001A6717">
        <w:t xml:space="preserve"> </w:t>
      </w:r>
      <w:r w:rsidR="00A67EA2">
        <w:t>de la classe « bon »</w:t>
      </w:r>
      <w:r w:rsidR="00890993">
        <w:t xml:space="preserve"> (pour un sol de texture « moyenne », </w:t>
      </w:r>
      <w:proofErr w:type="spellStart"/>
      <w:r w:rsidR="00890993">
        <w:t>pH</w:t>
      </w:r>
      <w:r w:rsidR="00890993">
        <w:rPr>
          <w:vertAlign w:val="subscript"/>
        </w:rPr>
        <w:t>KCl</w:t>
      </w:r>
      <w:proofErr w:type="spellEnd"/>
      <w:r w:rsidR="00890993">
        <w:t xml:space="preserve"> </w:t>
      </w:r>
      <w:r w:rsidR="00890993">
        <w:rPr>
          <w:rFonts w:cs="Calibri"/>
        </w:rPr>
        <w:t>≥</w:t>
      </w:r>
      <w:r w:rsidR="00890993">
        <w:t xml:space="preserve"> 5,5)</w:t>
      </w:r>
      <w:r w:rsidR="007E78CD">
        <w:t xml:space="preserve"> du réfé</w:t>
      </w:r>
      <w:r w:rsidR="008D2487">
        <w:t xml:space="preserve">rentiel REQUASUD </w:t>
      </w:r>
      <w:r w:rsidR="008D2487">
        <w:fldChar w:fldCharType="begin"/>
      </w:r>
      <w:r w:rsidR="008D2487">
        <w:instrText xml:space="preserve"> ADDIN ZOTERO_ITEM CSL_CITATION {"citationID":"iyYuEtQo","properties":{"unsorted":false,"formattedCitation":"(Genot et al., 2011)","plainCitation":"(Genot et al., 2011)","noteIndex":0},"citationItems":[{"id":120,"uris":["http://zotero.org/groups/5684833/items/C2MGHKXM"],"itemData":{"id":120,"type":"report","publisher":"REQUASUD","title":"Un conseil de fumure raisonné - Le cas du phosphore","URL":"https://www.requasud.be/wp-content/uploads/2017/07/brochure_cr2451_requasud_ld.pdf","author":[{"family":"Genot","given":"V."},{"family":"Renneson","given":"M."},{"family":"Bock","given":"L."},{"family":"Colinet","given":"G."}],"issued":{"date-parts":[["2011"]]}}}],"schema":"https://github.com/citation-style-language/schema/raw/master/csl-citation.json"} </w:instrText>
      </w:r>
      <w:r w:rsidR="008D2487">
        <w:fldChar w:fldCharType="separate"/>
      </w:r>
      <w:r w:rsidR="008D2487" w:rsidRPr="008D2487">
        <w:rPr>
          <w:rFonts w:cs="Calibri"/>
        </w:rPr>
        <w:t>(Genot et al., 2011)</w:t>
      </w:r>
      <w:r w:rsidR="008D2487">
        <w:fldChar w:fldCharType="end"/>
      </w:r>
      <w:r w:rsidR="00890993">
        <w:t xml:space="preserve"> </w:t>
      </w:r>
      <w:r w:rsidR="00BF5EF7">
        <w:t>est considérée comme la valeur cible</w:t>
      </w:r>
      <w:r w:rsidR="008946CD">
        <w:t xml:space="preserve"> (soit des conditions jugées représentatives d’un sol optimal moyen</w:t>
      </w:r>
      <w:r w:rsidR="00A90922">
        <w:t xml:space="preserve"> quant au </w:t>
      </w:r>
      <w:r w:rsidR="000100FD">
        <w:t xml:space="preserve">service </w:t>
      </w:r>
      <w:r w:rsidR="00A90922" w:rsidRPr="00A90922">
        <w:rPr>
          <w:i/>
          <w:iCs/>
        </w:rPr>
        <w:t>Production (cultures)</w:t>
      </w:r>
      <w:r w:rsidR="008946CD">
        <w:t>)</w:t>
      </w:r>
      <w:r w:rsidR="00F165AE">
        <w:t xml:space="preserve">. </w:t>
      </w:r>
      <w:r w:rsidR="008D2487">
        <w:t>Pour le</w:t>
      </w:r>
      <w:r w:rsidR="005061D1">
        <w:t xml:space="preserve"> </w:t>
      </w:r>
      <w:r w:rsidR="000100FD">
        <w:t>service</w:t>
      </w:r>
      <w:r w:rsidR="005061D1">
        <w:t xml:space="preserve"> </w:t>
      </w:r>
      <w:r w:rsidR="005061D1" w:rsidRPr="005061D1">
        <w:rPr>
          <w:i/>
          <w:iCs/>
        </w:rPr>
        <w:t>Production (forêts)</w:t>
      </w:r>
      <w:r w:rsidR="005061D1">
        <w:t xml:space="preserve">, le score maximal est attribué </w:t>
      </w:r>
      <w:r w:rsidR="00847FBE">
        <w:t>à partir d’</w:t>
      </w:r>
      <w:r w:rsidR="00C67450">
        <w:t>une très faible teneur en P (~ 0,5 mg</w:t>
      </w:r>
      <w:r w:rsidR="00F96918">
        <w:t xml:space="preserve"> </w:t>
      </w:r>
      <w:r w:rsidR="00F96918">
        <w:rPr>
          <w:rFonts w:cs="Calibri"/>
        </w:rPr>
        <w:t>·</w:t>
      </w:r>
      <w:r w:rsidR="00F96918">
        <w:t xml:space="preserve"> 100 g</w:t>
      </w:r>
      <w:r w:rsidR="00F96918">
        <w:rPr>
          <w:vertAlign w:val="superscript"/>
        </w:rPr>
        <w:t xml:space="preserve">-1 </w:t>
      </w:r>
      <w:r w:rsidR="00C67450">
        <w:t>P disponible).</w:t>
      </w:r>
      <w:r w:rsidR="00D8315B">
        <w:t xml:space="preserve"> Les prairies et les espaces verts constituent des cas « intermédiaires ».</w:t>
      </w:r>
    </w:p>
    <w:p w14:paraId="5ADED506" w14:textId="014C2FAD" w:rsidR="00115448" w:rsidRDefault="00026F75" w:rsidP="00026F75">
      <w:r>
        <w:t xml:space="preserve">En ce qui concerne l’impact du phosphore sur la capacité du sol à accueillir une production végétale, Janssens </w:t>
      </w:r>
      <w:r w:rsidR="001D5455">
        <w:t>et</w:t>
      </w:r>
      <w:r>
        <w:t xml:space="preserve"> Peeters </w:t>
      </w:r>
      <w:r>
        <w:fldChar w:fldCharType="begin"/>
      </w:r>
      <w:r>
        <w:instrText xml:space="preserve"> ADDIN ZOTERO_ITEM CSL_CITATION {"citationID":"jtbgMLqL","properties":{"unsorted":false,"formattedCitation":"(1999)","plainCitation":"(1999)","noteIndex":0},"citationItems":[{"id":124,"uris":["http://zotero.org/groups/5684833/items/6FFL6DXR"],"itemData":{"id":124,"type":"article-journal","language":"fr","source":"dial.uclouvain.be","title":"Talus et pré fleuris : mode d'emploi. Un guide pour l'aménagement écologique d'espaces verts","title-short":"Talus et pré fleuris","URL":"https://dial.uclouvain.be/pr/boreal/object/boreal:84530","author":[{"family":"Janssens","given":"Frédéric"},{"family":"Peeters","given":"Alain"}],"accessed":{"date-parts":[["2025",7,30]]},"issued":{"date-parts":[["1999"]]}},"suppress-author":true}],"schema":"https://github.com/citation-style-language/schema/raw/master/csl-citation.json"} </w:instrText>
      </w:r>
      <w:r>
        <w:fldChar w:fldCharType="separate"/>
      </w:r>
      <w:r w:rsidR="00926298" w:rsidRPr="48222D96">
        <w:rPr>
          <w:rFonts w:cs="Calibri"/>
        </w:rPr>
        <w:t>(1999)</w:t>
      </w:r>
      <w:r>
        <w:fldChar w:fldCharType="end"/>
      </w:r>
      <w:r w:rsidR="00A41D75">
        <w:t xml:space="preserve"> </w:t>
      </w:r>
      <w:r w:rsidR="006061F1">
        <w:t xml:space="preserve">ont </w:t>
      </w:r>
      <w:r w:rsidR="0082682B">
        <w:t>mis en évidence, sur base de relevés,</w:t>
      </w:r>
      <w:r w:rsidR="00AF727C">
        <w:t xml:space="preserve"> que </w:t>
      </w:r>
      <w:r w:rsidR="003A5802">
        <w:t xml:space="preserve">la diversité est systématiquement inférieure à </w:t>
      </w:r>
      <w:r w:rsidR="008646A6">
        <w:t>vingt</w:t>
      </w:r>
      <w:r w:rsidR="003A5802">
        <w:t xml:space="preserve"> espèces</w:t>
      </w:r>
      <w:r w:rsidR="00AF727C">
        <w:t xml:space="preserve"> lorsque la teneur en phosphore disponible est supérieure à 5 mg</w:t>
      </w:r>
      <w:r w:rsidR="00F96918">
        <w:t xml:space="preserve"> </w:t>
      </w:r>
      <w:r w:rsidR="00F96918">
        <w:rPr>
          <w:rFonts w:cs="Calibri"/>
        </w:rPr>
        <w:t>·</w:t>
      </w:r>
      <w:r w:rsidR="00F96918">
        <w:t xml:space="preserve"> </w:t>
      </w:r>
      <w:r w:rsidR="00AF727C">
        <w:t>100 g</w:t>
      </w:r>
      <w:r w:rsidR="00F96918">
        <w:rPr>
          <w:vertAlign w:val="superscript"/>
        </w:rPr>
        <w:t>-1</w:t>
      </w:r>
      <w:r w:rsidR="001D5455">
        <w:t>. Les mêmes ordres de grandeur sont confirmés par Ceulemans et al.</w:t>
      </w:r>
      <w:r w:rsidR="007669A1">
        <w:t xml:space="preserve"> </w:t>
      </w:r>
      <w:r>
        <w:fldChar w:fldCharType="begin"/>
      </w:r>
      <w:r>
        <w:instrText xml:space="preserve"> ADDIN ZOTERO_ITEM CSL_CITATION {"citationID":"2BHFWKOj","properties":{"unsorted":false,"formattedCitation":"(2014)","plainCitation":"(2014)","noteIndex":0},"citationItems":[{"id":13,"uris":["http://zotero.org/groups/5684833/items/FGT9VPDF"],"itemData":{"id":13,"type":"article-journal","abstract":"Nutrient pollution presents a serious threat to biodiversity conservation. In terrestrial ecosystems, the deleterious effects of nitrogen pollution are increasingly understood and several mitigating environmental policies have been developed. Compared to nitrogen, the effects of increased phosphorus have received far less attention, although some studies have indicated that phosphorus pollution may be detrimental for biodiversity as well. On the basis of a dataset covering 501 grassland plots throughout Europe, we demonstrate that, independent of the level of atmospheric nitrogen deposition and soil acidity, plant species richness was consistently negatively related to soil phosphorus. We also identified thresholds in soil phosphorus above which biodiversity appears to remain at a constant low level. Our results indicate that nutrient management policies biased toward reducing nitrogen pollution will fail to preserve biodiversity. As soil phosphorus is known to be extremely persistent and we found no evidence for a critical threshold below which no environmental harm is expected, we suggest that agro-environmental schemes should include grasslands that are permanently free from phosphorus fertilization.","container-title":"Global Change Biology","DOI":"10.1111/gcb.12650","ISSN":"1365-2486","issue":"12","language":"en","license":"© 2014 John Wiley &amp; Sons Ltd","note":"_eprint: https://onlinelibrary.wiley.com/doi/pdf/10.1111/gcb.12650","page":"3814-3822","source":"Wiley Online Library","title":"Soil phosphorus constrains biodiversity across European grasslands","volume":"20","author":[{"family":"Ceulemans","given":"Tobias"},{"family":"Stevens","given":"Carly J."},{"family":"Duchateau","given":"Luc"},{"family":"Jacquemyn","given":"Hans"},{"family":"Gowing","given":"David J. G."},{"family":"Merckx","given":"Roel"},{"family":"Wallace","given":"Hilary"},{"family":"Rooijen","given":"Nils","non-dropping-particle":"van"},{"family":"Goethem","given":"Thomas"},{"family":"Bobbink","given":"Roland"},{"family":"Dorland","given":"Edu"},{"family":"Gaudnik","given":"Cassandre"},{"family":"Alard","given":"Didier"},{"family":"Corcket","given":"Emmanuel"},{"family":"Muller","given":"Serge"},{"family":"Dise","given":"Nancy B."},{"family":"Dupré","given":"Cecilia"},{"family":"Diekmann","given":"Martin"},{"family":"Honnay","given":"Olivier"}],"issued":{"date-parts":[["2014"]]}},"suppress-author":true}],"schema":"https://github.com/citation-style-language/schema/raw/master/csl-citation.json"} </w:instrText>
      </w:r>
      <w:r>
        <w:fldChar w:fldCharType="separate"/>
      </w:r>
      <w:r w:rsidR="00AC2EDA" w:rsidRPr="48222D96">
        <w:rPr>
          <w:rFonts w:cs="Calibri"/>
        </w:rPr>
        <w:t>(2014)</w:t>
      </w:r>
      <w:r>
        <w:fldChar w:fldCharType="end"/>
      </w:r>
      <w:r w:rsidR="001D5455">
        <w:t>.</w:t>
      </w:r>
    </w:p>
    <w:p w14:paraId="23B9347B" w14:textId="6288AD35" w:rsidR="007E46B7" w:rsidRPr="00261C30" w:rsidRDefault="007E46B7" w:rsidP="007E46B7">
      <w:pPr>
        <w:pStyle w:val="Lgende"/>
        <w:keepNext/>
        <w:jc w:val="center"/>
        <w:rPr>
          <w:i w:val="0"/>
          <w:iCs w:val="0"/>
        </w:rPr>
      </w:pPr>
      <w:bookmarkStart w:id="94" w:name="_Toc233122664"/>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8</w:t>
      </w:r>
      <w:r w:rsidRPr="00261C30">
        <w:rPr>
          <w:i w:val="0"/>
          <w:iCs w:val="0"/>
        </w:rPr>
        <w:fldChar w:fldCharType="end"/>
      </w:r>
      <w:r w:rsidRPr="00261C30">
        <w:rPr>
          <w:i w:val="0"/>
          <w:iCs w:val="0"/>
        </w:rPr>
        <w:t xml:space="preserve"> : Référentiels d’interprétation </w:t>
      </w:r>
      <w:r w:rsidR="70AB7D18" w:rsidRPr="6CB535F6">
        <w:rPr>
          <w:i w:val="0"/>
          <w:iCs w:val="0"/>
        </w:rPr>
        <w:t>de l’</w:t>
      </w:r>
      <w:r w:rsidRPr="6CB535F6">
        <w:rPr>
          <w:i w:val="0"/>
          <w:iCs w:val="0"/>
        </w:rPr>
        <w:t>indicateur</w:t>
      </w:r>
      <w:r w:rsidRPr="00261C30">
        <w:rPr>
          <w:i w:val="0"/>
          <w:iCs w:val="0"/>
        </w:rPr>
        <w:t xml:space="preserve">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noProof/>
        </w:rPr>
        <w:drawing>
          <wp:inline distT="0" distB="0" distL="0" distR="0" wp14:anchorId="131F0B68" wp14:editId="29055B84">
            <wp:extent cx="91440" cy="118745"/>
            <wp:effectExtent l="0" t="0" r="3810" b="0"/>
            <wp:docPr id="132403572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4D949C69" wp14:editId="59415098">
            <wp:extent cx="85917" cy="88985"/>
            <wp:effectExtent l="0" t="0" r="9525" b="6350"/>
            <wp:docPr id="193350311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39BDB900" wp14:editId="3E6F106A">
            <wp:extent cx="164432" cy="65784"/>
            <wp:effectExtent l="0" t="0" r="7620" b="0"/>
            <wp:docPr id="140227245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 xml:space="preserve">). Dans le </w:t>
      </w:r>
      <w:r w:rsidR="000100FD">
        <w:rPr>
          <w:i w:val="0"/>
          <w:iCs w:val="0"/>
        </w:rPr>
        <w:t>service</w:t>
      </w:r>
      <w:r>
        <w:rPr>
          <w:i w:val="0"/>
          <w:iCs w:val="0"/>
        </w:rPr>
        <w:t xml:space="preserve"> </w:t>
      </w:r>
      <w:r w:rsidRPr="008E326C">
        <w:t>Production</w:t>
      </w:r>
      <w:r>
        <w:rPr>
          <w:i w:val="0"/>
          <w:iCs w:val="0"/>
        </w:rPr>
        <w:t>, pour certains indicateurs, une distinction est faite dans le choix des bornes entre les catégories d’usage (C : cultures ; P : prairies ; EV : espaces verts ; F : forêts).</w:t>
      </w:r>
      <w:bookmarkEnd w:id="94"/>
    </w:p>
    <w:tbl>
      <w:tblPr>
        <w:tblStyle w:val="Grilledutableau"/>
        <w:tblW w:w="0" w:type="auto"/>
        <w:tblLayout w:type="fixed"/>
        <w:tblCellMar>
          <w:top w:w="28" w:type="dxa"/>
          <w:bottom w:w="28" w:type="dxa"/>
        </w:tblCellMar>
        <w:tblLook w:val="04A0" w:firstRow="1" w:lastRow="0" w:firstColumn="1" w:lastColumn="0" w:noHBand="0" w:noVBand="1"/>
      </w:tblPr>
      <w:tblGrid>
        <w:gridCol w:w="1555"/>
        <w:gridCol w:w="1134"/>
        <w:gridCol w:w="850"/>
        <w:gridCol w:w="1134"/>
        <w:gridCol w:w="4387"/>
      </w:tblGrid>
      <w:tr w:rsidR="00D8315B" w:rsidRPr="0000352D" w14:paraId="46900D3E" w14:textId="77777777" w:rsidTr="00547A12">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2183563C" w14:textId="24E8BB43" w:rsidR="00D8315B" w:rsidRPr="0000352D" w:rsidRDefault="00D8315B">
            <w:pPr>
              <w:jc w:val="center"/>
              <w:rPr>
                <w:sz w:val="20"/>
                <w:szCs w:val="20"/>
              </w:rPr>
            </w:pPr>
            <w:r>
              <w:rPr>
                <w:sz w:val="20"/>
                <w:szCs w:val="20"/>
              </w:rPr>
              <w:t xml:space="preserve">Phosphore </w:t>
            </w:r>
            <w:r w:rsidR="007F544F">
              <w:rPr>
                <w:sz w:val="20"/>
                <w:szCs w:val="20"/>
              </w:rPr>
              <w:t xml:space="preserve">(P) </w:t>
            </w:r>
            <w:r>
              <w:rPr>
                <w:sz w:val="20"/>
                <w:szCs w:val="20"/>
              </w:rPr>
              <w:t xml:space="preserve">disponible </w:t>
            </w:r>
            <w:r w:rsidRPr="0000352D">
              <w:rPr>
                <w:sz w:val="20"/>
                <w:szCs w:val="20"/>
              </w:rPr>
              <w:t>- Référentiel</w:t>
            </w:r>
            <w:r>
              <w:rPr>
                <w:sz w:val="20"/>
                <w:szCs w:val="20"/>
              </w:rPr>
              <w:t>s</w:t>
            </w:r>
            <w:r w:rsidRPr="0000352D">
              <w:rPr>
                <w:sz w:val="20"/>
                <w:szCs w:val="20"/>
              </w:rPr>
              <w:t xml:space="preserve"> d’interprétation</w:t>
            </w:r>
          </w:p>
        </w:tc>
      </w:tr>
      <w:tr w:rsidR="00D8315B" w:rsidRPr="0000352D" w14:paraId="6A1483DD" w14:textId="77777777" w:rsidTr="006B2436">
        <w:tc>
          <w:tcPr>
            <w:tcW w:w="155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1F58EE60" w14:textId="561DC3EB" w:rsidR="00D8315B" w:rsidRPr="00423C23" w:rsidRDefault="000100FD">
            <w:pPr>
              <w:jc w:val="center"/>
              <w:rPr>
                <w:sz w:val="20"/>
                <w:szCs w:val="20"/>
              </w:rPr>
            </w:pPr>
            <w:r>
              <w:rPr>
                <w:sz w:val="20"/>
                <w:szCs w:val="20"/>
              </w:rPr>
              <w:t>Service</w:t>
            </w:r>
          </w:p>
        </w:tc>
        <w:tc>
          <w:tcPr>
            <w:tcW w:w="1134"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31BD8D1A" w14:textId="77777777" w:rsidR="00D8315B" w:rsidRPr="00423C23" w:rsidRDefault="00D8315B">
            <w:pPr>
              <w:jc w:val="center"/>
              <w:rPr>
                <w:sz w:val="20"/>
                <w:szCs w:val="20"/>
              </w:rPr>
            </w:pPr>
            <w:r w:rsidRPr="00423C23">
              <w:rPr>
                <w:sz w:val="20"/>
                <w:szCs w:val="20"/>
              </w:rPr>
              <w:t>Fonction</w:t>
            </w:r>
          </w:p>
        </w:tc>
        <w:tc>
          <w:tcPr>
            <w:tcW w:w="85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4FDAE913" w14:textId="77777777" w:rsidR="00D8315B" w:rsidRPr="00423C23" w:rsidRDefault="00D8315B">
            <w:pPr>
              <w:jc w:val="center"/>
              <w:rPr>
                <w:sz w:val="20"/>
                <w:szCs w:val="20"/>
              </w:rPr>
            </w:pPr>
            <w:r>
              <w:rPr>
                <w:sz w:val="20"/>
                <w:szCs w:val="20"/>
              </w:rPr>
              <w:t>Forme</w:t>
            </w:r>
          </w:p>
        </w:tc>
        <w:tc>
          <w:tcPr>
            <w:tcW w:w="1134"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1C2C5472" w14:textId="77777777" w:rsidR="00D8315B" w:rsidRPr="00423C23" w:rsidRDefault="00D8315B">
            <w:pPr>
              <w:jc w:val="center"/>
              <w:rPr>
                <w:sz w:val="20"/>
                <w:szCs w:val="20"/>
              </w:rPr>
            </w:pPr>
            <w:r w:rsidRPr="00423C23">
              <w:rPr>
                <w:sz w:val="20"/>
                <w:szCs w:val="20"/>
              </w:rPr>
              <w:t>Évaluation</w:t>
            </w:r>
          </w:p>
        </w:tc>
        <w:tc>
          <w:tcPr>
            <w:tcW w:w="438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6BB06B62" w14:textId="77777777" w:rsidR="00D8315B" w:rsidRPr="00423C23" w:rsidRDefault="00D8315B">
            <w:pPr>
              <w:jc w:val="center"/>
              <w:rPr>
                <w:sz w:val="20"/>
                <w:szCs w:val="20"/>
              </w:rPr>
            </w:pPr>
            <w:r w:rsidRPr="00423C23">
              <w:rPr>
                <w:sz w:val="20"/>
                <w:szCs w:val="20"/>
              </w:rPr>
              <w:t>Référentiel</w:t>
            </w:r>
          </w:p>
        </w:tc>
      </w:tr>
      <w:tr w:rsidR="0038739C" w:rsidRPr="0000352D" w14:paraId="19B9709D" w14:textId="77777777" w:rsidTr="006B2436">
        <w:trPr>
          <w:trHeight w:val="498"/>
        </w:trPr>
        <w:tc>
          <w:tcPr>
            <w:tcW w:w="1555" w:type="dxa"/>
            <w:vMerge w:val="restart"/>
            <w:tcBorders>
              <w:top w:val="single" w:sz="4" w:space="0" w:color="auto"/>
            </w:tcBorders>
            <w:vAlign w:val="center"/>
          </w:tcPr>
          <w:p w14:paraId="30139977" w14:textId="64C77D4B" w:rsidR="0038739C" w:rsidRDefault="0038739C" w:rsidP="0038739C">
            <w:pPr>
              <w:jc w:val="left"/>
              <w:rPr>
                <w:sz w:val="20"/>
                <w:szCs w:val="20"/>
              </w:rPr>
            </w:pPr>
            <w:r>
              <w:rPr>
                <w:sz w:val="20"/>
                <w:szCs w:val="20"/>
              </w:rPr>
              <w:t>Production</w:t>
            </w:r>
          </w:p>
        </w:tc>
        <w:tc>
          <w:tcPr>
            <w:tcW w:w="1134" w:type="dxa"/>
            <w:vMerge w:val="restart"/>
            <w:tcBorders>
              <w:top w:val="single" w:sz="4" w:space="0" w:color="auto"/>
            </w:tcBorders>
            <w:vAlign w:val="center"/>
          </w:tcPr>
          <w:p w14:paraId="7AF33E72" w14:textId="06A46D65" w:rsidR="0038739C" w:rsidRDefault="00A21E2F" w:rsidP="00547A12">
            <w:pPr>
              <w:jc w:val="left"/>
              <w:rPr>
                <w:sz w:val="20"/>
                <w:szCs w:val="20"/>
              </w:rPr>
            </w:pPr>
            <w:r>
              <w:rPr>
                <w:sz w:val="20"/>
                <w:szCs w:val="20"/>
              </w:rPr>
              <w:t>Fourniture nutriments</w:t>
            </w:r>
          </w:p>
        </w:tc>
        <w:tc>
          <w:tcPr>
            <w:tcW w:w="850" w:type="dxa"/>
            <w:vMerge w:val="restart"/>
            <w:tcBorders>
              <w:top w:val="single" w:sz="4" w:space="0" w:color="auto"/>
            </w:tcBorders>
            <w:vAlign w:val="center"/>
          </w:tcPr>
          <w:p w14:paraId="60AFA1E9" w14:textId="74ACF937" w:rsidR="0038739C" w:rsidRPr="0000352D" w:rsidRDefault="0038739C" w:rsidP="0038739C">
            <w:pPr>
              <w:jc w:val="center"/>
              <w:rPr>
                <w:sz w:val="20"/>
                <w:szCs w:val="20"/>
              </w:rPr>
            </w:pPr>
            <w:r>
              <w:rPr>
                <w:noProof/>
                <w:sz w:val="20"/>
                <w:szCs w:val="20"/>
              </w:rPr>
              <mc:AlternateContent>
                <mc:Choice Requires="wps">
                  <w:drawing>
                    <wp:inline distT="0" distB="0" distL="0" distR="0" wp14:anchorId="2AE1A180" wp14:editId="2CFD8258">
                      <wp:extent cx="94615" cy="153035"/>
                      <wp:effectExtent l="0" t="38100" r="57785" b="18415"/>
                      <wp:docPr id="43045324"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720723CE"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134" w:type="dxa"/>
            <w:vMerge w:val="restart"/>
            <w:tcBorders>
              <w:top w:val="single" w:sz="4" w:space="0" w:color="auto"/>
            </w:tcBorders>
            <w:shd w:val="clear" w:color="auto" w:fill="F2F9EB"/>
            <w:vAlign w:val="center"/>
          </w:tcPr>
          <w:p w14:paraId="4CE34348" w14:textId="6DD3FB76" w:rsidR="0038739C" w:rsidRPr="00547A12" w:rsidRDefault="0038739C" w:rsidP="00547A12">
            <w:pPr>
              <w:jc w:val="left"/>
              <w:rPr>
                <w:sz w:val="20"/>
                <w:szCs w:val="20"/>
                <w:vertAlign w:val="subscript"/>
              </w:rPr>
            </w:pPr>
            <w:proofErr w:type="spellStart"/>
            <w:r>
              <w:rPr>
                <w:sz w:val="20"/>
                <w:szCs w:val="20"/>
              </w:rPr>
              <w:t>P</w:t>
            </w:r>
            <w:r>
              <w:rPr>
                <w:sz w:val="20"/>
                <w:szCs w:val="20"/>
                <w:vertAlign w:val="subscript"/>
              </w:rPr>
              <w:t>qualité</w:t>
            </w:r>
            <w:proofErr w:type="spellEnd"/>
          </w:p>
        </w:tc>
        <w:tc>
          <w:tcPr>
            <w:tcW w:w="4387" w:type="dxa"/>
            <w:tcBorders>
              <w:top w:val="single" w:sz="4" w:space="0" w:color="auto"/>
            </w:tcBorders>
            <w:vAlign w:val="center"/>
          </w:tcPr>
          <w:p w14:paraId="4599009D" w14:textId="3D1D5E5D" w:rsidR="0038739C" w:rsidRPr="0000352D" w:rsidRDefault="0038739C" w:rsidP="00547A12">
            <w:pPr>
              <w:jc w:val="left"/>
              <w:rPr>
                <w:sz w:val="20"/>
                <w:szCs w:val="20"/>
              </w:rPr>
            </w:pPr>
            <w:r>
              <w:rPr>
                <w:sz w:val="20"/>
                <w:szCs w:val="20"/>
              </w:rPr>
              <w:t xml:space="preserve">(C) Valeur cible identifiée sur base des gammes optimales REQUASUD pour les cultures </w:t>
            </w:r>
            <w:r>
              <w:rPr>
                <w:sz w:val="20"/>
                <w:szCs w:val="20"/>
              </w:rPr>
              <w:fldChar w:fldCharType="begin"/>
            </w:r>
            <w:r>
              <w:rPr>
                <w:sz w:val="20"/>
                <w:szCs w:val="20"/>
              </w:rPr>
              <w:instrText xml:space="preserve"> ADDIN ZOTERO_ITEM CSL_CITATION {"citationID":"HlJ5pzvq","properties":{"unsorted":false,"formattedCitation":"(Genot et al., 2011)","plainCitation":"(Genot et al., 2011)","noteIndex":0},"citationItems":[{"id":120,"uris":["http://zotero.org/groups/5684833/items/C2MGHKXM"],"itemData":{"id":120,"type":"report","publisher":"REQUASUD","title":"Un conseil de fumure raisonné - Le cas du phosphore","URL":"https://www.requasud.be/wp-content/uploads/2017/07/brochure_cr2451_requasud_ld.pdf","author":[{"family":"Genot","given":"V."},{"family":"Renneson","given":"M."},{"family":"Bock","given":"L."},{"family":"Colinet","given":"G."}],"issued":{"date-parts":[["2011"]]}}}],"schema":"https://github.com/citation-style-language/schema/raw/master/csl-citation.json"} </w:instrText>
            </w:r>
            <w:r>
              <w:rPr>
                <w:sz w:val="20"/>
                <w:szCs w:val="20"/>
              </w:rPr>
              <w:fldChar w:fldCharType="separate"/>
            </w:r>
            <w:r w:rsidRPr="002D0BFF">
              <w:rPr>
                <w:rFonts w:cs="Calibri"/>
                <w:sz w:val="20"/>
              </w:rPr>
              <w:t>(Genot et al., 2011)</w:t>
            </w:r>
            <w:r>
              <w:rPr>
                <w:sz w:val="20"/>
                <w:szCs w:val="20"/>
              </w:rPr>
              <w:fldChar w:fldCharType="end"/>
            </w:r>
          </w:p>
        </w:tc>
      </w:tr>
      <w:tr w:rsidR="0038739C" w:rsidRPr="0000352D" w14:paraId="42948F0C" w14:textId="77777777" w:rsidTr="006B2436">
        <w:trPr>
          <w:trHeight w:val="772"/>
        </w:trPr>
        <w:tc>
          <w:tcPr>
            <w:tcW w:w="1555" w:type="dxa"/>
            <w:vMerge/>
            <w:vAlign w:val="center"/>
          </w:tcPr>
          <w:p w14:paraId="52F7ED6F" w14:textId="34E2E7B5" w:rsidR="0038739C" w:rsidRPr="0000352D" w:rsidRDefault="0038739C" w:rsidP="00547A12">
            <w:pPr>
              <w:jc w:val="left"/>
              <w:rPr>
                <w:sz w:val="20"/>
                <w:szCs w:val="20"/>
              </w:rPr>
            </w:pPr>
          </w:p>
        </w:tc>
        <w:tc>
          <w:tcPr>
            <w:tcW w:w="1134" w:type="dxa"/>
            <w:vMerge/>
            <w:vAlign w:val="center"/>
          </w:tcPr>
          <w:p w14:paraId="0C5CA401" w14:textId="77777777" w:rsidR="0038739C" w:rsidRPr="0000352D" w:rsidRDefault="0038739C" w:rsidP="00547A12">
            <w:pPr>
              <w:jc w:val="left"/>
              <w:rPr>
                <w:sz w:val="20"/>
                <w:szCs w:val="20"/>
              </w:rPr>
            </w:pPr>
          </w:p>
        </w:tc>
        <w:tc>
          <w:tcPr>
            <w:tcW w:w="850" w:type="dxa"/>
            <w:vMerge/>
            <w:vAlign w:val="center"/>
          </w:tcPr>
          <w:p w14:paraId="590C6452" w14:textId="77777777" w:rsidR="0038739C" w:rsidRPr="0000352D" w:rsidRDefault="0038739C" w:rsidP="00547A12">
            <w:pPr>
              <w:jc w:val="left"/>
              <w:rPr>
                <w:sz w:val="20"/>
                <w:szCs w:val="20"/>
              </w:rPr>
            </w:pPr>
          </w:p>
        </w:tc>
        <w:tc>
          <w:tcPr>
            <w:tcW w:w="1134" w:type="dxa"/>
            <w:vMerge/>
            <w:vAlign w:val="center"/>
          </w:tcPr>
          <w:p w14:paraId="4B719334" w14:textId="65791625" w:rsidR="0038739C" w:rsidRPr="0000352D" w:rsidRDefault="0038739C" w:rsidP="00547A12">
            <w:pPr>
              <w:jc w:val="left"/>
              <w:rPr>
                <w:sz w:val="20"/>
                <w:szCs w:val="20"/>
              </w:rPr>
            </w:pPr>
          </w:p>
        </w:tc>
        <w:tc>
          <w:tcPr>
            <w:tcW w:w="4387" w:type="dxa"/>
            <w:tcBorders>
              <w:top w:val="single" w:sz="4" w:space="0" w:color="auto"/>
            </w:tcBorders>
            <w:vAlign w:val="center"/>
          </w:tcPr>
          <w:p w14:paraId="5F28FD91" w14:textId="7C7A6E66" w:rsidR="0038739C" w:rsidRPr="0000352D" w:rsidRDefault="0038739C" w:rsidP="00547A12">
            <w:pPr>
              <w:jc w:val="left"/>
              <w:rPr>
                <w:sz w:val="20"/>
                <w:szCs w:val="20"/>
              </w:rPr>
            </w:pPr>
            <w:r>
              <w:rPr>
                <w:sz w:val="20"/>
                <w:szCs w:val="20"/>
              </w:rPr>
              <w:t xml:space="preserve">(P-EV) Inférence d’une valeur cible plus permissive que celle des cultures </w:t>
            </w:r>
          </w:p>
        </w:tc>
      </w:tr>
      <w:tr w:rsidR="0038739C" w:rsidRPr="0000352D" w14:paraId="775DEA8D" w14:textId="77777777" w:rsidTr="006B2436">
        <w:trPr>
          <w:trHeight w:val="518"/>
        </w:trPr>
        <w:tc>
          <w:tcPr>
            <w:tcW w:w="1555" w:type="dxa"/>
            <w:vMerge/>
            <w:vAlign w:val="center"/>
          </w:tcPr>
          <w:p w14:paraId="6C2C5D21" w14:textId="7FDFCB0A" w:rsidR="0038739C" w:rsidRPr="0000352D" w:rsidRDefault="0038739C" w:rsidP="00547A12">
            <w:pPr>
              <w:jc w:val="left"/>
              <w:rPr>
                <w:sz w:val="20"/>
                <w:szCs w:val="20"/>
              </w:rPr>
            </w:pPr>
          </w:p>
        </w:tc>
        <w:tc>
          <w:tcPr>
            <w:tcW w:w="1134" w:type="dxa"/>
            <w:vMerge/>
            <w:vAlign w:val="center"/>
          </w:tcPr>
          <w:p w14:paraId="7CFD9BDE" w14:textId="77777777" w:rsidR="0038739C" w:rsidRPr="0000352D" w:rsidRDefault="0038739C" w:rsidP="00547A12">
            <w:pPr>
              <w:jc w:val="left"/>
              <w:rPr>
                <w:sz w:val="20"/>
                <w:szCs w:val="20"/>
              </w:rPr>
            </w:pPr>
          </w:p>
        </w:tc>
        <w:tc>
          <w:tcPr>
            <w:tcW w:w="850" w:type="dxa"/>
            <w:vMerge/>
            <w:vAlign w:val="center"/>
          </w:tcPr>
          <w:p w14:paraId="28518E9C" w14:textId="77777777" w:rsidR="0038739C" w:rsidRPr="0000352D" w:rsidRDefault="0038739C" w:rsidP="00547A12">
            <w:pPr>
              <w:jc w:val="left"/>
              <w:rPr>
                <w:sz w:val="20"/>
                <w:szCs w:val="20"/>
              </w:rPr>
            </w:pPr>
          </w:p>
        </w:tc>
        <w:tc>
          <w:tcPr>
            <w:tcW w:w="1134" w:type="dxa"/>
            <w:vMerge/>
            <w:vAlign w:val="center"/>
          </w:tcPr>
          <w:p w14:paraId="5BD8ACFE" w14:textId="499EA051" w:rsidR="0038739C" w:rsidRDefault="0038739C" w:rsidP="00547A12">
            <w:pPr>
              <w:jc w:val="left"/>
              <w:rPr>
                <w:sz w:val="20"/>
                <w:szCs w:val="20"/>
              </w:rPr>
            </w:pPr>
          </w:p>
        </w:tc>
        <w:tc>
          <w:tcPr>
            <w:tcW w:w="4387" w:type="dxa"/>
            <w:tcBorders>
              <w:top w:val="single" w:sz="4" w:space="0" w:color="auto"/>
              <w:bottom w:val="single" w:sz="4" w:space="0" w:color="auto"/>
            </w:tcBorders>
            <w:vAlign w:val="center"/>
          </w:tcPr>
          <w:p w14:paraId="22718090" w14:textId="555F71D3" w:rsidR="0038739C" w:rsidRPr="0000352D" w:rsidRDefault="0038739C" w:rsidP="00547A12">
            <w:pPr>
              <w:jc w:val="left"/>
              <w:rPr>
                <w:sz w:val="20"/>
                <w:szCs w:val="20"/>
              </w:rPr>
            </w:pPr>
            <w:r>
              <w:rPr>
                <w:sz w:val="20"/>
                <w:szCs w:val="20"/>
              </w:rPr>
              <w:t>(F) Paramètre non-limitant (score maximal dès niveau minimum)</w:t>
            </w:r>
          </w:p>
        </w:tc>
      </w:tr>
      <w:tr w:rsidR="0038739C" w:rsidRPr="0000352D" w14:paraId="09B93C22" w14:textId="77777777" w:rsidTr="006B2436">
        <w:trPr>
          <w:trHeight w:val="518"/>
        </w:trPr>
        <w:tc>
          <w:tcPr>
            <w:tcW w:w="1555" w:type="dxa"/>
            <w:vMerge/>
            <w:vAlign w:val="center"/>
          </w:tcPr>
          <w:p w14:paraId="16AF1F22" w14:textId="477D38FE" w:rsidR="0038739C" w:rsidRDefault="0038739C" w:rsidP="00076150">
            <w:pPr>
              <w:jc w:val="left"/>
              <w:rPr>
                <w:sz w:val="20"/>
                <w:szCs w:val="20"/>
              </w:rPr>
            </w:pPr>
          </w:p>
        </w:tc>
        <w:tc>
          <w:tcPr>
            <w:tcW w:w="1134" w:type="dxa"/>
            <w:vMerge/>
            <w:vAlign w:val="center"/>
          </w:tcPr>
          <w:p w14:paraId="574A13C5" w14:textId="77777777" w:rsidR="0038739C" w:rsidRDefault="0038739C" w:rsidP="00076150">
            <w:pPr>
              <w:jc w:val="left"/>
              <w:rPr>
                <w:sz w:val="20"/>
                <w:szCs w:val="20"/>
              </w:rPr>
            </w:pPr>
          </w:p>
        </w:tc>
        <w:tc>
          <w:tcPr>
            <w:tcW w:w="850" w:type="dxa"/>
            <w:vMerge/>
            <w:vAlign w:val="center"/>
          </w:tcPr>
          <w:p w14:paraId="4FE56427" w14:textId="77777777" w:rsidR="0038739C" w:rsidRPr="00B454EA" w:rsidRDefault="0038739C" w:rsidP="00076150">
            <w:pPr>
              <w:jc w:val="left"/>
              <w:rPr>
                <w:sz w:val="20"/>
                <w:szCs w:val="20"/>
              </w:rPr>
            </w:pPr>
          </w:p>
        </w:tc>
        <w:tc>
          <w:tcPr>
            <w:tcW w:w="1134" w:type="dxa"/>
            <w:tcBorders>
              <w:top w:val="single" w:sz="4" w:space="0" w:color="auto"/>
              <w:bottom w:val="single" w:sz="12" w:space="0" w:color="auto"/>
            </w:tcBorders>
            <w:shd w:val="clear" w:color="auto" w:fill="EFF5FB"/>
            <w:vAlign w:val="center"/>
          </w:tcPr>
          <w:p w14:paraId="2E40021D" w14:textId="33750A89" w:rsidR="0038739C" w:rsidRDefault="0038739C" w:rsidP="00076150">
            <w:pPr>
              <w:jc w:val="left"/>
              <w:rPr>
                <w:sz w:val="20"/>
                <w:szCs w:val="20"/>
              </w:rPr>
            </w:pPr>
            <w:proofErr w:type="spellStart"/>
            <w:r>
              <w:rPr>
                <w:sz w:val="20"/>
                <w:szCs w:val="20"/>
              </w:rPr>
              <w:t>P</w:t>
            </w:r>
            <w:r>
              <w:rPr>
                <w:sz w:val="20"/>
                <w:szCs w:val="20"/>
                <w:vertAlign w:val="subscript"/>
              </w:rPr>
              <w:t>santé</w:t>
            </w:r>
            <w:proofErr w:type="spellEnd"/>
          </w:p>
        </w:tc>
        <w:tc>
          <w:tcPr>
            <w:tcW w:w="4387" w:type="dxa"/>
            <w:tcBorders>
              <w:top w:val="single" w:sz="4" w:space="0" w:color="auto"/>
              <w:bottom w:val="single" w:sz="12" w:space="0" w:color="auto"/>
            </w:tcBorders>
            <w:vAlign w:val="center"/>
          </w:tcPr>
          <w:p w14:paraId="689DD31F" w14:textId="2C220B41" w:rsidR="0038739C" w:rsidRDefault="0038739C" w:rsidP="00076150">
            <w:pPr>
              <w:rPr>
                <w:sz w:val="20"/>
                <w:szCs w:val="20"/>
              </w:rPr>
            </w:pPr>
            <w:r>
              <w:rPr>
                <w:sz w:val="20"/>
                <w:szCs w:val="20"/>
              </w:rPr>
              <w:t xml:space="preserve">Gammes optimales pour une classe texturale et un pH donné </w:t>
            </w:r>
            <w:r>
              <w:rPr>
                <w:sz w:val="20"/>
                <w:szCs w:val="20"/>
              </w:rPr>
              <w:fldChar w:fldCharType="begin"/>
            </w:r>
            <w:r>
              <w:rPr>
                <w:sz w:val="20"/>
                <w:szCs w:val="20"/>
              </w:rPr>
              <w:instrText xml:space="preserve"> ADDIN ZOTERO_ITEM CSL_CITATION {"citationID":"D3PbvG4V","properties":{"unsorted":false,"formattedCitation":"(Genot et al., 2011)","plainCitation":"(Genot et al., 2011)","noteIndex":0},"citationItems":[{"id":120,"uris":["http://zotero.org/groups/5684833/items/C2MGHKXM"],"itemData":{"id":120,"type":"report","publisher":"REQUASUD","title":"Un conseil de fumure raisonné - Le cas du phosphore","URL":"https://www.requasud.be/wp-content/uploads/2017/07/brochure_cr2451_requasud_ld.pdf","author":[{"family":"Genot","given":"V."},{"family":"Renneson","given":"M."},{"family":"Bock","given":"L."},{"family":"Colinet","given":"G."}],"issued":{"date-parts":[["2011"]]}}}],"schema":"https://github.com/citation-style-language/schema/raw/master/csl-citation.json"} </w:instrText>
            </w:r>
            <w:r>
              <w:rPr>
                <w:sz w:val="20"/>
                <w:szCs w:val="20"/>
              </w:rPr>
              <w:fldChar w:fldCharType="separate"/>
            </w:r>
            <w:r w:rsidRPr="00E8144B">
              <w:rPr>
                <w:rFonts w:cs="Calibri"/>
                <w:sz w:val="20"/>
              </w:rPr>
              <w:t>(Genot et al., 2011)</w:t>
            </w:r>
            <w:r>
              <w:rPr>
                <w:sz w:val="20"/>
                <w:szCs w:val="20"/>
              </w:rPr>
              <w:fldChar w:fldCharType="end"/>
            </w:r>
          </w:p>
        </w:tc>
      </w:tr>
      <w:tr w:rsidR="00076150" w:rsidRPr="0000352D" w14:paraId="7822CCA4" w14:textId="77777777" w:rsidTr="006B2436">
        <w:trPr>
          <w:trHeight w:val="518"/>
        </w:trPr>
        <w:tc>
          <w:tcPr>
            <w:tcW w:w="1555" w:type="dxa"/>
            <w:tcBorders>
              <w:top w:val="single" w:sz="12" w:space="0" w:color="auto"/>
              <w:bottom w:val="single" w:sz="4" w:space="0" w:color="auto"/>
            </w:tcBorders>
            <w:vAlign w:val="center"/>
          </w:tcPr>
          <w:p w14:paraId="253F81F4" w14:textId="25064D6B" w:rsidR="00076150" w:rsidRDefault="00076150" w:rsidP="00076150">
            <w:pPr>
              <w:jc w:val="left"/>
              <w:rPr>
                <w:sz w:val="20"/>
                <w:szCs w:val="20"/>
              </w:rPr>
            </w:pPr>
            <w:r>
              <w:rPr>
                <w:sz w:val="20"/>
                <w:szCs w:val="20"/>
              </w:rPr>
              <w:t>Accueil végétation diversifiée</w:t>
            </w:r>
          </w:p>
        </w:tc>
        <w:tc>
          <w:tcPr>
            <w:tcW w:w="1134" w:type="dxa"/>
            <w:tcBorders>
              <w:top w:val="single" w:sz="12" w:space="0" w:color="auto"/>
              <w:bottom w:val="single" w:sz="4" w:space="0" w:color="auto"/>
            </w:tcBorders>
            <w:vAlign w:val="center"/>
          </w:tcPr>
          <w:p w14:paraId="106932E1" w14:textId="1189233A" w:rsidR="00076150" w:rsidRPr="0000352D" w:rsidRDefault="006B2436" w:rsidP="00076150">
            <w:pPr>
              <w:jc w:val="left"/>
              <w:rPr>
                <w:sz w:val="20"/>
                <w:szCs w:val="20"/>
              </w:rPr>
            </w:pPr>
            <w:r>
              <w:rPr>
                <w:sz w:val="20"/>
                <w:szCs w:val="20"/>
              </w:rPr>
              <w:t>Diversité réseaux trophiques</w:t>
            </w:r>
          </w:p>
        </w:tc>
        <w:tc>
          <w:tcPr>
            <w:tcW w:w="850" w:type="dxa"/>
            <w:tcBorders>
              <w:top w:val="single" w:sz="12" w:space="0" w:color="auto"/>
              <w:bottom w:val="single" w:sz="4" w:space="0" w:color="auto"/>
            </w:tcBorders>
            <w:vAlign w:val="center"/>
          </w:tcPr>
          <w:p w14:paraId="2ED18EEC" w14:textId="6600407F" w:rsidR="00076150" w:rsidRPr="00B454EA" w:rsidRDefault="00AA6F8C" w:rsidP="00AA6F8C">
            <w:pPr>
              <w:jc w:val="center"/>
              <w:rPr>
                <w:sz w:val="20"/>
                <w:szCs w:val="20"/>
              </w:rPr>
            </w:pPr>
            <w:r>
              <w:rPr>
                <w:noProof/>
                <w:sz w:val="20"/>
                <w:szCs w:val="20"/>
              </w:rPr>
              <mc:AlternateContent>
                <mc:Choice Requires="wps">
                  <w:drawing>
                    <wp:inline distT="0" distB="0" distL="0" distR="0" wp14:anchorId="32B735C2" wp14:editId="3996235A">
                      <wp:extent cx="94615" cy="153035"/>
                      <wp:effectExtent l="0" t="0" r="76835" b="56515"/>
                      <wp:docPr id="420644025" name="Connecteur droit avec flèche 1"/>
                      <wp:cNvGraphicFramePr/>
                      <a:graphic xmlns:a="http://schemas.openxmlformats.org/drawingml/2006/main">
                        <a:graphicData uri="http://schemas.microsoft.com/office/word/2010/wordprocessingShape">
                          <wps:wsp>
                            <wps:cNvCnPr/>
                            <wps:spPr>
                              <a:xfrm>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40216E9C" id="Connecteur droit avec flèche 1" o:spid="_x0000_s1026" type="#_x0000_t32" style="width:7.45pt;height:12.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" strokecolor="#0e2841 [3215]" strokeweight="1pt">
                      <v:stroke endarrow="block" joinstyle="miter"/>
                      <w10:anchorlock/>
                    </v:shape>
                  </w:pict>
                </mc:Fallback>
              </mc:AlternateContent>
            </w:r>
          </w:p>
        </w:tc>
        <w:tc>
          <w:tcPr>
            <w:tcW w:w="1134" w:type="dxa"/>
            <w:tcBorders>
              <w:top w:val="single" w:sz="12" w:space="0" w:color="auto"/>
              <w:bottom w:val="single" w:sz="4" w:space="0" w:color="auto"/>
            </w:tcBorders>
            <w:shd w:val="clear" w:color="auto" w:fill="F2F9EB"/>
            <w:vAlign w:val="center"/>
          </w:tcPr>
          <w:p w14:paraId="3864BB84" w14:textId="544D7FE4" w:rsidR="00076150" w:rsidRPr="0000352D" w:rsidRDefault="00076150" w:rsidP="00076150">
            <w:pPr>
              <w:jc w:val="left"/>
              <w:rPr>
                <w:sz w:val="20"/>
                <w:szCs w:val="20"/>
              </w:rPr>
            </w:pPr>
            <w:proofErr w:type="spellStart"/>
            <w:r>
              <w:rPr>
                <w:sz w:val="20"/>
                <w:szCs w:val="20"/>
              </w:rPr>
              <w:t>P</w:t>
            </w:r>
            <w:r>
              <w:rPr>
                <w:sz w:val="20"/>
                <w:szCs w:val="20"/>
                <w:vertAlign w:val="subscript"/>
              </w:rPr>
              <w:t>qualité</w:t>
            </w:r>
            <w:proofErr w:type="spellEnd"/>
          </w:p>
        </w:tc>
        <w:tc>
          <w:tcPr>
            <w:tcW w:w="4387" w:type="dxa"/>
            <w:tcBorders>
              <w:top w:val="single" w:sz="12" w:space="0" w:color="auto"/>
              <w:bottom w:val="single" w:sz="4" w:space="0" w:color="auto"/>
            </w:tcBorders>
          </w:tcPr>
          <w:p w14:paraId="0B7A913F" w14:textId="1B860538" w:rsidR="00076150" w:rsidRDefault="00076150" w:rsidP="00076150">
            <w:pPr>
              <w:rPr>
                <w:sz w:val="20"/>
                <w:szCs w:val="20"/>
              </w:rPr>
            </w:pPr>
            <w:r>
              <w:rPr>
                <w:sz w:val="20"/>
                <w:szCs w:val="20"/>
              </w:rPr>
              <w:t xml:space="preserve">Seuil à partir duquel la diversité végétale des écosystèmes chute drastiquement </w:t>
            </w:r>
            <w:r>
              <w:rPr>
                <w:sz w:val="20"/>
                <w:szCs w:val="20"/>
              </w:rPr>
              <w:fldChar w:fldCharType="begin"/>
            </w:r>
            <w:r>
              <w:rPr>
                <w:sz w:val="20"/>
                <w:szCs w:val="20"/>
              </w:rPr>
              <w:instrText xml:space="preserve"> ADDIN ZOTERO_ITEM CSL_CITATION {"citationID":"ojSQSrVZ","properties":{"unsorted":false,"formattedCitation":"(Janssens &amp; Peeters, 1999)","plainCitation":"(Janssens &amp; Peeters, 1999)","noteIndex":0},"citationItems":[{"id":124,"uris":["http://zotero.org/groups/5684833/items/6FFL6DXR"],"itemData":{"id":124,"type":"article-journal","language":"fr","source":"dial.uclouvain.be","title":"Talus et pré fleuris : mode d'emploi. Un guide pour l'aménagement écologique d'espaces verts","title-short":"Talus et pré fleuris","URL":"https://dial.uclouvain.be/pr/boreal/object/boreal:84530","author":[{"family":"Janssens","given":"Frédéric"},{"family":"Peeters","given":"Alain"}],"accessed":{"date-parts":[["2025",7,30]]},"issued":{"date-parts":[["1999"]]}}}],"schema":"https://github.com/citation-style-language/schema/raw/master/csl-citation.json"} </w:instrText>
            </w:r>
            <w:r>
              <w:rPr>
                <w:sz w:val="20"/>
                <w:szCs w:val="20"/>
              </w:rPr>
              <w:fldChar w:fldCharType="separate"/>
            </w:r>
            <w:r w:rsidRPr="6CB535F6">
              <w:rPr>
                <w:rFonts w:cs="Calibri"/>
                <w:sz w:val="20"/>
                <w:szCs w:val="20"/>
              </w:rPr>
              <w:t>(Janssens &amp; Peeters, 1999)</w:t>
            </w:r>
            <w:r>
              <w:rPr>
                <w:sz w:val="20"/>
                <w:szCs w:val="20"/>
              </w:rPr>
              <w:fldChar w:fldCharType="end"/>
            </w:r>
          </w:p>
        </w:tc>
      </w:tr>
    </w:tbl>
    <w:p w14:paraId="2F597B7A" w14:textId="77777777" w:rsidR="00D8315B" w:rsidRDefault="00D8315B" w:rsidP="00A055F3"/>
    <w:p w14:paraId="54667833" w14:textId="77777777" w:rsidR="005275DC" w:rsidRDefault="00BD02E3" w:rsidP="005275DC">
      <w:pPr>
        <w:keepNext/>
        <w:jc w:val="center"/>
      </w:pPr>
      <w:r>
        <w:rPr>
          <w:noProof/>
        </w:rPr>
        <w:lastRenderedPageBreak/>
        <w:drawing>
          <wp:inline distT="0" distB="0" distL="0" distR="0" wp14:anchorId="1147C999" wp14:editId="495C800C">
            <wp:extent cx="4305869" cy="3072702"/>
            <wp:effectExtent l="0" t="0" r="0" b="0"/>
            <wp:docPr id="394113048"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13888" cy="3078424"/>
                    </a:xfrm>
                    <a:prstGeom prst="rect">
                      <a:avLst/>
                    </a:prstGeom>
                    <a:noFill/>
                    <a:ln>
                      <a:noFill/>
                    </a:ln>
                  </pic:spPr>
                </pic:pic>
              </a:graphicData>
            </a:graphic>
          </wp:inline>
        </w:drawing>
      </w:r>
    </w:p>
    <w:p w14:paraId="2FE7ADB5" w14:textId="302E2C98" w:rsidR="00BD02E3" w:rsidRPr="005275DC" w:rsidRDefault="005275DC" w:rsidP="005275DC">
      <w:pPr>
        <w:pStyle w:val="Lgende"/>
        <w:jc w:val="center"/>
        <w:rPr>
          <w:i w:val="0"/>
          <w:iCs w:val="0"/>
        </w:rPr>
      </w:pPr>
      <w:bookmarkStart w:id="95" w:name="_Toc241505114"/>
      <w:r w:rsidRPr="005275DC">
        <w:rPr>
          <w:i w:val="0"/>
          <w:iCs w:val="0"/>
        </w:rPr>
        <w:t xml:space="preserve">Figure </w:t>
      </w:r>
      <w:r w:rsidRPr="005275DC">
        <w:rPr>
          <w:i w:val="0"/>
          <w:iCs w:val="0"/>
        </w:rPr>
        <w:fldChar w:fldCharType="begin"/>
      </w:r>
      <w:r w:rsidRPr="005275DC">
        <w:rPr>
          <w:i w:val="0"/>
          <w:iCs w:val="0"/>
        </w:rPr>
        <w:instrText xml:space="preserve"> SEQ Figure \* ARABIC </w:instrText>
      </w:r>
      <w:r w:rsidRPr="005275DC">
        <w:rPr>
          <w:i w:val="0"/>
          <w:iCs w:val="0"/>
        </w:rPr>
        <w:fldChar w:fldCharType="separate"/>
      </w:r>
      <w:r w:rsidR="00B90382">
        <w:rPr>
          <w:i w:val="0"/>
          <w:iCs w:val="0"/>
          <w:noProof/>
        </w:rPr>
        <w:t>8</w:t>
      </w:r>
      <w:r w:rsidRPr="005275DC">
        <w:rPr>
          <w:i w:val="0"/>
          <w:iCs w:val="0"/>
        </w:rPr>
        <w:fldChar w:fldCharType="end"/>
      </w:r>
      <w:r w:rsidRPr="005275DC">
        <w:rPr>
          <w:i w:val="0"/>
          <w:iCs w:val="0"/>
        </w:rPr>
        <w:t xml:space="preserve"> : Exemple de fonction d'interprétation pour l’indicateur </w:t>
      </w:r>
      <w:r>
        <w:rPr>
          <w:i w:val="0"/>
          <w:iCs w:val="0"/>
        </w:rPr>
        <w:t>P disponible</w:t>
      </w:r>
      <w:r w:rsidRPr="005275DC">
        <w:rPr>
          <w:i w:val="0"/>
          <w:iCs w:val="0"/>
        </w:rPr>
        <w:t xml:space="preserve"> (fonction Nutrition, SE Production – cultures)</w:t>
      </w:r>
      <w:r w:rsidR="00B90382">
        <w:rPr>
          <w:rStyle w:val="Appelnotedebasdep"/>
          <w:i w:val="0"/>
          <w:iCs w:val="0"/>
        </w:rPr>
        <w:footnoteReference w:id="5"/>
      </w:r>
      <w:r>
        <w:rPr>
          <w:i w:val="0"/>
          <w:iCs w:val="0"/>
        </w:rPr>
        <w:t> : référentiel de qualité</w:t>
      </w:r>
      <w:bookmarkEnd w:id="95"/>
    </w:p>
    <w:p w14:paraId="3D6F12E6" w14:textId="77777777" w:rsidR="005275DC" w:rsidRDefault="008F6BB3" w:rsidP="005275DC">
      <w:pPr>
        <w:keepNext/>
        <w:jc w:val="center"/>
      </w:pPr>
      <w:r>
        <w:rPr>
          <w:noProof/>
        </w:rPr>
        <w:drawing>
          <wp:inline distT="0" distB="0" distL="0" distR="0" wp14:anchorId="0D880CA4" wp14:editId="2B5DD260">
            <wp:extent cx="4532630" cy="3234520"/>
            <wp:effectExtent l="0" t="0" r="1270" b="4445"/>
            <wp:docPr id="1300598373"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39367" cy="3239328"/>
                    </a:xfrm>
                    <a:prstGeom prst="rect">
                      <a:avLst/>
                    </a:prstGeom>
                    <a:noFill/>
                    <a:ln>
                      <a:noFill/>
                    </a:ln>
                  </pic:spPr>
                </pic:pic>
              </a:graphicData>
            </a:graphic>
          </wp:inline>
        </w:drawing>
      </w:r>
    </w:p>
    <w:p w14:paraId="5D01E9BF" w14:textId="67189770" w:rsidR="00BD02E3" w:rsidRDefault="005275DC" w:rsidP="005275DC">
      <w:pPr>
        <w:pStyle w:val="Lgende"/>
        <w:jc w:val="center"/>
        <w:rPr>
          <w:i w:val="0"/>
          <w:iCs w:val="0"/>
        </w:rPr>
      </w:pPr>
      <w:bookmarkStart w:id="96" w:name="_Toc241505115"/>
      <w:r w:rsidRPr="005275DC">
        <w:rPr>
          <w:i w:val="0"/>
          <w:iCs w:val="0"/>
        </w:rPr>
        <w:t xml:space="preserve">Figure </w:t>
      </w:r>
      <w:r w:rsidRPr="005275DC">
        <w:rPr>
          <w:i w:val="0"/>
          <w:iCs w:val="0"/>
        </w:rPr>
        <w:fldChar w:fldCharType="begin"/>
      </w:r>
      <w:r w:rsidRPr="005275DC">
        <w:rPr>
          <w:i w:val="0"/>
          <w:iCs w:val="0"/>
        </w:rPr>
        <w:instrText xml:space="preserve"> SEQ Figure \* ARABIC </w:instrText>
      </w:r>
      <w:r w:rsidRPr="005275DC">
        <w:rPr>
          <w:i w:val="0"/>
          <w:iCs w:val="0"/>
        </w:rPr>
        <w:fldChar w:fldCharType="separate"/>
      </w:r>
      <w:r w:rsidR="00B90382">
        <w:rPr>
          <w:i w:val="0"/>
          <w:iCs w:val="0"/>
          <w:noProof/>
        </w:rPr>
        <w:t>9</w:t>
      </w:r>
      <w:r w:rsidRPr="005275DC">
        <w:rPr>
          <w:i w:val="0"/>
          <w:iCs w:val="0"/>
        </w:rPr>
        <w:fldChar w:fldCharType="end"/>
      </w:r>
      <w:r w:rsidRPr="005275DC">
        <w:rPr>
          <w:i w:val="0"/>
          <w:iCs w:val="0"/>
        </w:rPr>
        <w:t xml:space="preserve"> : Exemple de fonction d'interprétation pour l’indicateur P disponible (fonction Nutrition, SE Production – cultures)</w:t>
      </w:r>
      <w:r>
        <w:rPr>
          <w:i w:val="0"/>
          <w:iCs w:val="0"/>
        </w:rPr>
        <w:t> : référentiel de santé</w:t>
      </w:r>
      <w:bookmarkEnd w:id="96"/>
    </w:p>
    <w:p w14:paraId="6320B4E7" w14:textId="77777777" w:rsidR="005275DC" w:rsidRPr="005275DC" w:rsidRDefault="005275DC" w:rsidP="005275DC"/>
    <w:p w14:paraId="25E68404" w14:textId="77777777" w:rsidR="00FC6700" w:rsidRDefault="008F6BB3" w:rsidP="00FC6700">
      <w:pPr>
        <w:keepNext/>
        <w:jc w:val="center"/>
      </w:pPr>
      <w:r>
        <w:rPr>
          <w:noProof/>
        </w:rPr>
        <w:lastRenderedPageBreak/>
        <w:drawing>
          <wp:inline distT="0" distB="0" distL="0" distR="0" wp14:anchorId="523E6750" wp14:editId="1EBBF2C9">
            <wp:extent cx="4647380" cy="3316406"/>
            <wp:effectExtent l="0" t="0" r="1270" b="0"/>
            <wp:docPr id="1529112817"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53935" cy="3321084"/>
                    </a:xfrm>
                    <a:prstGeom prst="rect">
                      <a:avLst/>
                    </a:prstGeom>
                    <a:noFill/>
                    <a:ln>
                      <a:noFill/>
                    </a:ln>
                  </pic:spPr>
                </pic:pic>
              </a:graphicData>
            </a:graphic>
          </wp:inline>
        </w:drawing>
      </w:r>
    </w:p>
    <w:p w14:paraId="31D83AD2" w14:textId="3C120D6F" w:rsidR="00BD02E3" w:rsidRPr="00645760" w:rsidRDefault="00FC6700" w:rsidP="00FC6700">
      <w:pPr>
        <w:pStyle w:val="Lgende"/>
        <w:jc w:val="center"/>
        <w:rPr>
          <w:i w:val="0"/>
          <w:iCs w:val="0"/>
        </w:rPr>
      </w:pPr>
      <w:bookmarkStart w:id="97" w:name="_Toc241505116"/>
      <w:r w:rsidRPr="00645760">
        <w:rPr>
          <w:i w:val="0"/>
          <w:iCs w:val="0"/>
        </w:rPr>
        <w:t xml:space="preserve">Figure </w:t>
      </w:r>
      <w:r w:rsidRPr="00645760">
        <w:rPr>
          <w:i w:val="0"/>
          <w:iCs w:val="0"/>
        </w:rPr>
        <w:fldChar w:fldCharType="begin"/>
      </w:r>
      <w:r w:rsidRPr="00645760">
        <w:rPr>
          <w:i w:val="0"/>
          <w:iCs w:val="0"/>
        </w:rPr>
        <w:instrText xml:space="preserve"> SEQ Figure \* ARABIC </w:instrText>
      </w:r>
      <w:r w:rsidRPr="00645760">
        <w:rPr>
          <w:i w:val="0"/>
          <w:iCs w:val="0"/>
        </w:rPr>
        <w:fldChar w:fldCharType="separate"/>
      </w:r>
      <w:r w:rsidR="00B90382">
        <w:rPr>
          <w:i w:val="0"/>
          <w:iCs w:val="0"/>
          <w:noProof/>
        </w:rPr>
        <w:t>10</w:t>
      </w:r>
      <w:r w:rsidRPr="00645760">
        <w:rPr>
          <w:i w:val="0"/>
          <w:iCs w:val="0"/>
        </w:rPr>
        <w:fldChar w:fldCharType="end"/>
      </w:r>
      <w:r w:rsidRPr="00645760">
        <w:rPr>
          <w:i w:val="0"/>
          <w:iCs w:val="0"/>
        </w:rPr>
        <w:t xml:space="preserve"> : Exemple de fonction d'interprétation pour l’indicateur P disponible (fonction Diversité potentielle, SE </w:t>
      </w:r>
      <w:r w:rsidR="00645760" w:rsidRPr="00645760">
        <w:rPr>
          <w:i w:val="0"/>
          <w:iCs w:val="0"/>
        </w:rPr>
        <w:t>Accueil végétation diversifiée</w:t>
      </w:r>
      <w:r w:rsidRPr="00645760">
        <w:rPr>
          <w:i w:val="0"/>
          <w:iCs w:val="0"/>
        </w:rPr>
        <w:t>)</w:t>
      </w:r>
      <w:bookmarkEnd w:id="97"/>
    </w:p>
    <w:p w14:paraId="2C0987FE" w14:textId="77777777" w:rsidR="00BD02E3" w:rsidRDefault="00BD02E3" w:rsidP="00A055F3"/>
    <w:p w14:paraId="6E274D5F" w14:textId="77777777" w:rsidR="00BD02E3" w:rsidRDefault="00BD02E3" w:rsidP="00A055F3"/>
    <w:p w14:paraId="7850099C" w14:textId="29AA06EF" w:rsidR="00706A2D" w:rsidRDefault="007F544F" w:rsidP="00876101">
      <w:pPr>
        <w:pStyle w:val="Titre2"/>
        <w:numPr>
          <w:ilvl w:val="1"/>
          <w:numId w:val="3"/>
        </w:numPr>
      </w:pPr>
      <w:bookmarkStart w:id="98" w:name="_Ref232412180"/>
      <w:bookmarkStart w:id="99" w:name="_Toc241505298"/>
      <w:r>
        <w:t>Potassium, magnésium et calcium</w:t>
      </w:r>
      <w:r w:rsidR="00706A2D">
        <w:t xml:space="preserve"> </w:t>
      </w:r>
      <w:r>
        <w:t>disponibles</w:t>
      </w:r>
      <w:bookmarkEnd w:id="98"/>
      <w:bookmarkEnd w:id="99"/>
    </w:p>
    <w:p w14:paraId="318D9FA9" w14:textId="77777777" w:rsidR="00706A2D" w:rsidRDefault="00706A2D" w:rsidP="00876101">
      <w:pPr>
        <w:pStyle w:val="Titre3"/>
        <w:numPr>
          <w:ilvl w:val="2"/>
          <w:numId w:val="3"/>
        </w:numPr>
      </w:pPr>
      <w:bookmarkStart w:id="100" w:name="_Toc241505299"/>
      <w:r>
        <w:t>Définition</w:t>
      </w:r>
      <w:bookmarkEnd w:id="100"/>
    </w:p>
    <w:p w14:paraId="47698E39" w14:textId="37196CB0" w:rsidR="005C7DC7" w:rsidRPr="005C7DC7" w:rsidRDefault="005C7DC7" w:rsidP="005C7DC7">
      <w:r w:rsidRPr="00B80AEC">
        <w:t>Le potassium (K), le magnésium (Mg) et le calcium (Ca)</w:t>
      </w:r>
      <w:r>
        <w:t xml:space="preserve"> sont des éléments majeurs</w:t>
      </w:r>
      <w:r w:rsidR="00E825F3">
        <w:t>.</w:t>
      </w:r>
    </w:p>
    <w:p w14:paraId="36432CFE" w14:textId="77777777" w:rsidR="00706A2D" w:rsidRDefault="00706A2D" w:rsidP="00876101">
      <w:pPr>
        <w:pStyle w:val="Titre3"/>
        <w:numPr>
          <w:ilvl w:val="2"/>
          <w:numId w:val="3"/>
        </w:numPr>
      </w:pPr>
      <w:bookmarkStart w:id="101" w:name="_Toc241505300"/>
      <w:r>
        <w:t>Pertinence</w:t>
      </w:r>
      <w:bookmarkEnd w:id="101"/>
    </w:p>
    <w:p w14:paraId="33444082" w14:textId="7CD82E91" w:rsidR="00B86938" w:rsidRPr="00B86938" w:rsidRDefault="00E825F3" w:rsidP="00B86938">
      <w:r>
        <w:t xml:space="preserve">K, Mg et </w:t>
      </w:r>
      <w:proofErr w:type="gramStart"/>
      <w:r>
        <w:t>Ca</w:t>
      </w:r>
      <w:proofErr w:type="gramEnd"/>
      <w:r>
        <w:t xml:space="preserve"> sont</w:t>
      </w:r>
      <w:r w:rsidR="00B80AEC" w:rsidRPr="00B80AEC">
        <w:t xml:space="preserve"> essentiels pour la nutrition végétale.</w:t>
      </w:r>
      <w:r w:rsidR="00B80AEC">
        <w:t xml:space="preserve"> </w:t>
      </w:r>
      <w:r w:rsidR="005C7DC7">
        <w:t>En effet, celle-ci</w:t>
      </w:r>
      <w:r w:rsidR="2710F889">
        <w:t xml:space="preserve"> dépend d</w:t>
      </w:r>
      <w:r w:rsidR="3D112FE5">
        <w:t xml:space="preserve">es teneurs disponibles en ces trois cations </w:t>
      </w:r>
      <w:r w:rsidR="07B250F7">
        <w:t>et de l’équilibre en</w:t>
      </w:r>
      <w:r w:rsidR="00B80AEC">
        <w:t>tre</w:t>
      </w:r>
      <w:r w:rsidR="07B250F7">
        <w:t xml:space="preserve"> ces</w:t>
      </w:r>
      <w:r w:rsidR="00B80AEC">
        <w:t xml:space="preserve"> éléments</w:t>
      </w:r>
      <w:r w:rsidR="07B250F7">
        <w:t xml:space="preserve">. </w:t>
      </w:r>
      <w:r w:rsidR="427D8C21">
        <w:t>U</w:t>
      </w:r>
      <w:r w:rsidR="00B86938">
        <w:t>n rapport équilibré entre K et Mg</w:t>
      </w:r>
      <w:r w:rsidR="0076033C">
        <w:t xml:space="preserve"> </w:t>
      </w:r>
      <w:r w:rsidR="2141B3E8">
        <w:t xml:space="preserve">est nécessaire </w:t>
      </w:r>
      <w:r w:rsidR="0076033C">
        <w:t>pour éviter tout risque de carence induite</w:t>
      </w:r>
      <w:r w:rsidR="00B86938">
        <w:t xml:space="preserve"> (voir</w:t>
      </w:r>
      <w:r w:rsidR="0076033C">
        <w:t xml:space="preserve"> partie </w:t>
      </w:r>
      <w:r w:rsidR="3D112FE5">
        <w:fldChar w:fldCharType="begin"/>
      </w:r>
      <w:r w:rsidR="3D112FE5">
        <w:instrText xml:space="preserve"> REF _Ref232207217 \r \h </w:instrText>
      </w:r>
      <w:r w:rsidR="3D112FE5">
        <w:fldChar w:fldCharType="separate"/>
      </w:r>
      <w:r w:rsidR="002B522F">
        <w:t>5.7.2</w:t>
      </w:r>
      <w:r w:rsidR="3D112FE5">
        <w:fldChar w:fldCharType="end"/>
      </w:r>
      <w:r w:rsidR="002F4EEF">
        <w:t>).</w:t>
      </w:r>
    </w:p>
    <w:p w14:paraId="61EA71CB" w14:textId="77777777" w:rsidR="00706A2D" w:rsidRDefault="00706A2D" w:rsidP="00876101">
      <w:pPr>
        <w:pStyle w:val="Titre3"/>
        <w:numPr>
          <w:ilvl w:val="2"/>
          <w:numId w:val="3"/>
        </w:numPr>
      </w:pPr>
      <w:bookmarkStart w:id="102" w:name="_Toc241505301"/>
      <w:r>
        <w:t>Méthode de mesure</w:t>
      </w:r>
      <w:bookmarkEnd w:id="102"/>
    </w:p>
    <w:p w14:paraId="30DE14EE" w14:textId="410C4810" w:rsidR="000D25A8" w:rsidRPr="000F6E17" w:rsidRDefault="000D25A8" w:rsidP="000D25A8">
      <w:r>
        <w:t>La mesure de K, Mg</w:t>
      </w:r>
      <w:r w:rsidR="415C55C5">
        <w:t xml:space="preserve"> et</w:t>
      </w:r>
      <w:r>
        <w:t xml:space="preserve"> Ca disponibles est retenue, sur base d’une extraction à l’aide d’une solution d’acétate ammonique, d’acide acétique et d’acide éthylène diamine </w:t>
      </w:r>
      <w:proofErr w:type="spellStart"/>
      <w:r>
        <w:t>tétracétique</w:t>
      </w:r>
      <w:proofErr w:type="spellEnd"/>
      <w:r w:rsidR="58585B95">
        <w:t xml:space="preserve"> (AA-EDTA)</w:t>
      </w:r>
      <w:r>
        <w:t xml:space="preserve"> </w:t>
      </w:r>
      <w:r>
        <w:fldChar w:fldCharType="begin"/>
      </w:r>
      <w:r w:rsidR="004E5493">
        <w:instrText xml:space="preserve"> ADDIN ZOTERO_ITEM CSL_CITATION {"citationID":"xx7Ce7Hz","properties":{"unsorted":false,"formattedCitation":"(Lakanen &amp; Ervi\\uc0\\u246{}, 1971)","plainCitation":"(Lakanen &amp; Erviö, 1971)","noteIndex":0},"citationItems":[{"id":621,"uris":["http://zotero.org/groups/5684833/items/N44ZIR6J"],"itemData":{"id":621,"type":"article-journal","container-title":"Acta Agralia Fennica","DOI":"0039-5595","page":"223-232","title":"A comparison of eight extradants for the determination of plant available micronutrients in soils","volume":"123","author":[{"family":"Lakanen","given":"E."},{"family":"Erviö","given":"R."}],"issued":{"date-parts":[["1971"]]}}}],"schema":"https://github.com/citation-style-language/schema/raw/master/csl-citation.json"} </w:instrText>
      </w:r>
      <w:r>
        <w:fldChar w:fldCharType="separate"/>
      </w:r>
      <w:r w:rsidRPr="48222D96">
        <w:rPr>
          <w:rFonts w:cs="Calibri"/>
        </w:rPr>
        <w:t>(Lakanen &amp; Erviö, 1971)</w:t>
      </w:r>
      <w:r>
        <w:fldChar w:fldCharType="end"/>
      </w:r>
      <w:r>
        <w:t>, conformément au CWEA S-II-1</w:t>
      </w:r>
      <w:r w:rsidR="00126A14">
        <w:t>2</w:t>
      </w:r>
      <w:r w:rsidRPr="00436690">
        <w:rPr>
          <w:rStyle w:val="Appelnotedebasdep"/>
        </w:rPr>
        <w:footnoteReference w:id="6"/>
      </w:r>
      <w:r>
        <w:t>.</w:t>
      </w:r>
    </w:p>
    <w:p w14:paraId="2FA107BD" w14:textId="77777777" w:rsidR="00706A2D" w:rsidRDefault="00706A2D" w:rsidP="00876101">
      <w:pPr>
        <w:pStyle w:val="Titre3"/>
        <w:numPr>
          <w:ilvl w:val="2"/>
          <w:numId w:val="3"/>
        </w:numPr>
      </w:pPr>
      <w:bookmarkStart w:id="103" w:name="_Toc241505302"/>
      <w:r w:rsidRPr="00C23A2C">
        <w:t>Interprétation</w:t>
      </w:r>
      <w:bookmarkEnd w:id="103"/>
    </w:p>
    <w:p w14:paraId="4650AAF0" w14:textId="192D78F6" w:rsidR="002F4EEF" w:rsidRDefault="00171FBB" w:rsidP="002F4EEF">
      <w:r>
        <w:t xml:space="preserve">Pour replacer un sol par rapport à son potentiel, il faut </w:t>
      </w:r>
      <w:r w:rsidR="00436332">
        <w:t>remettre</w:t>
      </w:r>
      <w:r>
        <w:t xml:space="preserve"> </w:t>
      </w:r>
      <w:r w:rsidR="003108D9">
        <w:t>sa</w:t>
      </w:r>
      <w:r>
        <w:t xml:space="preserve"> teneur en éléments majeurs</w:t>
      </w:r>
      <w:r w:rsidR="00436332">
        <w:t xml:space="preserve"> en perspective</w:t>
      </w:r>
      <w:r>
        <w:t xml:space="preserve"> par rapport </w:t>
      </w:r>
      <w:r w:rsidR="003108D9">
        <w:t>à sa CEC.</w:t>
      </w:r>
      <w:r w:rsidR="007B5E6D">
        <w:t xml:space="preserve"> Un sol sableux, présentant une CEC faible, ne pourra jamais atteindre les niveaux de nutriments d’un sol argileux (avec une meilleure CEC). </w:t>
      </w:r>
      <w:r w:rsidR="006728DF">
        <w:t xml:space="preserve">C’est pourquoi REQUASUD a </w:t>
      </w:r>
      <w:r w:rsidR="006728DF">
        <w:lastRenderedPageBreak/>
        <w:t xml:space="preserve">développé des référentiels pour ces trois éléments (K, Mg, Ca), en fonction de la catégorie de CEC </w:t>
      </w:r>
      <w:r w:rsidR="00A8156C">
        <w:fldChar w:fldCharType="begin"/>
      </w:r>
      <w:r w:rsidR="00A8156C">
        <w:instrText xml:space="preserve"> ADDIN ZOTERO_ITEM CSL_CITATION {"citationID":"RXguoj16","properties":{"unsorted":false,"formattedCitation":"(Dombret, 2022)","plainCitation":"(Dombret, 2022)","noteIndex":0},"citationItems":[{"id":121,"uris":["http://zotero.org/groups/5684833/items/I22FDLA8"],"itemData":{"id":121,"type":"article-magazine","container-title":"Biowallonie","issue":"63","title":"Interpréter l'analyse de terre pour la culture maraîchère : comprendre les résultats (3/3)","URL":"https://www.biowallonie.com/wp-content/uploads/2022/04/Brochure_A4_ITBIO63_web.pdf","volume":"Itinéraires BIO","author":[{"family":"Dombret","given":"Laurence"}],"issued":{"date-parts":[["2022"]]}}}],"schema":"https://github.com/citation-style-language/schema/raw/master/csl-citation.json"} </w:instrText>
      </w:r>
      <w:r w:rsidR="00A8156C">
        <w:fldChar w:fldCharType="separate"/>
      </w:r>
      <w:r w:rsidR="00A8156C" w:rsidRPr="00A8156C">
        <w:rPr>
          <w:rFonts w:cs="Calibri"/>
        </w:rPr>
        <w:t>(Dombret, 2022)</w:t>
      </w:r>
      <w:r w:rsidR="00A8156C">
        <w:fldChar w:fldCharType="end"/>
      </w:r>
      <w:r w:rsidR="00A8156C">
        <w:t>.</w:t>
      </w:r>
      <w:r w:rsidR="000145A5">
        <w:t xml:space="preserve"> Les gammes de teneurs y sont classées de « très faible » à « trop élevé ». Ce référentiel est utilisé pour évaluer l’état de santé du sol (ISSW), dans tous les contextes d’usages.</w:t>
      </w:r>
    </w:p>
    <w:p w14:paraId="31CC4727" w14:textId="234ABA68" w:rsidR="006A45E9" w:rsidRDefault="00D85FA9" w:rsidP="002F4EEF">
      <w:r>
        <w:t xml:space="preserve">La délimitation du référentiel de qualité du sol (IQSW) suit </w:t>
      </w:r>
      <w:r w:rsidR="00CB6D24">
        <w:t>la même logique que celle employée pour le phosphore</w:t>
      </w:r>
      <w:r w:rsidR="006A45E9">
        <w:t> : il s’agit de déterminer une valeur cible par catégorie d’usage.</w:t>
      </w:r>
    </w:p>
    <w:p w14:paraId="4FB2A178" w14:textId="47C5E4E6" w:rsidR="00706A2D" w:rsidRDefault="006A45E9" w:rsidP="00AD4C07">
      <w:r>
        <w:t>La</w:t>
      </w:r>
      <w:r w:rsidR="00CB6D24">
        <w:t xml:space="preserve"> </w:t>
      </w:r>
      <w:r>
        <w:t>borne inférieure</w:t>
      </w:r>
      <w:r w:rsidR="00D85FA9">
        <w:t xml:space="preserve"> </w:t>
      </w:r>
      <w:r>
        <w:t xml:space="preserve">de la catégorie « bon » </w:t>
      </w:r>
      <w:r w:rsidR="003223EB">
        <w:t>pour une CEC</w:t>
      </w:r>
      <w:r w:rsidR="00CD1363">
        <w:t xml:space="preserve"> [10 ;15] </w:t>
      </w:r>
      <w:proofErr w:type="spellStart"/>
      <w:r w:rsidR="00CD1363">
        <w:t>méq</w:t>
      </w:r>
      <w:proofErr w:type="spellEnd"/>
      <w:r w:rsidR="00E3669D">
        <w:t xml:space="preserve"> </w:t>
      </w:r>
      <w:r w:rsidR="00E3669D">
        <w:rPr>
          <w:rFonts w:cs="Calibri"/>
        </w:rPr>
        <w:t>·</w:t>
      </w:r>
      <w:r w:rsidR="00CD1363">
        <w:t xml:space="preserve"> 100 g</w:t>
      </w:r>
      <w:r w:rsidR="00E3669D">
        <w:rPr>
          <w:vertAlign w:val="superscript"/>
        </w:rPr>
        <w:t>-1</w:t>
      </w:r>
      <w:r w:rsidR="00A90922">
        <w:t xml:space="preserve">, </w:t>
      </w:r>
      <w:r w:rsidR="003223EB">
        <w:t>soi</w:t>
      </w:r>
      <w:r w:rsidR="008946CD">
        <w:t xml:space="preserve">t des conditions jugées </w:t>
      </w:r>
      <w:r w:rsidR="003223EB">
        <w:t>représentati</w:t>
      </w:r>
      <w:r w:rsidR="008946CD">
        <w:t>ves</w:t>
      </w:r>
      <w:r w:rsidR="003223EB">
        <w:t xml:space="preserve"> d’un sol optimal moyen</w:t>
      </w:r>
      <w:r w:rsidR="00A90922">
        <w:t xml:space="preserve"> quant au </w:t>
      </w:r>
      <w:r w:rsidR="000100FD">
        <w:t>service écosystémique</w:t>
      </w:r>
      <w:r w:rsidR="00A90922">
        <w:t xml:space="preserve"> </w:t>
      </w:r>
      <w:r w:rsidR="00A90922" w:rsidRPr="00A90922">
        <w:rPr>
          <w:i/>
          <w:iCs/>
        </w:rPr>
        <w:t>Production (cultures)</w:t>
      </w:r>
      <w:r w:rsidR="00A90922">
        <w:t>,</w:t>
      </w:r>
      <w:r w:rsidR="00703AAF">
        <w:t xml:space="preserve"> est considérée comme valeur cible. </w:t>
      </w:r>
      <w:r w:rsidR="00A21927">
        <w:t>Pour le</w:t>
      </w:r>
      <w:r w:rsidR="00D072F7">
        <w:t xml:space="preserve"> </w:t>
      </w:r>
      <w:r w:rsidR="000100FD">
        <w:t xml:space="preserve">service </w:t>
      </w:r>
      <w:r w:rsidR="00D072F7" w:rsidRPr="00A21927">
        <w:rPr>
          <w:i/>
          <w:iCs/>
        </w:rPr>
        <w:t>Production</w:t>
      </w:r>
      <w:r w:rsidR="00A21927">
        <w:t>, le cas des</w:t>
      </w:r>
      <w:r w:rsidR="00703AAF">
        <w:t xml:space="preserve"> prairies et </w:t>
      </w:r>
      <w:r w:rsidR="00A21927">
        <w:t xml:space="preserve">des </w:t>
      </w:r>
      <w:r w:rsidR="00703AAF">
        <w:t>espaces verts</w:t>
      </w:r>
      <w:r w:rsidR="00E36354">
        <w:t xml:space="preserve"> représente un niveau d’exigence moindre que les cultures</w:t>
      </w:r>
      <w:r w:rsidR="00A21927">
        <w:t xml:space="preserve">, </w:t>
      </w:r>
      <w:r w:rsidR="00E36354">
        <w:t xml:space="preserve">mais nécessite tout de même </w:t>
      </w:r>
      <w:r w:rsidR="0059769E">
        <w:t>des niveaux minimums</w:t>
      </w:r>
      <w:r w:rsidR="00A21927">
        <w:t xml:space="preserve"> </w:t>
      </w:r>
      <w:r w:rsidR="00E36354">
        <w:t>de nutriments</w:t>
      </w:r>
      <w:r w:rsidR="00D072F7">
        <w:t xml:space="preserve">. </w:t>
      </w:r>
      <w:r w:rsidR="006B73DE">
        <w:t xml:space="preserve">Quant au </w:t>
      </w:r>
      <w:r w:rsidR="000100FD">
        <w:t>service</w:t>
      </w:r>
      <w:r w:rsidR="006B73DE">
        <w:t xml:space="preserve"> </w:t>
      </w:r>
      <w:r w:rsidR="006B73DE" w:rsidRPr="006B73DE">
        <w:rPr>
          <w:i/>
          <w:iCs/>
        </w:rPr>
        <w:t>Production (forêts)</w:t>
      </w:r>
      <w:r w:rsidR="006B73DE">
        <w:t xml:space="preserve">, </w:t>
      </w:r>
      <w:r w:rsidR="00686812">
        <w:t>on considère que celui-ci n’est pas empêché par les niveaux de nutriments</w:t>
      </w:r>
      <w:r w:rsidR="0059769E">
        <w:t xml:space="preserve"> </w:t>
      </w:r>
      <w:r w:rsidR="00AD4C07">
        <w:t xml:space="preserve">très bas, d’où un score maximal attribué dès 0 </w:t>
      </w:r>
      <w:r w:rsidR="00BC0E20">
        <w:t xml:space="preserve">mg </w:t>
      </w:r>
      <w:r w:rsidR="00BC0E20">
        <w:rPr>
          <w:rFonts w:cs="Calibri"/>
        </w:rPr>
        <w:t>·</w:t>
      </w:r>
      <w:r w:rsidR="00BC0E20">
        <w:t xml:space="preserve"> 100 g</w:t>
      </w:r>
      <w:r w:rsidR="00BC0E20">
        <w:rPr>
          <w:vertAlign w:val="superscript"/>
        </w:rPr>
        <w:t>-1</w:t>
      </w:r>
      <w:r w:rsidR="00AD4C07">
        <w:t>.</w:t>
      </w:r>
    </w:p>
    <w:p w14:paraId="44312A4F" w14:textId="532F9BBF" w:rsidR="00E22675" w:rsidRPr="00261C30" w:rsidRDefault="00E22675" w:rsidP="00E22675">
      <w:pPr>
        <w:pStyle w:val="Lgende"/>
        <w:keepNext/>
        <w:jc w:val="center"/>
        <w:rPr>
          <w:i w:val="0"/>
          <w:iCs w:val="0"/>
        </w:rPr>
      </w:pPr>
      <w:bookmarkStart w:id="104" w:name="_Toc233122665"/>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9</w:t>
      </w:r>
      <w:r w:rsidRPr="00261C30">
        <w:rPr>
          <w:i w:val="0"/>
          <w:iCs w:val="0"/>
        </w:rPr>
        <w:fldChar w:fldCharType="end"/>
      </w:r>
      <w:r w:rsidRPr="00261C30">
        <w:rPr>
          <w:i w:val="0"/>
          <w:iCs w:val="0"/>
        </w:rPr>
        <w:t xml:space="preserve"> : Référentiels d’interprétation </w:t>
      </w:r>
      <w:r w:rsidR="07360F26" w:rsidRPr="6CB535F6">
        <w:rPr>
          <w:i w:val="0"/>
          <w:iCs w:val="0"/>
        </w:rPr>
        <w:t>de l’</w:t>
      </w:r>
      <w:r w:rsidRPr="6CB535F6">
        <w:rPr>
          <w:i w:val="0"/>
          <w:iCs w:val="0"/>
        </w:rPr>
        <w:t>indicateur</w:t>
      </w:r>
      <w:r w:rsidRPr="00261C30">
        <w:rPr>
          <w:i w:val="0"/>
          <w:iCs w:val="0"/>
        </w:rPr>
        <w:t xml:space="preserve">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noProof/>
        </w:rPr>
        <w:drawing>
          <wp:inline distT="0" distB="0" distL="0" distR="0" wp14:anchorId="2D30E667" wp14:editId="4803BEC1">
            <wp:extent cx="91440" cy="118745"/>
            <wp:effectExtent l="0" t="0" r="3810" b="0"/>
            <wp:docPr id="130345338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52B9DAF0" wp14:editId="3F110773">
            <wp:extent cx="85917" cy="88985"/>
            <wp:effectExtent l="0" t="0" r="9525" b="6350"/>
            <wp:docPr id="55289202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0B578D97" wp14:editId="38DF7FEB">
            <wp:extent cx="164432" cy="65784"/>
            <wp:effectExtent l="0" t="0" r="7620" b="0"/>
            <wp:docPr id="76379891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 xml:space="preserve">). Dans le </w:t>
      </w:r>
      <w:r w:rsidR="000100FD">
        <w:rPr>
          <w:i w:val="0"/>
          <w:iCs w:val="0"/>
        </w:rPr>
        <w:t>service</w:t>
      </w:r>
      <w:r>
        <w:rPr>
          <w:i w:val="0"/>
          <w:iCs w:val="0"/>
        </w:rPr>
        <w:t xml:space="preserve"> </w:t>
      </w:r>
      <w:r w:rsidRPr="008E326C">
        <w:t>Production</w:t>
      </w:r>
      <w:r>
        <w:rPr>
          <w:i w:val="0"/>
          <w:iCs w:val="0"/>
        </w:rPr>
        <w:t>, pour certains indicateurs, une distinction est faite dans le choix des bornes entre les catégories d’usage (C : cultures ; P : prairies ; EV : espaces verts ; F : forêts).</w:t>
      </w:r>
      <w:bookmarkEnd w:id="104"/>
    </w:p>
    <w:tbl>
      <w:tblPr>
        <w:tblStyle w:val="Grilledutableau"/>
        <w:tblW w:w="0" w:type="auto"/>
        <w:tblLayout w:type="fixed"/>
        <w:tblCellMar>
          <w:top w:w="28" w:type="dxa"/>
          <w:bottom w:w="28" w:type="dxa"/>
        </w:tblCellMar>
        <w:tblLook w:val="04A0" w:firstRow="1" w:lastRow="0" w:firstColumn="1" w:lastColumn="0" w:noHBand="0" w:noVBand="1"/>
      </w:tblPr>
      <w:tblGrid>
        <w:gridCol w:w="1271"/>
        <w:gridCol w:w="1134"/>
        <w:gridCol w:w="851"/>
        <w:gridCol w:w="1417"/>
        <w:gridCol w:w="4387"/>
      </w:tblGrid>
      <w:tr w:rsidR="00AD4C07" w:rsidRPr="0000352D" w14:paraId="5BCA4180" w14:textId="77777777" w:rsidTr="00547A12">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705DDBE8" w14:textId="6A170D15" w:rsidR="00AD4C07" w:rsidRPr="0000352D" w:rsidRDefault="007F544F">
            <w:pPr>
              <w:jc w:val="center"/>
              <w:rPr>
                <w:sz w:val="20"/>
                <w:szCs w:val="20"/>
              </w:rPr>
            </w:pPr>
            <w:r>
              <w:rPr>
                <w:sz w:val="20"/>
                <w:szCs w:val="20"/>
              </w:rPr>
              <w:t xml:space="preserve">Potassium, magnésium et calcium (K, Mg, </w:t>
            </w:r>
            <w:proofErr w:type="gramStart"/>
            <w:r>
              <w:rPr>
                <w:sz w:val="20"/>
                <w:szCs w:val="20"/>
              </w:rPr>
              <w:t>Ca</w:t>
            </w:r>
            <w:proofErr w:type="gramEnd"/>
            <w:r>
              <w:rPr>
                <w:sz w:val="20"/>
                <w:szCs w:val="20"/>
              </w:rPr>
              <w:t xml:space="preserve">) disponibles </w:t>
            </w:r>
            <w:r w:rsidRPr="0000352D">
              <w:rPr>
                <w:sz w:val="20"/>
                <w:szCs w:val="20"/>
              </w:rPr>
              <w:t>-</w:t>
            </w:r>
            <w:r w:rsidR="00AD4C07" w:rsidRPr="0000352D">
              <w:rPr>
                <w:sz w:val="20"/>
                <w:szCs w:val="20"/>
              </w:rPr>
              <w:t xml:space="preserve"> Référentiel</w:t>
            </w:r>
            <w:r w:rsidR="00AD4C07">
              <w:rPr>
                <w:sz w:val="20"/>
                <w:szCs w:val="20"/>
              </w:rPr>
              <w:t>s</w:t>
            </w:r>
            <w:r w:rsidR="00AD4C07" w:rsidRPr="0000352D">
              <w:rPr>
                <w:sz w:val="20"/>
                <w:szCs w:val="20"/>
              </w:rPr>
              <w:t xml:space="preserve"> d’interprétation</w:t>
            </w:r>
          </w:p>
        </w:tc>
      </w:tr>
      <w:tr w:rsidR="00AD4C07" w:rsidRPr="0000352D" w14:paraId="2160AD99" w14:textId="77777777" w:rsidTr="002D2D09">
        <w:tc>
          <w:tcPr>
            <w:tcW w:w="127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793FACD4" w14:textId="55C34EEE" w:rsidR="00AD4C07" w:rsidRPr="00423C23" w:rsidRDefault="000100FD">
            <w:pPr>
              <w:jc w:val="center"/>
              <w:rPr>
                <w:sz w:val="20"/>
                <w:szCs w:val="20"/>
              </w:rPr>
            </w:pPr>
            <w:r>
              <w:rPr>
                <w:sz w:val="20"/>
                <w:szCs w:val="20"/>
              </w:rPr>
              <w:t>Service</w:t>
            </w:r>
          </w:p>
        </w:tc>
        <w:tc>
          <w:tcPr>
            <w:tcW w:w="1134"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1AD63F59" w14:textId="77777777" w:rsidR="00AD4C07" w:rsidRPr="00423C23" w:rsidRDefault="00AD4C07">
            <w:pPr>
              <w:jc w:val="center"/>
              <w:rPr>
                <w:sz w:val="20"/>
                <w:szCs w:val="20"/>
              </w:rPr>
            </w:pPr>
            <w:r w:rsidRPr="00423C23">
              <w:rPr>
                <w:sz w:val="20"/>
                <w:szCs w:val="20"/>
              </w:rPr>
              <w:t>Fonction</w:t>
            </w:r>
          </w:p>
        </w:tc>
        <w:tc>
          <w:tcPr>
            <w:tcW w:w="85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2848F666" w14:textId="77777777" w:rsidR="00AD4C07" w:rsidRPr="00423C23" w:rsidRDefault="00AD4C07">
            <w:pPr>
              <w:jc w:val="center"/>
              <w:rPr>
                <w:sz w:val="20"/>
                <w:szCs w:val="20"/>
              </w:rPr>
            </w:pPr>
            <w:r>
              <w:rPr>
                <w:sz w:val="20"/>
                <w:szCs w:val="20"/>
              </w:rPr>
              <w:t>Forme</w:t>
            </w:r>
          </w:p>
        </w:tc>
        <w:tc>
          <w:tcPr>
            <w:tcW w:w="141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12218252" w14:textId="77777777" w:rsidR="00AD4C07" w:rsidRPr="00423C23" w:rsidRDefault="00AD4C07">
            <w:pPr>
              <w:jc w:val="center"/>
              <w:rPr>
                <w:sz w:val="20"/>
                <w:szCs w:val="20"/>
              </w:rPr>
            </w:pPr>
            <w:r w:rsidRPr="00423C23">
              <w:rPr>
                <w:sz w:val="20"/>
                <w:szCs w:val="20"/>
              </w:rPr>
              <w:t>Évaluation</w:t>
            </w:r>
          </w:p>
        </w:tc>
        <w:tc>
          <w:tcPr>
            <w:tcW w:w="438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2A914068" w14:textId="77777777" w:rsidR="00AD4C07" w:rsidRPr="00423C23" w:rsidRDefault="00AD4C07">
            <w:pPr>
              <w:jc w:val="center"/>
              <w:rPr>
                <w:sz w:val="20"/>
                <w:szCs w:val="20"/>
              </w:rPr>
            </w:pPr>
            <w:r w:rsidRPr="00423C23">
              <w:rPr>
                <w:sz w:val="20"/>
                <w:szCs w:val="20"/>
              </w:rPr>
              <w:t>Référentiel</w:t>
            </w:r>
          </w:p>
        </w:tc>
      </w:tr>
      <w:tr w:rsidR="002D2D09" w:rsidRPr="0000352D" w14:paraId="3FAA1DB9" w14:textId="77777777" w:rsidTr="00AD5E43">
        <w:trPr>
          <w:trHeight w:val="498"/>
        </w:trPr>
        <w:tc>
          <w:tcPr>
            <w:tcW w:w="1271" w:type="dxa"/>
            <w:vMerge w:val="restart"/>
            <w:tcBorders>
              <w:top w:val="single" w:sz="4" w:space="0" w:color="auto"/>
              <w:left w:val="single" w:sz="4" w:space="0" w:color="auto"/>
              <w:right w:val="single" w:sz="4" w:space="0" w:color="auto"/>
            </w:tcBorders>
            <w:vAlign w:val="center"/>
          </w:tcPr>
          <w:p w14:paraId="4C35B9BA" w14:textId="35E9D3C8" w:rsidR="002D2D09" w:rsidRDefault="002D2D09" w:rsidP="00547A12">
            <w:pPr>
              <w:jc w:val="left"/>
              <w:rPr>
                <w:sz w:val="20"/>
                <w:szCs w:val="20"/>
              </w:rPr>
            </w:pPr>
            <w:r>
              <w:rPr>
                <w:sz w:val="20"/>
                <w:szCs w:val="20"/>
              </w:rPr>
              <w:t>Production</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422FA40" w14:textId="021C921A" w:rsidR="002D2D09" w:rsidRDefault="00A21E2F" w:rsidP="00547A12">
            <w:pPr>
              <w:jc w:val="left"/>
              <w:rPr>
                <w:sz w:val="20"/>
                <w:szCs w:val="20"/>
              </w:rPr>
            </w:pPr>
            <w:r>
              <w:rPr>
                <w:sz w:val="20"/>
                <w:szCs w:val="20"/>
              </w:rPr>
              <w:t>Fourniture nutriments</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0CE72F63" w14:textId="0C51ACE4" w:rsidR="002D2D09" w:rsidRPr="0000352D" w:rsidRDefault="00AD5E43" w:rsidP="00AD5E43">
            <w:pPr>
              <w:jc w:val="center"/>
              <w:rPr>
                <w:sz w:val="20"/>
                <w:szCs w:val="20"/>
              </w:rPr>
            </w:pPr>
            <w:r>
              <w:rPr>
                <w:noProof/>
                <w:sz w:val="20"/>
                <w:szCs w:val="20"/>
              </w:rPr>
              <mc:AlternateContent>
                <mc:Choice Requires="wps">
                  <w:drawing>
                    <wp:inline distT="0" distB="0" distL="0" distR="0" wp14:anchorId="34624DDE" wp14:editId="3A52097A">
                      <wp:extent cx="94615" cy="153035"/>
                      <wp:effectExtent l="0" t="38100" r="57785" b="18415"/>
                      <wp:docPr id="1436511685"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F4A0E51"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417" w:type="dxa"/>
            <w:vMerge w:val="restart"/>
            <w:tcBorders>
              <w:top w:val="single" w:sz="4" w:space="0" w:color="auto"/>
              <w:left w:val="single" w:sz="4" w:space="0" w:color="auto"/>
              <w:right w:val="single" w:sz="4" w:space="0" w:color="auto"/>
            </w:tcBorders>
            <w:shd w:val="clear" w:color="auto" w:fill="F2F9EB"/>
            <w:vAlign w:val="center"/>
          </w:tcPr>
          <w:p w14:paraId="1C119D0B" w14:textId="7250FF6C" w:rsidR="002D2D09" w:rsidRDefault="002D2D09" w:rsidP="00547A12">
            <w:pPr>
              <w:jc w:val="left"/>
              <w:rPr>
                <w:sz w:val="20"/>
                <w:szCs w:val="20"/>
              </w:rPr>
            </w:pPr>
            <w:r>
              <w:rPr>
                <w:sz w:val="20"/>
                <w:szCs w:val="20"/>
              </w:rPr>
              <w:t xml:space="preserve">K, Mg, </w:t>
            </w:r>
            <w:proofErr w:type="spellStart"/>
            <w:r>
              <w:rPr>
                <w:sz w:val="20"/>
                <w:szCs w:val="20"/>
              </w:rPr>
              <w:t>Ca</w:t>
            </w:r>
            <w:r>
              <w:rPr>
                <w:sz w:val="20"/>
                <w:szCs w:val="20"/>
                <w:vertAlign w:val="subscript"/>
              </w:rPr>
              <w:t>qualité</w:t>
            </w:r>
            <w:proofErr w:type="spellEnd"/>
          </w:p>
        </w:tc>
        <w:tc>
          <w:tcPr>
            <w:tcW w:w="4387" w:type="dxa"/>
            <w:tcBorders>
              <w:top w:val="single" w:sz="4" w:space="0" w:color="auto"/>
              <w:left w:val="single" w:sz="4" w:space="0" w:color="auto"/>
              <w:bottom w:val="single" w:sz="4" w:space="0" w:color="auto"/>
              <w:right w:val="single" w:sz="4" w:space="0" w:color="auto"/>
            </w:tcBorders>
            <w:vAlign w:val="center"/>
          </w:tcPr>
          <w:p w14:paraId="6AC26BB0" w14:textId="272DF694" w:rsidR="002D2D09" w:rsidRPr="0000352D" w:rsidRDefault="002D2D09" w:rsidP="00547A12">
            <w:pPr>
              <w:jc w:val="left"/>
              <w:rPr>
                <w:sz w:val="20"/>
                <w:szCs w:val="20"/>
              </w:rPr>
            </w:pPr>
            <w:r>
              <w:rPr>
                <w:sz w:val="20"/>
                <w:szCs w:val="20"/>
              </w:rPr>
              <w:t xml:space="preserve">(C) Valeur cible identifiée sur base des gammes optimales REQUASUD pour les cultures </w:t>
            </w:r>
            <w:r>
              <w:rPr>
                <w:sz w:val="20"/>
                <w:szCs w:val="20"/>
              </w:rPr>
              <w:fldChar w:fldCharType="begin"/>
            </w:r>
            <w:r>
              <w:rPr>
                <w:sz w:val="20"/>
                <w:szCs w:val="20"/>
              </w:rPr>
              <w:instrText xml:space="preserve"> ADDIN ZOTERO_ITEM CSL_CITATION {"citationID":"64jc3cnQ","properties":{"unsorted":false,"formattedCitation":"(Dombret, 2022)","plainCitation":"(Dombret, 2022)","noteIndex":0},"citationItems":[{"id":121,"uris":["http://zotero.org/groups/5684833/items/I22FDLA8"],"itemData":{"id":121,"type":"article-magazine","container-title":"Biowallonie","issue":"63","title":"Interpréter l'analyse de terre pour la culture maraîchère : comprendre les résultats (3/3)","URL":"https://www.biowallonie.com/wp-content/uploads/2022/04/Brochure_A4_ITBIO63_web.pdf","volume":"Itinéraires BIO","author":[{"family":"Dombret","given":"Laurence"}],"issued":{"date-parts":[["2022"]]}}}],"schema":"https://github.com/citation-style-language/schema/raw/master/csl-citation.json"} </w:instrText>
            </w:r>
            <w:r>
              <w:rPr>
                <w:sz w:val="20"/>
                <w:szCs w:val="20"/>
              </w:rPr>
              <w:fldChar w:fldCharType="separate"/>
            </w:r>
            <w:r w:rsidRPr="00B562EB">
              <w:rPr>
                <w:rFonts w:cs="Calibri"/>
                <w:sz w:val="20"/>
              </w:rPr>
              <w:t>(Dombret, 2022)</w:t>
            </w:r>
            <w:r>
              <w:rPr>
                <w:sz w:val="20"/>
                <w:szCs w:val="20"/>
              </w:rPr>
              <w:fldChar w:fldCharType="end"/>
            </w:r>
          </w:p>
        </w:tc>
      </w:tr>
      <w:tr w:rsidR="002D2D09" w:rsidRPr="0000352D" w14:paraId="4999FE13" w14:textId="77777777" w:rsidTr="002D2D09">
        <w:trPr>
          <w:trHeight w:val="772"/>
        </w:trPr>
        <w:tc>
          <w:tcPr>
            <w:tcW w:w="1271" w:type="dxa"/>
            <w:vMerge/>
            <w:tcBorders>
              <w:left w:val="single" w:sz="4" w:space="0" w:color="auto"/>
              <w:right w:val="single" w:sz="4" w:space="0" w:color="auto"/>
            </w:tcBorders>
            <w:vAlign w:val="center"/>
          </w:tcPr>
          <w:p w14:paraId="7C43136D" w14:textId="665AE139" w:rsidR="002D2D09" w:rsidRPr="0000352D" w:rsidRDefault="002D2D09" w:rsidP="00547A12">
            <w:pPr>
              <w:jc w:val="left"/>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44D38E8" w14:textId="77777777" w:rsidR="002D2D09" w:rsidRPr="0000352D" w:rsidRDefault="002D2D09" w:rsidP="00547A12">
            <w:pPr>
              <w:jc w:val="left"/>
              <w:rPr>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18CDCF3" w14:textId="77777777" w:rsidR="002D2D09" w:rsidRPr="0000352D" w:rsidRDefault="002D2D09" w:rsidP="00547A12">
            <w:pPr>
              <w:jc w:val="left"/>
              <w:rPr>
                <w:sz w:val="20"/>
                <w:szCs w:val="20"/>
              </w:rPr>
            </w:pPr>
          </w:p>
        </w:tc>
        <w:tc>
          <w:tcPr>
            <w:tcW w:w="1417" w:type="dxa"/>
            <w:vMerge/>
            <w:tcBorders>
              <w:left w:val="single" w:sz="4" w:space="0" w:color="auto"/>
              <w:right w:val="single" w:sz="4" w:space="0" w:color="auto"/>
            </w:tcBorders>
            <w:shd w:val="clear" w:color="auto" w:fill="F2F9EB"/>
            <w:vAlign w:val="center"/>
          </w:tcPr>
          <w:p w14:paraId="64050063" w14:textId="5D7B6286" w:rsidR="002D2D09" w:rsidRPr="0000352D" w:rsidRDefault="002D2D09" w:rsidP="00547A12">
            <w:pPr>
              <w:jc w:val="left"/>
              <w:rPr>
                <w:sz w:val="20"/>
                <w:szCs w:val="20"/>
              </w:rPr>
            </w:pPr>
          </w:p>
        </w:tc>
        <w:tc>
          <w:tcPr>
            <w:tcW w:w="4387" w:type="dxa"/>
            <w:tcBorders>
              <w:top w:val="single" w:sz="4" w:space="0" w:color="auto"/>
              <w:left w:val="single" w:sz="4" w:space="0" w:color="auto"/>
              <w:bottom w:val="single" w:sz="4" w:space="0" w:color="auto"/>
              <w:right w:val="single" w:sz="4" w:space="0" w:color="auto"/>
            </w:tcBorders>
            <w:vAlign w:val="center"/>
          </w:tcPr>
          <w:p w14:paraId="2EECB2F4" w14:textId="6595225F" w:rsidR="002D2D09" w:rsidRPr="0000352D" w:rsidRDefault="002D2D09" w:rsidP="00547A12">
            <w:pPr>
              <w:jc w:val="left"/>
              <w:rPr>
                <w:sz w:val="20"/>
                <w:szCs w:val="20"/>
              </w:rPr>
            </w:pPr>
            <w:r>
              <w:rPr>
                <w:sz w:val="20"/>
                <w:szCs w:val="20"/>
              </w:rPr>
              <w:t xml:space="preserve">(P-EV) Inférence d’une valeur cible plus permissive que celle des cultures </w:t>
            </w:r>
          </w:p>
        </w:tc>
      </w:tr>
      <w:tr w:rsidR="002D2D09" w:rsidRPr="0000352D" w14:paraId="732D8A12" w14:textId="77777777" w:rsidTr="002D2D09">
        <w:trPr>
          <w:trHeight w:val="518"/>
        </w:trPr>
        <w:tc>
          <w:tcPr>
            <w:tcW w:w="1271" w:type="dxa"/>
            <w:vMerge/>
            <w:tcBorders>
              <w:left w:val="single" w:sz="4" w:space="0" w:color="auto"/>
              <w:bottom w:val="single" w:sz="4" w:space="0" w:color="auto"/>
              <w:right w:val="single" w:sz="4" w:space="0" w:color="auto"/>
            </w:tcBorders>
            <w:vAlign w:val="center"/>
          </w:tcPr>
          <w:p w14:paraId="33B50B06" w14:textId="477F230B" w:rsidR="002D2D09" w:rsidRPr="0000352D" w:rsidRDefault="002D2D09" w:rsidP="00547A12">
            <w:pPr>
              <w:jc w:val="left"/>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374C324" w14:textId="77777777" w:rsidR="002D2D09" w:rsidRPr="0000352D" w:rsidRDefault="002D2D09" w:rsidP="00547A12">
            <w:pPr>
              <w:jc w:val="left"/>
              <w:rPr>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716F0D5F" w14:textId="77777777" w:rsidR="002D2D09" w:rsidRPr="0000352D" w:rsidRDefault="002D2D09" w:rsidP="00547A12">
            <w:pPr>
              <w:jc w:val="left"/>
              <w:rPr>
                <w:sz w:val="20"/>
                <w:szCs w:val="20"/>
              </w:rPr>
            </w:pPr>
          </w:p>
        </w:tc>
        <w:tc>
          <w:tcPr>
            <w:tcW w:w="1417" w:type="dxa"/>
            <w:vMerge/>
            <w:tcBorders>
              <w:left w:val="single" w:sz="4" w:space="0" w:color="auto"/>
              <w:bottom w:val="single" w:sz="4" w:space="0" w:color="auto"/>
              <w:right w:val="single" w:sz="4" w:space="0" w:color="auto"/>
            </w:tcBorders>
            <w:shd w:val="clear" w:color="auto" w:fill="F2F9EB"/>
            <w:vAlign w:val="center"/>
          </w:tcPr>
          <w:p w14:paraId="4C60F8C9" w14:textId="361CF2A1" w:rsidR="002D2D09" w:rsidRDefault="002D2D09" w:rsidP="00547A12">
            <w:pPr>
              <w:jc w:val="left"/>
              <w:rPr>
                <w:sz w:val="20"/>
                <w:szCs w:val="20"/>
              </w:rPr>
            </w:pPr>
          </w:p>
        </w:tc>
        <w:tc>
          <w:tcPr>
            <w:tcW w:w="4387" w:type="dxa"/>
            <w:tcBorders>
              <w:top w:val="single" w:sz="4" w:space="0" w:color="auto"/>
              <w:left w:val="single" w:sz="4" w:space="0" w:color="auto"/>
              <w:bottom w:val="single" w:sz="4" w:space="0" w:color="auto"/>
              <w:right w:val="single" w:sz="4" w:space="0" w:color="auto"/>
            </w:tcBorders>
            <w:vAlign w:val="center"/>
          </w:tcPr>
          <w:p w14:paraId="3F3519DA" w14:textId="512C9355" w:rsidR="002D2D09" w:rsidRPr="0000352D" w:rsidRDefault="002D2D09" w:rsidP="00547A12">
            <w:pPr>
              <w:jc w:val="left"/>
              <w:rPr>
                <w:sz w:val="20"/>
                <w:szCs w:val="20"/>
              </w:rPr>
            </w:pPr>
            <w:r>
              <w:rPr>
                <w:sz w:val="20"/>
                <w:szCs w:val="20"/>
              </w:rPr>
              <w:t>(F) Paramètre non-limitant (score maximal dès niveau minimum)</w:t>
            </w:r>
          </w:p>
        </w:tc>
      </w:tr>
      <w:tr w:rsidR="002D2D09" w:rsidRPr="0000352D" w14:paraId="4B975D49" w14:textId="77777777" w:rsidTr="002D2D09">
        <w:trPr>
          <w:trHeight w:val="518"/>
        </w:trPr>
        <w:tc>
          <w:tcPr>
            <w:tcW w:w="1271" w:type="dxa"/>
            <w:vMerge/>
            <w:tcBorders>
              <w:top w:val="single" w:sz="4" w:space="0" w:color="auto"/>
              <w:left w:val="single" w:sz="4" w:space="0" w:color="auto"/>
              <w:bottom w:val="single" w:sz="4" w:space="0" w:color="auto"/>
              <w:right w:val="single" w:sz="4" w:space="0" w:color="auto"/>
            </w:tcBorders>
            <w:vAlign w:val="center"/>
          </w:tcPr>
          <w:p w14:paraId="458AF326" w14:textId="666E7DB0" w:rsidR="002D2D09" w:rsidRDefault="002D2D09" w:rsidP="00B8140F">
            <w:pPr>
              <w:jc w:val="left"/>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E9ECB26" w14:textId="77777777" w:rsidR="002D2D09" w:rsidRPr="0000352D" w:rsidRDefault="002D2D09" w:rsidP="00B8140F">
            <w:pPr>
              <w:jc w:val="left"/>
              <w:rPr>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2CE4628C" w14:textId="77777777" w:rsidR="002D2D09" w:rsidRPr="0000352D" w:rsidRDefault="002D2D09" w:rsidP="00B8140F">
            <w:pPr>
              <w:jc w:val="left"/>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EFF5FB"/>
            <w:vAlign w:val="center"/>
          </w:tcPr>
          <w:p w14:paraId="50A56482" w14:textId="1AB14A71" w:rsidR="002D2D09" w:rsidRDefault="002D2D09" w:rsidP="00B8140F">
            <w:pPr>
              <w:jc w:val="left"/>
              <w:rPr>
                <w:sz w:val="20"/>
                <w:szCs w:val="20"/>
              </w:rPr>
            </w:pPr>
            <w:r>
              <w:rPr>
                <w:sz w:val="20"/>
                <w:szCs w:val="20"/>
              </w:rPr>
              <w:t xml:space="preserve">K, Mg, </w:t>
            </w:r>
            <w:proofErr w:type="spellStart"/>
            <w:r>
              <w:rPr>
                <w:sz w:val="20"/>
                <w:szCs w:val="20"/>
              </w:rPr>
              <w:t>Ca</w:t>
            </w:r>
            <w:r>
              <w:rPr>
                <w:sz w:val="20"/>
                <w:szCs w:val="20"/>
                <w:vertAlign w:val="subscript"/>
              </w:rPr>
              <w:t>santé</w:t>
            </w:r>
            <w:proofErr w:type="spellEnd"/>
          </w:p>
        </w:tc>
        <w:tc>
          <w:tcPr>
            <w:tcW w:w="4387" w:type="dxa"/>
            <w:tcBorders>
              <w:top w:val="single" w:sz="4" w:space="0" w:color="auto"/>
              <w:left w:val="single" w:sz="4" w:space="0" w:color="auto"/>
              <w:bottom w:val="single" w:sz="4" w:space="0" w:color="auto"/>
              <w:right w:val="single" w:sz="4" w:space="0" w:color="auto"/>
            </w:tcBorders>
            <w:vAlign w:val="center"/>
          </w:tcPr>
          <w:p w14:paraId="740DAC49" w14:textId="1E818594" w:rsidR="002D2D09" w:rsidRDefault="002D2D09" w:rsidP="00B8140F">
            <w:pPr>
              <w:jc w:val="left"/>
              <w:rPr>
                <w:sz w:val="20"/>
                <w:szCs w:val="20"/>
              </w:rPr>
            </w:pPr>
            <w:r>
              <w:rPr>
                <w:sz w:val="20"/>
                <w:szCs w:val="20"/>
              </w:rPr>
              <w:t xml:space="preserve">Gammes optimales selon la valeur de la CEC </w:t>
            </w:r>
            <w:r>
              <w:rPr>
                <w:sz w:val="20"/>
                <w:szCs w:val="20"/>
              </w:rPr>
              <w:fldChar w:fldCharType="begin"/>
            </w:r>
            <w:r>
              <w:rPr>
                <w:sz w:val="20"/>
                <w:szCs w:val="20"/>
              </w:rPr>
              <w:instrText xml:space="preserve"> ADDIN ZOTERO_ITEM CSL_CITATION {"citationID":"3UcgKtPk","properties":{"unsorted":false,"formattedCitation":"(Dombret, 2022)","plainCitation":"(Dombret, 2022)","noteIndex":0},"citationItems":[{"id":121,"uris":["http://zotero.org/groups/5684833/items/I22FDLA8"],"itemData":{"id":121,"type":"article-magazine","container-title":"Biowallonie","issue":"63","title":"Interpréter l'analyse de terre pour la culture maraîchère : comprendre les résultats (3/3)","URL":"https://www.biowallonie.com/wp-content/uploads/2022/04/Brochure_A4_ITBIO63_web.pdf","volume":"Itinéraires BIO","author":[{"family":"Dombret","given":"Laurence"}],"issued":{"date-parts":[["2022"]]}}}],"schema":"https://github.com/citation-style-language/schema/raw/master/csl-citation.json"} </w:instrText>
            </w:r>
            <w:r>
              <w:rPr>
                <w:sz w:val="20"/>
                <w:szCs w:val="20"/>
              </w:rPr>
              <w:fldChar w:fldCharType="separate"/>
            </w:r>
            <w:r w:rsidRPr="00450383">
              <w:rPr>
                <w:rFonts w:cs="Calibri"/>
                <w:sz w:val="20"/>
              </w:rPr>
              <w:t>(Dombret, 2022)</w:t>
            </w:r>
            <w:r>
              <w:rPr>
                <w:sz w:val="20"/>
                <w:szCs w:val="20"/>
              </w:rPr>
              <w:fldChar w:fldCharType="end"/>
            </w:r>
            <w:r>
              <w:rPr>
                <w:sz w:val="20"/>
                <w:szCs w:val="20"/>
              </w:rPr>
              <w:t xml:space="preserve"> </w:t>
            </w:r>
          </w:p>
        </w:tc>
      </w:tr>
    </w:tbl>
    <w:p w14:paraId="57146801" w14:textId="77777777" w:rsidR="00706A2D" w:rsidRDefault="00706A2D" w:rsidP="00706A2D"/>
    <w:p w14:paraId="0CC5644B" w14:textId="77777777" w:rsidR="00645760" w:rsidRDefault="00D92851" w:rsidP="00645760">
      <w:pPr>
        <w:keepNext/>
        <w:jc w:val="center"/>
      </w:pPr>
      <w:r>
        <w:rPr>
          <w:noProof/>
        </w:rPr>
        <w:lastRenderedPageBreak/>
        <w:drawing>
          <wp:inline distT="0" distB="0" distL="0" distR="0" wp14:anchorId="2F30A86F" wp14:editId="4A7B5673">
            <wp:extent cx="4251278" cy="3033745"/>
            <wp:effectExtent l="0" t="0" r="0" b="0"/>
            <wp:docPr id="1913714904"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63752" cy="3042646"/>
                    </a:xfrm>
                    <a:prstGeom prst="rect">
                      <a:avLst/>
                    </a:prstGeom>
                    <a:noFill/>
                    <a:ln>
                      <a:noFill/>
                    </a:ln>
                  </pic:spPr>
                </pic:pic>
              </a:graphicData>
            </a:graphic>
          </wp:inline>
        </w:drawing>
      </w:r>
    </w:p>
    <w:p w14:paraId="4F03B4BC" w14:textId="77768D8F" w:rsidR="00D92851" w:rsidRPr="00645760" w:rsidRDefault="00645760" w:rsidP="00645760">
      <w:pPr>
        <w:pStyle w:val="Lgende"/>
        <w:jc w:val="center"/>
        <w:rPr>
          <w:i w:val="0"/>
          <w:iCs w:val="0"/>
        </w:rPr>
      </w:pPr>
      <w:bookmarkStart w:id="105" w:name="_Toc241505117"/>
      <w:r w:rsidRPr="00645760">
        <w:rPr>
          <w:i w:val="0"/>
          <w:iCs w:val="0"/>
        </w:rPr>
        <w:t xml:space="preserve">Figure </w:t>
      </w:r>
      <w:r w:rsidRPr="00645760">
        <w:rPr>
          <w:i w:val="0"/>
          <w:iCs w:val="0"/>
        </w:rPr>
        <w:fldChar w:fldCharType="begin"/>
      </w:r>
      <w:r w:rsidRPr="00645760">
        <w:rPr>
          <w:i w:val="0"/>
          <w:iCs w:val="0"/>
        </w:rPr>
        <w:instrText xml:space="preserve"> SEQ Figure \* ARABIC </w:instrText>
      </w:r>
      <w:r w:rsidRPr="00645760">
        <w:rPr>
          <w:i w:val="0"/>
          <w:iCs w:val="0"/>
        </w:rPr>
        <w:fldChar w:fldCharType="separate"/>
      </w:r>
      <w:r w:rsidR="00B90382">
        <w:rPr>
          <w:i w:val="0"/>
          <w:iCs w:val="0"/>
          <w:noProof/>
        </w:rPr>
        <w:t>11</w:t>
      </w:r>
      <w:r w:rsidRPr="00645760">
        <w:rPr>
          <w:i w:val="0"/>
          <w:iCs w:val="0"/>
        </w:rPr>
        <w:fldChar w:fldCharType="end"/>
      </w:r>
      <w:r w:rsidRPr="00645760">
        <w:rPr>
          <w:i w:val="0"/>
          <w:iCs w:val="0"/>
        </w:rPr>
        <w:t xml:space="preserve"> : Exemple de fonction d'interprétation pour l’indicateur K disponible (fonction Nutrition, SE Production – cultures)</w:t>
      </w:r>
      <w:r w:rsidR="00B90382">
        <w:rPr>
          <w:rStyle w:val="Appelnotedebasdep"/>
          <w:i w:val="0"/>
          <w:iCs w:val="0"/>
        </w:rPr>
        <w:footnoteReference w:id="7"/>
      </w:r>
      <w:r w:rsidRPr="00645760">
        <w:rPr>
          <w:i w:val="0"/>
          <w:iCs w:val="0"/>
        </w:rPr>
        <w:t> : référentiel de qualité</w:t>
      </w:r>
      <w:bookmarkEnd w:id="105"/>
    </w:p>
    <w:p w14:paraId="7635AE16" w14:textId="77777777" w:rsidR="00D92851" w:rsidRDefault="00D92851" w:rsidP="00706A2D"/>
    <w:p w14:paraId="18686ACF" w14:textId="77777777" w:rsidR="00645760" w:rsidRDefault="00D92851" w:rsidP="00645760">
      <w:pPr>
        <w:keepNext/>
        <w:jc w:val="center"/>
      </w:pPr>
      <w:r>
        <w:rPr>
          <w:noProof/>
        </w:rPr>
        <w:drawing>
          <wp:inline distT="0" distB="0" distL="0" distR="0" wp14:anchorId="769BAD38" wp14:editId="051D275A">
            <wp:extent cx="4350942" cy="3104866"/>
            <wp:effectExtent l="0" t="0" r="0" b="635"/>
            <wp:docPr id="392720730"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58555" cy="3110299"/>
                    </a:xfrm>
                    <a:prstGeom prst="rect">
                      <a:avLst/>
                    </a:prstGeom>
                    <a:noFill/>
                    <a:ln>
                      <a:noFill/>
                    </a:ln>
                  </pic:spPr>
                </pic:pic>
              </a:graphicData>
            </a:graphic>
          </wp:inline>
        </w:drawing>
      </w:r>
    </w:p>
    <w:p w14:paraId="4A483E49" w14:textId="543B86AB" w:rsidR="00D92851" w:rsidRPr="00645760" w:rsidRDefault="00645760" w:rsidP="00645760">
      <w:pPr>
        <w:pStyle w:val="Lgende"/>
        <w:jc w:val="center"/>
        <w:rPr>
          <w:i w:val="0"/>
          <w:iCs w:val="0"/>
        </w:rPr>
      </w:pPr>
      <w:bookmarkStart w:id="106" w:name="_Toc241505118"/>
      <w:r w:rsidRPr="00645760">
        <w:rPr>
          <w:i w:val="0"/>
          <w:iCs w:val="0"/>
        </w:rPr>
        <w:t xml:space="preserve">Figure </w:t>
      </w:r>
      <w:r w:rsidRPr="00645760">
        <w:rPr>
          <w:i w:val="0"/>
          <w:iCs w:val="0"/>
        </w:rPr>
        <w:fldChar w:fldCharType="begin"/>
      </w:r>
      <w:r w:rsidRPr="00645760">
        <w:rPr>
          <w:i w:val="0"/>
          <w:iCs w:val="0"/>
        </w:rPr>
        <w:instrText xml:space="preserve"> SEQ Figure \* ARABIC </w:instrText>
      </w:r>
      <w:r w:rsidRPr="00645760">
        <w:rPr>
          <w:i w:val="0"/>
          <w:iCs w:val="0"/>
        </w:rPr>
        <w:fldChar w:fldCharType="separate"/>
      </w:r>
      <w:r w:rsidR="00B90382">
        <w:rPr>
          <w:i w:val="0"/>
          <w:iCs w:val="0"/>
          <w:noProof/>
        </w:rPr>
        <w:t>12</w:t>
      </w:r>
      <w:r w:rsidRPr="00645760">
        <w:rPr>
          <w:i w:val="0"/>
          <w:iCs w:val="0"/>
        </w:rPr>
        <w:fldChar w:fldCharType="end"/>
      </w:r>
      <w:r w:rsidRPr="00645760">
        <w:rPr>
          <w:i w:val="0"/>
          <w:iCs w:val="0"/>
        </w:rPr>
        <w:t xml:space="preserve"> : Exemple de fonction d'interprétation pour l’indicateur K disponible (fonction Nutrition, SE Production – cultures) : référentiel de santé</w:t>
      </w:r>
      <w:bookmarkEnd w:id="106"/>
    </w:p>
    <w:p w14:paraId="5F6C43C1" w14:textId="2838908C" w:rsidR="00706A2D" w:rsidRDefault="00E825F3" w:rsidP="00876101">
      <w:pPr>
        <w:pStyle w:val="Titre2"/>
        <w:numPr>
          <w:ilvl w:val="1"/>
          <w:numId w:val="3"/>
        </w:numPr>
      </w:pPr>
      <w:bookmarkStart w:id="107" w:name="_Ref232412929"/>
      <w:bookmarkStart w:id="108" w:name="_Toc241505303"/>
      <w:r>
        <w:lastRenderedPageBreak/>
        <w:t>Éléments traces métalliques</w:t>
      </w:r>
      <w:r w:rsidR="00C0697E">
        <w:t xml:space="preserve"> et polluants organiques</w:t>
      </w:r>
      <w:bookmarkEnd w:id="107"/>
      <w:bookmarkEnd w:id="108"/>
    </w:p>
    <w:p w14:paraId="57702305" w14:textId="77777777" w:rsidR="00706A2D" w:rsidRDefault="00706A2D" w:rsidP="00876101">
      <w:pPr>
        <w:pStyle w:val="Titre3"/>
        <w:numPr>
          <w:ilvl w:val="2"/>
          <w:numId w:val="3"/>
        </w:numPr>
      </w:pPr>
      <w:bookmarkStart w:id="109" w:name="_Toc241505304"/>
      <w:r>
        <w:t>Définition</w:t>
      </w:r>
      <w:bookmarkEnd w:id="109"/>
    </w:p>
    <w:p w14:paraId="784D375E" w14:textId="0C4BDC65" w:rsidR="00C0697E" w:rsidRPr="00C0697E" w:rsidRDefault="00C0697E" w:rsidP="00C0697E">
      <w:r>
        <w:t xml:space="preserve">Les polluants normés au sens du Décret sols sont </w:t>
      </w:r>
      <w:r w:rsidR="00652067">
        <w:t>analysés dans le cadre de l’IQSW-pro en cas de suspicion de pollution, c’est-à-dire en cas de signes organoleptiques</w:t>
      </w:r>
      <w:r w:rsidR="00ED7075">
        <w:t xml:space="preserve">, </w:t>
      </w:r>
      <w:r w:rsidR="007E6B09">
        <w:t>de matériaux suspects</w:t>
      </w:r>
      <w:r w:rsidR="00652067">
        <w:t xml:space="preserve"> détectés ou d’un</w:t>
      </w:r>
      <w:r w:rsidR="7062ABF7">
        <w:t>e suspicion de pollution sur base de l’</w:t>
      </w:r>
      <w:r w:rsidR="00652067">
        <w:t xml:space="preserve">historique </w:t>
      </w:r>
      <w:r w:rsidR="4F132F6E">
        <w:t>du site</w:t>
      </w:r>
      <w:r w:rsidR="00652067">
        <w:t xml:space="preserve">. </w:t>
      </w:r>
      <w:r w:rsidR="00C05E48">
        <w:t>Les polluants visés regroupent</w:t>
      </w:r>
      <w:r w:rsidR="34190388">
        <w:t xml:space="preserve"> </w:t>
      </w:r>
      <w:proofErr w:type="gramStart"/>
      <w:r w:rsidR="34190388" w:rsidRPr="48222D96">
        <w:rPr>
          <w:i/>
          <w:iCs/>
        </w:rPr>
        <w:t>a</w:t>
      </w:r>
      <w:proofErr w:type="gramEnd"/>
      <w:r w:rsidR="34190388" w:rsidRPr="48222D96">
        <w:rPr>
          <w:i/>
          <w:iCs/>
        </w:rPr>
        <w:t xml:space="preserve"> minima</w:t>
      </w:r>
      <w:r w:rsidR="00C05E48">
        <w:t> </w:t>
      </w:r>
      <w:r w:rsidR="008C39CA">
        <w:t xml:space="preserve">le paquet standard d’analyse, c’est-à-dire </w:t>
      </w:r>
      <w:r w:rsidR="43F2D740">
        <w:t>les</w:t>
      </w:r>
      <w:r w:rsidR="00C05E48">
        <w:t xml:space="preserve"> </w:t>
      </w:r>
      <w:r w:rsidR="008C39CA">
        <w:t>éléments traces métalliques</w:t>
      </w:r>
      <w:r w:rsidR="7E98E31A">
        <w:t xml:space="preserve"> (ETM)</w:t>
      </w:r>
      <w:r w:rsidR="008C39CA">
        <w:t xml:space="preserve">, </w:t>
      </w:r>
      <w:r w:rsidR="02B256DE">
        <w:t xml:space="preserve">tels que </w:t>
      </w:r>
      <w:r w:rsidR="00C05E48">
        <w:t>As</w:t>
      </w:r>
      <w:r w:rsidR="66DEB295">
        <w:t xml:space="preserve"> et</w:t>
      </w:r>
      <w:r w:rsidR="00C05E48">
        <w:t xml:space="preserve"> Cd</w:t>
      </w:r>
      <w:r w:rsidR="410B8F8B">
        <w:t>,</w:t>
      </w:r>
      <w:r w:rsidR="00C05E48">
        <w:t xml:space="preserve"> et les polluants organiques</w:t>
      </w:r>
      <w:r w:rsidR="386FA748">
        <w:t xml:space="preserve"> les plus fréquemment rencontrés</w:t>
      </w:r>
      <w:r w:rsidR="00206EA0">
        <w:t> </w:t>
      </w:r>
      <w:r w:rsidR="5B903FE3">
        <w:t xml:space="preserve">dans les études de pollution du sol, à savoir les </w:t>
      </w:r>
      <w:r w:rsidR="00E825F3">
        <w:t>hydrocarbures aromatiques polycycliques (</w:t>
      </w:r>
      <w:r w:rsidR="00206EA0">
        <w:t>HAP</w:t>
      </w:r>
      <w:r w:rsidR="00E825F3">
        <w:t>)</w:t>
      </w:r>
      <w:r w:rsidR="00206EA0">
        <w:t xml:space="preserve">, </w:t>
      </w:r>
      <w:r w:rsidR="00E825F3">
        <w:t>les huiles minérales (HM)</w:t>
      </w:r>
      <w:r w:rsidR="00206EA0">
        <w:t xml:space="preserve">, </w:t>
      </w:r>
      <w:r w:rsidR="00E825F3">
        <w:t>les solvants chlorés (</w:t>
      </w:r>
      <w:r w:rsidR="00206EA0">
        <w:t>HCOV</w:t>
      </w:r>
      <w:r w:rsidR="00E825F3">
        <w:t>)</w:t>
      </w:r>
      <w:r w:rsidR="00847EF5">
        <w:t xml:space="preserve"> et </w:t>
      </w:r>
      <w:r w:rsidR="00013272">
        <w:t>une catégorie regroupant le benzène, le toluène, l’éthylbenzène et les xylènes (BTEX)</w:t>
      </w:r>
      <w:r w:rsidR="00206EA0">
        <w:t>.</w:t>
      </w:r>
      <w:r w:rsidR="6896DA6F">
        <w:t xml:space="preserve"> En fonction</w:t>
      </w:r>
      <w:r w:rsidR="69D33478">
        <w:t xml:space="preserve"> des constats et/ou suspicions, d’autres paramètres peuvent être analysés. Ils ne sont pas encodés de base dans l’outil IQSW-pro, mais pou</w:t>
      </w:r>
      <w:r w:rsidR="73CA87D4">
        <w:t>r</w:t>
      </w:r>
      <w:r w:rsidR="69D33478">
        <w:t>raient être r</w:t>
      </w:r>
      <w:r w:rsidR="02AC388F">
        <w:t>a</w:t>
      </w:r>
      <w:r w:rsidR="69D33478">
        <w:t>joutés dans une versi</w:t>
      </w:r>
      <w:r w:rsidR="1087515D">
        <w:t>on ultérieure de l’outil.</w:t>
      </w:r>
      <w:r w:rsidR="69D33478">
        <w:t xml:space="preserve"> </w:t>
      </w:r>
      <w:r w:rsidR="6896DA6F">
        <w:t xml:space="preserve"> </w:t>
      </w:r>
    </w:p>
    <w:p w14:paraId="048EED9A" w14:textId="77777777" w:rsidR="00706A2D" w:rsidRDefault="00706A2D" w:rsidP="00876101">
      <w:pPr>
        <w:pStyle w:val="Titre3"/>
        <w:numPr>
          <w:ilvl w:val="2"/>
          <w:numId w:val="3"/>
        </w:numPr>
      </w:pPr>
      <w:bookmarkStart w:id="110" w:name="_Toc241505305"/>
      <w:r>
        <w:t>Pertinence</w:t>
      </w:r>
      <w:bookmarkEnd w:id="110"/>
    </w:p>
    <w:p w14:paraId="72F864FA" w14:textId="79D4043F" w:rsidR="006F77E7" w:rsidRPr="00206EA0" w:rsidRDefault="00206EA0" w:rsidP="00206EA0">
      <w:r>
        <w:t xml:space="preserve">L’objectif de l’IQSW-pro est </w:t>
      </w:r>
      <w:r w:rsidR="002B77DF">
        <w:t xml:space="preserve">de diagnostiquer la capacité actuelle ou potentielle du sol à remplir des </w:t>
      </w:r>
      <w:r w:rsidR="000100FD">
        <w:t>services écosystémiques</w:t>
      </w:r>
      <w:r w:rsidR="00A70518">
        <w:t xml:space="preserve">. Dans ce sens, </w:t>
      </w:r>
      <w:r w:rsidR="002046A5">
        <w:t>la présence de polluants dans le sol peut déclasser</w:t>
      </w:r>
      <w:r w:rsidR="00A70518">
        <w:t xml:space="preserve"> l’adéquation </w:t>
      </w:r>
      <w:r w:rsidR="002046A5">
        <w:t xml:space="preserve">d’un sol </w:t>
      </w:r>
      <w:r w:rsidR="00D35088">
        <w:t xml:space="preserve">avec un usage donné, en raison des risques sanitaires </w:t>
      </w:r>
      <w:r w:rsidR="00941631">
        <w:t xml:space="preserve">ou environnementaux </w:t>
      </w:r>
      <w:r w:rsidR="00D35088">
        <w:t xml:space="preserve">engendrés par la pollution. </w:t>
      </w:r>
      <w:r w:rsidR="00941631">
        <w:t>Les polluants sont donc des paramètres incontournables d’un diagnostic IQSW-pro</w:t>
      </w:r>
      <w:r w:rsidR="165F2D77">
        <w:t xml:space="preserve"> en cas de suspicion</w:t>
      </w:r>
      <w:r w:rsidR="00941631">
        <w:t>.</w:t>
      </w:r>
    </w:p>
    <w:p w14:paraId="2F9D1E51" w14:textId="77777777" w:rsidR="00706A2D" w:rsidRDefault="00706A2D" w:rsidP="00876101">
      <w:pPr>
        <w:pStyle w:val="Titre3"/>
        <w:numPr>
          <w:ilvl w:val="2"/>
          <w:numId w:val="3"/>
        </w:numPr>
      </w:pPr>
      <w:bookmarkStart w:id="111" w:name="_Toc241505306"/>
      <w:r>
        <w:t>Méthode de mesure</w:t>
      </w:r>
      <w:bookmarkEnd w:id="111"/>
    </w:p>
    <w:p w14:paraId="39A0E896" w14:textId="0F4AC7E8" w:rsidR="00706A2D" w:rsidRPr="000F6E17" w:rsidRDefault="00800F35" w:rsidP="00706A2D">
      <w:r>
        <w:t>L’analyse des polluants doit être réalisée en conformité avec les préconisations du CWEA</w:t>
      </w:r>
      <w:r w:rsidR="008744DD">
        <w:t xml:space="preserve"> </w:t>
      </w:r>
      <w:r w:rsidR="004E5493">
        <w:fldChar w:fldCharType="begin"/>
      </w:r>
      <w:r w:rsidR="004E5493">
        <w:instrText xml:space="preserve"> ADDIN ZOTERO_ITEM CSL_CITATION {"citationID":"n2t3WMb0","properties":{"unsorted":false,"formattedCitation":"(ISSeP, 2023b)","plainCitation":"(ISSeP, 2023b)","noteIndex":0},"citationItems":[{"id":622,"uris":["http://zotero.org/groups/5684833/items/IDPY968G"],"itemData":{"id":622,"type":"webpage","abstract":"Issep","language":"fr","title":"Compendium Wallon des méthodes d'Échantillonnage et d'Analyse (CWEA)","URL":"https://cwea.issep.be/","author":[{"family":"ISSeP","given":""}],"accessed":{"date-parts":[["2026",6,23]]},"issued":{"date-parts":[["2023"]]}}}],"schema":"https://github.com/citation-style-language/schema/raw/master/csl-citation.json"} </w:instrText>
      </w:r>
      <w:r w:rsidR="004E5493">
        <w:fldChar w:fldCharType="separate"/>
      </w:r>
      <w:r w:rsidR="004E5493" w:rsidRPr="004E5493">
        <w:rPr>
          <w:rFonts w:cs="Calibri"/>
        </w:rPr>
        <w:t>(ISSeP, 2023b)</w:t>
      </w:r>
      <w:r w:rsidR="004E5493">
        <w:fldChar w:fldCharType="end"/>
      </w:r>
      <w:r>
        <w:t>.</w:t>
      </w:r>
    </w:p>
    <w:p w14:paraId="6D079031" w14:textId="77777777" w:rsidR="00706A2D" w:rsidRDefault="00706A2D" w:rsidP="00876101">
      <w:pPr>
        <w:pStyle w:val="Titre3"/>
        <w:numPr>
          <w:ilvl w:val="2"/>
          <w:numId w:val="3"/>
        </w:numPr>
      </w:pPr>
      <w:bookmarkStart w:id="112" w:name="_Toc241505307"/>
      <w:r w:rsidRPr="00C23A2C">
        <w:t>Interprétation</w:t>
      </w:r>
      <w:bookmarkEnd w:id="112"/>
    </w:p>
    <w:p w14:paraId="6AE70D0F" w14:textId="4F0A7212" w:rsidR="00CA630C" w:rsidRDefault="00030846" w:rsidP="00941631">
      <w:r>
        <w:t xml:space="preserve">Les polluants interviennent en tant que </w:t>
      </w:r>
      <w:r w:rsidR="0057083E">
        <w:t>contrainte</w:t>
      </w:r>
      <w:r>
        <w:t xml:space="preserve"> </w:t>
      </w:r>
      <w:r w:rsidR="00E912C4">
        <w:t xml:space="preserve">pour </w:t>
      </w:r>
      <w:r w:rsidR="00EF28C3">
        <w:t>le</w:t>
      </w:r>
      <w:r w:rsidR="000100FD">
        <w:t>s</w:t>
      </w:r>
      <w:r w:rsidR="00EF28C3">
        <w:t xml:space="preserve"> </w:t>
      </w:r>
      <w:r w:rsidR="000100FD">
        <w:t>services écosystémiques</w:t>
      </w:r>
      <w:r w:rsidR="00EF28C3">
        <w:t xml:space="preserve"> </w:t>
      </w:r>
      <w:r w:rsidR="00E912C4" w:rsidRPr="00EF28C3">
        <w:rPr>
          <w:i/>
          <w:iCs/>
        </w:rPr>
        <w:t>Production</w:t>
      </w:r>
      <w:r w:rsidR="00E912C4">
        <w:t xml:space="preserve"> </w:t>
      </w:r>
      <w:r w:rsidR="00EF28C3">
        <w:t xml:space="preserve">(toutes </w:t>
      </w:r>
      <w:r w:rsidR="00E912C4">
        <w:t>catégories d’usages</w:t>
      </w:r>
      <w:r w:rsidR="00EF28C3">
        <w:t>)</w:t>
      </w:r>
      <w:r w:rsidR="00E912C4">
        <w:t xml:space="preserve"> et</w:t>
      </w:r>
      <w:r w:rsidR="00EF28C3">
        <w:t xml:space="preserve"> </w:t>
      </w:r>
      <w:r w:rsidR="00E912C4" w:rsidRPr="00EF28C3">
        <w:rPr>
          <w:i/>
          <w:iCs/>
        </w:rPr>
        <w:t xml:space="preserve">Protection des </w:t>
      </w:r>
      <w:r w:rsidR="00592081">
        <w:rPr>
          <w:i/>
          <w:iCs/>
        </w:rPr>
        <w:t>n</w:t>
      </w:r>
      <w:r w:rsidR="00E912C4" w:rsidRPr="00EF28C3">
        <w:rPr>
          <w:i/>
          <w:iCs/>
        </w:rPr>
        <w:t>appes</w:t>
      </w:r>
      <w:r w:rsidR="00E912C4">
        <w:t>.</w:t>
      </w:r>
      <w:r w:rsidR="0057083E">
        <w:t xml:space="preserve"> </w:t>
      </w:r>
      <w:r w:rsidR="1ACB20F9">
        <w:t>Ils interviennent aussi comme complément indicatif dans le</w:t>
      </w:r>
      <w:r w:rsidR="000100FD">
        <w:t>s</w:t>
      </w:r>
      <w:r w:rsidR="1ACB20F9">
        <w:t xml:space="preserve"> </w:t>
      </w:r>
      <w:r w:rsidR="000100FD">
        <w:t xml:space="preserve">services </w:t>
      </w:r>
      <w:r w:rsidR="1ACB20F9" w:rsidRPr="0059280D">
        <w:rPr>
          <w:i/>
          <w:iCs/>
        </w:rPr>
        <w:t>Potentiel d’accueil pour une végétation diversifiée</w:t>
      </w:r>
      <w:r w:rsidR="1ACB20F9">
        <w:t xml:space="preserve"> et</w:t>
      </w:r>
      <w:r w:rsidR="000100FD">
        <w:t xml:space="preserve"> </w:t>
      </w:r>
      <w:r w:rsidR="1ACB20F9" w:rsidRPr="0059280D">
        <w:rPr>
          <w:i/>
          <w:iCs/>
        </w:rPr>
        <w:t>Biodiversité du sol</w:t>
      </w:r>
      <w:r w:rsidR="1ACB20F9">
        <w:t>.</w:t>
      </w:r>
    </w:p>
    <w:p w14:paraId="755913DC" w14:textId="1C0001F3" w:rsidR="00CA630C" w:rsidRDefault="0057083E" w:rsidP="00941631">
      <w:r>
        <w:t xml:space="preserve">En cas de suspicion de pollution, </w:t>
      </w:r>
      <w:r w:rsidR="00130A1E">
        <w:t xml:space="preserve">les valeurs mesurées des polluants sont mises en perspective </w:t>
      </w:r>
      <w:r w:rsidR="0057401E">
        <w:t xml:space="preserve">avec </w:t>
      </w:r>
      <w:r w:rsidR="00266716">
        <w:t>des valeurs de référence liées au Décret sols</w:t>
      </w:r>
      <w:r w:rsidR="00CA630C">
        <w:t xml:space="preserve"> (valeurs seuils et valeurs de risque).</w:t>
      </w:r>
    </w:p>
    <w:p w14:paraId="6B788D61" w14:textId="6682BF37" w:rsidR="00CA630C" w:rsidRDefault="000100FD" w:rsidP="005A77EC">
      <w:pPr>
        <w:pStyle w:val="Titre4"/>
        <w:numPr>
          <w:ilvl w:val="0"/>
          <w:numId w:val="0"/>
        </w:numPr>
      </w:pPr>
      <w:r>
        <w:t>Service</w:t>
      </w:r>
      <w:r w:rsidR="00CA630C" w:rsidRPr="00266716">
        <w:t xml:space="preserve"> Production</w:t>
      </w:r>
    </w:p>
    <w:p w14:paraId="1CAA9807" w14:textId="201506D4" w:rsidR="007166C0" w:rsidRDefault="007166C0" w:rsidP="007166C0">
      <w:r>
        <w:t>Le coefficient de contrainte lié à la présence d’un (ou plusieurs) polluant(s) sur la zone étudiée se calcule via l’équation suivante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2" w:type="dxa"/>
          <w:bottom w:w="142" w:type="dxa"/>
        </w:tblCellMar>
        <w:tblLook w:val="04A0" w:firstRow="1" w:lastRow="0" w:firstColumn="1" w:lastColumn="0" w:noHBand="0" w:noVBand="1"/>
      </w:tblPr>
      <w:tblGrid>
        <w:gridCol w:w="8609"/>
        <w:gridCol w:w="461"/>
      </w:tblGrid>
      <w:tr w:rsidR="007166C0" w14:paraId="5A30B2C3" w14:textId="77777777" w:rsidTr="007D314D">
        <w:trPr>
          <w:trHeight w:val="776"/>
        </w:trPr>
        <w:tc>
          <w:tcPr>
            <w:tcW w:w="8642" w:type="dxa"/>
            <w:vAlign w:val="center"/>
          </w:tcPr>
          <w:p w14:paraId="5797092D" w14:textId="6DB75BD7" w:rsidR="007166C0" w:rsidRPr="00D051CA" w:rsidRDefault="00437C8C" w:rsidP="004306AE">
            <w:pPr>
              <w:jc w:val="center"/>
              <w:rPr>
                <w:iCs/>
              </w:rPr>
            </w:pPr>
            <m:oMathPara>
              <m:oMath>
                <m:sSub>
                  <m:sSubPr>
                    <m:ctrlPr>
                      <w:rPr>
                        <w:rFonts w:ascii="Cambria Math" w:hAnsi="Cambria Math" w:cs="Cambria Math"/>
                        <w:iCs/>
                      </w:rPr>
                    </m:ctrlPr>
                  </m:sSubPr>
                  <m:e>
                    <m:r>
                      <m:rPr>
                        <m:sty m:val="p"/>
                      </m:rPr>
                      <w:rPr>
                        <w:rFonts w:ascii="Cambria Math" w:hAnsi="Cambria Math" w:cs="Cambria Math"/>
                      </w:rPr>
                      <m:t>C</m:t>
                    </m:r>
                  </m:e>
                  <m:sub>
                    <m:r>
                      <m:rPr>
                        <m:sty m:val="p"/>
                      </m:rPr>
                      <w:rPr>
                        <w:rFonts w:ascii="Cambria Math" w:hAnsi="Cambria Math" w:cs="Cambria Math"/>
                      </w:rPr>
                      <m:t>pollution</m:t>
                    </m:r>
                  </m:sub>
                </m:sSub>
                <m:r>
                  <m:rPr>
                    <m:sty m:val="p"/>
                  </m:rPr>
                  <w:rPr>
                    <w:rFonts w:ascii="Cambria Math" w:hAnsi="Cambria Math" w:cs="Cambria Math"/>
                  </w:rPr>
                  <m:t xml:space="preserve"> </m:t>
                </m:r>
                <m:d>
                  <m:dPr>
                    <m:begChr m:val="["/>
                    <m:endChr m:val="]"/>
                    <m:ctrlPr>
                      <w:rPr>
                        <w:rFonts w:ascii="Cambria Math" w:hAnsi="Cambria Math" w:cs="Cambria Math"/>
                        <w:iCs/>
                      </w:rPr>
                    </m:ctrlPr>
                  </m:dPr>
                  <m:e>
                    <m:r>
                      <m:rPr>
                        <m:sty m:val="p"/>
                      </m:rPr>
                      <w:rPr>
                        <w:rFonts w:ascii="Cambria Math" w:hAnsi="Cambria Math" w:cs="Cambria Math"/>
                      </w:rPr>
                      <m:t>0;1</m:t>
                    </m:r>
                  </m:e>
                </m:d>
                <m:r>
                  <m:rPr>
                    <m:sty m:val="p"/>
                  </m:rPr>
                  <w:rPr>
                    <w:rFonts w:ascii="Cambria Math" w:hAnsi="Cambria Math" w:cs="Cambria Math"/>
                  </w:rPr>
                  <m:t>=</m:t>
                </m:r>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Score</m:t>
                    </m:r>
                  </m:e>
                  <m:sub>
                    <m:r>
                      <m:rPr>
                        <m:sty m:val="p"/>
                      </m:rPr>
                      <w:rPr>
                        <w:rFonts w:ascii="Cambria Math" w:hAnsi="Cambria Math"/>
                      </w:rPr>
                      <m:t>pollution</m:t>
                    </m:r>
                  </m:sub>
                </m:sSub>
                <m:r>
                  <m:rPr>
                    <m:sty m:val="p"/>
                  </m:rPr>
                  <w:rPr>
                    <w:rFonts w:ascii="Cambria Math" w:hAnsi="Cambria Math"/>
                  </w:rPr>
                  <m:t xml:space="preserve">= </m:t>
                </m:r>
                <m:f>
                  <m:fPr>
                    <m:ctrlPr>
                      <w:rPr>
                        <w:rFonts w:ascii="Cambria Math" w:hAnsi="Cambria Math"/>
                        <w:iCs/>
                      </w:rPr>
                    </m:ctrlPr>
                  </m:fPr>
                  <m:num>
                    <m:sSub>
                      <m:sSubPr>
                        <m:ctrlPr>
                          <w:rPr>
                            <w:rFonts w:ascii="Cambria Math" w:hAnsi="Cambria Math"/>
                            <w:iCs/>
                          </w:rPr>
                        </m:ctrlPr>
                      </m:sSubPr>
                      <m:e>
                        <m:sSub>
                          <m:sSubPr>
                            <m:ctrlPr>
                              <w:rPr>
                                <w:rFonts w:ascii="Cambria Math" w:hAnsi="Cambria Math"/>
                                <w:iCs/>
                              </w:rPr>
                            </m:ctrlPr>
                          </m:sSubPr>
                          <m:e>
                            <m:r>
                              <m:rPr>
                                <m:sty m:val="p"/>
                              </m:rPr>
                              <w:rPr>
                                <w:rFonts w:ascii="Cambria Math" w:hAnsi="Cambria Math"/>
                              </w:rPr>
                              <m:t>VSH</m:t>
                            </m:r>
                          </m:e>
                          <m:sub>
                            <m:r>
                              <m:rPr>
                                <m:sty m:val="p"/>
                              </m:rPr>
                              <w:rPr>
                                <w:rFonts w:ascii="Cambria Math" w:hAnsi="Cambria Math"/>
                              </w:rPr>
                              <m:t xml:space="preserve">polluant </m:t>
                            </m:r>
                          </m:sub>
                        </m:sSub>
                        <m:r>
                          <m:rPr>
                            <m:sty m:val="p"/>
                          </m:rPr>
                          <w:rPr>
                            <w:rFonts w:ascii="Cambria Math" w:hAnsi="Cambria Math"/>
                          </w:rPr>
                          <m:t>-</m:t>
                        </m:r>
                        <m:r>
                          <m:rPr>
                            <m:sty m:val="p"/>
                          </m:rPr>
                          <w:rPr>
                            <w:rFonts w:ascii="Cambria Math" w:hAnsi="Cambria Math"/>
                          </w:rPr>
                          <m:t xml:space="preserve"> Conc</m:t>
                        </m:r>
                      </m:e>
                      <m:sub>
                        <m:r>
                          <m:rPr>
                            <m:sty m:val="p"/>
                          </m:rPr>
                          <w:rPr>
                            <w:rFonts w:ascii="Cambria Math" w:hAnsi="Cambria Math"/>
                          </w:rPr>
                          <m:t>mesurée polluant</m:t>
                        </m:r>
                      </m:sub>
                    </m:sSub>
                  </m:num>
                  <m:den>
                    <m:sSub>
                      <m:sSubPr>
                        <m:ctrlPr>
                          <w:rPr>
                            <w:rFonts w:ascii="Cambria Math" w:hAnsi="Cambria Math"/>
                            <w:iCs/>
                          </w:rPr>
                        </m:ctrlPr>
                      </m:sSubPr>
                      <m:e>
                        <m:r>
                          <m:rPr>
                            <m:sty m:val="p"/>
                          </m:rPr>
                          <w:rPr>
                            <w:rFonts w:ascii="Cambria Math" w:hAnsi="Cambria Math"/>
                          </w:rPr>
                          <m:t>VSH</m:t>
                        </m:r>
                      </m:e>
                      <m:sub>
                        <m:r>
                          <m:rPr>
                            <m:sty m:val="p"/>
                          </m:rPr>
                          <w:rPr>
                            <w:rFonts w:ascii="Cambria Math" w:hAnsi="Cambria Math"/>
                          </w:rPr>
                          <m:t xml:space="preserve">polluant </m:t>
                        </m:r>
                      </m:sub>
                    </m:sSub>
                    <m:r>
                      <w:rPr>
                        <w:rFonts w:ascii="Cambria Math" w:hAnsi="Cambria Math"/>
                      </w:rPr>
                      <m:t>-</m:t>
                    </m:r>
                    <m:r>
                      <w:rPr>
                        <w:rFonts w:ascii="Cambria Math" w:hAnsi="Cambria Math"/>
                      </w:rPr>
                      <m:t xml:space="preserve"> </m:t>
                    </m:r>
                    <m:sSub>
                      <m:sSubPr>
                        <m:ctrlPr>
                          <w:rPr>
                            <w:rFonts w:ascii="Cambria Math" w:hAnsi="Cambria Math"/>
                          </w:rPr>
                        </m:ctrlPr>
                      </m:sSubPr>
                      <m:e>
                        <m:r>
                          <m:rPr>
                            <m:sty m:val="p"/>
                          </m:rPr>
                          <w:rPr>
                            <w:rFonts w:ascii="Cambria Math" w:hAnsi="Cambria Math"/>
                          </w:rPr>
                          <m:t>VS</m:t>
                        </m:r>
                      </m:e>
                      <m:sub>
                        <m:r>
                          <m:rPr>
                            <m:sty m:val="p"/>
                          </m:rPr>
                          <w:rPr>
                            <w:rFonts w:ascii="Cambria Math" w:hAnsi="Cambria Math"/>
                          </w:rPr>
                          <m:t>DS polluant</m:t>
                        </m:r>
                      </m:sub>
                    </m:sSub>
                  </m:den>
                </m:f>
              </m:oMath>
            </m:oMathPara>
          </w:p>
        </w:tc>
        <w:tc>
          <w:tcPr>
            <w:tcW w:w="418" w:type="dxa"/>
            <w:vAlign w:val="center"/>
          </w:tcPr>
          <w:p w14:paraId="5847EBDF" w14:textId="0649AC19" w:rsidR="007166C0" w:rsidRDefault="007166C0" w:rsidP="004306AE">
            <w:pPr>
              <w:jc w:val="center"/>
            </w:pPr>
            <w:r>
              <w:t>(</w:t>
            </w:r>
            <w:r w:rsidR="00A250D5">
              <w:t>1</w:t>
            </w:r>
            <w:r>
              <w:t>)</w:t>
            </w:r>
          </w:p>
        </w:tc>
      </w:tr>
    </w:tbl>
    <w:p w14:paraId="1946BA22" w14:textId="77777777" w:rsidR="007166C0" w:rsidRDefault="007166C0" w:rsidP="007166C0"/>
    <w:p w14:paraId="495F7548" w14:textId="77777777" w:rsidR="007166C0" w:rsidRPr="00B452FC" w:rsidRDefault="007166C0" w:rsidP="007166C0">
      <w:pPr>
        <w:rPr>
          <w:rFonts w:cs="Calibri"/>
          <w:sz w:val="20"/>
          <w:szCs w:val="20"/>
        </w:rPr>
      </w:pPr>
      <w:r w:rsidRPr="00B452FC">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487"/>
        <w:gridCol w:w="6583"/>
      </w:tblGrid>
      <w:tr w:rsidR="007166C0" w:rsidRPr="00B452FC" w14:paraId="1461C05C" w14:textId="77777777" w:rsidTr="005C0166">
        <w:trPr>
          <w:trHeight w:val="227"/>
        </w:trPr>
        <w:tc>
          <w:tcPr>
            <w:tcW w:w="2487" w:type="dxa"/>
          </w:tcPr>
          <w:p w14:paraId="6E231735" w14:textId="3C9356B5" w:rsidR="007166C0" w:rsidRPr="00B452FC" w:rsidRDefault="00437C8C" w:rsidP="009370DD">
            <w:pPr>
              <w:jc w:val="left"/>
              <w:rPr>
                <w:rFonts w:cs="Calibri"/>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Score</m:t>
                    </m:r>
                  </m:e>
                  <m:sub>
                    <m:r>
                      <m:rPr>
                        <m:sty m:val="p"/>
                      </m:rPr>
                      <w:rPr>
                        <w:rFonts w:ascii="Cambria Math" w:hAnsi="Cambria Math" w:cs="Calibri"/>
                        <w:sz w:val="20"/>
                        <w:szCs w:val="20"/>
                      </w:rPr>
                      <m:t>pollution</m:t>
                    </m:r>
                  </m:sub>
                </m:sSub>
              </m:oMath>
            </m:oMathPara>
          </w:p>
        </w:tc>
        <w:tc>
          <w:tcPr>
            <w:tcW w:w="6583" w:type="dxa"/>
          </w:tcPr>
          <w:p w14:paraId="533E341B" w14:textId="5A7A93DA" w:rsidR="007166C0" w:rsidRPr="00B452FC" w:rsidRDefault="00B74538" w:rsidP="009370DD">
            <w:pPr>
              <w:jc w:val="left"/>
              <w:rPr>
                <w:rFonts w:eastAsiaTheme="minorEastAsia" w:cs="Calibri"/>
                <w:sz w:val="20"/>
                <w:szCs w:val="20"/>
              </w:rPr>
            </w:pPr>
            <w:r w:rsidRPr="00B452FC">
              <w:rPr>
                <w:rFonts w:eastAsiaTheme="minorEastAsia" w:cs="Calibri"/>
                <w:sz w:val="20"/>
                <w:szCs w:val="20"/>
              </w:rPr>
              <w:t xml:space="preserve">Le score </w:t>
            </w:r>
            <w:r w:rsidR="00A15372" w:rsidRPr="00B452FC">
              <w:rPr>
                <w:rFonts w:eastAsiaTheme="minorEastAsia" w:cs="Calibri"/>
                <w:sz w:val="20"/>
                <w:szCs w:val="20"/>
              </w:rPr>
              <w:t xml:space="preserve">unique attribué à l’ensemble des polluants en les agrégant de la manière suivante : </w:t>
            </w:r>
            <w:proofErr w:type="gramStart"/>
            <w:r w:rsidR="00A15372" w:rsidRPr="00B452FC">
              <w:rPr>
                <w:rFonts w:eastAsiaTheme="minorEastAsia" w:cs="Calibri"/>
                <w:sz w:val="20"/>
                <w:szCs w:val="20"/>
              </w:rPr>
              <w:t>min(</w:t>
            </w:r>
            <w:proofErr w:type="gramEnd"/>
            <m:oMath>
              <m:sSub>
                <m:sSubPr>
                  <m:ctrlPr>
                    <w:rPr>
                      <w:rFonts w:ascii="Cambria Math" w:eastAsiaTheme="minorEastAsia" w:hAnsi="Cambria Math" w:cs="Calibri"/>
                      <w:iCs/>
                      <w:sz w:val="20"/>
                      <w:szCs w:val="20"/>
                    </w:rPr>
                  </m:ctrlPr>
                </m:sSubPr>
                <m:e>
                  <m:r>
                    <m:rPr>
                      <m:sty m:val="p"/>
                    </m:rPr>
                    <w:rPr>
                      <w:rFonts w:ascii="Cambria Math" w:eastAsiaTheme="minorEastAsia" w:hAnsi="Cambria Math" w:cs="Calibri"/>
                      <w:sz w:val="20"/>
                      <w:szCs w:val="20"/>
                    </w:rPr>
                    <m:t>Score</m:t>
                  </m:r>
                </m:e>
                <m:sub>
                  <m:r>
                    <m:rPr>
                      <m:sty m:val="p"/>
                    </m:rPr>
                    <w:rPr>
                      <w:rFonts w:ascii="Cambria Math" w:eastAsiaTheme="minorEastAsia" w:hAnsi="Cambria Math" w:cs="Calibri"/>
                      <w:sz w:val="20"/>
                      <w:szCs w:val="20"/>
                    </w:rPr>
                    <m:t>polluant</m:t>
                  </m:r>
                </m:sub>
              </m:sSub>
              <m:r>
                <w:rPr>
                  <w:rFonts w:ascii="Cambria Math" w:eastAsiaTheme="minorEastAsia" w:hAnsi="Cambria Math" w:cs="Calibri"/>
                  <w:sz w:val="20"/>
                  <w:szCs w:val="20"/>
                </w:rPr>
                <m:t>)</m:t>
              </m:r>
            </m:oMath>
            <w:r w:rsidR="00294553" w:rsidRPr="00B452FC">
              <w:rPr>
                <w:rFonts w:eastAsiaTheme="minorEastAsia" w:cs="Calibri"/>
                <w:sz w:val="20"/>
                <w:szCs w:val="20"/>
              </w:rPr>
              <w:t>, c’est-à-dire que si un polluant dépasse la valeur de risque considérée pour l’usage donné</w:t>
            </w:r>
            <w:r w:rsidR="001E2787" w:rsidRPr="00B452FC">
              <w:rPr>
                <w:rFonts w:eastAsiaTheme="minorEastAsia" w:cs="Calibri"/>
                <w:sz w:val="20"/>
                <w:szCs w:val="20"/>
              </w:rPr>
              <w:t xml:space="preserve"> (score attribué au polluant = 0), le </w:t>
            </w:r>
            <m:oMath>
              <m:sSub>
                <m:sSubPr>
                  <m:ctrlPr>
                    <w:rPr>
                      <w:rFonts w:ascii="Cambria Math" w:eastAsiaTheme="minorEastAsia" w:hAnsi="Cambria Math" w:cs="Calibri"/>
                      <w:iCs/>
                      <w:sz w:val="20"/>
                      <w:szCs w:val="20"/>
                    </w:rPr>
                  </m:ctrlPr>
                </m:sSubPr>
                <m:e>
                  <m:r>
                    <m:rPr>
                      <m:sty m:val="p"/>
                    </m:rPr>
                    <w:rPr>
                      <w:rFonts w:ascii="Cambria Math" w:eastAsiaTheme="minorEastAsia" w:hAnsi="Cambria Math" w:cs="Calibri"/>
                      <w:sz w:val="20"/>
                      <w:szCs w:val="20"/>
                    </w:rPr>
                    <m:t>Score</m:t>
                  </m:r>
                </m:e>
                <m:sub>
                  <m:r>
                    <m:rPr>
                      <m:sty m:val="p"/>
                    </m:rPr>
                    <w:rPr>
                      <w:rFonts w:ascii="Cambria Math" w:eastAsiaTheme="minorEastAsia" w:hAnsi="Cambria Math" w:cs="Calibri"/>
                      <w:sz w:val="20"/>
                      <w:szCs w:val="20"/>
                    </w:rPr>
                    <m:t>pollution</m:t>
                  </m:r>
                </m:sub>
              </m:sSub>
            </m:oMath>
            <w:r w:rsidR="001E2787" w:rsidRPr="00B452FC">
              <w:rPr>
                <w:rFonts w:eastAsiaTheme="minorEastAsia" w:cs="Calibri"/>
                <w:iCs/>
                <w:sz w:val="20"/>
                <w:szCs w:val="20"/>
              </w:rPr>
              <w:t xml:space="preserve"> sera automatiquement = 0</w:t>
            </w:r>
            <w:r w:rsidR="005C0166" w:rsidRPr="00B452FC">
              <w:rPr>
                <w:rFonts w:eastAsiaTheme="minorEastAsia" w:cs="Calibri"/>
                <w:iCs/>
                <w:sz w:val="20"/>
                <w:szCs w:val="20"/>
              </w:rPr>
              <w:t> ;</w:t>
            </w:r>
          </w:p>
        </w:tc>
      </w:tr>
      <w:tr w:rsidR="005C0166" w:rsidRPr="00B452FC" w14:paraId="48538DBA" w14:textId="77777777" w:rsidTr="005C0166">
        <w:trPr>
          <w:trHeight w:val="227"/>
        </w:trPr>
        <w:tc>
          <w:tcPr>
            <w:tcW w:w="2487" w:type="dxa"/>
            <w:vAlign w:val="center"/>
          </w:tcPr>
          <w:p w14:paraId="081F076D" w14:textId="4F6C8157" w:rsidR="005C0166" w:rsidRPr="00B452FC" w:rsidRDefault="00437C8C" w:rsidP="005C0166">
            <w:pPr>
              <w:jc w:val="left"/>
              <w:rPr>
                <w:rFonts w:eastAsia="Aptos"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Conc</m:t>
                    </m:r>
                  </m:e>
                  <m:sub>
                    <m:r>
                      <m:rPr>
                        <m:sty m:val="p"/>
                      </m:rPr>
                      <w:rPr>
                        <w:rFonts w:ascii="Cambria Math" w:hAnsi="Cambria Math" w:cs="Calibri"/>
                        <w:sz w:val="20"/>
                        <w:szCs w:val="20"/>
                      </w:rPr>
                      <m:t>mesurée polluant</m:t>
                    </m:r>
                  </m:sub>
                </m:sSub>
              </m:oMath>
            </m:oMathPara>
          </w:p>
        </w:tc>
        <w:tc>
          <w:tcPr>
            <w:tcW w:w="6583" w:type="dxa"/>
          </w:tcPr>
          <w:p w14:paraId="296CA71B" w14:textId="55545450" w:rsidR="005C0166" w:rsidRPr="00B452FC" w:rsidRDefault="0046331E" w:rsidP="009370DD">
            <w:pPr>
              <w:jc w:val="left"/>
              <w:rPr>
                <w:rFonts w:eastAsiaTheme="minorEastAsia" w:cs="Calibri"/>
                <w:sz w:val="20"/>
                <w:szCs w:val="20"/>
              </w:rPr>
            </w:pPr>
            <w:r w:rsidRPr="00B452FC">
              <w:rPr>
                <w:rFonts w:eastAsiaTheme="minorEastAsia" w:cs="Calibri"/>
                <w:sz w:val="20"/>
                <w:szCs w:val="20"/>
              </w:rPr>
              <w:t xml:space="preserve">La concentration mesurée </w:t>
            </w:r>
            <w:r w:rsidR="000411B3" w:rsidRPr="00B452FC">
              <w:rPr>
                <w:rFonts w:eastAsiaTheme="minorEastAsia" w:cs="Calibri"/>
                <w:sz w:val="20"/>
                <w:szCs w:val="20"/>
              </w:rPr>
              <w:t>en un polluant donné ;</w:t>
            </w:r>
          </w:p>
        </w:tc>
      </w:tr>
      <w:tr w:rsidR="005C0166" w:rsidRPr="00B452FC" w14:paraId="20329556" w14:textId="77777777" w:rsidTr="005C0166">
        <w:trPr>
          <w:trHeight w:val="227"/>
        </w:trPr>
        <w:tc>
          <w:tcPr>
            <w:tcW w:w="2487" w:type="dxa"/>
            <w:vAlign w:val="center"/>
          </w:tcPr>
          <w:p w14:paraId="090286F0" w14:textId="4FE0C4BC" w:rsidR="005C0166" w:rsidRPr="00B452FC" w:rsidRDefault="00437C8C" w:rsidP="005C0166">
            <w:pPr>
              <w:jc w:val="left"/>
              <w:rPr>
                <w:rFonts w:eastAsia="Aptos"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VSH</m:t>
                    </m:r>
                  </m:e>
                  <m:sub>
                    <m:r>
                      <m:rPr>
                        <m:sty m:val="p"/>
                      </m:rPr>
                      <w:rPr>
                        <w:rFonts w:ascii="Cambria Math" w:hAnsi="Cambria Math" w:cs="Calibri"/>
                        <w:sz w:val="20"/>
                        <w:szCs w:val="20"/>
                      </w:rPr>
                      <m:t>polluant définie f(usage)</m:t>
                    </m:r>
                  </m:sub>
                </m:sSub>
              </m:oMath>
            </m:oMathPara>
          </w:p>
        </w:tc>
        <w:tc>
          <w:tcPr>
            <w:tcW w:w="6583" w:type="dxa"/>
          </w:tcPr>
          <w:p w14:paraId="40FF60D5" w14:textId="11D0DB71" w:rsidR="005C0166" w:rsidRPr="00B452FC" w:rsidRDefault="000411B3" w:rsidP="009370DD">
            <w:pPr>
              <w:jc w:val="left"/>
              <w:rPr>
                <w:rFonts w:eastAsiaTheme="minorEastAsia" w:cs="Calibri"/>
                <w:sz w:val="20"/>
                <w:szCs w:val="20"/>
              </w:rPr>
            </w:pPr>
            <w:r w:rsidRPr="00B452FC">
              <w:rPr>
                <w:rFonts w:eastAsiaTheme="minorEastAsia" w:cs="Calibri"/>
                <w:sz w:val="20"/>
                <w:szCs w:val="20"/>
              </w:rPr>
              <w:t xml:space="preserve">La valeur de risque </w:t>
            </w:r>
            <w:r w:rsidR="00A23550">
              <w:rPr>
                <w:rFonts w:eastAsiaTheme="minorEastAsia" w:cs="Calibri"/>
                <w:sz w:val="20"/>
                <w:szCs w:val="20"/>
              </w:rPr>
              <w:t xml:space="preserve">pour la santé humaine, </w:t>
            </w:r>
            <w:r w:rsidR="0046331E" w:rsidRPr="00B452FC">
              <w:rPr>
                <w:rFonts w:eastAsiaTheme="minorEastAsia" w:cs="Calibri"/>
                <w:sz w:val="20"/>
                <w:szCs w:val="20"/>
              </w:rPr>
              <w:t>définie f(usage)</w:t>
            </w:r>
            <w:r w:rsidRPr="00B452FC">
              <w:rPr>
                <w:rFonts w:eastAsiaTheme="minorEastAsia" w:cs="Calibri"/>
                <w:sz w:val="20"/>
                <w:szCs w:val="20"/>
              </w:rPr>
              <w:t> ;</w:t>
            </w:r>
          </w:p>
        </w:tc>
      </w:tr>
      <w:tr w:rsidR="005C0166" w:rsidRPr="00B452FC" w14:paraId="3DF0FCB5" w14:textId="77777777" w:rsidTr="005C0166">
        <w:trPr>
          <w:trHeight w:val="227"/>
        </w:trPr>
        <w:tc>
          <w:tcPr>
            <w:tcW w:w="2487" w:type="dxa"/>
            <w:vAlign w:val="center"/>
          </w:tcPr>
          <w:p w14:paraId="1D9D3893" w14:textId="4550E0E1" w:rsidR="005C0166" w:rsidRPr="00B452FC" w:rsidRDefault="00437C8C" w:rsidP="005C0166">
            <w:pPr>
              <w:jc w:val="left"/>
              <w:rPr>
                <w:rFonts w:eastAsia="Aptos" w:cs="Calibri"/>
                <w:iCs/>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VS</m:t>
                    </m:r>
                  </m:e>
                  <m:sub>
                    <m:r>
                      <m:rPr>
                        <m:sty m:val="p"/>
                      </m:rPr>
                      <w:rPr>
                        <w:rFonts w:ascii="Cambria Math" w:hAnsi="Cambria Math" w:cs="Calibri"/>
                        <w:sz w:val="20"/>
                        <w:szCs w:val="20"/>
                      </w:rPr>
                      <m:t>DS polluant</m:t>
                    </m:r>
                  </m:sub>
                </m:sSub>
              </m:oMath>
            </m:oMathPara>
          </w:p>
        </w:tc>
        <w:tc>
          <w:tcPr>
            <w:tcW w:w="6583" w:type="dxa"/>
          </w:tcPr>
          <w:p w14:paraId="33903293" w14:textId="4E64360D" w:rsidR="005C0166" w:rsidRPr="00B452FC" w:rsidRDefault="000411B3" w:rsidP="009370DD">
            <w:pPr>
              <w:jc w:val="left"/>
              <w:rPr>
                <w:rFonts w:eastAsiaTheme="minorEastAsia" w:cs="Calibri"/>
                <w:sz w:val="20"/>
                <w:szCs w:val="20"/>
              </w:rPr>
            </w:pPr>
            <w:r w:rsidRPr="00B452FC">
              <w:rPr>
                <w:rFonts w:eastAsiaTheme="minorEastAsia" w:cs="Calibri"/>
                <w:sz w:val="20"/>
                <w:szCs w:val="20"/>
              </w:rPr>
              <w:t>La valeur seuil du Décret sols</w:t>
            </w:r>
            <w:r w:rsidR="00B452FC" w:rsidRPr="00B452FC">
              <w:rPr>
                <w:rFonts w:eastAsiaTheme="minorEastAsia" w:cs="Calibri"/>
                <w:sz w:val="20"/>
                <w:szCs w:val="20"/>
              </w:rPr>
              <w:t>.</w:t>
            </w:r>
          </w:p>
        </w:tc>
      </w:tr>
    </w:tbl>
    <w:p w14:paraId="7E74EA08" w14:textId="77777777" w:rsidR="007166C0" w:rsidRDefault="007166C0" w:rsidP="00941631"/>
    <w:p w14:paraId="3B8A22A5" w14:textId="77777777" w:rsidR="001E2787" w:rsidRDefault="001E2787" w:rsidP="00941631"/>
    <w:p w14:paraId="4EBF4074" w14:textId="59E1FA54" w:rsidR="001E2787" w:rsidRPr="00A870EF" w:rsidRDefault="001E2787" w:rsidP="00941631">
      <w:pPr>
        <w:sectPr w:rsidR="001E2787" w:rsidRPr="00A870EF" w:rsidSect="009B5F57">
          <w:headerReference w:type="default" r:id="rId32"/>
          <w:footerReference w:type="default" r:id="rId33"/>
          <w:pgSz w:w="11906" w:h="16838"/>
          <w:pgMar w:top="1418" w:right="1418" w:bottom="1418" w:left="1418" w:header="709" w:footer="709" w:gutter="0"/>
          <w:pgNumType w:chapStyle="1"/>
          <w:cols w:space="708"/>
          <w:titlePg/>
          <w:docGrid w:linePitch="360"/>
        </w:sectPr>
      </w:pPr>
      <w:r>
        <w:t xml:space="preserve">Le détail des valeurs de risque utilisées dans le calcul </w:t>
      </w:r>
      <w:r w:rsidR="00A870EF">
        <w:t xml:space="preserve">de chaque </w:t>
      </w:r>
      <w:proofErr w:type="spellStart"/>
      <w:r w:rsidR="00A870EF">
        <w:t>Score</w:t>
      </w:r>
      <w:r w:rsidR="00A870EF">
        <w:rPr>
          <w:vertAlign w:val="subscript"/>
        </w:rPr>
        <w:t>polluant</w:t>
      </w:r>
      <w:proofErr w:type="spellEnd"/>
      <w:r w:rsidR="00A870EF">
        <w:t xml:space="preserve"> </w:t>
      </w:r>
      <w:r w:rsidR="000149A8">
        <w:t>pour chaque situation d’usage est présenté dans la</w:t>
      </w:r>
      <w:r w:rsidR="002B268D">
        <w:t xml:space="preserve"> </w:t>
      </w:r>
      <w:r w:rsidR="002B268D" w:rsidRPr="00322102">
        <w:fldChar w:fldCharType="begin"/>
      </w:r>
      <w:r w:rsidR="002B268D" w:rsidRPr="00322102">
        <w:instrText xml:space="preserve"> REF _Ref241240213 \h </w:instrText>
      </w:r>
      <w:r w:rsidR="00322102" w:rsidRPr="00322102">
        <w:instrText xml:space="preserve"> \* MERGEFORMAT </w:instrText>
      </w:r>
      <w:r w:rsidR="002B268D" w:rsidRPr="00322102">
        <w:fldChar w:fldCharType="separate"/>
      </w:r>
      <w:r w:rsidR="00322102" w:rsidRPr="00322102">
        <w:t xml:space="preserve">Figure </w:t>
      </w:r>
      <w:r w:rsidR="00322102" w:rsidRPr="00322102">
        <w:rPr>
          <w:noProof/>
        </w:rPr>
        <w:t>1</w:t>
      </w:r>
      <w:r w:rsidR="002B268D" w:rsidRPr="00322102">
        <w:fldChar w:fldCharType="end"/>
      </w:r>
      <w:r w:rsidR="000149A8" w:rsidRPr="00322102">
        <w:t>.</w:t>
      </w:r>
    </w:p>
    <w:p w14:paraId="4D8350F4" w14:textId="77777777" w:rsidR="009E6B8C" w:rsidRDefault="009E6B8C" w:rsidP="00941631"/>
    <w:p w14:paraId="6650E6D2" w14:textId="77777777" w:rsidR="000149A8" w:rsidRDefault="009E6B8C" w:rsidP="002B268D">
      <w:pPr>
        <w:keepNext/>
        <w:jc w:val="center"/>
      </w:pPr>
      <w:r>
        <w:rPr>
          <w:noProof/>
        </w:rPr>
        <w:drawing>
          <wp:inline distT="0" distB="0" distL="0" distR="0" wp14:anchorId="589413EB" wp14:editId="400ABE8E">
            <wp:extent cx="8761228" cy="4831914"/>
            <wp:effectExtent l="0" t="0" r="1905" b="6985"/>
            <wp:docPr id="7208720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818156" cy="4863310"/>
                    </a:xfrm>
                    <a:prstGeom prst="rect">
                      <a:avLst/>
                    </a:prstGeom>
                    <a:noFill/>
                    <a:ln>
                      <a:noFill/>
                    </a:ln>
                  </pic:spPr>
                </pic:pic>
              </a:graphicData>
            </a:graphic>
          </wp:inline>
        </w:drawing>
      </w:r>
    </w:p>
    <w:p w14:paraId="20DAF605" w14:textId="3888383C" w:rsidR="00266716" w:rsidRPr="000149A8" w:rsidRDefault="000149A8" w:rsidP="000149A8">
      <w:pPr>
        <w:pStyle w:val="Lgende"/>
        <w:jc w:val="center"/>
        <w:rPr>
          <w:i w:val="0"/>
          <w:iCs w:val="0"/>
        </w:rPr>
      </w:pPr>
      <w:bookmarkStart w:id="113" w:name="_Ref241240213"/>
      <w:bookmarkStart w:id="114" w:name="_Toc233123179"/>
      <w:bookmarkStart w:id="115" w:name="_Toc241505119"/>
      <w:r w:rsidRPr="000149A8">
        <w:rPr>
          <w:i w:val="0"/>
          <w:iCs w:val="0"/>
        </w:rPr>
        <w:t xml:space="preserve">Figure </w:t>
      </w:r>
      <w:r w:rsidRPr="000149A8">
        <w:rPr>
          <w:i w:val="0"/>
          <w:iCs w:val="0"/>
        </w:rPr>
        <w:fldChar w:fldCharType="begin"/>
      </w:r>
      <w:r w:rsidRPr="000149A8">
        <w:rPr>
          <w:i w:val="0"/>
          <w:iCs w:val="0"/>
        </w:rPr>
        <w:instrText xml:space="preserve"> SEQ Figure \* ARABIC </w:instrText>
      </w:r>
      <w:r w:rsidRPr="000149A8">
        <w:rPr>
          <w:i w:val="0"/>
          <w:iCs w:val="0"/>
        </w:rPr>
        <w:fldChar w:fldCharType="separate"/>
      </w:r>
      <w:r w:rsidR="00B90382">
        <w:rPr>
          <w:i w:val="0"/>
          <w:iCs w:val="0"/>
          <w:noProof/>
        </w:rPr>
        <w:t>13</w:t>
      </w:r>
      <w:r w:rsidRPr="000149A8">
        <w:rPr>
          <w:i w:val="0"/>
          <w:iCs w:val="0"/>
        </w:rPr>
        <w:fldChar w:fldCharType="end"/>
      </w:r>
      <w:bookmarkEnd w:id="113"/>
      <w:r w:rsidRPr="000149A8">
        <w:rPr>
          <w:i w:val="0"/>
          <w:iCs w:val="0"/>
        </w:rPr>
        <w:t xml:space="preserve"> : Détail des valeurs de risque utilisées pour le calcul de chaque </w:t>
      </w:r>
      <w:proofErr w:type="spellStart"/>
      <w:r w:rsidRPr="000149A8">
        <w:rPr>
          <w:i w:val="0"/>
          <w:iCs w:val="0"/>
        </w:rPr>
        <w:t>Score</w:t>
      </w:r>
      <w:r>
        <w:rPr>
          <w:i w:val="0"/>
          <w:iCs w:val="0"/>
          <w:vertAlign w:val="subscript"/>
        </w:rPr>
        <w:t>polluant</w:t>
      </w:r>
      <w:proofErr w:type="spellEnd"/>
      <w:r w:rsidRPr="000149A8">
        <w:rPr>
          <w:i w:val="0"/>
          <w:iCs w:val="0"/>
        </w:rPr>
        <w:t xml:space="preserve"> pour chaque situation d'usage</w:t>
      </w:r>
      <w:bookmarkEnd w:id="114"/>
      <w:bookmarkEnd w:id="115"/>
    </w:p>
    <w:p w14:paraId="05F825BE" w14:textId="6789095C" w:rsidR="00706A2D" w:rsidRDefault="00706A2D" w:rsidP="00706A2D"/>
    <w:p w14:paraId="2F60CBB1" w14:textId="77777777" w:rsidR="009E6B8C" w:rsidRDefault="009E6B8C" w:rsidP="00065B27">
      <w:pPr>
        <w:jc w:val="left"/>
        <w:sectPr w:rsidR="009E6B8C" w:rsidSect="009E6B8C">
          <w:pgSz w:w="16838" w:h="11906" w:orient="landscape"/>
          <w:pgMar w:top="1418" w:right="1418" w:bottom="1418" w:left="1418" w:header="709" w:footer="709" w:gutter="0"/>
          <w:pgNumType w:chapStyle="1"/>
          <w:cols w:space="708"/>
          <w:titlePg/>
          <w:docGrid w:linePitch="360"/>
        </w:sectPr>
      </w:pPr>
    </w:p>
    <w:p w14:paraId="527CA035" w14:textId="6B195EA4" w:rsidR="00204C1E" w:rsidRDefault="000100FD" w:rsidP="005A77EC">
      <w:pPr>
        <w:pStyle w:val="Titre4"/>
        <w:numPr>
          <w:ilvl w:val="0"/>
          <w:numId w:val="0"/>
        </w:numPr>
      </w:pPr>
      <w:r>
        <w:lastRenderedPageBreak/>
        <w:t>Service</w:t>
      </w:r>
      <w:r w:rsidR="00CA7814" w:rsidRPr="00266716">
        <w:t xml:space="preserve"> </w:t>
      </w:r>
      <w:r w:rsidR="00A767E1" w:rsidRPr="002E3C97">
        <w:t>Prot</w:t>
      </w:r>
      <w:r w:rsidR="00204C1E" w:rsidRPr="002E3C97">
        <w:t>ection des nappes</w:t>
      </w:r>
    </w:p>
    <w:p w14:paraId="5E32B394" w14:textId="0B9B36D8" w:rsidR="00B92DF5" w:rsidRPr="00B92DF5" w:rsidRDefault="005E7283" w:rsidP="00B92DF5">
      <w:r>
        <w:t xml:space="preserve">À travers des mécanismes </w:t>
      </w:r>
      <w:r w:rsidR="00551069" w:rsidRPr="00924603">
        <w:t>d’adsorption, de dilution</w:t>
      </w:r>
      <w:r w:rsidR="00551069">
        <w:t xml:space="preserve"> et </w:t>
      </w:r>
      <w:r w:rsidR="00551069" w:rsidRPr="00924603">
        <w:t>de transfert</w:t>
      </w:r>
      <w:r w:rsidR="00551069">
        <w:t>, le</w:t>
      </w:r>
      <w:r w:rsidR="00B92DF5">
        <w:t xml:space="preserve"> sol agit comme un filtre </w:t>
      </w:r>
      <w:r w:rsidR="00551069">
        <w:t xml:space="preserve">pour les polluants, protégeant ainsi les nappes sous-jacentes. </w:t>
      </w:r>
      <w:r w:rsidR="000149A8">
        <w:t>L</w:t>
      </w:r>
      <w:r w:rsidR="00103896">
        <w:t xml:space="preserve">a </w:t>
      </w:r>
      <w:r w:rsidR="00103896" w:rsidRPr="00103896">
        <w:fldChar w:fldCharType="begin"/>
      </w:r>
      <w:r w:rsidR="00103896" w:rsidRPr="00103896">
        <w:instrText xml:space="preserve"> REF _Ref233121737 \h  \* MERGEFORMAT </w:instrText>
      </w:r>
      <w:r w:rsidR="00103896" w:rsidRPr="00103896">
        <w:fldChar w:fldCharType="separate"/>
      </w:r>
      <w:r w:rsidR="00103896" w:rsidRPr="00103896">
        <w:t xml:space="preserve">Figure </w:t>
      </w:r>
      <w:r w:rsidR="00103896" w:rsidRPr="00103896">
        <w:rPr>
          <w:noProof/>
        </w:rPr>
        <w:t>2</w:t>
      </w:r>
      <w:r w:rsidR="00103896" w:rsidRPr="00103896">
        <w:fldChar w:fldCharType="end"/>
      </w:r>
      <w:r w:rsidR="00103896">
        <w:t xml:space="preserve"> </w:t>
      </w:r>
      <w:r w:rsidR="00BC30EF">
        <w:t xml:space="preserve">présente la manière dont </w:t>
      </w:r>
      <w:r w:rsidR="00025E78">
        <w:t xml:space="preserve">le </w:t>
      </w:r>
      <w:r w:rsidR="000100FD">
        <w:t>service écosystémique</w:t>
      </w:r>
      <w:r w:rsidR="00025E78" w:rsidRPr="00931058">
        <w:t xml:space="preserve"> </w:t>
      </w:r>
      <w:r w:rsidR="00025E78" w:rsidRPr="00931058">
        <w:rPr>
          <w:i/>
          <w:iCs/>
        </w:rPr>
        <w:t>Protection des nappes</w:t>
      </w:r>
      <w:r w:rsidR="00025E78">
        <w:t xml:space="preserve"> </w:t>
      </w:r>
      <w:r w:rsidR="00BC30EF">
        <w:t>est évalué</w:t>
      </w:r>
      <w:r w:rsidR="00515454">
        <w:t>.</w:t>
      </w:r>
    </w:p>
    <w:p w14:paraId="399239DC" w14:textId="77777777" w:rsidR="007A1E4C" w:rsidRDefault="005C176A" w:rsidP="007A1E4C">
      <w:pPr>
        <w:keepNext/>
      </w:pPr>
      <w:r w:rsidRPr="005C176A">
        <w:rPr>
          <w:noProof/>
        </w:rPr>
        <w:drawing>
          <wp:inline distT="0" distB="0" distL="0" distR="0" wp14:anchorId="60348522" wp14:editId="67472A33">
            <wp:extent cx="5759450" cy="603885"/>
            <wp:effectExtent l="0" t="0" r="0" b="5715"/>
            <wp:docPr id="186362370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9450" cy="603885"/>
                    </a:xfrm>
                    <a:prstGeom prst="rect">
                      <a:avLst/>
                    </a:prstGeom>
                    <a:noFill/>
                    <a:ln>
                      <a:noFill/>
                    </a:ln>
                  </pic:spPr>
                </pic:pic>
              </a:graphicData>
            </a:graphic>
          </wp:inline>
        </w:drawing>
      </w:r>
    </w:p>
    <w:p w14:paraId="0C7A3CBE" w14:textId="5305DAF7" w:rsidR="007A1E4C" w:rsidRPr="00757091" w:rsidRDefault="007A1E4C" w:rsidP="00757091">
      <w:pPr>
        <w:pStyle w:val="Lgende"/>
        <w:jc w:val="center"/>
        <w:rPr>
          <w:i w:val="0"/>
          <w:iCs w:val="0"/>
          <w:u w:val="single"/>
        </w:rPr>
      </w:pPr>
      <w:bookmarkStart w:id="116" w:name="_Ref233121737"/>
      <w:bookmarkStart w:id="117" w:name="_Toc233123180"/>
      <w:bookmarkStart w:id="118" w:name="_Toc241505120"/>
      <w:r w:rsidRPr="007A1E4C">
        <w:rPr>
          <w:i w:val="0"/>
          <w:iCs w:val="0"/>
        </w:rPr>
        <w:t xml:space="preserve">Figure </w:t>
      </w:r>
      <w:r w:rsidRPr="007A1E4C">
        <w:rPr>
          <w:i w:val="0"/>
          <w:iCs w:val="0"/>
        </w:rPr>
        <w:fldChar w:fldCharType="begin"/>
      </w:r>
      <w:r w:rsidRPr="007A1E4C">
        <w:rPr>
          <w:i w:val="0"/>
          <w:iCs w:val="0"/>
        </w:rPr>
        <w:instrText xml:space="preserve"> SEQ Figure \* ARABIC </w:instrText>
      </w:r>
      <w:r w:rsidRPr="007A1E4C">
        <w:rPr>
          <w:i w:val="0"/>
          <w:iCs w:val="0"/>
        </w:rPr>
        <w:fldChar w:fldCharType="separate"/>
      </w:r>
      <w:r w:rsidR="00B90382">
        <w:rPr>
          <w:i w:val="0"/>
          <w:iCs w:val="0"/>
          <w:noProof/>
        </w:rPr>
        <w:t>14</w:t>
      </w:r>
      <w:r w:rsidRPr="007A1E4C">
        <w:rPr>
          <w:i w:val="0"/>
          <w:iCs w:val="0"/>
        </w:rPr>
        <w:fldChar w:fldCharType="end"/>
      </w:r>
      <w:bookmarkEnd w:id="116"/>
      <w:r w:rsidRPr="007A1E4C">
        <w:rPr>
          <w:i w:val="0"/>
          <w:iCs w:val="0"/>
        </w:rPr>
        <w:t xml:space="preserve"> : Schéma d'évaluation du </w:t>
      </w:r>
      <w:r w:rsidR="000100FD">
        <w:rPr>
          <w:i w:val="0"/>
          <w:iCs w:val="0"/>
        </w:rPr>
        <w:t>service écosystémique</w:t>
      </w:r>
      <w:r w:rsidRPr="007A1E4C">
        <w:rPr>
          <w:i w:val="0"/>
          <w:iCs w:val="0"/>
        </w:rPr>
        <w:t xml:space="preserve"> Protection des nappes</w:t>
      </w:r>
      <w:bookmarkEnd w:id="117"/>
      <w:bookmarkEnd w:id="118"/>
    </w:p>
    <w:p w14:paraId="485B8A48" w14:textId="61810081" w:rsidR="00757091" w:rsidRPr="00757091" w:rsidRDefault="00515454" w:rsidP="00757091">
      <w:r>
        <w:t>Ainsi,</w:t>
      </w:r>
      <w:r w:rsidR="00931058" w:rsidRPr="00931058">
        <w:t xml:space="preserve"> </w:t>
      </w:r>
      <w:r w:rsidR="00FE620F">
        <w:t xml:space="preserve">la concentration mesurée en un ou plusieurs polluants est convertie en coefficient de contrainte </w:t>
      </w:r>
      <w:r w:rsidR="001C064F">
        <w:t>par une mise en parallèle avec la concentration maximale de rétention de ces polluants (voir</w:t>
      </w:r>
      <w:r w:rsidR="00F739F1">
        <w:t xml:space="preserve"> partie </w:t>
      </w:r>
      <w:r w:rsidR="00F739F1">
        <w:fldChar w:fldCharType="begin"/>
      </w:r>
      <w:r w:rsidR="00F739F1">
        <w:instrText xml:space="preserve"> REF _Ref232207252 \r \h </w:instrText>
      </w:r>
      <w:r w:rsidR="00F739F1">
        <w:fldChar w:fldCharType="separate"/>
      </w:r>
      <w:r w:rsidR="002B522F">
        <w:t>5.7.5</w:t>
      </w:r>
      <w:r w:rsidR="00F739F1">
        <w:fldChar w:fldCharType="end"/>
      </w:r>
      <w:r w:rsidR="00F739F1">
        <w:t>).</w:t>
      </w:r>
    </w:p>
    <w:p w14:paraId="7AD4C252" w14:textId="710856AA" w:rsidR="00757091" w:rsidRDefault="00757091" w:rsidP="00757091">
      <w:r>
        <w:t xml:space="preserve">Alors que la fonction </w:t>
      </w:r>
      <w:r w:rsidRPr="00637F60">
        <w:rPr>
          <w:i/>
          <w:iCs/>
        </w:rPr>
        <w:t>Rétention</w:t>
      </w:r>
      <w:r>
        <w:t>, évaluée sur base de la valeur VS</w:t>
      </w:r>
      <w:r>
        <w:rPr>
          <w:vertAlign w:val="subscript"/>
        </w:rPr>
        <w:t>N ajustée</w:t>
      </w:r>
      <w:r>
        <w:t xml:space="preserve">, représente un potentiel théorique de rétention des polluants du sol, la contrainte </w:t>
      </w:r>
      <w:r w:rsidRPr="00C9612D">
        <w:rPr>
          <w:i/>
          <w:iCs/>
        </w:rPr>
        <w:t>Saturation</w:t>
      </w:r>
      <w:r>
        <w:t xml:space="preserve"> s’appliquera en cas de présence d’un ou plusieurs polluant(s) dans le sol. En effet, en occupant, partiellement ou complètement, les sites de rétention, les polluants du sol réduisent la capacité de rétention disponible du sol. La pollution du sol constitue donc une dégradation du sol au sens du </w:t>
      </w:r>
      <w:r w:rsidR="000100FD">
        <w:t>service écosystémique</w:t>
      </w:r>
      <w:r>
        <w:t xml:space="preserve"> </w:t>
      </w:r>
      <w:r w:rsidRPr="00C9612D">
        <w:rPr>
          <w:i/>
          <w:iCs/>
        </w:rPr>
        <w:t>Protection des nappes</w:t>
      </w:r>
      <w:r>
        <w:t xml:space="preserve"> (entre autres).</w:t>
      </w:r>
    </w:p>
    <w:p w14:paraId="4F2FBFA5" w14:textId="77777777" w:rsidR="00757091" w:rsidRDefault="00757091" w:rsidP="00757091">
      <w:r>
        <w:t xml:space="preserve">Le coefficient de contrainte </w:t>
      </w:r>
      <w:r w:rsidRPr="000A01E0">
        <w:rPr>
          <w:i/>
          <w:iCs/>
        </w:rPr>
        <w:t>Saturation</w:t>
      </w:r>
      <w:r>
        <w:t>, correspondant à une proportion de remplissage des sites de rétention, se calcule comme suit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757091" w14:paraId="5490BDB1" w14:textId="77777777" w:rsidTr="004306AE">
        <w:trPr>
          <w:trHeight w:val="647"/>
        </w:trPr>
        <w:tc>
          <w:tcPr>
            <w:tcW w:w="8642" w:type="dxa"/>
            <w:vAlign w:val="center"/>
          </w:tcPr>
          <w:p w14:paraId="75D80085" w14:textId="62EECE63" w:rsidR="00757091" w:rsidRPr="00091021" w:rsidRDefault="00437C8C" w:rsidP="004306AE">
            <w:pPr>
              <w:jc w:val="center"/>
              <w:rPr>
                <w:iCs/>
              </w:rPr>
            </w:pPr>
            <m:oMathPara>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saturation</m:t>
                    </m:r>
                  </m:sub>
                </m:sSub>
                <m:r>
                  <m:rPr>
                    <m:sty m:val="p"/>
                  </m:rPr>
                  <w:rPr>
                    <w:rFonts w:ascii="Cambria Math" w:hAnsi="Cambria Math"/>
                  </w:rPr>
                  <m:t xml:space="preserve"> </m:t>
                </m:r>
                <m:d>
                  <m:dPr>
                    <m:begChr m:val="["/>
                    <m:endChr m:val="]"/>
                    <m:ctrlPr>
                      <w:rPr>
                        <w:rFonts w:ascii="Cambria Math" w:hAnsi="Cambria Math"/>
                        <w:iCs/>
                      </w:rPr>
                    </m:ctrlPr>
                  </m:dPr>
                  <m:e>
                    <m:r>
                      <m:rPr>
                        <m:sty m:val="p"/>
                      </m:rPr>
                      <w:rPr>
                        <w:rFonts w:ascii="Cambria Math" w:hAnsi="Cambria Math"/>
                      </w:rPr>
                      <m:t>0;1</m:t>
                    </m:r>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Score</m:t>
                    </m:r>
                  </m:e>
                  <m:sub>
                    <m:r>
                      <m:rPr>
                        <m:sty m:val="p"/>
                      </m:rPr>
                      <w:rPr>
                        <w:rFonts w:ascii="Cambria Math" w:hAnsi="Cambria Math"/>
                      </w:rPr>
                      <m:t>saturation</m:t>
                    </m:r>
                  </m:sub>
                </m:sSub>
                <m:r>
                  <m:rPr>
                    <m:sty m:val="p"/>
                  </m:rPr>
                  <w:rPr>
                    <w:rFonts w:ascii="Cambria Math" w:hAnsi="Cambria Math"/>
                  </w:rPr>
                  <m:t xml:space="preserve">= </m:t>
                </m:r>
                <m:f>
                  <m:fPr>
                    <m:ctrlPr>
                      <w:rPr>
                        <w:rFonts w:ascii="Cambria Math" w:hAnsi="Cambria Math"/>
                        <w:iCs/>
                      </w:rPr>
                    </m:ctrlPr>
                  </m:fPr>
                  <m:num>
                    <m:sSub>
                      <m:sSubPr>
                        <m:ctrlPr>
                          <w:rPr>
                            <w:rFonts w:ascii="Cambria Math" w:hAnsi="Cambria Math"/>
                            <w:iCs/>
                          </w:rPr>
                        </m:ctrlPr>
                      </m:sSubPr>
                      <m:e>
                        <m:sSub>
                          <m:sSubPr>
                            <m:ctrlPr>
                              <w:rPr>
                                <w:rFonts w:ascii="Cambria Math" w:hAnsi="Cambria Math"/>
                                <w:iCs/>
                              </w:rPr>
                            </m:ctrlPr>
                          </m:sSubPr>
                          <m:e>
                            <m:r>
                              <m:rPr>
                                <m:sty m:val="p"/>
                              </m:rPr>
                              <w:rPr>
                                <w:rFonts w:ascii="Cambria Math" w:hAnsi="Cambria Math"/>
                              </w:rPr>
                              <m:t>VSN</m:t>
                            </m:r>
                          </m:e>
                          <m:sub>
                            <m:r>
                              <m:rPr>
                                <m:sty m:val="p"/>
                              </m:rPr>
                              <w:rPr>
                                <w:rFonts w:ascii="Cambria Math" w:hAnsi="Cambria Math"/>
                              </w:rPr>
                              <m:t>ajustée</m:t>
                            </m:r>
                          </m:sub>
                        </m:sSub>
                        <m:r>
                          <m:rPr>
                            <m:sty m:val="p"/>
                          </m:rPr>
                          <w:rPr>
                            <w:rFonts w:ascii="Cambria Math" w:hAnsi="Cambria Math"/>
                          </w:rPr>
                          <m:t>-</m:t>
                        </m:r>
                        <m:r>
                          <m:rPr>
                            <m:sty m:val="p"/>
                          </m:rPr>
                          <w:rPr>
                            <w:rFonts w:ascii="Cambria Math" w:hAnsi="Cambria Math"/>
                          </w:rPr>
                          <m:t>Conc</m:t>
                        </m:r>
                      </m:e>
                      <m:sub>
                        <m:r>
                          <m:rPr>
                            <m:sty m:val="p"/>
                          </m:rPr>
                          <w:rPr>
                            <w:rFonts w:ascii="Cambria Math" w:hAnsi="Cambria Math"/>
                          </w:rPr>
                          <m:t>mesurée polluant</m:t>
                        </m:r>
                      </m:sub>
                    </m:sSub>
                  </m:num>
                  <m:den>
                    <m:sSub>
                      <m:sSubPr>
                        <m:ctrlPr>
                          <w:rPr>
                            <w:rFonts w:ascii="Cambria Math" w:hAnsi="Cambria Math"/>
                            <w:iCs/>
                          </w:rPr>
                        </m:ctrlPr>
                      </m:sSubPr>
                      <m:e>
                        <m:r>
                          <m:rPr>
                            <m:sty m:val="p"/>
                          </m:rPr>
                          <w:rPr>
                            <w:rFonts w:ascii="Cambria Math" w:hAnsi="Cambria Math"/>
                          </w:rPr>
                          <m:t>VSN</m:t>
                        </m:r>
                      </m:e>
                      <m:sub>
                        <m:r>
                          <m:rPr>
                            <m:sty m:val="p"/>
                          </m:rPr>
                          <w:rPr>
                            <w:rFonts w:ascii="Cambria Math" w:hAnsi="Cambria Math"/>
                          </w:rPr>
                          <m:t>ajustée</m:t>
                        </m:r>
                      </m:sub>
                    </m:sSub>
                    <m:r>
                      <m:rPr>
                        <m:sty m:val="p"/>
                      </m:rPr>
                      <w:rPr>
                        <w:rFonts w:ascii="Cambria Math" w:hAnsi="Cambria Math"/>
                      </w:rPr>
                      <m:t>-</m:t>
                    </m:r>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VS</m:t>
                        </m:r>
                      </m:e>
                      <m:sub>
                        <m:r>
                          <m:rPr>
                            <m:sty m:val="p"/>
                          </m:rPr>
                          <w:rPr>
                            <w:rFonts w:ascii="Cambria Math" w:hAnsi="Cambria Math"/>
                          </w:rPr>
                          <m:t>DS polluant</m:t>
                        </m:r>
                      </m:sub>
                    </m:sSub>
                  </m:den>
                </m:f>
              </m:oMath>
            </m:oMathPara>
          </w:p>
        </w:tc>
        <w:tc>
          <w:tcPr>
            <w:tcW w:w="418" w:type="dxa"/>
            <w:vAlign w:val="center"/>
          </w:tcPr>
          <w:p w14:paraId="7A98D783" w14:textId="0A9F0152" w:rsidR="00757091" w:rsidRDefault="00757091" w:rsidP="004306AE">
            <w:pPr>
              <w:jc w:val="center"/>
            </w:pPr>
            <w:r>
              <w:t>(</w:t>
            </w:r>
            <w:r w:rsidR="00A250D5">
              <w:t>2</w:t>
            </w:r>
            <w:r>
              <w:t>)</w:t>
            </w:r>
          </w:p>
        </w:tc>
      </w:tr>
    </w:tbl>
    <w:p w14:paraId="4FCA07F1" w14:textId="77777777" w:rsidR="00757091" w:rsidRPr="00CE00B6" w:rsidRDefault="00757091" w:rsidP="00757091"/>
    <w:p w14:paraId="14E217AB" w14:textId="77777777" w:rsidR="00B452FC" w:rsidRPr="00B452FC" w:rsidRDefault="00B452FC" w:rsidP="00B452FC">
      <w:pPr>
        <w:rPr>
          <w:rFonts w:cs="Calibri"/>
          <w:sz w:val="20"/>
          <w:szCs w:val="20"/>
        </w:rPr>
      </w:pPr>
      <w:r w:rsidRPr="00B452FC">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487"/>
        <w:gridCol w:w="6583"/>
      </w:tblGrid>
      <w:tr w:rsidR="00B452FC" w:rsidRPr="00B452FC" w14:paraId="22E0A151" w14:textId="77777777" w:rsidTr="00E55F14">
        <w:trPr>
          <w:trHeight w:val="227"/>
        </w:trPr>
        <w:tc>
          <w:tcPr>
            <w:tcW w:w="2487" w:type="dxa"/>
          </w:tcPr>
          <w:p w14:paraId="40B2ADB3" w14:textId="0374DBB3" w:rsidR="00B452FC" w:rsidRPr="00B452FC" w:rsidRDefault="00437C8C" w:rsidP="00E55F14">
            <w:pPr>
              <w:jc w:val="left"/>
              <w:rPr>
                <w:rFonts w:cs="Calibri"/>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Score</m:t>
                    </m:r>
                  </m:e>
                  <m:sub>
                    <m:r>
                      <m:rPr>
                        <m:sty m:val="p"/>
                      </m:rPr>
                      <w:rPr>
                        <w:rFonts w:ascii="Cambria Math" w:hAnsi="Cambria Math" w:cs="Calibri"/>
                        <w:sz w:val="20"/>
                        <w:szCs w:val="20"/>
                      </w:rPr>
                      <m:t>saturation</m:t>
                    </m:r>
                  </m:sub>
                </m:sSub>
              </m:oMath>
            </m:oMathPara>
          </w:p>
        </w:tc>
        <w:tc>
          <w:tcPr>
            <w:tcW w:w="6583" w:type="dxa"/>
          </w:tcPr>
          <w:p w14:paraId="21BE76CF" w14:textId="15B1B4B7" w:rsidR="00B452FC" w:rsidRPr="00B452FC" w:rsidRDefault="00B452FC" w:rsidP="00E55F14">
            <w:pPr>
              <w:jc w:val="left"/>
              <w:rPr>
                <w:rFonts w:eastAsiaTheme="minorEastAsia" w:cs="Calibri"/>
                <w:sz w:val="20"/>
                <w:szCs w:val="20"/>
              </w:rPr>
            </w:pPr>
            <w:r w:rsidRPr="00B452FC">
              <w:rPr>
                <w:rFonts w:eastAsiaTheme="minorEastAsia" w:cs="Calibri"/>
                <w:sz w:val="20"/>
                <w:szCs w:val="20"/>
              </w:rPr>
              <w:t xml:space="preserve">Le score unique attribué à l’ensemble des polluants en les agrégant de la manière suivante : </w:t>
            </w:r>
            <w:proofErr w:type="gramStart"/>
            <w:r w:rsidRPr="00B452FC">
              <w:rPr>
                <w:rFonts w:eastAsiaTheme="minorEastAsia" w:cs="Calibri"/>
                <w:sz w:val="20"/>
                <w:szCs w:val="20"/>
              </w:rPr>
              <w:t>min(</w:t>
            </w:r>
            <w:proofErr w:type="gramEnd"/>
            <m:oMath>
              <m:sSub>
                <m:sSubPr>
                  <m:ctrlPr>
                    <w:rPr>
                      <w:rFonts w:ascii="Cambria Math" w:eastAsiaTheme="minorEastAsia" w:hAnsi="Cambria Math" w:cs="Calibri"/>
                      <w:iCs/>
                      <w:sz w:val="20"/>
                      <w:szCs w:val="20"/>
                    </w:rPr>
                  </m:ctrlPr>
                </m:sSubPr>
                <m:e>
                  <m:r>
                    <m:rPr>
                      <m:sty m:val="p"/>
                    </m:rPr>
                    <w:rPr>
                      <w:rFonts w:ascii="Cambria Math" w:eastAsiaTheme="minorEastAsia" w:hAnsi="Cambria Math" w:cs="Calibri"/>
                      <w:sz w:val="20"/>
                      <w:szCs w:val="20"/>
                    </w:rPr>
                    <m:t>Score</m:t>
                  </m:r>
                </m:e>
                <m:sub>
                  <m:r>
                    <m:rPr>
                      <m:sty m:val="p"/>
                    </m:rPr>
                    <w:rPr>
                      <w:rFonts w:ascii="Cambria Math" w:eastAsiaTheme="minorEastAsia" w:hAnsi="Cambria Math" w:cs="Calibri"/>
                      <w:sz w:val="20"/>
                      <w:szCs w:val="20"/>
                    </w:rPr>
                    <m:t>polluant</m:t>
                  </m:r>
                </m:sub>
              </m:sSub>
              <m:r>
                <w:rPr>
                  <w:rFonts w:ascii="Cambria Math" w:eastAsiaTheme="minorEastAsia" w:hAnsi="Cambria Math" w:cs="Calibri"/>
                  <w:sz w:val="20"/>
                  <w:szCs w:val="20"/>
                </w:rPr>
                <m:t>)</m:t>
              </m:r>
            </m:oMath>
            <w:r w:rsidRPr="00B452FC">
              <w:rPr>
                <w:rFonts w:eastAsiaTheme="minorEastAsia" w:cs="Calibri"/>
                <w:sz w:val="20"/>
                <w:szCs w:val="20"/>
              </w:rPr>
              <w:t xml:space="preserve">, c’est-à-dire que si un polluant dépasse la valeur de risque considérée pour l’usage donné (score attribué au polluant = 0), le </w:t>
            </w:r>
            <m:oMath>
              <m:sSub>
                <m:sSubPr>
                  <m:ctrlPr>
                    <w:rPr>
                      <w:rFonts w:ascii="Cambria Math" w:eastAsiaTheme="minorEastAsia" w:hAnsi="Cambria Math" w:cs="Calibri"/>
                      <w:iCs/>
                      <w:sz w:val="20"/>
                      <w:szCs w:val="20"/>
                    </w:rPr>
                  </m:ctrlPr>
                </m:sSubPr>
                <m:e>
                  <m:r>
                    <m:rPr>
                      <m:sty m:val="p"/>
                    </m:rPr>
                    <w:rPr>
                      <w:rFonts w:ascii="Cambria Math" w:eastAsiaTheme="minorEastAsia" w:hAnsi="Cambria Math" w:cs="Calibri"/>
                      <w:sz w:val="20"/>
                      <w:szCs w:val="20"/>
                    </w:rPr>
                    <m:t>Score</m:t>
                  </m:r>
                </m:e>
                <m:sub>
                  <m:r>
                    <m:rPr>
                      <m:sty m:val="p"/>
                    </m:rPr>
                    <w:rPr>
                      <w:rFonts w:ascii="Cambria Math" w:eastAsiaTheme="minorEastAsia" w:hAnsi="Cambria Math" w:cs="Calibri"/>
                      <w:sz w:val="20"/>
                      <w:szCs w:val="20"/>
                    </w:rPr>
                    <m:t>saturation</m:t>
                  </m:r>
                </m:sub>
              </m:sSub>
            </m:oMath>
            <w:r w:rsidRPr="00B452FC">
              <w:rPr>
                <w:rFonts w:eastAsiaTheme="minorEastAsia" w:cs="Calibri"/>
                <w:iCs/>
                <w:sz w:val="20"/>
                <w:szCs w:val="20"/>
              </w:rPr>
              <w:t xml:space="preserve"> sera automatiquement = 0 ;</w:t>
            </w:r>
          </w:p>
        </w:tc>
      </w:tr>
      <w:tr w:rsidR="00B452FC" w:rsidRPr="00B452FC" w14:paraId="1B32D1C6" w14:textId="77777777" w:rsidTr="00E55F14">
        <w:trPr>
          <w:trHeight w:val="227"/>
        </w:trPr>
        <w:tc>
          <w:tcPr>
            <w:tcW w:w="2487" w:type="dxa"/>
            <w:vAlign w:val="center"/>
          </w:tcPr>
          <w:p w14:paraId="1E996A28" w14:textId="77777777" w:rsidR="00B452FC" w:rsidRPr="00B452FC" w:rsidRDefault="00437C8C" w:rsidP="00E55F14">
            <w:pPr>
              <w:jc w:val="left"/>
              <w:rPr>
                <w:rFonts w:eastAsia="Aptos"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Conc</m:t>
                    </m:r>
                  </m:e>
                  <m:sub>
                    <m:r>
                      <m:rPr>
                        <m:sty m:val="p"/>
                      </m:rPr>
                      <w:rPr>
                        <w:rFonts w:ascii="Cambria Math" w:hAnsi="Cambria Math" w:cs="Calibri"/>
                        <w:sz w:val="20"/>
                        <w:szCs w:val="20"/>
                      </w:rPr>
                      <m:t>mesurée polluant</m:t>
                    </m:r>
                  </m:sub>
                </m:sSub>
              </m:oMath>
            </m:oMathPara>
          </w:p>
        </w:tc>
        <w:tc>
          <w:tcPr>
            <w:tcW w:w="6583" w:type="dxa"/>
          </w:tcPr>
          <w:p w14:paraId="7E8A502D" w14:textId="77777777" w:rsidR="00B452FC" w:rsidRPr="00B452FC" w:rsidRDefault="00B452FC" w:rsidP="00E55F14">
            <w:pPr>
              <w:jc w:val="left"/>
              <w:rPr>
                <w:rFonts w:eastAsiaTheme="minorEastAsia" w:cs="Calibri"/>
                <w:sz w:val="20"/>
                <w:szCs w:val="20"/>
              </w:rPr>
            </w:pPr>
            <w:r w:rsidRPr="00B452FC">
              <w:rPr>
                <w:rFonts w:eastAsiaTheme="minorEastAsia" w:cs="Calibri"/>
                <w:sz w:val="20"/>
                <w:szCs w:val="20"/>
              </w:rPr>
              <w:t>La concentration mesurée en un polluant donné ;</w:t>
            </w:r>
          </w:p>
        </w:tc>
      </w:tr>
      <w:tr w:rsidR="00B452FC" w:rsidRPr="00B452FC" w14:paraId="541EB8DA" w14:textId="77777777" w:rsidTr="00E55F14">
        <w:trPr>
          <w:trHeight w:val="227"/>
        </w:trPr>
        <w:tc>
          <w:tcPr>
            <w:tcW w:w="2487" w:type="dxa"/>
            <w:vAlign w:val="center"/>
          </w:tcPr>
          <w:p w14:paraId="07A6637D" w14:textId="31E1573D" w:rsidR="00B452FC" w:rsidRPr="00B452FC" w:rsidRDefault="00437C8C" w:rsidP="00E55F14">
            <w:pPr>
              <w:jc w:val="left"/>
              <w:rPr>
                <w:rFonts w:eastAsia="Aptos"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VSN</m:t>
                    </m:r>
                  </m:e>
                  <m:sub>
                    <m:r>
                      <m:rPr>
                        <m:sty m:val="p"/>
                      </m:rPr>
                      <w:rPr>
                        <w:rFonts w:ascii="Cambria Math" w:hAnsi="Cambria Math" w:cs="Calibri"/>
                        <w:sz w:val="20"/>
                        <w:szCs w:val="20"/>
                      </w:rPr>
                      <m:t>ajustée</m:t>
                    </m:r>
                  </m:sub>
                </m:sSub>
              </m:oMath>
            </m:oMathPara>
          </w:p>
        </w:tc>
        <w:tc>
          <w:tcPr>
            <w:tcW w:w="6583" w:type="dxa"/>
          </w:tcPr>
          <w:p w14:paraId="15435BA0" w14:textId="40EE9745" w:rsidR="00B452FC" w:rsidRPr="00B452FC" w:rsidRDefault="00B452FC" w:rsidP="00E55F14">
            <w:pPr>
              <w:jc w:val="left"/>
              <w:rPr>
                <w:rFonts w:eastAsiaTheme="minorEastAsia" w:cs="Calibri"/>
                <w:sz w:val="20"/>
                <w:szCs w:val="20"/>
              </w:rPr>
            </w:pPr>
            <w:r w:rsidRPr="00B452FC">
              <w:rPr>
                <w:rFonts w:eastAsiaTheme="minorEastAsia" w:cs="Calibri"/>
                <w:sz w:val="20"/>
                <w:szCs w:val="20"/>
              </w:rPr>
              <w:t xml:space="preserve">La valeur de risque </w:t>
            </w:r>
            <w:r w:rsidR="00A23550">
              <w:rPr>
                <w:rFonts w:eastAsiaTheme="minorEastAsia" w:cs="Calibri"/>
                <w:sz w:val="20"/>
                <w:szCs w:val="20"/>
              </w:rPr>
              <w:t xml:space="preserve">de lessivage vers les nappes, calculée selon la méthodologie détaillée dans la partie </w:t>
            </w:r>
            <w:r w:rsidR="00A23550">
              <w:rPr>
                <w:rFonts w:eastAsiaTheme="minorEastAsia" w:cs="Calibri"/>
                <w:sz w:val="20"/>
                <w:szCs w:val="20"/>
              </w:rPr>
              <w:fldChar w:fldCharType="begin"/>
            </w:r>
            <w:r w:rsidR="00A23550">
              <w:rPr>
                <w:rFonts w:eastAsiaTheme="minorEastAsia" w:cs="Calibri"/>
                <w:sz w:val="20"/>
                <w:szCs w:val="20"/>
              </w:rPr>
              <w:instrText xml:space="preserve"> REF _Ref241243942 \r \h </w:instrText>
            </w:r>
            <w:r w:rsidR="00A23550">
              <w:rPr>
                <w:rFonts w:eastAsiaTheme="minorEastAsia" w:cs="Calibri"/>
                <w:sz w:val="20"/>
                <w:szCs w:val="20"/>
              </w:rPr>
            </w:r>
            <w:r w:rsidR="00A23550">
              <w:rPr>
                <w:rFonts w:eastAsiaTheme="minorEastAsia" w:cs="Calibri"/>
                <w:sz w:val="20"/>
                <w:szCs w:val="20"/>
              </w:rPr>
              <w:fldChar w:fldCharType="separate"/>
            </w:r>
            <w:r w:rsidR="00A23550">
              <w:rPr>
                <w:rFonts w:eastAsiaTheme="minorEastAsia" w:cs="Calibri"/>
                <w:sz w:val="20"/>
                <w:szCs w:val="20"/>
              </w:rPr>
              <w:t>4.5</w:t>
            </w:r>
            <w:r w:rsidR="00A23550">
              <w:rPr>
                <w:rFonts w:eastAsiaTheme="minorEastAsia" w:cs="Calibri"/>
                <w:sz w:val="20"/>
                <w:szCs w:val="20"/>
              </w:rPr>
              <w:fldChar w:fldCharType="end"/>
            </w:r>
            <w:r w:rsidRPr="00B452FC">
              <w:rPr>
                <w:rFonts w:eastAsiaTheme="minorEastAsia" w:cs="Calibri"/>
                <w:sz w:val="20"/>
                <w:szCs w:val="20"/>
              </w:rPr>
              <w:t> ;</w:t>
            </w:r>
          </w:p>
        </w:tc>
      </w:tr>
      <w:tr w:rsidR="00B452FC" w:rsidRPr="00B452FC" w14:paraId="04259079" w14:textId="77777777" w:rsidTr="00E55F14">
        <w:trPr>
          <w:trHeight w:val="227"/>
        </w:trPr>
        <w:tc>
          <w:tcPr>
            <w:tcW w:w="2487" w:type="dxa"/>
            <w:vAlign w:val="center"/>
          </w:tcPr>
          <w:p w14:paraId="39A67816" w14:textId="77777777" w:rsidR="00B452FC" w:rsidRPr="00B452FC" w:rsidRDefault="00437C8C" w:rsidP="00E55F14">
            <w:pPr>
              <w:jc w:val="left"/>
              <w:rPr>
                <w:rFonts w:eastAsia="Aptos" w:cs="Calibri"/>
                <w:iCs/>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VS</m:t>
                    </m:r>
                  </m:e>
                  <m:sub>
                    <m:r>
                      <m:rPr>
                        <m:sty m:val="p"/>
                      </m:rPr>
                      <w:rPr>
                        <w:rFonts w:ascii="Cambria Math" w:hAnsi="Cambria Math" w:cs="Calibri"/>
                        <w:sz w:val="20"/>
                        <w:szCs w:val="20"/>
                      </w:rPr>
                      <m:t>DS polluant</m:t>
                    </m:r>
                  </m:sub>
                </m:sSub>
              </m:oMath>
            </m:oMathPara>
          </w:p>
        </w:tc>
        <w:tc>
          <w:tcPr>
            <w:tcW w:w="6583" w:type="dxa"/>
          </w:tcPr>
          <w:p w14:paraId="4259A541" w14:textId="77777777" w:rsidR="00B452FC" w:rsidRPr="00B452FC" w:rsidRDefault="00B452FC" w:rsidP="00E55F14">
            <w:pPr>
              <w:jc w:val="left"/>
              <w:rPr>
                <w:rFonts w:eastAsiaTheme="minorEastAsia" w:cs="Calibri"/>
                <w:sz w:val="20"/>
                <w:szCs w:val="20"/>
              </w:rPr>
            </w:pPr>
            <w:r w:rsidRPr="00B452FC">
              <w:rPr>
                <w:rFonts w:eastAsiaTheme="minorEastAsia" w:cs="Calibri"/>
                <w:sz w:val="20"/>
                <w:szCs w:val="20"/>
              </w:rPr>
              <w:t>La valeur seuil du Décret sols.</w:t>
            </w:r>
          </w:p>
        </w:tc>
      </w:tr>
    </w:tbl>
    <w:p w14:paraId="63171476" w14:textId="77777777" w:rsidR="00B452FC" w:rsidRDefault="00B452FC" w:rsidP="00F92474">
      <w:pPr>
        <w:rPr>
          <w:rFonts w:cs="Calibri"/>
          <w:sz w:val="20"/>
          <w:szCs w:val="20"/>
        </w:rPr>
      </w:pPr>
    </w:p>
    <w:p w14:paraId="413BD4D5" w14:textId="50100071" w:rsidR="009E6B8C" w:rsidRPr="005A77EC" w:rsidRDefault="000100FD" w:rsidP="005A77EC">
      <w:pPr>
        <w:pStyle w:val="Titre4"/>
        <w:numPr>
          <w:ilvl w:val="0"/>
          <w:numId w:val="0"/>
        </w:numPr>
      </w:pPr>
      <w:r w:rsidRPr="005A77EC">
        <w:t>Service</w:t>
      </w:r>
      <w:r w:rsidR="005B0550" w:rsidRPr="005A77EC">
        <w:t>s</w:t>
      </w:r>
      <w:r w:rsidR="00204C1E" w:rsidRPr="005A77EC">
        <w:t xml:space="preserve"> </w:t>
      </w:r>
      <w:r w:rsidR="005B0550" w:rsidRPr="005A77EC">
        <w:t>« </w:t>
      </w:r>
      <w:r w:rsidR="00204C1E" w:rsidRPr="005A77EC">
        <w:t>Biodiversité</w:t>
      </w:r>
      <w:r w:rsidR="005B0550" w:rsidRPr="005A77EC">
        <w:t> »</w:t>
      </w:r>
    </w:p>
    <w:p w14:paraId="0463168C" w14:textId="0D8FDBC5" w:rsidR="008932E6" w:rsidRPr="003B2D91" w:rsidRDefault="00DF58B0" w:rsidP="00065B27">
      <w:pPr>
        <w:jc w:val="left"/>
      </w:pPr>
      <w:r>
        <w:t xml:space="preserve">Dans le cadre des services en lien avec la biodiversité </w:t>
      </w:r>
      <w:r w:rsidR="005B0550">
        <w:t>(</w:t>
      </w:r>
      <w:r w:rsidR="005B0550" w:rsidRPr="005B0550">
        <w:rPr>
          <w:i/>
          <w:iCs/>
        </w:rPr>
        <w:t>Potentiel d’accueil pour une végétation diversifiée</w:t>
      </w:r>
      <w:r w:rsidR="005B0550">
        <w:t xml:space="preserve"> et </w:t>
      </w:r>
      <w:r w:rsidR="005B0550" w:rsidRPr="005B0550">
        <w:rPr>
          <w:i/>
          <w:iCs/>
        </w:rPr>
        <w:t>Habitat pour la biodiversité du sol</w:t>
      </w:r>
      <w:r w:rsidR="005B0550">
        <w:t xml:space="preserve">), la présence d’un ou plusieurs polluant(s) dans des niveaux dépassant la valeur de risque </w:t>
      </w:r>
      <w:r w:rsidR="003B2D91">
        <w:t>V</w:t>
      </w:r>
      <w:r w:rsidR="003B2D91">
        <w:rPr>
          <w:vertAlign w:val="subscript"/>
        </w:rPr>
        <w:t>SE</w:t>
      </w:r>
      <w:r w:rsidR="003B2D91">
        <w:t xml:space="preserve"> (valeur de risque pour les écosystèmes) est traitée comme un complément indicatif.</w:t>
      </w:r>
    </w:p>
    <w:p w14:paraId="4119A745" w14:textId="6EC1121F" w:rsidR="008932E6" w:rsidRDefault="000E3415" w:rsidP="00876101">
      <w:pPr>
        <w:pStyle w:val="Titre2"/>
        <w:numPr>
          <w:ilvl w:val="1"/>
          <w:numId w:val="3"/>
        </w:numPr>
      </w:pPr>
      <w:bookmarkStart w:id="119" w:name="_Toc241505308"/>
      <w:r>
        <w:lastRenderedPageBreak/>
        <w:t>Pour aller plus loin</w:t>
      </w:r>
      <w:bookmarkEnd w:id="119"/>
    </w:p>
    <w:p w14:paraId="1032D397" w14:textId="635566F2" w:rsidR="008932E6" w:rsidRDefault="000E3415" w:rsidP="00876101">
      <w:pPr>
        <w:pStyle w:val="Titre3"/>
        <w:numPr>
          <w:ilvl w:val="2"/>
          <w:numId w:val="3"/>
        </w:numPr>
      </w:pPr>
      <w:bookmarkStart w:id="120" w:name="_Toc241505309"/>
      <w:r>
        <w:t>Conductivité électrique</w:t>
      </w:r>
      <w:bookmarkEnd w:id="120"/>
    </w:p>
    <w:p w14:paraId="08EC1350" w14:textId="77777777" w:rsidR="008932E6" w:rsidRPr="00B62DF2" w:rsidRDefault="008932E6" w:rsidP="008932E6">
      <w:r>
        <w:t xml:space="preserve">La conductivité électrique exprime le degré de salinité d’un sol. La salinisation d’un sol correspond à la concentration de sels (carbonates, bicarbonates de sodium, chlorures etc.) en surface résultant d’un bilan hydrique en faveur de l’évaporation. </w:t>
      </w:r>
    </w:p>
    <w:p w14:paraId="2196CD26" w14:textId="63F8D4C2" w:rsidR="008932E6" w:rsidRPr="00766ABB" w:rsidRDefault="008932E6" w:rsidP="008932E6">
      <w:r>
        <w:t>Hors contexte de cultures irriguées et/ou en serre, ce paramètre est peu pertinent dans le contexte wallon. En effet, sous nos latitudes, le bilan hydrique est systématiquement en faveur de la pluie (par rapport à l’évapotranspiration), ce qui empêche le phénomène d’accumulation des sels en surface, typique de certains contextes arides ou côtiers.</w:t>
      </w:r>
      <w:r w:rsidR="000E3415">
        <w:t xml:space="preserve"> </w:t>
      </w:r>
      <w:r w:rsidR="00F76FBF">
        <w:t>La mesure de ce</w:t>
      </w:r>
      <w:r w:rsidR="000E3415">
        <w:t xml:space="preserve"> paramètre </w:t>
      </w:r>
      <w:r w:rsidR="00F76FBF">
        <w:t>pourrait toutefois s’envisager</w:t>
      </w:r>
      <w:r w:rsidR="000E3415">
        <w:t xml:space="preserve"> </w:t>
      </w:r>
      <w:r w:rsidR="00F76FBF">
        <w:t xml:space="preserve">aussi </w:t>
      </w:r>
      <w:r w:rsidR="000E3415">
        <w:t xml:space="preserve">en milieu urbain, </w:t>
      </w:r>
      <w:r w:rsidR="00F76FBF">
        <w:t xml:space="preserve">dans le cas où des gravats contenant du ciment (gypse) seraient à l’origine d’une salinité élevée </w:t>
      </w:r>
      <w:r>
        <w:fldChar w:fldCharType="begin"/>
      </w:r>
      <w:r>
        <w:instrText xml:space="preserve"> ADDIN ZOTERO_ITEM CSL_CITATION {"citationID":"YFpUHaoH","properties":{"unsorted":false,"formattedCitation":"(Greinert, 2015)","plainCitation":"(Greinert, 2015)","noteIndex":0},"citationItems":[{"id":481,"uris":["http://zotero.org/groups/5684833/items/I9BP9TDV"],"itemData":{"id":481,"type":"article-journal","container-title":"Journal of Soils and Sediments","DOI":"10.1007/s11368-014-1054-6","ISSN":"1439-0108, 1614-7480","issue":"8","journalAbbreviation":"J Soils Sediments","language":"en","page":"1725-1737","source":"DOI.org (Crossref)","title":"The heterogeneity of urban soils in the light of their properties","volume":"15","author":[{"family":"Greinert","given":"Andrzej"}],"issued":{"date-parts":[["2015",8]]}}}],"schema":"https://github.com/citation-style-language/schema/raw/master/csl-citation.json"} </w:instrText>
      </w:r>
      <w:r>
        <w:fldChar w:fldCharType="separate"/>
      </w:r>
      <w:r w:rsidRPr="00CF2C3C">
        <w:rPr>
          <w:rFonts w:cs="Calibri"/>
        </w:rPr>
        <w:t>(Greinert, 2015)</w:t>
      </w:r>
      <w:r>
        <w:fldChar w:fldCharType="end"/>
      </w:r>
      <w:r w:rsidR="00F76FBF">
        <w:t>.</w:t>
      </w:r>
    </w:p>
    <w:p w14:paraId="77FDBEE1" w14:textId="06BAA25D" w:rsidR="008932E6" w:rsidRPr="00A055F3" w:rsidRDefault="00F01A7E" w:rsidP="000E3415">
      <w:r>
        <w:t>Quant à l’interprétation de cette valeur, l</w:t>
      </w:r>
      <w:r w:rsidR="008932E6">
        <w:t xml:space="preserve">a directive sur la surveillance des sols </w:t>
      </w:r>
      <w:r w:rsidR="008932E6">
        <w:fldChar w:fldCharType="begin"/>
      </w:r>
      <w:r w:rsidR="008932E6">
        <w:instrText xml:space="preserve"> ADDIN ZOTERO_ITEM CSL_CITATION {"citationID":"mgcFFfPW","properties":{"unsorted":false,"formattedCitation":"(UE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8932E6">
        <w:fldChar w:fldCharType="separate"/>
      </w:r>
      <w:r w:rsidR="008932E6" w:rsidRPr="00377A1A">
        <w:rPr>
          <w:rFonts w:cs="Calibri"/>
        </w:rPr>
        <w:t>(UE 2025/2360, 2025)</w:t>
      </w:r>
      <w:r w:rsidR="008932E6">
        <w:fldChar w:fldCharType="end"/>
      </w:r>
      <w:r w:rsidR="008932E6">
        <w:t xml:space="preserve"> impose une valeur seuil de conductivité électrique</w:t>
      </w:r>
      <w:r w:rsidR="00F76FBF">
        <w:t>.</w:t>
      </w:r>
    </w:p>
    <w:p w14:paraId="2E2D5803" w14:textId="1412EE93" w:rsidR="00B8619C" w:rsidRDefault="00B8619C" w:rsidP="00876101">
      <w:pPr>
        <w:pStyle w:val="Titre1"/>
        <w:numPr>
          <w:ilvl w:val="0"/>
          <w:numId w:val="3"/>
        </w:numPr>
      </w:pPr>
      <w:bookmarkStart w:id="121" w:name="_Toc230267122"/>
      <w:bookmarkStart w:id="122" w:name="_Toc241505310"/>
      <w:r>
        <w:t>Paramètres biologiques</w:t>
      </w:r>
      <w:bookmarkEnd w:id="121"/>
      <w:bookmarkEnd w:id="122"/>
    </w:p>
    <w:p w14:paraId="6D87D312" w14:textId="00034FFB" w:rsidR="00B8619C" w:rsidRDefault="00C27CA8" w:rsidP="00876101">
      <w:pPr>
        <w:pStyle w:val="Titre2"/>
        <w:numPr>
          <w:ilvl w:val="1"/>
          <w:numId w:val="3"/>
        </w:numPr>
      </w:pPr>
      <w:bookmarkStart w:id="123" w:name="_Ref233123712"/>
      <w:bookmarkStart w:id="124" w:name="_Toc241505311"/>
      <w:r>
        <w:t xml:space="preserve">Biomasse microbienne </w:t>
      </w:r>
      <w:r w:rsidR="00776B80">
        <w:t>et quotient microbien</w:t>
      </w:r>
      <w:bookmarkEnd w:id="123"/>
      <w:bookmarkEnd w:id="124"/>
    </w:p>
    <w:p w14:paraId="626CFA84" w14:textId="77777777" w:rsidR="007E7103" w:rsidRDefault="007E7103" w:rsidP="00876101">
      <w:pPr>
        <w:pStyle w:val="Titre3"/>
        <w:numPr>
          <w:ilvl w:val="2"/>
          <w:numId w:val="3"/>
        </w:numPr>
      </w:pPr>
      <w:bookmarkStart w:id="125" w:name="_Toc241505312"/>
      <w:r>
        <w:t>Définition</w:t>
      </w:r>
      <w:bookmarkEnd w:id="125"/>
    </w:p>
    <w:p w14:paraId="4845BC46" w14:textId="67316379" w:rsidR="00FB2658" w:rsidRDefault="0020594B" w:rsidP="00FB2658">
      <w:pPr>
        <w:widowControl w:val="0"/>
        <w:autoSpaceDE w:val="0"/>
        <w:autoSpaceDN w:val="0"/>
        <w:adjustRightInd w:val="0"/>
        <w:spacing w:after="0" w:line="240" w:lineRule="auto"/>
      </w:pPr>
      <w:r>
        <w:t xml:space="preserve">La biomasse microbienne </w:t>
      </w:r>
      <w:r w:rsidR="000E0BBD">
        <w:t>(</w:t>
      </w:r>
      <w:proofErr w:type="spellStart"/>
      <w:r w:rsidR="000E0BBD">
        <w:t>C</w:t>
      </w:r>
      <w:r w:rsidR="000E0BBD">
        <w:rPr>
          <w:vertAlign w:val="subscript"/>
        </w:rPr>
        <w:t>mic</w:t>
      </w:r>
      <w:proofErr w:type="spellEnd"/>
      <w:r w:rsidR="000E0BBD">
        <w:t xml:space="preserve">) </w:t>
      </w:r>
      <w:r w:rsidR="002B5400">
        <w:t xml:space="preserve">correspond à la partie vivante de la matière organique du sol </w:t>
      </w:r>
      <w:r w:rsidR="002B5400">
        <w:fldChar w:fldCharType="begin"/>
      </w:r>
      <w:r w:rsidR="002B5400">
        <w:instrText xml:space="preserve"> ADDIN ZOTERO_ITEM CSL_CITATION {"citationID":"0D5deVv8","properties":{"unsorted":false,"formattedCitation":"(Cousin et al., 2025)","plainCitation":"(Cousin et al., 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rsidR="002B5400">
        <w:fldChar w:fldCharType="separate"/>
      </w:r>
      <w:r w:rsidR="002B5400" w:rsidRPr="002B5400">
        <w:rPr>
          <w:rFonts w:cs="Calibri"/>
        </w:rPr>
        <w:t>(Cousin et al., 2025)</w:t>
      </w:r>
      <w:r w:rsidR="002B5400">
        <w:fldChar w:fldCharType="end"/>
      </w:r>
      <w:r w:rsidR="00080246">
        <w:t xml:space="preserve">. </w:t>
      </w:r>
      <w:r w:rsidR="00F36CA7">
        <w:t xml:space="preserve">Elle reflète la </w:t>
      </w:r>
      <w:r w:rsidR="00F377B4">
        <w:t>quantité de microorganismes (</w:t>
      </w:r>
      <w:r w:rsidR="00F36CA7">
        <w:t>bactéries, champignons et protozoaires</w:t>
      </w:r>
      <w:r w:rsidR="00F377B4">
        <w:t xml:space="preserve">) présents dans le sol </w:t>
      </w:r>
      <w:r w:rsidR="00797F5D">
        <w:fldChar w:fldCharType="begin"/>
      </w:r>
      <w:r w:rsidR="00797F5D">
        <w:instrText xml:space="preserve"> ADDIN ZOTERO_ITEM CSL_CITATION {"citationID":"h1X4y5LL","properties":{"unsorted":false,"formattedCitation":"(Microbioterre, 2022)","plainCitation":"(Microbioterre, 2022)","noteIndex":0},"citationItems":[{"id":588,"uris":["http://zotero.org/groups/5684833/items/EC3NTMEX"],"itemData":{"id":588,"type":"document","publisher":"ARVALIS, AUREA, Chambre d’agriculture de Bretagne, INRAE, ITAB, TerresInovia et UniLaSalle","title":"Guide d'interprétation à l'analyse des bioindicateurs","URL":"https://www.rmt-fertilisationetenvironnement.org/moodle/pluginfile.php/4197/mod_resource/content/1/Microbioterre_Guide%20dinterpr%C3%A9tation%20%C3%A0%20lanalyse%20des%20bioindicateurs_juillet%202022.pdf","author":[{"literal":"Microbioterre"}],"issued":{"date-parts":[["2022"]]}}}],"schema":"https://github.com/citation-style-language/schema/raw/master/csl-citation.json"} </w:instrText>
      </w:r>
      <w:r w:rsidR="00797F5D">
        <w:fldChar w:fldCharType="separate"/>
      </w:r>
      <w:r w:rsidR="00797F5D" w:rsidRPr="00797F5D">
        <w:rPr>
          <w:rFonts w:cs="Calibri"/>
        </w:rPr>
        <w:t>(Microbioterre, 2022)</w:t>
      </w:r>
      <w:r w:rsidR="00797F5D">
        <w:fldChar w:fldCharType="end"/>
      </w:r>
      <w:r w:rsidR="00797F5D">
        <w:t>.</w:t>
      </w:r>
      <w:r w:rsidR="00F36CA7">
        <w:t xml:space="preserve"> </w:t>
      </w:r>
    </w:p>
    <w:p w14:paraId="09D37718" w14:textId="0DCFA5D1" w:rsidR="007E7103" w:rsidRDefault="007E7103" w:rsidP="007E7103"/>
    <w:p w14:paraId="108C7EBB" w14:textId="77777777" w:rsidR="007E7103" w:rsidRDefault="007E7103" w:rsidP="00876101">
      <w:pPr>
        <w:pStyle w:val="Titre3"/>
        <w:numPr>
          <w:ilvl w:val="2"/>
          <w:numId w:val="3"/>
        </w:numPr>
      </w:pPr>
      <w:bookmarkStart w:id="126" w:name="_Toc241505313"/>
      <w:r>
        <w:t>Pertinence</w:t>
      </w:r>
      <w:bookmarkEnd w:id="126"/>
    </w:p>
    <w:p w14:paraId="2B522BDD" w14:textId="7FBDA31B" w:rsidR="004F0AF7" w:rsidRDefault="00FB2658">
      <w:pPr>
        <w:widowControl w:val="0"/>
        <w:autoSpaceDE w:val="0"/>
        <w:autoSpaceDN w:val="0"/>
        <w:adjustRightInd w:val="0"/>
        <w:spacing w:after="0" w:line="240" w:lineRule="auto"/>
        <w:rPr>
          <w:rFonts w:cs="Calibri"/>
          <w:kern w:val="0"/>
        </w:rPr>
      </w:pPr>
      <w:r>
        <w:t>La biomasse microbienne fait partie des indicateurs biologiques le plus fréquemment mesuré dans les études de qualité du so</w:t>
      </w:r>
      <w:r w:rsidR="004F0AF7">
        <w:t xml:space="preserve">l </w:t>
      </w:r>
      <w:r w:rsidR="004F0AF7">
        <w:fldChar w:fldCharType="begin"/>
      </w:r>
      <w:r w:rsidR="004F0AF7">
        <w:instrText xml:space="preserve"> ADDIN ZOTERO_TEMP </w:instrText>
      </w:r>
      <w:r w:rsidR="004F0AF7">
        <w:fldChar w:fldCharType="separate"/>
      </w:r>
      <w:r w:rsidR="004F0AF7" w:rsidRPr="004F0AF7">
        <w:rPr>
          <w:rFonts w:cs="Calibri"/>
        </w:rPr>
        <w:fldChar w:fldCharType="begin"/>
      </w:r>
      <w:r w:rsidR="004F0AF7" w:rsidRPr="004F0AF7">
        <w:rPr>
          <w:rFonts w:cs="Calibri"/>
        </w:rPr>
        <w:instrText xml:space="preserve"> INCLUDETEXT "C:\\Users\\CLLIAV~1\\AppData\\Local\\Temp\\ZOTBDA.tmp" \c MSRTF </w:instrText>
      </w:r>
      <w:r w:rsidR="004F0AF7" w:rsidRPr="004F0AF7">
        <w:rPr>
          <w:rFonts w:cs="Calibri"/>
        </w:rPr>
        <w:fldChar w:fldCharType="separate"/>
      </w:r>
      <w:r w:rsidR="004F0AF7" w:rsidRPr="004F0AF7">
        <w:rPr>
          <w:rFonts w:cs="Calibri"/>
          <w:kern w:val="0"/>
        </w:rPr>
        <w:t>(Bünemann et al., 2018)</w:t>
      </w:r>
      <w:r w:rsidR="00E909A4">
        <w:rPr>
          <w:rFonts w:cs="Calibri"/>
          <w:kern w:val="0"/>
        </w:rPr>
        <w:t>.</w:t>
      </w:r>
    </w:p>
    <w:p w14:paraId="4E28E321" w14:textId="77777777" w:rsidR="00155420" w:rsidRPr="004F0AF7" w:rsidRDefault="00155420">
      <w:pPr>
        <w:widowControl w:val="0"/>
        <w:autoSpaceDE w:val="0"/>
        <w:autoSpaceDN w:val="0"/>
        <w:adjustRightInd w:val="0"/>
        <w:spacing w:after="0" w:line="240" w:lineRule="auto"/>
        <w:rPr>
          <w:rFonts w:cs="Calibri"/>
        </w:rPr>
      </w:pPr>
    </w:p>
    <w:p w14:paraId="78E68972" w14:textId="0C806895" w:rsidR="007E7103" w:rsidRDefault="004F0AF7" w:rsidP="00155420">
      <w:pPr>
        <w:widowControl w:val="0"/>
        <w:autoSpaceDE w:val="0"/>
        <w:autoSpaceDN w:val="0"/>
        <w:adjustRightInd w:val="0"/>
        <w:spacing w:after="0" w:line="240" w:lineRule="auto"/>
      </w:pPr>
      <w:r w:rsidRPr="004F0AF7">
        <w:rPr>
          <w:rFonts w:cs="Calibri"/>
        </w:rPr>
        <w:fldChar w:fldCharType="end"/>
      </w:r>
      <w:r>
        <w:fldChar w:fldCharType="end"/>
      </w:r>
      <w:r w:rsidR="005427A3">
        <w:t xml:space="preserve">Il s’agit d’un indicateur d’abondance </w:t>
      </w:r>
      <w:r w:rsidR="007F7C35">
        <w:t>des microorganismes du sol</w:t>
      </w:r>
      <w:r w:rsidR="00155420">
        <w:t xml:space="preserve"> dont la mesure est</w:t>
      </w:r>
      <w:r w:rsidR="005427A3">
        <w:t xml:space="preserve"> </w:t>
      </w:r>
      <w:r w:rsidR="00155420">
        <w:t>relativement</w:t>
      </w:r>
      <w:r w:rsidR="005427A3">
        <w:t xml:space="preserve"> </w:t>
      </w:r>
      <w:r w:rsidR="00155420">
        <w:t>aisée</w:t>
      </w:r>
      <w:r w:rsidR="005427A3">
        <w:t xml:space="preserve"> et </w:t>
      </w:r>
      <w:r w:rsidR="00155420">
        <w:t>abordable</w:t>
      </w:r>
      <w:r w:rsidR="008171D4">
        <w:t>, ce qui contribue</w:t>
      </w:r>
      <w:r w:rsidR="0079784D">
        <w:t xml:space="preserve"> au développement </w:t>
      </w:r>
      <w:r w:rsidR="007F7C35">
        <w:t>de</w:t>
      </w:r>
      <w:r w:rsidR="0079784D">
        <w:t xml:space="preserve"> référentiels pour son interprétation.</w:t>
      </w:r>
      <w:r w:rsidR="00DB63AF">
        <w:t xml:space="preserve"> </w:t>
      </w:r>
      <w:r w:rsidR="00D474A0">
        <w:t>La biomasse microbienne</w:t>
      </w:r>
      <w:r w:rsidR="000171B6">
        <w:t xml:space="preserve"> est sensible aux changements de gestion des sols </w:t>
      </w:r>
      <w:r w:rsidR="00E857FB">
        <w:t xml:space="preserve">ainsi qu’à la pollution </w:t>
      </w:r>
      <w:r w:rsidR="00E857FB">
        <w:fldChar w:fldCharType="begin"/>
      </w:r>
      <w:r w:rsidR="00E857FB">
        <w:instrText xml:space="preserve"> ADDIN ZOTERO_ITEM CSL_CITATION {"citationID":"qje1OOeX","properties":{"unsorted":false,"formattedCitation":"(Cousin et al., 2025)","plainCitation":"(Cousin et al., 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rsidR="00E857FB">
        <w:fldChar w:fldCharType="separate"/>
      </w:r>
      <w:r w:rsidR="00E857FB" w:rsidRPr="00E857FB">
        <w:rPr>
          <w:rFonts w:cs="Calibri"/>
        </w:rPr>
        <w:t>(Cousin et al., 2025)</w:t>
      </w:r>
      <w:r w:rsidR="00E857FB">
        <w:fldChar w:fldCharType="end"/>
      </w:r>
      <w:r w:rsidR="00E857FB">
        <w:t xml:space="preserve">. </w:t>
      </w:r>
      <w:r w:rsidR="00DB63AF">
        <w:t xml:space="preserve">Toutefois, il s’agit d’un paramètre extrêmement dynamique, </w:t>
      </w:r>
      <w:r w:rsidR="004805BC">
        <w:t xml:space="preserve">influencé notamment par l’humidité, la température ou la disponibilité en matière organique </w:t>
      </w:r>
      <w:r w:rsidR="004805BC">
        <w:fldChar w:fldCharType="begin"/>
      </w:r>
      <w:r w:rsidR="004805BC">
        <w:instrText xml:space="preserve"> ADDIN ZOTERO_ITEM CSL_CITATION {"citationID":"SvklkXLn","properties":{"unsorted":false,"formattedCitation":"(Chartin et al., 2015)","plainCitation":"(Chartin et al., 2015)","noteIndex":0},"citationItems":[{"id":91,"uris":["http://zotero.org/groups/5684833/items/X3Q8CCBC"],"itemData":{"id":91,"type":"article-journal","language":"fr","source":"Zotero","title":"« Carbone organique, biomasse et activité microbienne des sols : vers un indicateur de la qualité des sols en Wallonie »","author":[{"family":"Chartin","given":"Caroline"},{"family":"Kruger","given":"Inken"},{"family":"Stevens","given":"Antoine"},{"family":"Wesemael","given":"Bas Van"},{"family":"Carnol","given":"Monique"}],"issued":{"date-parts":[["2015"]]}}}],"schema":"https://github.com/citation-style-language/schema/raw/master/csl-citation.json"} </w:instrText>
      </w:r>
      <w:r w:rsidR="004805BC">
        <w:fldChar w:fldCharType="separate"/>
      </w:r>
      <w:r w:rsidR="004805BC" w:rsidRPr="004805BC">
        <w:rPr>
          <w:rFonts w:cs="Calibri"/>
        </w:rPr>
        <w:t>(Chartin et al., 2015)</w:t>
      </w:r>
      <w:r w:rsidR="004805BC">
        <w:fldChar w:fldCharType="end"/>
      </w:r>
      <w:r w:rsidR="004805BC">
        <w:t>.</w:t>
      </w:r>
    </w:p>
    <w:p w14:paraId="5F4D814F" w14:textId="77777777" w:rsidR="00D474A0" w:rsidRDefault="00D474A0" w:rsidP="00155420">
      <w:pPr>
        <w:widowControl w:val="0"/>
        <w:autoSpaceDE w:val="0"/>
        <w:autoSpaceDN w:val="0"/>
        <w:adjustRightInd w:val="0"/>
        <w:spacing w:after="0" w:line="240" w:lineRule="auto"/>
      </w:pPr>
    </w:p>
    <w:p w14:paraId="67DDBDFA" w14:textId="6151F328" w:rsidR="00D474A0" w:rsidRDefault="00426283" w:rsidP="00155420">
      <w:pPr>
        <w:widowControl w:val="0"/>
        <w:autoSpaceDE w:val="0"/>
        <w:autoSpaceDN w:val="0"/>
        <w:adjustRightInd w:val="0"/>
        <w:spacing w:after="0" w:line="240" w:lineRule="auto"/>
      </w:pPr>
      <w:r>
        <w:t xml:space="preserve">La biomasse microbienne peut également </w:t>
      </w:r>
      <w:r w:rsidR="00256928">
        <w:t xml:space="preserve">s’interpréter en la rapportant </w:t>
      </w:r>
      <w:r w:rsidR="00D26A20">
        <w:t xml:space="preserve">à la teneur en carbone organique </w:t>
      </w:r>
      <w:r w:rsidR="467AA4C6">
        <w:t>(</w:t>
      </w:r>
      <w:proofErr w:type="spellStart"/>
      <w:r w:rsidR="00D26A20">
        <w:t>C</w:t>
      </w:r>
      <w:r w:rsidR="00D26A20" w:rsidRPr="48222D96">
        <w:rPr>
          <w:vertAlign w:val="subscript"/>
        </w:rPr>
        <w:t>org</w:t>
      </w:r>
      <w:proofErr w:type="spellEnd"/>
      <w:r w:rsidR="5A322375">
        <w:t xml:space="preserve">) </w:t>
      </w:r>
      <w:r w:rsidR="000E0BBD">
        <w:t>: c’est ce que l’on appelle le quotient microbien</w:t>
      </w:r>
      <w:r w:rsidR="009E6D33">
        <w:t xml:space="preserve"> (équation </w:t>
      </w:r>
      <w:r w:rsidR="00057C21">
        <w:t>suivante</w:t>
      </w:r>
      <w:r w:rsidR="009E6D33">
        <w:t>)</w:t>
      </w:r>
      <w:r w:rsidR="00D26A20">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0E0BBD" w14:paraId="0C91715A" w14:textId="77777777" w:rsidTr="004306AE">
        <w:trPr>
          <w:trHeight w:val="647"/>
        </w:trPr>
        <w:tc>
          <w:tcPr>
            <w:tcW w:w="8642" w:type="dxa"/>
            <w:vAlign w:val="center"/>
          </w:tcPr>
          <w:p w14:paraId="45B1594A" w14:textId="33A86D79" w:rsidR="000E0BBD" w:rsidRPr="000E0BBD" w:rsidRDefault="000E0BBD" w:rsidP="004306AE">
            <w:pPr>
              <w:jc w:val="center"/>
            </w:pPr>
            <m:oMathPara>
              <m:oMath>
                <m:r>
                  <m:rPr>
                    <m:sty m:val="p"/>
                  </m:rPr>
                  <w:rPr>
                    <w:rFonts w:ascii="Cambria Math" w:hAnsi="Cambria Math" w:cs="Cambria Math"/>
                  </w:rPr>
                  <m:t>Quotient microbien (%)=</m:t>
                </m:r>
                <m:f>
                  <m:fPr>
                    <m:ctrlPr>
                      <w:rPr>
                        <w:rFonts w:ascii="Cambria Math" w:hAnsi="Cambria Math"/>
                      </w:rPr>
                    </m:ctrlPr>
                  </m:fPr>
                  <m:num>
                    <m:sSub>
                      <m:sSubPr>
                        <m:ctrlPr>
                          <w:rPr>
                            <w:rFonts w:ascii="Cambria Math" w:hAnsi="Cambria Math"/>
                          </w:rPr>
                        </m:ctrlPr>
                      </m:sSubPr>
                      <m:e>
                        <m:r>
                          <m:rPr>
                            <m:sty m:val="p"/>
                          </m:rPr>
                          <w:rPr>
                            <w:rFonts w:ascii="Cambria Math" w:hAnsi="Cambria Math"/>
                          </w:rPr>
                          <m:t>C</m:t>
                        </m:r>
                      </m:e>
                      <m:sub>
                        <m:r>
                          <m:rPr>
                            <m:sty m:val="p"/>
                          </m:rPr>
                          <w:rPr>
                            <w:rFonts w:ascii="Cambria Math" w:hAnsi="Cambria Math"/>
                          </w:rPr>
                          <m:t>mic</m:t>
                        </m:r>
                      </m:sub>
                    </m:sSub>
                  </m:num>
                  <m:den>
                    <m:sSub>
                      <m:sSubPr>
                        <m:ctrlPr>
                          <w:rPr>
                            <w:rFonts w:ascii="Cambria Math" w:hAnsi="Cambria Math"/>
                          </w:rPr>
                        </m:ctrlPr>
                      </m:sSubPr>
                      <m:e>
                        <m:r>
                          <m:rPr>
                            <m:sty m:val="p"/>
                          </m:rPr>
                          <w:rPr>
                            <w:rFonts w:ascii="Cambria Math" w:hAnsi="Cambria Math"/>
                          </w:rPr>
                          <m:t>C</m:t>
                        </m:r>
                      </m:e>
                      <m:sub>
                        <m:r>
                          <m:rPr>
                            <m:sty m:val="p"/>
                          </m:rPr>
                          <w:rPr>
                            <w:rFonts w:ascii="Cambria Math" w:hAnsi="Cambria Math"/>
                          </w:rPr>
                          <m:t>org</m:t>
                        </m:r>
                      </m:sub>
                    </m:sSub>
                  </m:den>
                </m:f>
                <m:r>
                  <m:rPr>
                    <m:sty m:val="p"/>
                  </m:rPr>
                  <w:rPr>
                    <w:rFonts w:ascii="Cambria Math" w:hAnsi="Cambria Math"/>
                  </w:rPr>
                  <m:t xml:space="preserve">∙100 </m:t>
                </m:r>
              </m:oMath>
            </m:oMathPara>
          </w:p>
        </w:tc>
        <w:tc>
          <w:tcPr>
            <w:tcW w:w="418" w:type="dxa"/>
            <w:vAlign w:val="center"/>
          </w:tcPr>
          <w:p w14:paraId="3FBB3949" w14:textId="2302CC3B" w:rsidR="000E0BBD" w:rsidRDefault="000E0BBD" w:rsidP="004306AE">
            <w:pPr>
              <w:jc w:val="center"/>
            </w:pPr>
            <w:r>
              <w:t>(</w:t>
            </w:r>
            <w:r w:rsidR="00A250D5">
              <w:t>3</w:t>
            </w:r>
            <w:r>
              <w:t>)</w:t>
            </w:r>
          </w:p>
        </w:tc>
      </w:tr>
    </w:tbl>
    <w:p w14:paraId="4A309AD9" w14:textId="77777777" w:rsidR="000E0BBD" w:rsidRPr="00D26A20" w:rsidRDefault="000E0BBD" w:rsidP="00155420">
      <w:pPr>
        <w:widowControl w:val="0"/>
        <w:autoSpaceDE w:val="0"/>
        <w:autoSpaceDN w:val="0"/>
        <w:adjustRightInd w:val="0"/>
        <w:spacing w:after="0" w:line="240" w:lineRule="auto"/>
      </w:pPr>
    </w:p>
    <w:p w14:paraId="416A9745" w14:textId="7BC3A0CA" w:rsidR="00155420" w:rsidRDefault="00584369" w:rsidP="00155420">
      <w:pPr>
        <w:widowControl w:val="0"/>
        <w:autoSpaceDE w:val="0"/>
        <w:autoSpaceDN w:val="0"/>
        <w:adjustRightInd w:val="0"/>
        <w:spacing w:after="0" w:line="240" w:lineRule="auto"/>
      </w:pPr>
      <w:r>
        <w:t>Une valeur de</w:t>
      </w:r>
      <w:r w:rsidR="004B753A">
        <w:t xml:space="preserve"> quotient microbien </w:t>
      </w:r>
      <w:r>
        <w:t xml:space="preserve">faible témoigne potentiellement d’un blocage dans la décomposition de la matière organique, moins accessible pour les microorganismes </w:t>
      </w:r>
      <w:r>
        <w:fldChar w:fldCharType="begin"/>
      </w:r>
      <w:r>
        <w:instrText xml:space="preserve"> ADDIN ZOTERO_ITEM CSL_CITATION {"citationID":"3pypGvqE","properties":{"unsorted":false,"formattedCitation":"(Chartin et al., 2015)","plainCitation":"(Chartin et al., 2015)","noteIndex":0},"citationItems":[{"id":91,"uris":["http://zotero.org/groups/5684833/items/X3Q8CCBC"],"itemData":{"id":91,"type":"article-journal","language":"fr","source":"Zotero","title":"« Carbone organique, biomasse et activité microbienne des sols : vers un indicateur de la qualité des sols en Wallonie »","author":[{"family":"Chartin","given":"Caroline"},{"family":"Kruger","given":"Inken"},{"family":"Stevens","given":"Antoine"},{"family":"Wesemael","given":"Bas Van"},{"family":"Carnol","given":"Monique"}],"issued":{"date-parts":[["2015"]]}}}],"schema":"https://github.com/citation-style-language/schema/raw/master/csl-citation.json"} </w:instrText>
      </w:r>
      <w:r>
        <w:fldChar w:fldCharType="separate"/>
      </w:r>
      <w:r w:rsidRPr="00584369">
        <w:rPr>
          <w:rFonts w:cs="Calibri"/>
        </w:rPr>
        <w:t>(Chartin et al., 2015)</w:t>
      </w:r>
      <w:r>
        <w:fldChar w:fldCharType="end"/>
      </w:r>
      <w:r>
        <w:t>.</w:t>
      </w:r>
    </w:p>
    <w:p w14:paraId="3F33DF7D" w14:textId="77777777" w:rsidR="007E7103" w:rsidRDefault="007E7103" w:rsidP="00876101">
      <w:pPr>
        <w:pStyle w:val="Titre3"/>
        <w:numPr>
          <w:ilvl w:val="2"/>
          <w:numId w:val="3"/>
        </w:numPr>
      </w:pPr>
      <w:bookmarkStart w:id="127" w:name="_Toc241505314"/>
      <w:r>
        <w:lastRenderedPageBreak/>
        <w:t>Méthode de mesure</w:t>
      </w:r>
      <w:bookmarkEnd w:id="127"/>
    </w:p>
    <w:p w14:paraId="38D15D5B" w14:textId="1FEA2E0F" w:rsidR="005D525C" w:rsidRDefault="004F0AF7" w:rsidP="007E7103">
      <w:r>
        <w:t>Plusieurs méthodes d’analyse de la biomasse microbienne existent</w:t>
      </w:r>
      <w:r w:rsidR="004754A4">
        <w:t>, dont des méthodes moléculaires</w:t>
      </w:r>
      <w:r w:rsidR="00B6158A">
        <w:t xml:space="preserve"> telles que la </w:t>
      </w:r>
      <w:proofErr w:type="spellStart"/>
      <w:r w:rsidR="004754A4">
        <w:t>qPCR</w:t>
      </w:r>
      <w:proofErr w:type="spellEnd"/>
      <w:r w:rsidR="004754A4">
        <w:t xml:space="preserve"> sur les bactéries et champignons</w:t>
      </w:r>
      <w:r w:rsidR="00B6158A">
        <w:t xml:space="preserve">, </w:t>
      </w:r>
      <w:r w:rsidR="001478D6">
        <w:t>le dosage des composés des membranes lipidiques des microorganismes (PLFA)</w:t>
      </w:r>
      <w:r w:rsidR="00351190">
        <w:t xml:space="preserve"> ou la fumigation-extraction.</w:t>
      </w:r>
      <w:r>
        <w:t xml:space="preserve"> </w:t>
      </w:r>
      <w:r w:rsidR="00351190">
        <w:t xml:space="preserve">Cette dernière, </w:t>
      </w:r>
      <w:r w:rsidR="00162A12">
        <w:t xml:space="preserve">pratiquée en routine au sein de la filière des laboratoires REQUASUD, </w:t>
      </w:r>
      <w:r w:rsidR="00351190">
        <w:t xml:space="preserve">consiste </w:t>
      </w:r>
      <w:r w:rsidR="00F36E64">
        <w:t xml:space="preserve">à mesurer la différence de teneurs en éléments dissous entre un échantillon de sol fumigé et </w:t>
      </w:r>
      <w:r w:rsidR="005D525C">
        <w:t xml:space="preserve">un échantillon témoin </w:t>
      </w:r>
      <w:r>
        <w:fldChar w:fldCharType="begin"/>
      </w:r>
      <w:r>
        <w:instrText xml:space="preserve"> ADDIN ZOTERO_ITEM CSL_CITATION {"citationID":"ul3UyJ5C","properties":{"unsorted":false,"formattedCitation":"(Cousin et al., 2025)","plainCitation":"(Cousin et al., 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fldChar w:fldCharType="separate"/>
      </w:r>
      <w:r w:rsidR="005D525C" w:rsidRPr="48222D96">
        <w:rPr>
          <w:rFonts w:cs="Calibri"/>
        </w:rPr>
        <w:t>(Cousin et al., 2025)</w:t>
      </w:r>
      <w:r>
        <w:fldChar w:fldCharType="end"/>
      </w:r>
      <w:r w:rsidR="005D525C">
        <w:t>.</w:t>
      </w:r>
    </w:p>
    <w:p w14:paraId="6FB4BBD2" w14:textId="77777777" w:rsidR="007E7103" w:rsidRDefault="007E7103" w:rsidP="00876101">
      <w:pPr>
        <w:pStyle w:val="Titre3"/>
        <w:numPr>
          <w:ilvl w:val="2"/>
          <w:numId w:val="3"/>
        </w:numPr>
      </w:pPr>
      <w:bookmarkStart w:id="128" w:name="_Toc241505315"/>
      <w:r>
        <w:t>Interprétation</w:t>
      </w:r>
      <w:bookmarkEnd w:id="128"/>
    </w:p>
    <w:p w14:paraId="03964DDF" w14:textId="35A9925F" w:rsidR="007E7103" w:rsidRDefault="0064065E" w:rsidP="007E7103">
      <w:r>
        <w:t xml:space="preserve">Dans le cadre du projet CARBIOSOL 5, un référentiel d’interprétation a été construit sur base de la distribution des valeurs de </w:t>
      </w:r>
      <w:proofErr w:type="spellStart"/>
      <w:r>
        <w:t>C</w:t>
      </w:r>
      <w:r>
        <w:rPr>
          <w:vertAlign w:val="subscript"/>
        </w:rPr>
        <w:t>mic</w:t>
      </w:r>
      <w:proofErr w:type="spellEnd"/>
      <w:r>
        <w:t xml:space="preserve"> mesurées sur des sols agricoles en </w:t>
      </w:r>
      <w:r w:rsidR="00B55F01">
        <w:t>R</w:t>
      </w:r>
      <w:r>
        <w:t>égion wallonne.</w:t>
      </w:r>
      <w:r w:rsidR="00F9331A">
        <w:t xml:space="preserve"> Ce référentiel se bas</w:t>
      </w:r>
      <w:r w:rsidR="00D2412B">
        <w:t>e</w:t>
      </w:r>
      <w:r w:rsidR="00F9331A">
        <w:t xml:space="preserve"> sur des statistiques descriptives, </w:t>
      </w:r>
      <w:r w:rsidR="00D2412B">
        <w:t xml:space="preserve">ce qui engendre un biais pour </w:t>
      </w:r>
      <w:r w:rsidR="00F9331A">
        <w:t xml:space="preserve">son utilisation </w:t>
      </w:r>
      <w:r w:rsidR="00423651">
        <w:t xml:space="preserve">pour l’interprétation de </w:t>
      </w:r>
      <w:proofErr w:type="spellStart"/>
      <w:r w:rsidR="00423651">
        <w:t>C</w:t>
      </w:r>
      <w:r w:rsidR="00423651">
        <w:rPr>
          <w:vertAlign w:val="subscript"/>
        </w:rPr>
        <w:t>mic</w:t>
      </w:r>
      <w:proofErr w:type="spellEnd"/>
      <w:r w:rsidR="00423651">
        <w:rPr>
          <w:vertAlign w:val="subscript"/>
        </w:rPr>
        <w:t xml:space="preserve"> qualité</w:t>
      </w:r>
      <w:r w:rsidR="00423651">
        <w:t xml:space="preserve">. Toutefois, </w:t>
      </w:r>
      <w:r w:rsidR="00EE7D08">
        <w:t xml:space="preserve">en l’absence d’un référentiel de valeurs « optimales » pour ce paramètre, </w:t>
      </w:r>
      <w:r w:rsidR="00D2412B">
        <w:t xml:space="preserve">ce référentiel wallon est sélectionné pour </w:t>
      </w:r>
      <w:r w:rsidR="00EF36A2">
        <w:t xml:space="preserve">le calcul du score </w:t>
      </w:r>
      <w:proofErr w:type="spellStart"/>
      <w:r w:rsidR="00EF36A2">
        <w:t>C</w:t>
      </w:r>
      <w:r w:rsidR="00EF36A2">
        <w:rPr>
          <w:vertAlign w:val="subscript"/>
        </w:rPr>
        <w:t>mic</w:t>
      </w:r>
      <w:proofErr w:type="spellEnd"/>
      <w:r w:rsidR="00EF36A2">
        <w:rPr>
          <w:vertAlign w:val="subscript"/>
        </w:rPr>
        <w:t xml:space="preserve"> qualité</w:t>
      </w:r>
      <w:r w:rsidR="00EF36A2">
        <w:t>.</w:t>
      </w:r>
    </w:p>
    <w:p w14:paraId="6A5D9A2C" w14:textId="67BF38B7" w:rsidR="002E6F3F" w:rsidRPr="0014734E" w:rsidRDefault="002E6F3F" w:rsidP="007E7103">
      <w:r>
        <w:t xml:space="preserve">En l’absence </w:t>
      </w:r>
      <w:r w:rsidR="003A79D5">
        <w:t xml:space="preserve">de référentiels ou de distributions en fonction du type de sol, </w:t>
      </w:r>
      <w:proofErr w:type="spellStart"/>
      <w:r w:rsidR="0014734E">
        <w:t>C</w:t>
      </w:r>
      <w:r w:rsidR="0014734E">
        <w:rPr>
          <w:vertAlign w:val="subscript"/>
        </w:rPr>
        <w:t>mic</w:t>
      </w:r>
      <w:proofErr w:type="spellEnd"/>
      <w:r w:rsidR="0014734E">
        <w:rPr>
          <w:vertAlign w:val="subscript"/>
        </w:rPr>
        <w:t xml:space="preserve"> santé</w:t>
      </w:r>
      <w:r w:rsidR="0014734E">
        <w:t xml:space="preserve"> = </w:t>
      </w:r>
      <w:proofErr w:type="spellStart"/>
      <w:r w:rsidR="0014734E">
        <w:t>C</w:t>
      </w:r>
      <w:r w:rsidR="0014734E">
        <w:rPr>
          <w:vertAlign w:val="subscript"/>
        </w:rPr>
        <w:t>mic</w:t>
      </w:r>
      <w:proofErr w:type="spellEnd"/>
      <w:r w:rsidR="0014734E">
        <w:rPr>
          <w:vertAlign w:val="subscript"/>
        </w:rPr>
        <w:t xml:space="preserve"> qualité</w:t>
      </w:r>
      <w:r w:rsidR="0014734E">
        <w:t>.</w:t>
      </w:r>
    </w:p>
    <w:p w14:paraId="6DA9B73B" w14:textId="4EC55738" w:rsidR="00B8126C" w:rsidRPr="00261C30" w:rsidRDefault="00B8126C" w:rsidP="00B8126C">
      <w:pPr>
        <w:pStyle w:val="Lgende"/>
        <w:keepNext/>
        <w:jc w:val="center"/>
        <w:rPr>
          <w:i w:val="0"/>
          <w:iCs w:val="0"/>
        </w:rPr>
      </w:pPr>
      <w:bookmarkStart w:id="129" w:name="_Toc233122666"/>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10</w:t>
      </w:r>
      <w:r w:rsidRPr="00261C30">
        <w:rPr>
          <w:i w:val="0"/>
          <w:iCs w:val="0"/>
        </w:rPr>
        <w:fldChar w:fldCharType="end"/>
      </w:r>
      <w:r w:rsidRPr="00261C30">
        <w:rPr>
          <w:i w:val="0"/>
          <w:iCs w:val="0"/>
        </w:rPr>
        <w:t xml:space="preserve"> : Référentiels d’interprétation </w:t>
      </w:r>
      <w:r>
        <w:rPr>
          <w:i w:val="0"/>
          <w:iCs w:val="0"/>
        </w:rPr>
        <w:t>d</w:t>
      </w:r>
      <w:r w:rsidR="0BDE99A6" w:rsidRPr="6CB535F6">
        <w:rPr>
          <w:i w:val="0"/>
          <w:iCs w:val="0"/>
        </w:rPr>
        <w:t>e l’</w:t>
      </w:r>
      <w:r w:rsidRPr="6CB535F6">
        <w:rPr>
          <w:i w:val="0"/>
          <w:iCs w:val="0"/>
        </w:rPr>
        <w:t>indicateur</w:t>
      </w:r>
      <w:r w:rsidRPr="00261C30">
        <w:rPr>
          <w:i w:val="0"/>
          <w:iCs w:val="0"/>
        </w:rPr>
        <w:t xml:space="preserve">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noProof/>
        </w:rPr>
        <w:drawing>
          <wp:inline distT="0" distB="0" distL="0" distR="0" wp14:anchorId="22E74A8C" wp14:editId="1E2396EE">
            <wp:extent cx="91440" cy="118745"/>
            <wp:effectExtent l="0" t="0" r="3810" b="0"/>
            <wp:docPr id="9006695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5661F988" wp14:editId="07AEC4C8">
            <wp:extent cx="85917" cy="88985"/>
            <wp:effectExtent l="0" t="0" r="9525" b="6350"/>
            <wp:docPr id="180712157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56BFCF1F" wp14:editId="1779C762">
            <wp:extent cx="164432" cy="65784"/>
            <wp:effectExtent l="0" t="0" r="7620" b="0"/>
            <wp:docPr id="206165053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w:t>
      </w:r>
      <w:bookmarkEnd w:id="129"/>
    </w:p>
    <w:tbl>
      <w:tblPr>
        <w:tblStyle w:val="Grilledutableau"/>
        <w:tblW w:w="0" w:type="auto"/>
        <w:tblCellMar>
          <w:top w:w="28" w:type="dxa"/>
          <w:bottom w:w="28" w:type="dxa"/>
        </w:tblCellMar>
        <w:tblLook w:val="04A0" w:firstRow="1" w:lastRow="0" w:firstColumn="1" w:lastColumn="0" w:noHBand="0" w:noVBand="1"/>
      </w:tblPr>
      <w:tblGrid>
        <w:gridCol w:w="1181"/>
        <w:gridCol w:w="2319"/>
        <w:gridCol w:w="748"/>
        <w:gridCol w:w="1134"/>
        <w:gridCol w:w="3678"/>
      </w:tblGrid>
      <w:tr w:rsidR="00EF36A2" w:rsidRPr="0000352D" w14:paraId="4E5B5F3E" w14:textId="77777777" w:rsidTr="004306AE">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20F767F1" w14:textId="4145F42C" w:rsidR="00EF36A2" w:rsidRPr="0000352D" w:rsidRDefault="002C373B" w:rsidP="004306AE">
            <w:pPr>
              <w:jc w:val="center"/>
              <w:rPr>
                <w:sz w:val="20"/>
                <w:szCs w:val="20"/>
              </w:rPr>
            </w:pPr>
            <w:r>
              <w:rPr>
                <w:sz w:val="20"/>
                <w:szCs w:val="20"/>
              </w:rPr>
              <w:t>Biomasse microbienne</w:t>
            </w:r>
            <w:r w:rsidR="00EF36A2">
              <w:rPr>
                <w:sz w:val="20"/>
                <w:szCs w:val="20"/>
              </w:rPr>
              <w:t xml:space="preserve"> (</w:t>
            </w:r>
            <w:proofErr w:type="spellStart"/>
            <w:r w:rsidR="00EF36A2">
              <w:t>C</w:t>
            </w:r>
            <w:r>
              <w:rPr>
                <w:vertAlign w:val="subscript"/>
              </w:rPr>
              <w:t>mic</w:t>
            </w:r>
            <w:proofErr w:type="spellEnd"/>
            <w:r w:rsidR="00EF36A2">
              <w:rPr>
                <w:sz w:val="20"/>
                <w:szCs w:val="20"/>
              </w:rPr>
              <w:t>)</w:t>
            </w:r>
            <w:r w:rsidR="00EF36A2" w:rsidRPr="0000352D">
              <w:rPr>
                <w:sz w:val="20"/>
                <w:szCs w:val="20"/>
              </w:rPr>
              <w:t xml:space="preserve"> - Référentiel</w:t>
            </w:r>
            <w:r w:rsidR="00EF36A2">
              <w:rPr>
                <w:sz w:val="20"/>
                <w:szCs w:val="20"/>
              </w:rPr>
              <w:t>s</w:t>
            </w:r>
            <w:r w:rsidR="00EF36A2" w:rsidRPr="0000352D">
              <w:rPr>
                <w:sz w:val="20"/>
                <w:szCs w:val="20"/>
              </w:rPr>
              <w:t xml:space="preserve"> d’interprétation</w:t>
            </w:r>
          </w:p>
        </w:tc>
      </w:tr>
      <w:tr w:rsidR="00EF36A2" w:rsidRPr="0000352D" w14:paraId="2F3D6907" w14:textId="77777777" w:rsidTr="00276C4A">
        <w:tc>
          <w:tcPr>
            <w:tcW w:w="118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2261AD6F" w14:textId="7DB8DE2A" w:rsidR="00EF36A2" w:rsidRPr="00423C23" w:rsidRDefault="000100FD" w:rsidP="004306AE">
            <w:pPr>
              <w:jc w:val="center"/>
              <w:rPr>
                <w:sz w:val="20"/>
                <w:szCs w:val="20"/>
              </w:rPr>
            </w:pPr>
            <w:r>
              <w:rPr>
                <w:sz w:val="20"/>
                <w:szCs w:val="20"/>
              </w:rPr>
              <w:t>Service</w:t>
            </w:r>
          </w:p>
        </w:tc>
        <w:tc>
          <w:tcPr>
            <w:tcW w:w="2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184741FC" w14:textId="77777777" w:rsidR="00EF36A2" w:rsidRPr="00423C23" w:rsidRDefault="00EF36A2" w:rsidP="004306AE">
            <w:pPr>
              <w:jc w:val="center"/>
              <w:rPr>
                <w:sz w:val="20"/>
                <w:szCs w:val="20"/>
              </w:rPr>
            </w:pPr>
            <w:r w:rsidRPr="00423C23">
              <w:rPr>
                <w:sz w:val="20"/>
                <w:szCs w:val="20"/>
              </w:rPr>
              <w:t>Fonction</w:t>
            </w:r>
          </w:p>
        </w:tc>
        <w:tc>
          <w:tcPr>
            <w:tcW w:w="7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00BB1F0B" w14:textId="77777777" w:rsidR="00EF36A2" w:rsidRPr="00423C23" w:rsidRDefault="00EF36A2" w:rsidP="004306AE">
            <w:pPr>
              <w:jc w:val="center"/>
              <w:rPr>
                <w:sz w:val="20"/>
                <w:szCs w:val="20"/>
              </w:rPr>
            </w:pPr>
            <w:r>
              <w:rPr>
                <w:sz w:val="20"/>
                <w:szCs w:val="20"/>
              </w:rPr>
              <w:t>Forme</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25A288D8" w14:textId="77777777" w:rsidR="00EF36A2" w:rsidRPr="00423C23" w:rsidRDefault="00EF36A2" w:rsidP="004306AE">
            <w:pPr>
              <w:jc w:val="center"/>
              <w:rPr>
                <w:sz w:val="20"/>
                <w:szCs w:val="20"/>
              </w:rPr>
            </w:pPr>
            <w:r w:rsidRPr="00423C23">
              <w:rPr>
                <w:sz w:val="20"/>
                <w:szCs w:val="20"/>
              </w:rPr>
              <w:t>Évaluation</w:t>
            </w:r>
          </w:p>
        </w:tc>
        <w:tc>
          <w:tcPr>
            <w:tcW w:w="36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67688183" w14:textId="77777777" w:rsidR="00EF36A2" w:rsidRPr="00423C23" w:rsidRDefault="00EF36A2" w:rsidP="004306AE">
            <w:pPr>
              <w:jc w:val="center"/>
              <w:rPr>
                <w:sz w:val="20"/>
                <w:szCs w:val="20"/>
              </w:rPr>
            </w:pPr>
            <w:r w:rsidRPr="00423C23">
              <w:rPr>
                <w:sz w:val="20"/>
                <w:szCs w:val="20"/>
              </w:rPr>
              <w:t>Référentiel</w:t>
            </w:r>
          </w:p>
        </w:tc>
      </w:tr>
      <w:tr w:rsidR="0014734E" w:rsidRPr="0000352D" w14:paraId="5C776ECD" w14:textId="77777777" w:rsidTr="00276C4A">
        <w:trPr>
          <w:trHeight w:val="355"/>
        </w:trPr>
        <w:tc>
          <w:tcPr>
            <w:tcW w:w="1181" w:type="dxa"/>
            <w:vMerge w:val="restart"/>
            <w:tcBorders>
              <w:top w:val="single" w:sz="4" w:space="0" w:color="FFFFFF" w:themeColor="background1"/>
            </w:tcBorders>
            <w:vAlign w:val="center"/>
          </w:tcPr>
          <w:p w14:paraId="61F2F906" w14:textId="285E500A" w:rsidR="0014734E" w:rsidRDefault="0014734E" w:rsidP="004306AE">
            <w:pPr>
              <w:jc w:val="left"/>
              <w:rPr>
                <w:sz w:val="20"/>
                <w:szCs w:val="20"/>
              </w:rPr>
            </w:pPr>
            <w:r>
              <w:rPr>
                <w:sz w:val="20"/>
                <w:szCs w:val="20"/>
              </w:rPr>
              <w:t>Biodiversité du sol</w:t>
            </w:r>
          </w:p>
        </w:tc>
        <w:tc>
          <w:tcPr>
            <w:tcW w:w="2319" w:type="dxa"/>
            <w:vMerge w:val="restart"/>
            <w:tcBorders>
              <w:top w:val="single" w:sz="4" w:space="0" w:color="FFFFFF" w:themeColor="background1"/>
            </w:tcBorders>
            <w:vAlign w:val="center"/>
          </w:tcPr>
          <w:p w14:paraId="41483FF5" w14:textId="0C6C8777" w:rsidR="0014734E" w:rsidRDefault="0014734E" w:rsidP="004306AE">
            <w:pPr>
              <w:jc w:val="left"/>
              <w:rPr>
                <w:sz w:val="20"/>
                <w:szCs w:val="20"/>
              </w:rPr>
            </w:pPr>
            <w:r>
              <w:rPr>
                <w:sz w:val="20"/>
                <w:szCs w:val="20"/>
              </w:rPr>
              <w:t>Abondance microbienne</w:t>
            </w:r>
          </w:p>
        </w:tc>
        <w:tc>
          <w:tcPr>
            <w:tcW w:w="748" w:type="dxa"/>
            <w:vMerge w:val="restart"/>
            <w:tcBorders>
              <w:top w:val="single" w:sz="4" w:space="0" w:color="FFFFFF" w:themeColor="background1"/>
            </w:tcBorders>
            <w:vAlign w:val="center"/>
          </w:tcPr>
          <w:p w14:paraId="0BCA7F9C" w14:textId="314F36BB" w:rsidR="0014734E" w:rsidRPr="0000352D" w:rsidRDefault="00A21F80" w:rsidP="00A21F80">
            <w:pPr>
              <w:jc w:val="center"/>
              <w:rPr>
                <w:sz w:val="20"/>
                <w:szCs w:val="20"/>
              </w:rPr>
            </w:pPr>
            <w:r>
              <w:rPr>
                <w:noProof/>
                <w:sz w:val="20"/>
                <w:szCs w:val="20"/>
              </w:rPr>
              <mc:AlternateContent>
                <mc:Choice Requires="wps">
                  <w:drawing>
                    <wp:inline distT="0" distB="0" distL="0" distR="0" wp14:anchorId="46F380C5" wp14:editId="069FE16F">
                      <wp:extent cx="94615" cy="153035"/>
                      <wp:effectExtent l="0" t="38100" r="57785" b="18415"/>
                      <wp:docPr id="913338654"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5058162D"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134" w:type="dxa"/>
            <w:tcBorders>
              <w:top w:val="single" w:sz="4" w:space="0" w:color="FFFFFF" w:themeColor="background1"/>
            </w:tcBorders>
            <w:shd w:val="clear" w:color="auto" w:fill="F2F9EB"/>
            <w:vAlign w:val="center"/>
          </w:tcPr>
          <w:p w14:paraId="728E42D5" w14:textId="3BE9BFA1" w:rsidR="0014734E" w:rsidRPr="00493A0D" w:rsidRDefault="0014734E" w:rsidP="004306AE">
            <w:pPr>
              <w:jc w:val="left"/>
              <w:rPr>
                <w:sz w:val="20"/>
                <w:szCs w:val="20"/>
                <w:vertAlign w:val="subscript"/>
              </w:rPr>
            </w:pPr>
            <w:proofErr w:type="spellStart"/>
            <w:r>
              <w:rPr>
                <w:sz w:val="20"/>
                <w:szCs w:val="20"/>
              </w:rPr>
              <w:t>C</w:t>
            </w:r>
            <w:r>
              <w:rPr>
                <w:sz w:val="20"/>
                <w:szCs w:val="20"/>
                <w:vertAlign w:val="subscript"/>
              </w:rPr>
              <w:t>mic</w:t>
            </w:r>
            <w:proofErr w:type="spellEnd"/>
            <w:r>
              <w:rPr>
                <w:sz w:val="20"/>
                <w:szCs w:val="20"/>
                <w:vertAlign w:val="subscript"/>
              </w:rPr>
              <w:t xml:space="preserve"> qualité</w:t>
            </w:r>
          </w:p>
        </w:tc>
        <w:tc>
          <w:tcPr>
            <w:tcW w:w="3678" w:type="dxa"/>
            <w:vMerge w:val="restart"/>
            <w:tcBorders>
              <w:top w:val="single" w:sz="4" w:space="0" w:color="FFFFFF" w:themeColor="background1"/>
            </w:tcBorders>
            <w:vAlign w:val="center"/>
          </w:tcPr>
          <w:p w14:paraId="56A6EA4D" w14:textId="0FE449EB" w:rsidR="0014734E" w:rsidRPr="0000352D" w:rsidRDefault="0014734E" w:rsidP="004306AE">
            <w:pPr>
              <w:jc w:val="left"/>
              <w:rPr>
                <w:sz w:val="20"/>
                <w:szCs w:val="20"/>
              </w:rPr>
            </w:pPr>
            <w:r>
              <w:rPr>
                <w:sz w:val="20"/>
                <w:szCs w:val="20"/>
              </w:rPr>
              <w:t xml:space="preserve">Distribution des valeurs mesurées sur des sols agricoles RW </w:t>
            </w:r>
            <w:r>
              <w:rPr>
                <w:sz w:val="20"/>
                <w:szCs w:val="20"/>
              </w:rPr>
              <w:fldChar w:fldCharType="begin"/>
            </w:r>
            <w:r>
              <w:rPr>
                <w:sz w:val="20"/>
                <w:szCs w:val="20"/>
              </w:rPr>
              <w:instrText xml:space="preserve"> ADDIN ZOTERO_ITEM CSL_CITATION {"citationID":"wkSgO1Mu","properties":{"unsorted":false,"formattedCitation":"(Chartin et al., 2015)","plainCitation":"(Chartin et al., 2015)","noteIndex":0},"citationItems":[{"id":91,"uris":["http://zotero.org/groups/5684833/items/X3Q8CCBC"],"itemData":{"id":91,"type":"article-journal","language":"fr","source":"Zotero","title":"« Carbone organique, biomasse et activité microbienne des sols : vers un indicateur de la qualité des sols en Wallonie »","author":[{"family":"Chartin","given":"Caroline"},{"family":"Kruger","given":"Inken"},{"family":"Stevens","given":"Antoine"},{"family":"Wesemael","given":"Bas Van"},{"family":"Carnol","given":"Monique"}],"issued":{"date-parts":[["2015"]]}}}],"schema":"https://github.com/citation-style-language/schema/raw/master/csl-citation.json"} </w:instrText>
            </w:r>
            <w:r>
              <w:rPr>
                <w:sz w:val="20"/>
                <w:szCs w:val="20"/>
              </w:rPr>
              <w:fldChar w:fldCharType="separate"/>
            </w:r>
            <w:r w:rsidRPr="00C22895">
              <w:rPr>
                <w:rFonts w:cs="Calibri"/>
                <w:sz w:val="20"/>
              </w:rPr>
              <w:t>(Chartin et al., 2015)</w:t>
            </w:r>
            <w:r>
              <w:rPr>
                <w:sz w:val="20"/>
                <w:szCs w:val="20"/>
              </w:rPr>
              <w:fldChar w:fldCharType="end"/>
            </w:r>
          </w:p>
        </w:tc>
      </w:tr>
      <w:tr w:rsidR="0014734E" w:rsidRPr="0000352D" w14:paraId="104B5C4D" w14:textId="77777777" w:rsidTr="00276C4A">
        <w:tc>
          <w:tcPr>
            <w:tcW w:w="1181" w:type="dxa"/>
            <w:vMerge/>
            <w:vAlign w:val="center"/>
          </w:tcPr>
          <w:p w14:paraId="6CE29EB6" w14:textId="77777777" w:rsidR="0014734E" w:rsidRDefault="0014734E" w:rsidP="004306AE">
            <w:pPr>
              <w:jc w:val="left"/>
              <w:rPr>
                <w:sz w:val="20"/>
                <w:szCs w:val="20"/>
              </w:rPr>
            </w:pPr>
          </w:p>
        </w:tc>
        <w:tc>
          <w:tcPr>
            <w:tcW w:w="2319" w:type="dxa"/>
            <w:vMerge/>
            <w:vAlign w:val="center"/>
          </w:tcPr>
          <w:p w14:paraId="4CEFB011" w14:textId="77777777" w:rsidR="0014734E" w:rsidRDefault="0014734E" w:rsidP="004306AE">
            <w:pPr>
              <w:jc w:val="left"/>
              <w:rPr>
                <w:sz w:val="20"/>
                <w:szCs w:val="20"/>
              </w:rPr>
            </w:pPr>
          </w:p>
        </w:tc>
        <w:tc>
          <w:tcPr>
            <w:tcW w:w="748" w:type="dxa"/>
            <w:vMerge/>
            <w:vAlign w:val="center"/>
          </w:tcPr>
          <w:p w14:paraId="22425112" w14:textId="77777777" w:rsidR="0014734E" w:rsidRPr="0000352D" w:rsidRDefault="0014734E" w:rsidP="004306AE">
            <w:pPr>
              <w:jc w:val="left"/>
              <w:rPr>
                <w:sz w:val="20"/>
                <w:szCs w:val="20"/>
              </w:rPr>
            </w:pPr>
          </w:p>
        </w:tc>
        <w:tc>
          <w:tcPr>
            <w:tcW w:w="1134" w:type="dxa"/>
            <w:tcBorders>
              <w:bottom w:val="single" w:sz="4" w:space="0" w:color="auto"/>
            </w:tcBorders>
            <w:shd w:val="clear" w:color="auto" w:fill="EFF5FB"/>
            <w:vAlign w:val="center"/>
          </w:tcPr>
          <w:p w14:paraId="652CF1A9" w14:textId="57ECE5B1" w:rsidR="0014734E" w:rsidRPr="00493A0D" w:rsidRDefault="0014734E" w:rsidP="004306AE">
            <w:pPr>
              <w:jc w:val="left"/>
              <w:rPr>
                <w:sz w:val="20"/>
                <w:szCs w:val="20"/>
                <w:vertAlign w:val="subscript"/>
              </w:rPr>
            </w:pPr>
            <w:proofErr w:type="spellStart"/>
            <w:r>
              <w:rPr>
                <w:sz w:val="20"/>
                <w:szCs w:val="20"/>
              </w:rPr>
              <w:t>C</w:t>
            </w:r>
            <w:r w:rsidR="00043EDD">
              <w:rPr>
                <w:sz w:val="20"/>
                <w:szCs w:val="20"/>
                <w:vertAlign w:val="subscript"/>
              </w:rPr>
              <w:t>mic</w:t>
            </w:r>
            <w:proofErr w:type="spellEnd"/>
            <w:r>
              <w:rPr>
                <w:sz w:val="20"/>
                <w:szCs w:val="20"/>
                <w:vertAlign w:val="subscript"/>
              </w:rPr>
              <w:t xml:space="preserve"> santé</w:t>
            </w:r>
          </w:p>
        </w:tc>
        <w:tc>
          <w:tcPr>
            <w:tcW w:w="3678" w:type="dxa"/>
            <w:vMerge/>
            <w:vAlign w:val="center"/>
          </w:tcPr>
          <w:p w14:paraId="083FBD3C" w14:textId="2DEFADFB" w:rsidR="0014734E" w:rsidRPr="0000352D" w:rsidRDefault="0014734E" w:rsidP="004306AE">
            <w:pPr>
              <w:jc w:val="left"/>
              <w:rPr>
                <w:sz w:val="20"/>
                <w:szCs w:val="20"/>
              </w:rPr>
            </w:pPr>
          </w:p>
        </w:tc>
      </w:tr>
    </w:tbl>
    <w:p w14:paraId="56FD35CD" w14:textId="77777777" w:rsidR="00776B80" w:rsidRDefault="00776B80" w:rsidP="00776B80"/>
    <w:p w14:paraId="3EBCC011" w14:textId="77777777" w:rsidR="00A62944" w:rsidRDefault="00716F0C" w:rsidP="00A62944">
      <w:pPr>
        <w:keepNext/>
        <w:jc w:val="center"/>
      </w:pPr>
      <w:r>
        <w:rPr>
          <w:noProof/>
        </w:rPr>
        <w:drawing>
          <wp:inline distT="0" distB="0" distL="0" distR="0" wp14:anchorId="3A177997" wp14:editId="768E01EC">
            <wp:extent cx="4251278" cy="3033745"/>
            <wp:effectExtent l="0" t="0" r="0" b="0"/>
            <wp:docPr id="1122779470"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57467" cy="3038161"/>
                    </a:xfrm>
                    <a:prstGeom prst="rect">
                      <a:avLst/>
                    </a:prstGeom>
                    <a:noFill/>
                    <a:ln>
                      <a:noFill/>
                    </a:ln>
                  </pic:spPr>
                </pic:pic>
              </a:graphicData>
            </a:graphic>
          </wp:inline>
        </w:drawing>
      </w:r>
    </w:p>
    <w:p w14:paraId="38EAD13A" w14:textId="403D42C3" w:rsidR="00ED05CA" w:rsidRPr="00A62944" w:rsidRDefault="00A62944" w:rsidP="00A62944">
      <w:pPr>
        <w:pStyle w:val="Lgende"/>
        <w:jc w:val="center"/>
        <w:rPr>
          <w:i w:val="0"/>
          <w:iCs w:val="0"/>
        </w:rPr>
      </w:pPr>
      <w:bookmarkStart w:id="130" w:name="_Toc241505121"/>
      <w:r w:rsidRPr="00A62944">
        <w:rPr>
          <w:i w:val="0"/>
          <w:iCs w:val="0"/>
        </w:rPr>
        <w:t xml:space="preserve">Figure </w:t>
      </w:r>
      <w:r w:rsidRPr="00A62944">
        <w:rPr>
          <w:i w:val="0"/>
          <w:iCs w:val="0"/>
        </w:rPr>
        <w:fldChar w:fldCharType="begin"/>
      </w:r>
      <w:r w:rsidRPr="00A62944">
        <w:rPr>
          <w:i w:val="0"/>
          <w:iCs w:val="0"/>
        </w:rPr>
        <w:instrText xml:space="preserve"> SEQ Figure \* ARABIC </w:instrText>
      </w:r>
      <w:r w:rsidRPr="00A62944">
        <w:rPr>
          <w:i w:val="0"/>
          <w:iCs w:val="0"/>
        </w:rPr>
        <w:fldChar w:fldCharType="separate"/>
      </w:r>
      <w:r w:rsidR="00B90382">
        <w:rPr>
          <w:i w:val="0"/>
          <w:iCs w:val="0"/>
          <w:noProof/>
        </w:rPr>
        <w:t>15</w:t>
      </w:r>
      <w:r w:rsidRPr="00A62944">
        <w:rPr>
          <w:i w:val="0"/>
          <w:iCs w:val="0"/>
        </w:rPr>
        <w:fldChar w:fldCharType="end"/>
      </w:r>
      <w:r w:rsidRPr="00A62944">
        <w:rPr>
          <w:i w:val="0"/>
          <w:iCs w:val="0"/>
        </w:rPr>
        <w:t xml:space="preserve"> : Exemple de fonction d'interprétation pour l’indicateur C microbien (fonction Abondance, SE </w:t>
      </w:r>
      <w:r>
        <w:rPr>
          <w:i w:val="0"/>
          <w:iCs w:val="0"/>
        </w:rPr>
        <w:t>Biodiversité du sol)</w:t>
      </w:r>
      <w:bookmarkEnd w:id="130"/>
    </w:p>
    <w:p w14:paraId="3DB455BA" w14:textId="141C0221" w:rsidR="00776B80" w:rsidRDefault="00776B80" w:rsidP="00876101">
      <w:pPr>
        <w:pStyle w:val="Titre2"/>
        <w:numPr>
          <w:ilvl w:val="1"/>
          <w:numId w:val="3"/>
        </w:numPr>
      </w:pPr>
      <w:bookmarkStart w:id="131" w:name="_Ref233115061"/>
      <w:bookmarkStart w:id="132" w:name="_Toc241505316"/>
      <w:r>
        <w:lastRenderedPageBreak/>
        <w:t>Diversité des nématodes</w:t>
      </w:r>
      <w:bookmarkEnd w:id="131"/>
      <w:bookmarkEnd w:id="132"/>
    </w:p>
    <w:p w14:paraId="63A33BE4" w14:textId="77777777" w:rsidR="007E7103" w:rsidRDefault="007E7103" w:rsidP="00876101">
      <w:pPr>
        <w:pStyle w:val="Titre3"/>
        <w:numPr>
          <w:ilvl w:val="2"/>
          <w:numId w:val="3"/>
        </w:numPr>
      </w:pPr>
      <w:bookmarkStart w:id="133" w:name="_Toc241505317"/>
      <w:r>
        <w:t>Définition</w:t>
      </w:r>
      <w:bookmarkEnd w:id="133"/>
    </w:p>
    <w:p w14:paraId="2E41486C" w14:textId="7D5F462F" w:rsidR="00587EC6" w:rsidRPr="00587EC6" w:rsidRDefault="004E5728" w:rsidP="007E7D27">
      <w:pPr>
        <w:rPr>
          <w:rFonts w:cs="Calibri"/>
        </w:rPr>
      </w:pPr>
      <w:r>
        <w:t xml:space="preserve">Les nématodes sont des organismes </w:t>
      </w:r>
      <w:proofErr w:type="spellStart"/>
      <w:r w:rsidR="00A32C83">
        <w:t>microfauniques</w:t>
      </w:r>
      <w:proofErr w:type="spellEnd"/>
      <w:r w:rsidR="00991F7D">
        <w:t xml:space="preserve"> du sol</w:t>
      </w:r>
      <w:r w:rsidR="00345A69">
        <w:t xml:space="preserve"> (&lt; 200 </w:t>
      </w:r>
      <w:r w:rsidR="00991F7D">
        <w:t>µm)</w:t>
      </w:r>
      <w:r w:rsidR="00E12E8C">
        <w:t>. P</w:t>
      </w:r>
      <w:r w:rsidR="0038000A">
        <w:t>résents à tous les niveaux trophiques du sol</w:t>
      </w:r>
      <w:r w:rsidR="00FD0B41">
        <w:t xml:space="preserve"> (</w:t>
      </w:r>
      <w:proofErr w:type="spellStart"/>
      <w:r w:rsidR="00F57A30">
        <w:t>phytoparasites</w:t>
      </w:r>
      <w:proofErr w:type="spellEnd"/>
      <w:r w:rsidR="00F57A30">
        <w:t xml:space="preserve">, </w:t>
      </w:r>
      <w:r w:rsidR="00FD0B41">
        <w:t>bactérivores, f</w:t>
      </w:r>
      <w:r w:rsidR="20E85BB0">
        <w:t>o</w:t>
      </w:r>
      <w:r w:rsidR="00FD0B41">
        <w:t>ngivores, rhizophages</w:t>
      </w:r>
      <w:r w:rsidR="00C02A58">
        <w:t xml:space="preserve"> et prédateurs)</w:t>
      </w:r>
      <w:r w:rsidR="00475529">
        <w:t xml:space="preserve">, </w:t>
      </w:r>
      <w:r w:rsidR="00E12E8C">
        <w:t>ils sont</w:t>
      </w:r>
      <w:r w:rsidR="00077A78">
        <w:t xml:space="preserve"> des acteurs essentiels de la régulation des populations et du cycle des nutriments du sol </w:t>
      </w:r>
      <w:r w:rsidR="00077A78">
        <w:fldChar w:fldCharType="begin"/>
      </w:r>
      <w:r w:rsidR="00833ABC">
        <w:instrText xml:space="preserve"> ADDIN ZOTERO_ITEM CSL_CITATION {"citationID":"V2R3f5oq","properties":{"unsorted":false,"formattedCitation":"(Cousin et al., 2025)","plainCitation":"(Cousin et al., 2025)","dontUpdate":true,"noteIndex":0},"citationItems":[{"id":179,"uris":["http://zotero.org/groups/5684833/items/LT8UJHBJ"],"itemData":{"id":179,"type":"thesis","DOI":"10.17180/qnpx-x742","genre":"report","language":"fr","note":"page: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rsidR="00077A78">
        <w:fldChar w:fldCharType="separate"/>
      </w:r>
      <w:r w:rsidR="00587EC6" w:rsidRPr="00587EC6">
        <w:rPr>
          <w:rFonts w:cs="Calibri"/>
        </w:rPr>
        <w:fldChar w:fldCharType="begin"/>
      </w:r>
      <w:r w:rsidR="00587EC6" w:rsidRPr="00587EC6">
        <w:rPr>
          <w:rFonts w:cs="Calibri"/>
        </w:rPr>
        <w:instrText xml:space="preserve"> INCLUDETEXT "C:\\Users\\CLLIAV~1\\AppData\\Local\\Temp\\ZOTC158.tmp" \c MSRTF </w:instrText>
      </w:r>
      <w:r w:rsidR="007E7D27">
        <w:rPr>
          <w:rFonts w:cs="Calibri"/>
        </w:rPr>
        <w:instrText xml:space="preserve"> \* MERGEFORMAT </w:instrText>
      </w:r>
      <w:r w:rsidR="00587EC6" w:rsidRPr="00587EC6">
        <w:rPr>
          <w:rFonts w:cs="Calibri"/>
        </w:rPr>
        <w:fldChar w:fldCharType="separate"/>
      </w:r>
      <w:r w:rsidR="00587EC6" w:rsidRPr="48222D96">
        <w:rPr>
          <w:rFonts w:cs="Calibri"/>
        </w:rPr>
        <w:t>(van den Hoogen et al., 2019; Cousin et al., 2025)</w:t>
      </w:r>
      <w:r w:rsidR="007E7D27" w:rsidRPr="48222D96">
        <w:rPr>
          <w:rFonts w:cs="Calibri"/>
        </w:rPr>
        <w:t>.</w:t>
      </w:r>
    </w:p>
    <w:p w14:paraId="083D7911" w14:textId="049DC541" w:rsidR="007E7103" w:rsidRDefault="00587EC6" w:rsidP="007E7D27">
      <w:r w:rsidRPr="00587EC6">
        <w:rPr>
          <w:rFonts w:cs="Calibri"/>
        </w:rPr>
        <w:fldChar w:fldCharType="end"/>
      </w:r>
      <w:r w:rsidR="00077A78">
        <w:fldChar w:fldCharType="end"/>
      </w:r>
      <w:r w:rsidR="00AE5B63">
        <w:t>L</w:t>
      </w:r>
      <w:r w:rsidR="00424E80">
        <w:t>’analyse de l</w:t>
      </w:r>
      <w:r w:rsidR="00AE5B63">
        <w:t xml:space="preserve">a diversité des nématodes fait référence à la </w:t>
      </w:r>
      <w:r w:rsidR="00424E80">
        <w:t>représentativité des divers taxons au sein de l’échantillon.</w:t>
      </w:r>
    </w:p>
    <w:p w14:paraId="395A2F7B" w14:textId="77777777" w:rsidR="007E7103" w:rsidRDefault="007E7103" w:rsidP="00876101">
      <w:pPr>
        <w:pStyle w:val="Titre3"/>
        <w:numPr>
          <w:ilvl w:val="2"/>
          <w:numId w:val="3"/>
        </w:numPr>
      </w:pPr>
      <w:bookmarkStart w:id="134" w:name="_Toc241505318"/>
      <w:r>
        <w:t>Pertinence</w:t>
      </w:r>
      <w:bookmarkEnd w:id="134"/>
    </w:p>
    <w:p w14:paraId="53DC6543" w14:textId="2A0D0442" w:rsidR="007E7103" w:rsidRDefault="00363FA3" w:rsidP="007E7103">
      <w:r>
        <w:t>Les</w:t>
      </w:r>
      <w:r w:rsidR="00314D61">
        <w:t xml:space="preserve"> nématodes </w:t>
      </w:r>
      <w:r>
        <w:t>présentent de nombreux avantages en tant qu’</w:t>
      </w:r>
      <w:r w:rsidR="00614BD6">
        <w:t xml:space="preserve">indicateurs </w:t>
      </w:r>
      <w:r w:rsidR="00314D61">
        <w:t>de qualité des sols</w:t>
      </w:r>
      <w:r w:rsidR="00F36330">
        <w:t>,</w:t>
      </w:r>
      <w:r w:rsidR="00C50BD3">
        <w:t xml:space="preserve"> pour les raisons suivantes </w:t>
      </w:r>
      <w:r w:rsidR="00F36330">
        <w:t>:</w:t>
      </w:r>
    </w:p>
    <w:p w14:paraId="4755D1C2" w14:textId="39849832" w:rsidR="00F36330" w:rsidRDefault="00C50BD3" w:rsidP="00876101">
      <w:pPr>
        <w:pStyle w:val="Paragraphedeliste"/>
        <w:numPr>
          <w:ilvl w:val="0"/>
          <w:numId w:val="4"/>
        </w:numPr>
      </w:pPr>
      <w:r w:rsidRPr="48222D96">
        <w:rPr>
          <w:u w:val="single"/>
        </w:rPr>
        <w:t xml:space="preserve">Diversité </w:t>
      </w:r>
      <w:r w:rsidR="00B512FB" w:rsidRPr="48222D96">
        <w:rPr>
          <w:u w:val="single"/>
        </w:rPr>
        <w:t xml:space="preserve">et intégration </w:t>
      </w:r>
      <w:r w:rsidRPr="48222D96">
        <w:rPr>
          <w:u w:val="single"/>
        </w:rPr>
        <w:t xml:space="preserve">des réseaux </w:t>
      </w:r>
      <w:r w:rsidR="00B512FB" w:rsidRPr="48222D96">
        <w:rPr>
          <w:u w:val="single"/>
        </w:rPr>
        <w:t>trophiques</w:t>
      </w:r>
      <w:r w:rsidR="00B512FB">
        <w:t xml:space="preserve"> : </w:t>
      </w:r>
      <w:r w:rsidR="00FC5B61">
        <w:t>situés plus en aval de la chaîne alimentaire que les microorganismes,</w:t>
      </w:r>
      <w:r w:rsidR="00735DFB">
        <w:t xml:space="preserve"> et spécialisés dans </w:t>
      </w:r>
      <w:r w:rsidR="00ED6F3F">
        <w:t xml:space="preserve">différents réseaux trophiques (consommation de bactéries, champignons, </w:t>
      </w:r>
      <w:r w:rsidR="002B5825">
        <w:t>racines</w:t>
      </w:r>
      <w:r w:rsidR="27C09D9D">
        <w:t>,</w:t>
      </w:r>
      <w:r w:rsidR="002B5825">
        <w:t xml:space="preserve"> </w:t>
      </w:r>
      <w:r w:rsidR="00D137A8">
        <w:t>etc.)</w:t>
      </w:r>
      <w:r w:rsidR="002B5825">
        <w:t>,</w:t>
      </w:r>
      <w:r w:rsidR="00FC5B61">
        <w:t xml:space="preserve"> </w:t>
      </w:r>
      <w:r w:rsidR="00735DFB">
        <w:t xml:space="preserve">leur analyse permet </w:t>
      </w:r>
      <w:r w:rsidR="002B5825">
        <w:t>d’obtenir</w:t>
      </w:r>
      <w:r w:rsidR="00996BE7">
        <w:t xml:space="preserve"> des informations sur l’état</w:t>
      </w:r>
      <w:r w:rsidR="002B5825">
        <w:t xml:space="preserve"> global</w:t>
      </w:r>
      <w:r w:rsidR="00996BE7">
        <w:t xml:space="preserve"> </w:t>
      </w:r>
      <w:r w:rsidR="002B5825">
        <w:t>de leurs</w:t>
      </w:r>
      <w:r w:rsidR="00996BE7">
        <w:t xml:space="preserve"> ressources nutritives</w:t>
      </w:r>
      <w:r w:rsidR="002B5825">
        <w:t>, dont celui des</w:t>
      </w:r>
      <w:r w:rsidR="00BF55A1">
        <w:t xml:space="preserve"> communautés microbiennes dont ils dépendent</w:t>
      </w:r>
      <w:r w:rsidR="003F5F01">
        <w:t xml:space="preserve"> </w:t>
      </w:r>
      <w:r>
        <w:fldChar w:fldCharType="begin"/>
      </w:r>
      <w:r>
        <w:instrText xml:space="preserve"> ADDIN ZOTERO_ITEM CSL_CITATION {"citationID":"BaIzTPzI","properties":{"unsorted":true,"formattedCitation":"(Neher, 2001; Biswal, 2022; Matson et al., 2025)","plainCitation":"(Neher, 2001; Biswal, 2022; Matson et al., 2025)","noteIndex":0},"citationItems":[{"id":90,"uris":["http://zotero.org/groups/5684833/items/QYILIP9S"],"itemData":{"id":90,"type":"article-journal","abstract":"The composition of nematode communities (plant-parasitic and free-living) may be used as bioindicators of soil health or condition because composition correlates well with nitrogen cycling and decomposition, two critical ecological processes in soil. Maturity and trophic diversity indices withstand statistical rigor better than do abundances, proportions, or ratios of trophic groups. Maturity indices respond to a variety of land-management practices, based largely on inferred life history characteristics of families. Similarity indices may be more useful than diversity indices because they reflect taxon composition. Improving existing indices or developing alternative indices refined by a greater understanding of the biology of key taxa may enhance the utility of nematodes as bioindicators.","container-title":"Journal of Nematology","ISSN":"0022-300X","issue":"4","journalAbbreviation":"J Nematol","page":"161-168","PMID":"19265875","PMCID":"PMC2620512","source":"PubMed Central","title":"Role of Nematodes in Soil Health and Their Use as Indicators","volume":"33","author":[{"family":"Neher","given":"Deborah A."}],"issued":{"date-parts":[["2001",12]]}}},{"id":89,"uris":["http://zotero.org/groups/5684833/items/IFKEL73E"],"itemData":{"id":89,"type":"article-journal","abstract":"Soil health is a matter of growing concern because of its degradation due to unsustainable anthropogenic activities over the last few decades. It is maintained by interactions among the components of the soil food web commonly concentrated in the vicinity of the plant roots, called the rhizosphere. The soil food web is dominated by nematodes. They occupy various trophic positions because of their diverse feeding habits. The free-living forms are mainly dependent on soil bacteria and fungi for their nutrition, while the parasitic forms feed on plant roots. The population of these two groups is regulated by the activities of predatory nematodes which can be carnivorous or omnivorous. The soil nematodes thereby partake responsibilities in nutrient cycling, mineralization and decomposition pathways which, in turn, affects the aboveground productivity. This intricately connected food web structure is vulnerable to disturbances like increased soil salinity, acidity, nitrogen enrichment, tillage, crop rotations, fertilizers, pesticides, soil amendment techniques and heavy metal pollution. The effects are reflected by alterations in the abundance and diversity of soil nematodes belonging to various trophic groups. These alterations have been formulated into measurable indices like maturity index (MI), structure index (SI), enrichment index (EI) and channel index (CI). The faunal profile and metabolic footprints of soil nematodes are latest developments in the field of nematode community analyses. Though these indices cannot replace the conventional soil ecotoxicological assays, they can give added information about soil biology which can be utilized to design sustainable land use practices.","container-title":"Applied Biochemistry and Biotechnology","DOI":"10.1007/s12010-022-03808-9","ISSN":"1559-0291","issue":"5","journalAbbreviation":"Appl Biochem Biotechnol","language":"en","page":"2357-2417","source":"Springer Link","title":"Nematodes as Ghosts of Land Use Past: Elucidating the Roles of Soil Nematode Community Studies as Indicators of Soil Health and Land Management Practices","title-short":"Nematodes as Ghosts of Land Use Past","volume":"194","author":[{"family":"Biswal","given":"Debraj"}],"issued":{"date-parts":[["2022",5,1]]}}},{"id":324,"uris":["http://zotero.org/groups/5684833/items/2NI7WLN4"],"itemData":{"id":324,"type":"article-journal","DOI":"10.18174/686912","language":"Dutch","publisher":"Wageningen Environmental Research","source":"research.wur.nl","title":"De Bodemgezondheidsindex Amsterdam: Stedelijke bodemgezondheid meten, beoordelen en verbeteren","title-short":"De Bodemgezondheidsindex Amsterdam","URL":"https://research.wur.nl/en/publications/de-bodemgezondheidsindex-amsterdam-stedelijke-bodemgezondheid-met/","author":[{"family":"Matson","given":"Amanda"},{"family":"Elsen","given":"Erik","dropping-particle":"van den"},{"family":"Teuling","given":"Kees"},{"family":"Woolderink","given":"Hessel"},{"family":"Korthals","given":"Gerard"},{"family":"Römkens","given":"Paul"}],"accessed":{"date-parts":[["2025",12,17]]},"issued":{"date-parts":[["2025",4]]}}}],"schema":"https://github.com/citation-style-language/schema/raw/master/csl-citation.json"} </w:instrText>
      </w:r>
      <w:r>
        <w:fldChar w:fldCharType="separate"/>
      </w:r>
      <w:r w:rsidR="00BE1828" w:rsidRPr="48222D96">
        <w:rPr>
          <w:rFonts w:cs="Calibri"/>
        </w:rPr>
        <w:t>(Neher, 2001; Biswal, 2022; Matson et al., 2025)</w:t>
      </w:r>
      <w:r>
        <w:fldChar w:fldCharType="end"/>
      </w:r>
      <w:r w:rsidR="00BF55A1">
        <w:t> ;</w:t>
      </w:r>
    </w:p>
    <w:p w14:paraId="60632284" w14:textId="33FC7846" w:rsidR="00996BE7" w:rsidRDefault="00C50BD3" w:rsidP="00876101">
      <w:pPr>
        <w:pStyle w:val="Paragraphedeliste"/>
        <w:numPr>
          <w:ilvl w:val="0"/>
          <w:numId w:val="4"/>
        </w:numPr>
      </w:pPr>
      <w:r w:rsidRPr="48222D96">
        <w:rPr>
          <w:u w:val="single"/>
        </w:rPr>
        <w:t>Stab</w:t>
      </w:r>
      <w:r w:rsidR="007710B6" w:rsidRPr="48222D96">
        <w:rPr>
          <w:u w:val="single"/>
        </w:rPr>
        <w:t>ilité temporelle</w:t>
      </w:r>
      <w:r w:rsidR="00532AF9" w:rsidRPr="48222D96">
        <w:rPr>
          <w:u w:val="single"/>
        </w:rPr>
        <w:t xml:space="preserve"> et ubiquité</w:t>
      </w:r>
      <w:r>
        <w:t xml:space="preserve"> : </w:t>
      </w:r>
      <w:r w:rsidR="00D17E07">
        <w:t xml:space="preserve">par leur taille, </w:t>
      </w:r>
      <w:r w:rsidR="003142D9">
        <w:t>les nématodes vivent plus longtemps et sont moins influencés à court terme par les perturbations du milieu</w:t>
      </w:r>
      <w:r w:rsidR="00370772">
        <w:t xml:space="preserve"> (labour, pollution</w:t>
      </w:r>
      <w:r w:rsidR="23A6611E">
        <w:t>,</w:t>
      </w:r>
      <w:r w:rsidR="00370772">
        <w:t xml:space="preserve"> etc.)</w:t>
      </w:r>
      <w:r w:rsidR="00D137A8">
        <w:t xml:space="preserve">, ce qui rend leur analyse plus </w:t>
      </w:r>
      <w:r w:rsidR="007710B6">
        <w:t xml:space="preserve">robuste que celle des communautés microbiennes qui varient </w:t>
      </w:r>
      <w:r w:rsidR="00D17E07">
        <w:t xml:space="preserve">au gré des flux journaliers de nutriments </w:t>
      </w:r>
      <w:r>
        <w:fldChar w:fldCharType="begin"/>
      </w:r>
      <w:r>
        <w:instrText xml:space="preserve"> ADDIN ZOTERO_ITEM CSL_CITATION {"citationID":"It8P1Kg6","properties":{"unsorted":false,"formattedCitation":"(Matson et al., 2025)","plainCitation":"(Matson et al., 2025)","noteIndex":0},"citationItems":[{"id":324,"uris":["http://zotero.org/groups/5684833/items/2NI7WLN4"],"itemData":{"id":324,"type":"article-journal","DOI":"10.18174/686912","language":"Dutch","publisher":"Wageningen Environmental Research","source":"research.wur.nl","title":"De Bodemgezondheidsindex Amsterdam: Stedelijke bodemgezondheid meten, beoordelen en verbeteren","title-short":"De Bodemgezondheidsindex Amsterdam","URL":"https://research.wur.nl/en/publications/de-bodemgezondheidsindex-amsterdam-stedelijke-bodemgezondheid-met/","author":[{"family":"Matson","given":"Amanda"},{"family":"Elsen","given":"Erik","dropping-particle":"van den"},{"family":"Teuling","given":"Kees"},{"family":"Woolderink","given":"Hessel"},{"family":"Korthals","given":"Gerard"},{"family":"Römkens","given":"Paul"}],"accessed":{"date-parts":[["2025",12,17]]},"issued":{"date-parts":[["2025",4]]}}}],"schema":"https://github.com/citation-style-language/schema/raw/master/csl-citation.json"} </w:instrText>
      </w:r>
      <w:r>
        <w:fldChar w:fldCharType="separate"/>
      </w:r>
      <w:r w:rsidR="006831C8" w:rsidRPr="48222D96">
        <w:rPr>
          <w:rFonts w:cs="Calibri"/>
        </w:rPr>
        <w:t>(Matson et al., 2025)</w:t>
      </w:r>
      <w:r>
        <w:fldChar w:fldCharType="end"/>
      </w:r>
      <w:r w:rsidR="00370772">
        <w:t xml:space="preserve"> </w:t>
      </w:r>
      <w:r w:rsidR="007710B6">
        <w:t>;</w:t>
      </w:r>
    </w:p>
    <w:p w14:paraId="155B1161" w14:textId="42B7EB51" w:rsidR="00E92464" w:rsidRDefault="0075290A" w:rsidP="00876101">
      <w:pPr>
        <w:pStyle w:val="Paragraphedeliste"/>
        <w:numPr>
          <w:ilvl w:val="0"/>
          <w:numId w:val="4"/>
        </w:numPr>
      </w:pPr>
      <w:r>
        <w:rPr>
          <w:u w:val="single"/>
        </w:rPr>
        <w:t>Interprétation</w:t>
      </w:r>
      <w:r w:rsidR="00E92464" w:rsidRPr="00E92464">
        <w:t> :</w:t>
      </w:r>
      <w:r w:rsidR="00E92464">
        <w:t xml:space="preserve"> </w:t>
      </w:r>
      <w:r w:rsidR="00EC6632">
        <w:t>la taxonomie et les réseaux trophiques des nématodes étant relativement bien documentés</w:t>
      </w:r>
      <w:r w:rsidR="00E63C03">
        <w:t xml:space="preserve"> </w:t>
      </w:r>
      <w:r w:rsidR="00E63C03">
        <w:fldChar w:fldCharType="begin"/>
      </w:r>
      <w:r w:rsidR="00E63C03">
        <w:instrText xml:space="preserve"> ADDIN ZOTERO_ITEM CSL_CITATION {"citationID":"viiWUb3G","properties":{"unsorted":false,"formattedCitation":"(Neher, 2001)","plainCitation":"(Neher, 2001)","noteIndex":0},"citationItems":[{"id":90,"uris":["http://zotero.org/groups/5684833/items/QYILIP9S"],"itemData":{"id":90,"type":"article-journal","abstract":"The composition of nematode communities (plant-parasitic and free-living) may be used as bioindicators of soil health or condition because composition correlates well with nitrogen cycling and decomposition, two critical ecological processes in soil. Maturity and trophic diversity indices withstand statistical rigor better than do abundances, proportions, or ratios of trophic groups. Maturity indices respond to a variety of land-management practices, based largely on inferred life history characteristics of families. Similarity indices may be more useful than diversity indices because they reflect taxon composition. Improving existing indices or developing alternative indices refined by a greater understanding of the biology of key taxa may enhance the utility of nematodes as bioindicators.","container-title":"Journal of Nematology","ISSN":"0022-300X","issue":"4","journalAbbreviation":"J Nematol","page":"161-168","PMID":"19265875","PMCID":"PMC2620512","source":"PubMed Central","title":"Role of Nematodes in Soil Health and Their Use as Indicators","volume":"33","author":[{"family":"Neher","given":"Deborah A."}],"issued":{"date-parts":[["2001",12]]}}}],"schema":"https://github.com/citation-style-language/schema/raw/master/csl-citation.json"} </w:instrText>
      </w:r>
      <w:r w:rsidR="00E63C03">
        <w:fldChar w:fldCharType="separate"/>
      </w:r>
      <w:r w:rsidR="00E63C03" w:rsidRPr="00E63C03">
        <w:rPr>
          <w:rFonts w:cs="Calibri"/>
        </w:rPr>
        <w:t>(Neher, 2001)</w:t>
      </w:r>
      <w:r w:rsidR="00E63C03">
        <w:fldChar w:fldCharType="end"/>
      </w:r>
      <w:r w:rsidR="00EC6632">
        <w:t xml:space="preserve">, l’interprétation des analyses </w:t>
      </w:r>
      <w:proofErr w:type="spellStart"/>
      <w:r w:rsidR="00EC6632">
        <w:t>nématofauniques</w:t>
      </w:r>
      <w:proofErr w:type="spellEnd"/>
      <w:r w:rsidR="00EC6632">
        <w:t xml:space="preserve"> </w:t>
      </w:r>
      <w:r w:rsidR="007F6878">
        <w:t>est</w:t>
      </w:r>
      <w:r w:rsidR="00AB3584">
        <w:t xml:space="preserve"> balisée</w:t>
      </w:r>
      <w:r w:rsidR="007F6878">
        <w:t xml:space="preserve"> </w:t>
      </w:r>
      <w:r w:rsidR="00AB3584">
        <w:t>par l’existence d’indices de diversité (indice de maturité, de structure des communautés, etc.)</w:t>
      </w:r>
      <w:r w:rsidR="00D85EAB">
        <w:t> ;</w:t>
      </w:r>
    </w:p>
    <w:p w14:paraId="263E09CB" w14:textId="217F2DFE" w:rsidR="00D85EAB" w:rsidRDefault="00D85EAB" w:rsidP="00876101">
      <w:pPr>
        <w:pStyle w:val="Paragraphedeliste"/>
        <w:numPr>
          <w:ilvl w:val="0"/>
          <w:numId w:val="4"/>
        </w:numPr>
      </w:pPr>
      <w:r>
        <w:rPr>
          <w:u w:val="single"/>
        </w:rPr>
        <w:t>Mise en évidence de l’impact des pratiques</w:t>
      </w:r>
      <w:r w:rsidR="005520A5">
        <w:rPr>
          <w:u w:val="single"/>
        </w:rPr>
        <w:t xml:space="preserve"> de gestion</w:t>
      </w:r>
      <w:r w:rsidR="005520A5">
        <w:t xml:space="preserve"> : </w:t>
      </w:r>
      <w:r w:rsidR="005D405D">
        <w:t xml:space="preserve">les travaux de </w:t>
      </w:r>
      <w:r w:rsidR="005520A5">
        <w:t>Cluzeau</w:t>
      </w:r>
      <w:r w:rsidR="0096628C">
        <w:t xml:space="preserve"> </w:t>
      </w:r>
      <w:r w:rsidR="0096628C">
        <w:fldChar w:fldCharType="begin"/>
      </w:r>
      <w:r w:rsidR="009B40B7">
        <w:instrText xml:space="preserve"> ADDIN ZOTERO_ITEM CSL_CITATION {"citationID":"JpHeggue","properties":{"unsorted":false,"formattedCitation":"(2012)","plainCitation":"(2012)","noteIndex":0},"citationItems":[{"id":473,"uris":["http://zotero.org/groups/5684833/items/9MNGIIFB"],"itemData":{"id":473,"type":"article-journal","abstract":"The French programme Réseau de Mesures de la Qualité des Sols – Biodiversité was carried out at a regional scale (Brittany, west part of France) i) to produce a first statement regarding soil biodiversity, ii) to identify bioindicators of anthropic constraints, and iii) to determine baseline values for several biological groups depending on land uses. In this study, 109 monitoring sites were investigated using a systematic framework (a 16 km × 16 km regular grid). Six biological groups were studied within four major categories, i.e., macrofauna (all soil macro-invertebrate taxa and earthworms), mesofauna (Acari and Collembola), microfauna (nematodes), and micro-organisms (microbial biomass and functional genes). The abundances of earthworms, nematodes, Acari and the bacterial community (assessed by their encoded 16S rRNA) as well as microbial biomass and earthworm species richness discriminate land uses (crops from meadows from forests). Macro-invertebrate abundance, Collembola abundance and richness, and nematode richness are only relevant for the discrimination of agricultural practices (e.g., management system or fertilisation intensity). Most of the soil biological groups (except Collembola) exhibit lower values of abundance and community richness in croplands than in meadows. This programme allows us to set up a first reference database for soil biological data for France covering microflora and fauna. This substantial reference database will be used to calibrate future research results and to develop management baseline values for stakeholders to assess the status of soil biodiversity under several policies, e.g., the Common Agricultural Policy, Soil Framework Directive, EU and national biodiversity strategies, and policies related to contaminated land management. Therefore it should assist stakeholders in the choice of good agricultural practices.","collection-title":"Bioindication in Soil Ecosystems","container-title":"European Journal of Soil Biology","DOI":"10.1016/j.ejsobi.2011.11.003","ISSN":"1164-5563","journalAbbreviation":"European Journal of Soil Biology","page":"63-72","source":"ScienceDirect","title":"Integration of biodiversity in soil quality monitoring: Baselines for microbial and soil fauna parameters for different land-use types","title-short":"Integration of biodiversity in soil quality monitoring","volume":"49","author":[{"family":"Cluzeau","given":"D."},{"family":"Guernion","given":"M."},{"family":"Chaussod","given":"R."},{"family":"Martin-Laurent","given":"F."},{"family":"Villenave","given":"C."},{"family":"Cortet","given":"J."},{"family":"Ruiz-Camacho","given":"N."},{"family":"Pernin","given":"C."},{"family":"Mateille","given":"T."},{"family":"Philippot","given":"L."},{"family":"Bellido","given":"A."},{"family":"Rougé","given":"L."},{"family":"Arrouays","given":"D."},{"family":"Bispo","given":"A."},{"family":"Pérès","given":"G."}],"issued":{"date-parts":[["2012",3,1]]}},"suppress-author":true}],"schema":"https://github.com/citation-style-language/schema/raw/master/csl-citation.json"} </w:instrText>
      </w:r>
      <w:r w:rsidR="0096628C">
        <w:fldChar w:fldCharType="separate"/>
      </w:r>
      <w:r w:rsidR="009B40B7" w:rsidRPr="009B40B7">
        <w:rPr>
          <w:rFonts w:cs="Calibri"/>
        </w:rPr>
        <w:t>(2012)</w:t>
      </w:r>
      <w:r w:rsidR="0096628C">
        <w:fldChar w:fldCharType="end"/>
      </w:r>
      <w:r w:rsidR="009B40B7">
        <w:t xml:space="preserve"> </w:t>
      </w:r>
      <w:r w:rsidR="004F4AFD">
        <w:t xml:space="preserve">et de Villenave </w:t>
      </w:r>
      <w:r w:rsidR="004F4AFD">
        <w:fldChar w:fldCharType="begin"/>
      </w:r>
      <w:r w:rsidR="004F4AFD">
        <w:instrText xml:space="preserve"> ADDIN ZOTERO_ITEM CSL_CITATION {"citationID":"rmF8c9bA","properties":{"unsorted":false,"formattedCitation":"(2013)","plainCitation":"(2013)","noteIndex":0},"citationItems":[{"id":87,"uris":["http://zotero.org/groups/5684833/items/IXQ8E39A"],"itemData":{"id":87,"type":"article-journal","abstract":"A French programme, \"Réseau de mesure de la qualité des sols: biodiversité des organismes\" (RMQS BioDiv) was de-veloped in Brittany (27,000 km² in the western part of France) as an initial assessment of soil biodiversity on a regional scale in relation to land use and pedoclimatic parameters. The nematode community assemblages were compared among the land use categories. Crops were characterised by a high abundance of bacterial-feeders, particularly oppor-tunistic bacterial-feeders belonging to Rhabditidae. Meadows presented a higher total abundance of nematodes than did crops (20.6 ind·g −1 dry soil vs. 13.1 ind·g −1 dry soil), and they were mainly linked to the great abundance of plant-parasitic nematodes, particularly Meloidogyne, but with a very high heterogeneity between sampled plots. The nematodes were most abundant in forests (23.7 ind·g −1 dry soil) and presented the most structured community (SI = 82.2 in forests vs. 58.6 and 55.5 in crops and meadows, respectively). Forests had also the higher fungal component (fungal-feeders and facultative plant-feeders belonging to the Tylenchidae) leading to a significant higher part of the fungal decomposition pathway in forests than in crops. The ability of different taxonomic levels of nematode identifica-tion to discriminate among different cropping systems (i.e., continuous cropping system, crop with meadow in the rota-tion, meadow with crop in the rotation and permanent meadow) was also tested. The family level (48 families identified in these samples) was more efficient than the other taxonomic levels (86 taxa, 17 functional guilds and 6 trophic groups): best statistical significant discrimination for time spent in identification. The relation between the nematode ecological indices, the abundance of nematode trophic groups and the crop management practices were studied. The effects of fertilization, ploughing frequency, use of pesticides and management systems on ecological indices, particu-larly on the Maturity Indices, were observed.","container-title":"Open Journal of Soil Science","DOI":"10.4236/ojss.2013.31005","page":"30 - 45","publisher":"Scientific Research Publishing","source":"HAL","title":"Nematodes for Soil Quality Monitoring: Results from the RMQS BioDiv Programme","title-short":"Nematodes for Soil Quality Monitoring","volume":"3","author":[{"family":"Villenave","given":"Cécile"},{"family":"Jimenez","given":"Anne"},{"family":"Guernion","given":"Muriel"},{"family":"Pérès","given":"Guénola"},{"family":"Cluzeau","given":"Daniel"},{"family":"Mateille","given":"Thierry"},{"family":"Martiny","given":"Bernard"},{"family":"Fargette","given":"Mireille"},{"family":"Tavoillot","given":"Johannes"}],"issued":{"date-parts":[["2013"]]}},"suppress-author":true}],"schema":"https://github.com/citation-style-language/schema/raw/master/csl-citation.json"} </w:instrText>
      </w:r>
      <w:r w:rsidR="004F4AFD">
        <w:fldChar w:fldCharType="separate"/>
      </w:r>
      <w:r w:rsidR="004F4AFD" w:rsidRPr="004F4AFD">
        <w:rPr>
          <w:rFonts w:cs="Calibri"/>
        </w:rPr>
        <w:t>(2013)</w:t>
      </w:r>
      <w:r w:rsidR="004F4AFD">
        <w:fldChar w:fldCharType="end"/>
      </w:r>
      <w:r w:rsidR="004F4AFD">
        <w:t xml:space="preserve"> </w:t>
      </w:r>
      <w:r w:rsidR="005D405D">
        <w:t xml:space="preserve">identifient </w:t>
      </w:r>
      <w:r w:rsidR="001D264C">
        <w:t xml:space="preserve">la diversité et l’abondance des nématodes comme </w:t>
      </w:r>
      <w:r w:rsidR="00317101">
        <w:t>facteur discriminant des pratiques de gestion.</w:t>
      </w:r>
    </w:p>
    <w:p w14:paraId="4925A48A" w14:textId="77777777" w:rsidR="007E7103" w:rsidRDefault="007E7103" w:rsidP="00876101">
      <w:pPr>
        <w:pStyle w:val="Titre3"/>
        <w:numPr>
          <w:ilvl w:val="2"/>
          <w:numId w:val="3"/>
        </w:numPr>
      </w:pPr>
      <w:bookmarkStart w:id="135" w:name="_Toc241505319"/>
      <w:r>
        <w:t>Méthode de mesure</w:t>
      </w:r>
      <w:bookmarkEnd w:id="135"/>
    </w:p>
    <w:p w14:paraId="44261CDF" w14:textId="0A35D66F" w:rsidR="007E7103" w:rsidRDefault="0083023B" w:rsidP="007E7103">
      <w:proofErr w:type="gramStart"/>
      <w:r>
        <w:t>Suite à</w:t>
      </w:r>
      <w:proofErr w:type="gramEnd"/>
      <w:r>
        <w:t xml:space="preserve"> leur extraction du sol par des méthodes mécaniques, les</w:t>
      </w:r>
      <w:r w:rsidR="00DE2A7A">
        <w:t xml:space="preserve"> nématodes </w:t>
      </w:r>
      <w:r>
        <w:t xml:space="preserve">sont analysés soit </w:t>
      </w:r>
      <w:r w:rsidR="00DB6A36">
        <w:t>par une analyse morphologique au microscope, soit par des techniques moléculaires</w:t>
      </w:r>
      <w:r w:rsidR="002C694C">
        <w:t xml:space="preserve"> basées sur l’analyse de l’ADN des organismes</w:t>
      </w:r>
      <w:r w:rsidR="00DB6A36">
        <w:t xml:space="preserve"> (</w:t>
      </w:r>
      <w:proofErr w:type="spellStart"/>
      <w:r w:rsidR="00DB6A36">
        <w:t>métabarcoding</w:t>
      </w:r>
      <w:proofErr w:type="spellEnd"/>
      <w:r w:rsidR="00DB6A36">
        <w:t>).</w:t>
      </w:r>
      <w:r w:rsidR="00240423">
        <w:t xml:space="preserve"> Cette deuxième technique est retenue dans le cadre de l’IQSW-pro, en raison de la disponibilité d’une filière d’analyse mature </w:t>
      </w:r>
      <w:r w:rsidR="00BB3DFF">
        <w:t>en Flandre (ILVO). En Wallonie, les développements vont dans ce sens également.</w:t>
      </w:r>
    </w:p>
    <w:p w14:paraId="052E6F95" w14:textId="77777777" w:rsidR="007E7103" w:rsidRDefault="007E7103" w:rsidP="00876101">
      <w:pPr>
        <w:pStyle w:val="Titre3"/>
        <w:numPr>
          <w:ilvl w:val="2"/>
          <w:numId w:val="3"/>
        </w:numPr>
      </w:pPr>
      <w:bookmarkStart w:id="136" w:name="_Toc241505320"/>
      <w:r>
        <w:t>Interprétation</w:t>
      </w:r>
      <w:bookmarkEnd w:id="136"/>
    </w:p>
    <w:p w14:paraId="04C8F16D" w14:textId="66FD88DB" w:rsidR="00833ABC" w:rsidRDefault="00D25292" w:rsidP="007E7103">
      <w:r>
        <w:t xml:space="preserve">Les analyses </w:t>
      </w:r>
      <w:proofErr w:type="spellStart"/>
      <w:r>
        <w:t>nématofauniques</w:t>
      </w:r>
      <w:proofErr w:type="spellEnd"/>
      <w:r>
        <w:t xml:space="preserve"> permett</w:t>
      </w:r>
      <w:r w:rsidR="003E5B5F">
        <w:t>ent</w:t>
      </w:r>
      <w:r>
        <w:t xml:space="preserve"> de </w:t>
      </w:r>
      <w:r w:rsidR="003E5B5F">
        <w:t>calculer</w:t>
      </w:r>
      <w:r>
        <w:t xml:space="preserve"> </w:t>
      </w:r>
      <w:r w:rsidR="003E5B5F">
        <w:t>divers indices</w:t>
      </w:r>
      <w:r w:rsidR="0084657F">
        <w:t xml:space="preserve">, qui </w:t>
      </w:r>
      <w:r w:rsidR="006368E4">
        <w:t>peuvent être exploités p</w:t>
      </w:r>
      <w:r w:rsidR="00833ABC">
        <w:t>ou</w:t>
      </w:r>
      <w:r w:rsidR="006368E4">
        <w:t xml:space="preserve">r transformer l’analyse des nématodes </w:t>
      </w:r>
      <w:r w:rsidR="004F68C4">
        <w:t>en indicateurs de suivi opérationnels</w:t>
      </w:r>
      <w:r w:rsidR="00833ABC">
        <w:t xml:space="preserve"> </w:t>
      </w:r>
      <w:r w:rsidR="00833ABC">
        <w:fldChar w:fldCharType="begin"/>
      </w:r>
      <w:r w:rsidR="00833ABC">
        <w:instrText xml:space="preserve"> ADDIN ZOTERO_ITEM CSL_CITATION {"citationID":"YHAG6CZm","properties":{"unsorted":false,"formattedCitation":"(Ferris et al., 2001)","plainCitation":"(Ferris et al., 2001)","noteIndex":0},"citationItems":[{"id":367,"uris":["http://zotero.org/groups/5684833/items/9YE5466S"],"itemData":{"id":367,"type":"article-journal","abstract":"Nematodes, the earth’s most abundant metazoa, are ubiquitous in the soil environment. They are sufficiently large to be identifiable by light microscopy and sufficiently small to inhabit water films surrounding soil particles. They aggregate around and in food sources. They include component taxa of the soil food web at several trophic levels. They can be categorized into functional guilds whose members respond similarly to food web enrichment and to environmental perturbation and recovery. Indices derived through nematode faunal analysis provide bioindicators for disturbance of the soil environment and condition of the soil food web. We enhance the resolution of faunal analyses by providing a weighting system for the indicator importance of the presence and abundance of each functional guild in relation to enrichment and structure of the food web. Graphical representations of food web structure, based on nematode faunal analyses, allow diagnostic interpretation of its condition. Simple ratios of the weighted abundance of representatives of specific functional guilds provide useful indicators of food web structure, enrichment, and decomposition channels.","container-title":"Applied Soil Ecology","DOI":"10.1016/S0929-1393(01)00152-4","ISSN":"0929-1393","issue":"1","journalAbbreviation":"Applied Soil Ecology","page":"13-29","source":"ScienceDirect","title":"A framework for soil food web diagnostics: extension of the nematode faunal analysis concept","title-short":"A framework for soil food web diagnostics","volume":"18","author":[{"family":"Ferris","given":"H."},{"family":"Bongers","given":"T."},{"family":"Goede","given":"R. G. M.","non-dropping-particle":"de"}],"issued":{"date-parts":[["2001",9,1]]}}}],"schema":"https://github.com/citation-style-language/schema/raw/master/csl-citation.json"} </w:instrText>
      </w:r>
      <w:r w:rsidR="00833ABC">
        <w:fldChar w:fldCharType="separate"/>
      </w:r>
      <w:r w:rsidR="00833ABC" w:rsidRPr="00833ABC">
        <w:rPr>
          <w:rFonts w:cs="Calibri"/>
        </w:rPr>
        <w:t>(Ferris et al., 2001)</w:t>
      </w:r>
      <w:r w:rsidR="00833ABC">
        <w:fldChar w:fldCharType="end"/>
      </w:r>
      <w:r w:rsidR="004F68C4">
        <w:t>. C’est le cas notamment de</w:t>
      </w:r>
      <w:r w:rsidR="00833ABC">
        <w:t> :</w:t>
      </w:r>
      <w:r w:rsidR="004F68C4">
        <w:t xml:space="preserve"> </w:t>
      </w:r>
    </w:p>
    <w:p w14:paraId="12E4030D" w14:textId="71063811" w:rsidR="00833ABC" w:rsidRDefault="00833ABC" w:rsidP="00876101">
      <w:pPr>
        <w:pStyle w:val="Paragraphedeliste"/>
        <w:numPr>
          <w:ilvl w:val="0"/>
          <w:numId w:val="7"/>
        </w:numPr>
      </w:pPr>
      <w:r>
        <w:t>L</w:t>
      </w:r>
      <w:r w:rsidR="004F68C4">
        <w:t xml:space="preserve">’indice de </w:t>
      </w:r>
      <w:r w:rsidR="008B171E">
        <w:t>structure des communautés (SI),</w:t>
      </w:r>
      <w:r w:rsidR="00DF6B3F">
        <w:t xml:space="preserve"> qui reflète le niveau de perturbation du milieu</w:t>
      </w:r>
      <w:r w:rsidR="001A2677">
        <w:t xml:space="preserve">. En fonction de sa valeur, on peut déduire </w:t>
      </w:r>
      <w:r w:rsidR="00B96309">
        <w:t xml:space="preserve">d’un écosystème qu’il est en état satisfaisant ou perturbé </w:t>
      </w:r>
      <w:r w:rsidR="00B96309">
        <w:fldChar w:fldCharType="begin"/>
      </w:r>
      <w:r w:rsidR="00327490">
        <w:instrText xml:space="preserve"> ADDIN ZOTERO_ITEM CSL_CITATION {"citationID":"OM2lP5KB","properties":{"unsorted":true,"formattedCitation":"(Le Guedard et al., 2017; Chauvin, 2025)","plainCitation":"(Le Guedard et al., 2017; Chauvin, 2025)","noteIndex":0},"citationItems":[{"id":477,"uris":["http://zotero.org/groups/5684833/items/Z5X6SQPP"],"itemData":{"id":477,"type":"report","number":"010216","title":"La librairie ADEME - Bio-indicateurs de l'état des sols (Les)","URL":"https://librairie.ademe.fr/urbanisme-territoires-et-sols/1971-bio-indicateurs-de-l-etat-des-sols-les-9791029708244.html","author":[{"family":"Le Guedard","given":"Marina"},{"family":"Bessoule","given":"Jean-Jacques"},{"family":"Faure","given":"Olivier"},{"family":"Fayolle","given":"Gérald"},{"family":"Nau","given":"Jean-François"},{"family":"Villenave","given":"Cécile"},{"family":"Ceremonie","given":"Hélène"},{"family":"Pauget","given":"Benjamin"},{"family":"Peres","given":"Guénola"}],"editor":[{"literal":"ADERA"},{"literal":"LEB Aquitaine Transfert"},{"literal":"CNRS BORDEAUX"},{"literal":"ECOLE NATIONALE SUPERIEURE DES MINES DE SAINT-ETIENNE"},{"literal":"EODD Ingénieurs Conseils"},{"literal":"AGROCAMPUS OUEST"}],"accessed":{"date-parts":[["2026",3,10]]},"issued":{"date-parts":[["2017"]]}}},{"id":592,"uris":["http://zotero.org/groups/5684833/items/6H4ESTD4"],"itemData":{"id":592,"type":"speech","event-place":"Parc du Verdon","title":"La nématofaune: un bio-indicateur pour suivre et évaluer le fonctionnement biologique des sols","URL":"https://www.parcduverdon.fr/wp-content/uploads/2025/10/202509_JT_REGAIN_3.Qualite_biologique_nematodes_ELISOL.pdf","author":[{"family":"Chauvin","given":"Camille"}],"issued":{"date-parts":[["2025"]]}}}],"schema":"https://github.com/citation-style-language/schema/raw/master/csl-citation.json"} </w:instrText>
      </w:r>
      <w:r w:rsidR="00B96309">
        <w:fldChar w:fldCharType="separate"/>
      </w:r>
      <w:r w:rsidR="00327490" w:rsidRPr="00327490">
        <w:rPr>
          <w:rFonts w:cs="Calibri"/>
        </w:rPr>
        <w:t>(Le Guedard et al., 2017; Chauvin, 2025)</w:t>
      </w:r>
      <w:r w:rsidR="00B96309">
        <w:fldChar w:fldCharType="end"/>
      </w:r>
      <w:r w:rsidR="00DF6B3F">
        <w:t> ;</w:t>
      </w:r>
    </w:p>
    <w:p w14:paraId="617B4F10" w14:textId="7A593EB5" w:rsidR="007E7103" w:rsidRPr="006F370E" w:rsidRDefault="00833ABC" w:rsidP="00876101">
      <w:pPr>
        <w:pStyle w:val="Paragraphedeliste"/>
        <w:numPr>
          <w:ilvl w:val="0"/>
          <w:numId w:val="7"/>
        </w:numPr>
      </w:pPr>
      <w:r>
        <w:lastRenderedPageBreak/>
        <w:t>L</w:t>
      </w:r>
      <w:r w:rsidR="008B171E">
        <w:t>’Indice de Shannon</w:t>
      </w:r>
      <w:r w:rsidR="001D4C77">
        <w:t>, qui traduit l’hétérogénéité d’une communauté</w:t>
      </w:r>
      <w:r w:rsidR="00A87F28">
        <w:t xml:space="preserve"> (</w:t>
      </w:r>
      <w:r w:rsidR="00E010AF">
        <w:t>diversité</w:t>
      </w:r>
      <w:r w:rsidR="00A87F28">
        <w:t xml:space="preserve"> et </w:t>
      </w:r>
      <w:r w:rsidR="00E010AF">
        <w:t xml:space="preserve">équilibre </w:t>
      </w:r>
      <w:r w:rsidR="00C14257">
        <w:t xml:space="preserve">dans la répartition </w:t>
      </w:r>
      <w:r w:rsidR="00E010AF">
        <w:t>des genres)</w:t>
      </w:r>
      <w:r w:rsidR="008B171E">
        <w:t>.</w:t>
      </w:r>
      <w:r w:rsidR="007131C6">
        <w:t xml:space="preserve"> Plus sa valeur est élevée, plus c’est positif </w:t>
      </w:r>
      <w:r w:rsidR="007131C6">
        <w:fldChar w:fldCharType="begin"/>
      </w:r>
      <w:r w:rsidR="007131C6">
        <w:instrText xml:space="preserve"> ADDIN ZOTERO_ITEM CSL_CITATION {"citationID":"4WE406pF","properties":{"unsorted":false,"formattedCitation":"(Chauvin, 2025)","plainCitation":"(Chauvin, 2025)","noteIndex":0},"citationItems":[{"id":592,"uris":["http://zotero.org/groups/5684833/items/6H4ESTD4"],"itemData":{"id":592,"type":"speech","event-place":"Parc du Verdon","title":"La nématofaune: un bio-indicateur pour suivre et évaluer le fonctionnement biologique des sols","URL":"https://www.parcduverdon.fr/wp-content/uploads/2025/10/202509_JT_REGAIN_3.Qualite_biologique_nematodes_ELISOL.pdf","author":[{"family":"Chauvin","given":"Camille"}],"issued":{"date-parts":[["2025"]]}}}],"schema":"https://github.com/citation-style-language/schema/raw/master/csl-citation.json"} </w:instrText>
      </w:r>
      <w:r w:rsidR="007131C6">
        <w:fldChar w:fldCharType="separate"/>
      </w:r>
      <w:r w:rsidR="007131C6" w:rsidRPr="007131C6">
        <w:rPr>
          <w:rFonts w:cs="Calibri"/>
        </w:rPr>
        <w:t>(Chauvin, 2025)</w:t>
      </w:r>
      <w:r w:rsidR="007131C6">
        <w:fldChar w:fldCharType="end"/>
      </w:r>
      <w:r w:rsidR="007131C6">
        <w:t>.</w:t>
      </w:r>
      <w:r w:rsidR="008B171E">
        <w:t xml:space="preserve"> </w:t>
      </w:r>
    </w:p>
    <w:p w14:paraId="5C6EA63F" w14:textId="2DF98B5E" w:rsidR="00A82AF0" w:rsidRDefault="00DE74E7" w:rsidP="00A82AF0">
      <w:pPr>
        <w:pStyle w:val="Lgende"/>
        <w:keepNext/>
        <w:jc w:val="center"/>
      </w:pPr>
      <w:bookmarkStart w:id="137" w:name="_Toc233122667"/>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11</w:t>
      </w:r>
      <w:r w:rsidRPr="00261C30">
        <w:rPr>
          <w:i w:val="0"/>
          <w:iCs w:val="0"/>
        </w:rPr>
        <w:fldChar w:fldCharType="end"/>
      </w:r>
      <w:r w:rsidRPr="00261C30">
        <w:rPr>
          <w:i w:val="0"/>
          <w:iCs w:val="0"/>
        </w:rPr>
        <w:t xml:space="preserve"> : Référentiels d’interprétation </w:t>
      </w:r>
      <w:r>
        <w:rPr>
          <w:i w:val="0"/>
          <w:iCs w:val="0"/>
        </w:rPr>
        <w:t>d</w:t>
      </w:r>
      <w:r w:rsidR="4C72E83E" w:rsidRPr="6CB535F6">
        <w:rPr>
          <w:i w:val="0"/>
          <w:iCs w:val="0"/>
        </w:rPr>
        <w:t>e l’</w:t>
      </w:r>
      <w:r w:rsidRPr="00261C30">
        <w:rPr>
          <w:i w:val="0"/>
          <w:iCs w:val="0"/>
        </w:rPr>
        <w:t>indicateur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noProof/>
        </w:rPr>
        <w:drawing>
          <wp:inline distT="0" distB="0" distL="0" distR="0" wp14:anchorId="7D251D37" wp14:editId="13DEB444">
            <wp:extent cx="91440" cy="118745"/>
            <wp:effectExtent l="0" t="0" r="3810" b="0"/>
            <wp:docPr id="211303769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61B65883" wp14:editId="2B6E8231">
            <wp:extent cx="85917" cy="88985"/>
            <wp:effectExtent l="0" t="0" r="9525" b="6350"/>
            <wp:docPr id="9891742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49855B28" wp14:editId="1C06E0B4">
            <wp:extent cx="164432" cy="65784"/>
            <wp:effectExtent l="0" t="0" r="7620" b="0"/>
            <wp:docPr id="202445846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w:t>
      </w:r>
      <w:bookmarkEnd w:id="137"/>
    </w:p>
    <w:tbl>
      <w:tblPr>
        <w:tblStyle w:val="Grilledutableau"/>
        <w:tblW w:w="0" w:type="auto"/>
        <w:tblCellMar>
          <w:top w:w="28" w:type="dxa"/>
          <w:bottom w:w="28" w:type="dxa"/>
        </w:tblCellMar>
        <w:tblLook w:val="04A0" w:firstRow="1" w:lastRow="0" w:firstColumn="1" w:lastColumn="0" w:noHBand="0" w:noVBand="1"/>
      </w:tblPr>
      <w:tblGrid>
        <w:gridCol w:w="1180"/>
        <w:gridCol w:w="1128"/>
        <w:gridCol w:w="1089"/>
        <w:gridCol w:w="1576"/>
        <w:gridCol w:w="4087"/>
      </w:tblGrid>
      <w:tr w:rsidR="00A82AF0" w:rsidRPr="0000352D" w14:paraId="5E3EAE28" w14:textId="77777777" w:rsidTr="004306AE">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1BEC95E2" w14:textId="3C9A73BC" w:rsidR="00A82AF0" w:rsidRPr="0000352D" w:rsidRDefault="00A82AF0" w:rsidP="004306AE">
            <w:pPr>
              <w:jc w:val="center"/>
              <w:rPr>
                <w:sz w:val="20"/>
                <w:szCs w:val="20"/>
              </w:rPr>
            </w:pPr>
            <w:r>
              <w:rPr>
                <w:sz w:val="20"/>
                <w:szCs w:val="20"/>
              </w:rPr>
              <w:t>Diversité des nématodes (</w:t>
            </w:r>
            <w:proofErr w:type="spellStart"/>
            <w:r>
              <w:rPr>
                <w:sz w:val="20"/>
                <w:szCs w:val="20"/>
              </w:rPr>
              <w:t>SI</w:t>
            </w:r>
            <w:r>
              <w:rPr>
                <w:sz w:val="20"/>
                <w:szCs w:val="20"/>
                <w:vertAlign w:val="subscript"/>
              </w:rPr>
              <w:t>ném</w:t>
            </w:r>
            <w:proofErr w:type="spellEnd"/>
            <w:r>
              <w:rPr>
                <w:sz w:val="20"/>
                <w:szCs w:val="20"/>
              </w:rPr>
              <w:t xml:space="preserve"> et </w:t>
            </w:r>
            <w:proofErr w:type="spellStart"/>
            <w:r>
              <w:rPr>
                <w:sz w:val="20"/>
                <w:szCs w:val="20"/>
              </w:rPr>
              <w:t>Shannon</w:t>
            </w:r>
            <w:r>
              <w:rPr>
                <w:sz w:val="20"/>
                <w:szCs w:val="20"/>
                <w:vertAlign w:val="subscript"/>
              </w:rPr>
              <w:t>ném</w:t>
            </w:r>
            <w:proofErr w:type="spellEnd"/>
            <w:r>
              <w:rPr>
                <w:sz w:val="20"/>
                <w:szCs w:val="20"/>
              </w:rPr>
              <w:t xml:space="preserve">) </w:t>
            </w:r>
            <w:r w:rsidRPr="0000352D">
              <w:rPr>
                <w:sz w:val="20"/>
                <w:szCs w:val="20"/>
              </w:rPr>
              <w:t>- Référentiel</w:t>
            </w:r>
            <w:r>
              <w:rPr>
                <w:sz w:val="20"/>
                <w:szCs w:val="20"/>
              </w:rPr>
              <w:t>s</w:t>
            </w:r>
            <w:r w:rsidRPr="0000352D">
              <w:rPr>
                <w:sz w:val="20"/>
                <w:szCs w:val="20"/>
              </w:rPr>
              <w:t xml:space="preserve"> d’interprétation</w:t>
            </w:r>
          </w:p>
        </w:tc>
      </w:tr>
      <w:tr w:rsidR="00A82AF0" w:rsidRPr="0000352D" w14:paraId="2A266F96" w14:textId="77777777" w:rsidTr="00A21F80">
        <w:tc>
          <w:tcPr>
            <w:tcW w:w="11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25AC1112" w14:textId="7B1DCDE7" w:rsidR="00A82AF0" w:rsidRPr="00423C23" w:rsidRDefault="000100FD" w:rsidP="000100FD">
            <w:pPr>
              <w:tabs>
                <w:tab w:val="left" w:pos="375"/>
                <w:tab w:val="center" w:pos="482"/>
              </w:tabs>
              <w:jc w:val="center"/>
              <w:rPr>
                <w:sz w:val="20"/>
                <w:szCs w:val="20"/>
              </w:rPr>
            </w:pPr>
            <w:r>
              <w:rPr>
                <w:sz w:val="20"/>
                <w:szCs w:val="20"/>
              </w:rPr>
              <w:t>Service</w:t>
            </w:r>
          </w:p>
        </w:tc>
        <w:tc>
          <w:tcPr>
            <w:tcW w:w="11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55179F87" w14:textId="77777777" w:rsidR="00A82AF0" w:rsidRPr="00423C23" w:rsidRDefault="00A82AF0" w:rsidP="004306AE">
            <w:pPr>
              <w:jc w:val="center"/>
              <w:rPr>
                <w:sz w:val="20"/>
                <w:szCs w:val="20"/>
              </w:rPr>
            </w:pPr>
            <w:r w:rsidRPr="00423C23">
              <w:rPr>
                <w:sz w:val="20"/>
                <w:szCs w:val="20"/>
              </w:rPr>
              <w:t>Fonction</w:t>
            </w:r>
          </w:p>
        </w:tc>
        <w:tc>
          <w:tcPr>
            <w:tcW w:w="10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064FDC88" w14:textId="77777777" w:rsidR="00A82AF0" w:rsidRPr="00423C23" w:rsidRDefault="00A82AF0" w:rsidP="004306AE">
            <w:pPr>
              <w:jc w:val="center"/>
              <w:rPr>
                <w:sz w:val="20"/>
                <w:szCs w:val="20"/>
              </w:rPr>
            </w:pPr>
            <w:r>
              <w:rPr>
                <w:sz w:val="20"/>
                <w:szCs w:val="20"/>
              </w:rPr>
              <w:t>Forme</w:t>
            </w:r>
          </w:p>
        </w:tc>
        <w:tc>
          <w:tcPr>
            <w:tcW w:w="15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40CC02C1" w14:textId="77777777" w:rsidR="00A82AF0" w:rsidRPr="00423C23" w:rsidRDefault="00A82AF0" w:rsidP="004306AE">
            <w:pPr>
              <w:jc w:val="center"/>
              <w:rPr>
                <w:sz w:val="20"/>
                <w:szCs w:val="20"/>
              </w:rPr>
            </w:pPr>
            <w:r w:rsidRPr="00423C23">
              <w:rPr>
                <w:sz w:val="20"/>
                <w:szCs w:val="20"/>
              </w:rPr>
              <w:t>Évaluation</w:t>
            </w:r>
          </w:p>
        </w:tc>
        <w:tc>
          <w:tcPr>
            <w:tcW w:w="40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6D928C8A" w14:textId="77777777" w:rsidR="00A82AF0" w:rsidRPr="00423C23" w:rsidRDefault="00A82AF0" w:rsidP="004306AE">
            <w:pPr>
              <w:jc w:val="center"/>
              <w:rPr>
                <w:sz w:val="20"/>
                <w:szCs w:val="20"/>
              </w:rPr>
            </w:pPr>
            <w:r w:rsidRPr="00423C23">
              <w:rPr>
                <w:sz w:val="20"/>
                <w:szCs w:val="20"/>
              </w:rPr>
              <w:t>Référentiel</w:t>
            </w:r>
          </w:p>
        </w:tc>
      </w:tr>
      <w:tr w:rsidR="00A82AF0" w:rsidRPr="0000352D" w14:paraId="5BCD6334" w14:textId="77777777" w:rsidTr="00A21F80">
        <w:trPr>
          <w:trHeight w:val="355"/>
        </w:trPr>
        <w:tc>
          <w:tcPr>
            <w:tcW w:w="1180" w:type="dxa"/>
            <w:vMerge w:val="restart"/>
            <w:tcBorders>
              <w:top w:val="single" w:sz="4" w:space="0" w:color="FFFFFF" w:themeColor="background1"/>
            </w:tcBorders>
            <w:vAlign w:val="center"/>
          </w:tcPr>
          <w:p w14:paraId="1F93A53C" w14:textId="77777777" w:rsidR="00A82AF0" w:rsidRDefault="00A82AF0" w:rsidP="004306AE">
            <w:pPr>
              <w:jc w:val="left"/>
              <w:rPr>
                <w:sz w:val="20"/>
                <w:szCs w:val="20"/>
              </w:rPr>
            </w:pPr>
            <w:r>
              <w:rPr>
                <w:sz w:val="20"/>
                <w:szCs w:val="20"/>
              </w:rPr>
              <w:t>Biodiversité du sol</w:t>
            </w:r>
          </w:p>
        </w:tc>
        <w:tc>
          <w:tcPr>
            <w:tcW w:w="1128" w:type="dxa"/>
            <w:vMerge w:val="restart"/>
            <w:tcBorders>
              <w:top w:val="single" w:sz="4" w:space="0" w:color="FFFFFF" w:themeColor="background1"/>
            </w:tcBorders>
            <w:vAlign w:val="center"/>
          </w:tcPr>
          <w:p w14:paraId="7E36BD2B" w14:textId="48F4DD30" w:rsidR="00A82AF0" w:rsidRDefault="00A82AF0" w:rsidP="004306AE">
            <w:pPr>
              <w:jc w:val="left"/>
              <w:rPr>
                <w:sz w:val="20"/>
                <w:szCs w:val="20"/>
              </w:rPr>
            </w:pPr>
            <w:r>
              <w:rPr>
                <w:sz w:val="20"/>
                <w:szCs w:val="20"/>
              </w:rPr>
              <w:t>Diversité</w:t>
            </w:r>
            <w:r w:rsidR="007C3450">
              <w:rPr>
                <w:sz w:val="20"/>
                <w:szCs w:val="20"/>
              </w:rPr>
              <w:t xml:space="preserve"> nématodes</w:t>
            </w:r>
          </w:p>
        </w:tc>
        <w:tc>
          <w:tcPr>
            <w:tcW w:w="1089" w:type="dxa"/>
            <w:vMerge w:val="restart"/>
            <w:tcBorders>
              <w:top w:val="single" w:sz="4" w:space="0" w:color="FFFFFF" w:themeColor="background1"/>
            </w:tcBorders>
            <w:vAlign w:val="center"/>
          </w:tcPr>
          <w:p w14:paraId="15041AAD" w14:textId="3813B059" w:rsidR="00A82AF0" w:rsidRPr="0000352D" w:rsidRDefault="00A21F80" w:rsidP="00A21F80">
            <w:pPr>
              <w:jc w:val="center"/>
              <w:rPr>
                <w:sz w:val="20"/>
                <w:szCs w:val="20"/>
              </w:rPr>
            </w:pPr>
            <w:r>
              <w:rPr>
                <w:noProof/>
                <w:sz w:val="20"/>
                <w:szCs w:val="20"/>
              </w:rPr>
              <mc:AlternateContent>
                <mc:Choice Requires="wps">
                  <w:drawing>
                    <wp:inline distT="0" distB="0" distL="0" distR="0" wp14:anchorId="6661195A" wp14:editId="3616756D">
                      <wp:extent cx="94615" cy="153035"/>
                      <wp:effectExtent l="0" t="38100" r="57785" b="18415"/>
                      <wp:docPr id="1673501291"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463DEAB4"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576" w:type="dxa"/>
            <w:tcBorders>
              <w:top w:val="single" w:sz="4" w:space="0" w:color="FFFFFF" w:themeColor="background1"/>
            </w:tcBorders>
            <w:shd w:val="clear" w:color="auto" w:fill="F2F9EB"/>
            <w:vAlign w:val="center"/>
          </w:tcPr>
          <w:p w14:paraId="598022A8" w14:textId="2C9BD4FD" w:rsidR="00A82AF0" w:rsidRPr="00493A0D" w:rsidRDefault="00A82AF0" w:rsidP="00A82AF0">
            <w:pPr>
              <w:jc w:val="left"/>
              <w:rPr>
                <w:sz w:val="20"/>
                <w:szCs w:val="20"/>
                <w:vertAlign w:val="subscript"/>
              </w:rPr>
            </w:pPr>
            <w:proofErr w:type="spellStart"/>
            <w:r>
              <w:rPr>
                <w:sz w:val="20"/>
                <w:szCs w:val="20"/>
              </w:rPr>
              <w:t>SI</w:t>
            </w:r>
            <w:r>
              <w:rPr>
                <w:sz w:val="20"/>
                <w:szCs w:val="20"/>
                <w:vertAlign w:val="subscript"/>
              </w:rPr>
              <w:t>ném</w:t>
            </w:r>
            <w:proofErr w:type="spellEnd"/>
            <w:r>
              <w:rPr>
                <w:sz w:val="20"/>
                <w:szCs w:val="20"/>
                <w:vertAlign w:val="subscript"/>
              </w:rPr>
              <w:t xml:space="preserve"> qualité</w:t>
            </w:r>
          </w:p>
        </w:tc>
        <w:tc>
          <w:tcPr>
            <w:tcW w:w="4087" w:type="dxa"/>
            <w:vMerge w:val="restart"/>
            <w:tcBorders>
              <w:top w:val="single" w:sz="4" w:space="0" w:color="FFFFFF" w:themeColor="background1"/>
            </w:tcBorders>
            <w:vAlign w:val="center"/>
          </w:tcPr>
          <w:p w14:paraId="23BE6FA2" w14:textId="3BFA37F5" w:rsidR="00A82AF0" w:rsidRPr="0000352D" w:rsidRDefault="00A82AF0" w:rsidP="00A82AF0">
            <w:pPr>
              <w:jc w:val="left"/>
              <w:rPr>
                <w:sz w:val="20"/>
                <w:szCs w:val="20"/>
              </w:rPr>
            </w:pPr>
            <w:r>
              <w:rPr>
                <w:sz w:val="20"/>
                <w:szCs w:val="20"/>
              </w:rPr>
              <w:t xml:space="preserve">Gammes optimales </w:t>
            </w:r>
            <w:r>
              <w:rPr>
                <w:sz w:val="20"/>
                <w:szCs w:val="20"/>
              </w:rPr>
              <w:fldChar w:fldCharType="begin"/>
            </w:r>
            <w:r>
              <w:rPr>
                <w:sz w:val="20"/>
                <w:szCs w:val="20"/>
              </w:rPr>
              <w:instrText xml:space="preserve"> ADDIN ZOTERO_ITEM CSL_CITATION {"citationID":"vDToxwRN","properties":{"unsorted":true,"formattedCitation":"(Le Guedard et al., 2017; Chauvin, 2025)","plainCitation":"(Le Guedard et al., 2017; Chauvin, 2025)","noteIndex":0},"citationItems":[{"id":477,"uris":["http://zotero.org/groups/5684833/items/Z5X6SQPP"],"itemData":{"id":477,"type":"report","number":"010216","title":"La librairie ADEME - Bio-indicateurs de l'état des sols (Les)","URL":"https://librairie.ademe.fr/urbanisme-territoires-et-sols/1971-bio-indicateurs-de-l-etat-des-sols-les-9791029708244.html","author":[{"family":"Le Guedard","given":"Marina"},{"family":"Bessoule","given":"Jean-Jacques"},{"family":"Faure","given":"Olivier"},{"family":"Fayolle","given":"Gérald"},{"family":"Nau","given":"Jean-François"},{"family":"Villenave","given":"Cécile"},{"family":"Ceremonie","given":"Hélène"},{"family":"Pauget","given":"Benjamin"},{"family":"Peres","given":"Guénola"}],"editor":[{"literal":"ADERA"},{"literal":"LEB Aquitaine Transfert"},{"literal":"CNRS BORDEAUX"},{"literal":"ECOLE NATIONALE SUPERIEURE DES MINES DE SAINT-ETIENNE"},{"literal":"EODD Ingénieurs Conseils"},{"literal":"AGROCAMPUS OUEST"}],"accessed":{"date-parts":[["2026",3,10]]},"issued":{"date-parts":[["2017"]]}}},{"id":592,"uris":["http://zotero.org/groups/5684833/items/6H4ESTD4"],"itemData":{"id":592,"type":"speech","event-place":"Parc du Verdon","title":"La nématofaune: un bio-indicateur pour suivre et évaluer le fonctionnement biologique des sols","URL":"https://www.parcduverdon.fr/wp-content/uploads/2025/10/202509_JT_REGAIN_3.Qualite_biologique_nematodes_ELISOL.pdf","author":[{"family":"Chauvin","given":"Camille"}],"issued":{"date-parts":[["2025"]]}}}],"schema":"https://github.com/citation-style-language/schema/raw/master/csl-citation.json"} </w:instrText>
            </w:r>
            <w:r>
              <w:rPr>
                <w:sz w:val="20"/>
                <w:szCs w:val="20"/>
              </w:rPr>
              <w:fldChar w:fldCharType="separate"/>
            </w:r>
            <w:r w:rsidRPr="00A82AF0">
              <w:rPr>
                <w:rFonts w:cs="Calibri"/>
                <w:sz w:val="20"/>
              </w:rPr>
              <w:t>(Le Guedard et al., 2017; Chauvin, 2025)</w:t>
            </w:r>
            <w:r>
              <w:rPr>
                <w:sz w:val="20"/>
                <w:szCs w:val="20"/>
              </w:rPr>
              <w:fldChar w:fldCharType="end"/>
            </w:r>
          </w:p>
        </w:tc>
      </w:tr>
      <w:tr w:rsidR="00A82AF0" w:rsidRPr="0000352D" w14:paraId="754F52D3" w14:textId="77777777" w:rsidTr="00A21F80">
        <w:tc>
          <w:tcPr>
            <w:tcW w:w="1180" w:type="dxa"/>
            <w:vMerge/>
            <w:vAlign w:val="center"/>
          </w:tcPr>
          <w:p w14:paraId="7163BB6C" w14:textId="77777777" w:rsidR="00A82AF0" w:rsidRDefault="00A82AF0" w:rsidP="004306AE">
            <w:pPr>
              <w:jc w:val="left"/>
              <w:rPr>
                <w:sz w:val="20"/>
                <w:szCs w:val="20"/>
              </w:rPr>
            </w:pPr>
          </w:p>
        </w:tc>
        <w:tc>
          <w:tcPr>
            <w:tcW w:w="1128" w:type="dxa"/>
            <w:vMerge/>
            <w:vAlign w:val="center"/>
          </w:tcPr>
          <w:p w14:paraId="1A1A0FE7" w14:textId="77777777" w:rsidR="00A82AF0" w:rsidRDefault="00A82AF0" w:rsidP="004306AE">
            <w:pPr>
              <w:jc w:val="left"/>
              <w:rPr>
                <w:sz w:val="20"/>
                <w:szCs w:val="20"/>
              </w:rPr>
            </w:pPr>
          </w:p>
        </w:tc>
        <w:tc>
          <w:tcPr>
            <w:tcW w:w="1089" w:type="dxa"/>
            <w:vMerge/>
            <w:tcBorders>
              <w:bottom w:val="single" w:sz="4" w:space="0" w:color="auto"/>
            </w:tcBorders>
            <w:vAlign w:val="center"/>
          </w:tcPr>
          <w:p w14:paraId="74E0D985" w14:textId="77777777" w:rsidR="00A82AF0" w:rsidRPr="0000352D" w:rsidRDefault="00A82AF0" w:rsidP="00A21F80">
            <w:pPr>
              <w:jc w:val="center"/>
              <w:rPr>
                <w:sz w:val="20"/>
                <w:szCs w:val="20"/>
              </w:rPr>
            </w:pPr>
          </w:p>
        </w:tc>
        <w:tc>
          <w:tcPr>
            <w:tcW w:w="1576" w:type="dxa"/>
            <w:tcBorders>
              <w:bottom w:val="single" w:sz="4" w:space="0" w:color="auto"/>
            </w:tcBorders>
            <w:shd w:val="clear" w:color="auto" w:fill="EFF5FB"/>
            <w:vAlign w:val="center"/>
          </w:tcPr>
          <w:p w14:paraId="7105C3E4" w14:textId="4B3B4A75" w:rsidR="00A82AF0" w:rsidRPr="00493A0D" w:rsidRDefault="00A82AF0" w:rsidP="00A82AF0">
            <w:pPr>
              <w:jc w:val="left"/>
              <w:rPr>
                <w:sz w:val="20"/>
                <w:szCs w:val="20"/>
                <w:vertAlign w:val="subscript"/>
              </w:rPr>
            </w:pPr>
            <w:proofErr w:type="spellStart"/>
            <w:r>
              <w:rPr>
                <w:sz w:val="20"/>
                <w:szCs w:val="20"/>
              </w:rPr>
              <w:t>SI</w:t>
            </w:r>
            <w:r>
              <w:rPr>
                <w:sz w:val="20"/>
                <w:szCs w:val="20"/>
                <w:vertAlign w:val="subscript"/>
              </w:rPr>
              <w:t>ném</w:t>
            </w:r>
            <w:proofErr w:type="spellEnd"/>
            <w:r>
              <w:rPr>
                <w:sz w:val="20"/>
                <w:szCs w:val="20"/>
                <w:vertAlign w:val="subscript"/>
              </w:rPr>
              <w:t xml:space="preserve"> santé</w:t>
            </w:r>
          </w:p>
        </w:tc>
        <w:tc>
          <w:tcPr>
            <w:tcW w:w="4087" w:type="dxa"/>
            <w:vMerge/>
            <w:vAlign w:val="center"/>
          </w:tcPr>
          <w:p w14:paraId="0538F658" w14:textId="77777777" w:rsidR="00A82AF0" w:rsidRPr="0000352D" w:rsidRDefault="00A82AF0" w:rsidP="00A82AF0">
            <w:pPr>
              <w:jc w:val="left"/>
              <w:rPr>
                <w:sz w:val="20"/>
                <w:szCs w:val="20"/>
              </w:rPr>
            </w:pPr>
          </w:p>
        </w:tc>
      </w:tr>
      <w:tr w:rsidR="00A82AF0" w:rsidRPr="0000352D" w14:paraId="60F499FC" w14:textId="77777777" w:rsidTr="00A21F80">
        <w:tblPrEx>
          <w:tblCellMar>
            <w:top w:w="0" w:type="dxa"/>
            <w:bottom w:w="0" w:type="dxa"/>
          </w:tblCellMar>
        </w:tblPrEx>
        <w:trPr>
          <w:trHeight w:val="355"/>
        </w:trPr>
        <w:tc>
          <w:tcPr>
            <w:tcW w:w="1180" w:type="dxa"/>
            <w:vMerge/>
          </w:tcPr>
          <w:p w14:paraId="4C37156F" w14:textId="22C440D9" w:rsidR="00A82AF0" w:rsidRDefault="00A82AF0" w:rsidP="004306AE">
            <w:pPr>
              <w:jc w:val="left"/>
              <w:rPr>
                <w:sz w:val="20"/>
                <w:szCs w:val="20"/>
              </w:rPr>
            </w:pPr>
          </w:p>
        </w:tc>
        <w:tc>
          <w:tcPr>
            <w:tcW w:w="1128" w:type="dxa"/>
            <w:vMerge/>
          </w:tcPr>
          <w:p w14:paraId="783E1A76" w14:textId="5DF898AD" w:rsidR="00A82AF0" w:rsidRDefault="00A82AF0" w:rsidP="004306AE">
            <w:pPr>
              <w:jc w:val="left"/>
              <w:rPr>
                <w:sz w:val="20"/>
                <w:szCs w:val="20"/>
              </w:rPr>
            </w:pPr>
          </w:p>
        </w:tc>
        <w:tc>
          <w:tcPr>
            <w:tcW w:w="1089" w:type="dxa"/>
            <w:vMerge w:val="restart"/>
            <w:vAlign w:val="center"/>
          </w:tcPr>
          <w:p w14:paraId="018A2A97" w14:textId="3C593D3E" w:rsidR="00A82AF0" w:rsidRPr="0000352D" w:rsidRDefault="00A21F80" w:rsidP="00A21F80">
            <w:pPr>
              <w:jc w:val="center"/>
              <w:rPr>
                <w:sz w:val="20"/>
                <w:szCs w:val="20"/>
              </w:rPr>
            </w:pPr>
            <w:r>
              <w:rPr>
                <w:noProof/>
                <w:sz w:val="20"/>
                <w:szCs w:val="20"/>
              </w:rPr>
              <mc:AlternateContent>
                <mc:Choice Requires="wps">
                  <w:drawing>
                    <wp:inline distT="0" distB="0" distL="0" distR="0" wp14:anchorId="468F4EB6" wp14:editId="02CB7822">
                      <wp:extent cx="94615" cy="153035"/>
                      <wp:effectExtent l="0" t="38100" r="57785" b="18415"/>
                      <wp:docPr id="505841834"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699CAA0"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576" w:type="dxa"/>
            <w:shd w:val="clear" w:color="auto" w:fill="F2F9EB"/>
            <w:vAlign w:val="center"/>
          </w:tcPr>
          <w:p w14:paraId="2C9090F0" w14:textId="415E8FE2" w:rsidR="00A82AF0" w:rsidRPr="00493A0D" w:rsidRDefault="00A82AF0" w:rsidP="00A82AF0">
            <w:pPr>
              <w:jc w:val="left"/>
              <w:rPr>
                <w:sz w:val="20"/>
                <w:szCs w:val="20"/>
                <w:vertAlign w:val="subscript"/>
              </w:rPr>
            </w:pPr>
            <w:proofErr w:type="spellStart"/>
            <w:r>
              <w:rPr>
                <w:sz w:val="20"/>
                <w:szCs w:val="20"/>
              </w:rPr>
              <w:t>Shannon</w:t>
            </w:r>
            <w:r>
              <w:rPr>
                <w:sz w:val="20"/>
                <w:szCs w:val="20"/>
                <w:vertAlign w:val="subscript"/>
              </w:rPr>
              <w:t>ném</w:t>
            </w:r>
            <w:proofErr w:type="spellEnd"/>
            <w:r>
              <w:rPr>
                <w:sz w:val="20"/>
                <w:szCs w:val="20"/>
                <w:vertAlign w:val="subscript"/>
              </w:rPr>
              <w:t xml:space="preserve"> qualité</w:t>
            </w:r>
          </w:p>
        </w:tc>
        <w:tc>
          <w:tcPr>
            <w:tcW w:w="4087" w:type="dxa"/>
            <w:vMerge w:val="restart"/>
            <w:vAlign w:val="center"/>
          </w:tcPr>
          <w:p w14:paraId="411515DD" w14:textId="7CE64700" w:rsidR="00A82AF0" w:rsidRPr="0000352D" w:rsidRDefault="00327490" w:rsidP="00A82AF0">
            <w:pPr>
              <w:jc w:val="left"/>
              <w:rPr>
                <w:sz w:val="20"/>
                <w:szCs w:val="20"/>
              </w:rPr>
            </w:pPr>
            <w:r>
              <w:rPr>
                <w:sz w:val="20"/>
                <w:szCs w:val="20"/>
              </w:rPr>
              <w:t xml:space="preserve">Valeur cible </w:t>
            </w:r>
            <w:r>
              <w:rPr>
                <w:sz w:val="20"/>
                <w:szCs w:val="20"/>
              </w:rPr>
              <w:fldChar w:fldCharType="begin"/>
            </w:r>
            <w:r>
              <w:rPr>
                <w:sz w:val="20"/>
                <w:szCs w:val="20"/>
              </w:rPr>
              <w:instrText xml:space="preserve"> ADDIN ZOTERO_ITEM CSL_CITATION {"citationID":"D4rZ5HAr","properties":{"unsorted":false,"formattedCitation":"(Chauvin, 2025)","plainCitation":"(Chauvin, 2025)","noteIndex":0},"citationItems":[{"id":592,"uris":["http://zotero.org/groups/5684833/items/6H4ESTD4"],"itemData":{"id":592,"type":"speech","event-place":"Parc du Verdon","title":"La nématofaune: un bio-indicateur pour suivre et évaluer le fonctionnement biologique des sols","URL":"https://www.parcduverdon.fr/wp-content/uploads/2025/10/202509_JT_REGAIN_3.Qualite_biologique_nematodes_ELISOL.pdf","author":[{"family":"Chauvin","given":"Camille"}],"issued":{"date-parts":[["2025"]]}}}],"schema":"https://github.com/citation-style-language/schema/raw/master/csl-citation.json"} </w:instrText>
            </w:r>
            <w:r>
              <w:rPr>
                <w:sz w:val="20"/>
                <w:szCs w:val="20"/>
              </w:rPr>
              <w:fldChar w:fldCharType="separate"/>
            </w:r>
            <w:r w:rsidRPr="00327490">
              <w:rPr>
                <w:rFonts w:cs="Calibri"/>
                <w:sz w:val="20"/>
              </w:rPr>
              <w:t>(Chauvin, 2025)</w:t>
            </w:r>
            <w:r>
              <w:rPr>
                <w:sz w:val="20"/>
                <w:szCs w:val="20"/>
              </w:rPr>
              <w:fldChar w:fldCharType="end"/>
            </w:r>
          </w:p>
        </w:tc>
      </w:tr>
      <w:tr w:rsidR="00A82AF0" w:rsidRPr="0000352D" w14:paraId="140D4740" w14:textId="77777777" w:rsidTr="00A21F80">
        <w:tblPrEx>
          <w:tblCellMar>
            <w:top w:w="0" w:type="dxa"/>
            <w:bottom w:w="0" w:type="dxa"/>
          </w:tblCellMar>
        </w:tblPrEx>
        <w:trPr>
          <w:trHeight w:val="355"/>
        </w:trPr>
        <w:tc>
          <w:tcPr>
            <w:tcW w:w="1180" w:type="dxa"/>
            <w:vMerge/>
          </w:tcPr>
          <w:p w14:paraId="1A02B9C7" w14:textId="77777777" w:rsidR="00A82AF0" w:rsidRDefault="00A82AF0" w:rsidP="004306AE">
            <w:pPr>
              <w:jc w:val="left"/>
              <w:rPr>
                <w:sz w:val="20"/>
                <w:szCs w:val="20"/>
              </w:rPr>
            </w:pPr>
          </w:p>
        </w:tc>
        <w:tc>
          <w:tcPr>
            <w:tcW w:w="1128" w:type="dxa"/>
            <w:vMerge/>
          </w:tcPr>
          <w:p w14:paraId="759DD48B" w14:textId="77777777" w:rsidR="00A82AF0" w:rsidRDefault="00A82AF0" w:rsidP="004306AE">
            <w:pPr>
              <w:jc w:val="left"/>
              <w:rPr>
                <w:sz w:val="20"/>
                <w:szCs w:val="20"/>
              </w:rPr>
            </w:pPr>
          </w:p>
        </w:tc>
        <w:tc>
          <w:tcPr>
            <w:tcW w:w="1089" w:type="dxa"/>
            <w:vMerge/>
          </w:tcPr>
          <w:p w14:paraId="42EFBCC0" w14:textId="77777777" w:rsidR="00A82AF0" w:rsidRDefault="00A82AF0" w:rsidP="004306AE">
            <w:pPr>
              <w:jc w:val="left"/>
              <w:rPr>
                <w:sz w:val="20"/>
                <w:szCs w:val="20"/>
              </w:rPr>
            </w:pPr>
          </w:p>
        </w:tc>
        <w:tc>
          <w:tcPr>
            <w:tcW w:w="1576" w:type="dxa"/>
            <w:shd w:val="clear" w:color="auto" w:fill="EFF5FB"/>
            <w:vAlign w:val="center"/>
          </w:tcPr>
          <w:p w14:paraId="0228ED17" w14:textId="5CF50C0F" w:rsidR="00A82AF0" w:rsidRDefault="00A82AF0" w:rsidP="00A82AF0">
            <w:pPr>
              <w:jc w:val="left"/>
              <w:rPr>
                <w:sz w:val="20"/>
                <w:szCs w:val="20"/>
              </w:rPr>
            </w:pPr>
            <w:proofErr w:type="spellStart"/>
            <w:r>
              <w:rPr>
                <w:sz w:val="20"/>
                <w:szCs w:val="20"/>
              </w:rPr>
              <w:t>Shannon</w:t>
            </w:r>
            <w:r>
              <w:rPr>
                <w:sz w:val="20"/>
                <w:szCs w:val="20"/>
                <w:vertAlign w:val="subscript"/>
              </w:rPr>
              <w:t>ném</w:t>
            </w:r>
            <w:proofErr w:type="spellEnd"/>
            <w:r>
              <w:rPr>
                <w:sz w:val="20"/>
                <w:szCs w:val="20"/>
                <w:vertAlign w:val="subscript"/>
              </w:rPr>
              <w:t xml:space="preserve"> santé</w:t>
            </w:r>
          </w:p>
        </w:tc>
        <w:tc>
          <w:tcPr>
            <w:tcW w:w="4087" w:type="dxa"/>
            <w:vMerge/>
          </w:tcPr>
          <w:p w14:paraId="771C4EF0" w14:textId="77777777" w:rsidR="00A82AF0" w:rsidRDefault="00A82AF0" w:rsidP="004306AE">
            <w:pPr>
              <w:jc w:val="left"/>
              <w:rPr>
                <w:sz w:val="20"/>
                <w:szCs w:val="20"/>
              </w:rPr>
            </w:pPr>
          </w:p>
        </w:tc>
      </w:tr>
    </w:tbl>
    <w:p w14:paraId="7BE20980" w14:textId="77777777" w:rsidR="006F370E" w:rsidRDefault="006F370E" w:rsidP="006F370E"/>
    <w:p w14:paraId="33ABB952" w14:textId="77777777" w:rsidR="00097C0D" w:rsidRDefault="00437152" w:rsidP="00097C0D">
      <w:pPr>
        <w:keepNext/>
        <w:jc w:val="center"/>
      </w:pPr>
      <w:r>
        <w:rPr>
          <w:noProof/>
        </w:rPr>
        <w:drawing>
          <wp:inline distT="0" distB="0" distL="0" distR="0" wp14:anchorId="406286A7" wp14:editId="552E48A9">
            <wp:extent cx="4353636" cy="3105146"/>
            <wp:effectExtent l="0" t="0" r="0" b="635"/>
            <wp:docPr id="1966888611"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362597" cy="3111537"/>
                    </a:xfrm>
                    <a:prstGeom prst="rect">
                      <a:avLst/>
                    </a:prstGeom>
                    <a:noFill/>
                    <a:ln>
                      <a:noFill/>
                    </a:ln>
                  </pic:spPr>
                </pic:pic>
              </a:graphicData>
            </a:graphic>
          </wp:inline>
        </w:drawing>
      </w:r>
    </w:p>
    <w:p w14:paraId="364F0502" w14:textId="670037EB" w:rsidR="00716F0C" w:rsidRPr="00097C0D" w:rsidRDefault="00097C0D" w:rsidP="00097C0D">
      <w:pPr>
        <w:pStyle w:val="Lgende"/>
        <w:jc w:val="center"/>
        <w:rPr>
          <w:i w:val="0"/>
          <w:iCs w:val="0"/>
        </w:rPr>
      </w:pPr>
      <w:bookmarkStart w:id="138" w:name="_Toc241505122"/>
      <w:r w:rsidRPr="00097C0D">
        <w:rPr>
          <w:i w:val="0"/>
          <w:iCs w:val="0"/>
        </w:rPr>
        <w:t xml:space="preserve">Figure </w:t>
      </w:r>
      <w:r w:rsidRPr="00097C0D">
        <w:rPr>
          <w:i w:val="0"/>
          <w:iCs w:val="0"/>
        </w:rPr>
        <w:fldChar w:fldCharType="begin"/>
      </w:r>
      <w:r w:rsidRPr="00097C0D">
        <w:rPr>
          <w:i w:val="0"/>
          <w:iCs w:val="0"/>
        </w:rPr>
        <w:instrText xml:space="preserve"> SEQ Figure \* ARABIC </w:instrText>
      </w:r>
      <w:r w:rsidRPr="00097C0D">
        <w:rPr>
          <w:i w:val="0"/>
          <w:iCs w:val="0"/>
        </w:rPr>
        <w:fldChar w:fldCharType="separate"/>
      </w:r>
      <w:r w:rsidR="00B90382">
        <w:rPr>
          <w:i w:val="0"/>
          <w:iCs w:val="0"/>
          <w:noProof/>
        </w:rPr>
        <w:t>16</w:t>
      </w:r>
      <w:r w:rsidRPr="00097C0D">
        <w:rPr>
          <w:i w:val="0"/>
          <w:iCs w:val="0"/>
        </w:rPr>
        <w:fldChar w:fldCharType="end"/>
      </w:r>
      <w:r w:rsidRPr="00097C0D">
        <w:rPr>
          <w:i w:val="0"/>
          <w:iCs w:val="0"/>
        </w:rPr>
        <w:t xml:space="preserve"> : Exemple de fonction d'interprétation pour l’indicateur </w:t>
      </w:r>
      <w:r>
        <w:rPr>
          <w:i w:val="0"/>
          <w:iCs w:val="0"/>
        </w:rPr>
        <w:t>SI</w:t>
      </w:r>
      <w:r w:rsidR="00762C58">
        <w:rPr>
          <w:i w:val="0"/>
          <w:iCs w:val="0"/>
        </w:rPr>
        <w:t xml:space="preserve"> des nématodes</w:t>
      </w:r>
      <w:r w:rsidRPr="00097C0D">
        <w:rPr>
          <w:i w:val="0"/>
          <w:iCs w:val="0"/>
        </w:rPr>
        <w:t xml:space="preserve"> (fonction </w:t>
      </w:r>
      <w:r w:rsidR="00762C58">
        <w:rPr>
          <w:i w:val="0"/>
          <w:iCs w:val="0"/>
        </w:rPr>
        <w:t>Diversité</w:t>
      </w:r>
      <w:r w:rsidRPr="00097C0D">
        <w:rPr>
          <w:i w:val="0"/>
          <w:iCs w:val="0"/>
        </w:rPr>
        <w:t xml:space="preserve">, SE </w:t>
      </w:r>
      <w:r w:rsidR="00762C58">
        <w:rPr>
          <w:i w:val="0"/>
          <w:iCs w:val="0"/>
        </w:rPr>
        <w:t>Biodiversité du sol)</w:t>
      </w:r>
      <w:bookmarkEnd w:id="138"/>
    </w:p>
    <w:p w14:paraId="0B7D996E" w14:textId="77777777" w:rsidR="00716F0C" w:rsidRDefault="00716F0C" w:rsidP="006F370E"/>
    <w:p w14:paraId="1AA4DCBA" w14:textId="264B4761" w:rsidR="006F370E" w:rsidRDefault="006F370E" w:rsidP="00876101">
      <w:pPr>
        <w:pStyle w:val="Titre2"/>
        <w:numPr>
          <w:ilvl w:val="1"/>
          <w:numId w:val="3"/>
        </w:numPr>
      </w:pPr>
      <w:bookmarkStart w:id="139" w:name="_Ref232412983"/>
      <w:bookmarkStart w:id="140" w:name="_Toc241505321"/>
      <w:r>
        <w:t>Espèces exotiques envahissantes</w:t>
      </w:r>
      <w:bookmarkEnd w:id="139"/>
      <w:bookmarkEnd w:id="140"/>
    </w:p>
    <w:p w14:paraId="4BA1AAD8" w14:textId="34F10C5B" w:rsidR="006F370E" w:rsidRDefault="006F370E" w:rsidP="00876101">
      <w:pPr>
        <w:pStyle w:val="Titre3"/>
        <w:numPr>
          <w:ilvl w:val="2"/>
          <w:numId w:val="3"/>
        </w:numPr>
      </w:pPr>
      <w:bookmarkStart w:id="141" w:name="_Toc241505322"/>
      <w:r>
        <w:t>Définition</w:t>
      </w:r>
      <w:bookmarkEnd w:id="141"/>
    </w:p>
    <w:p w14:paraId="5D68E052" w14:textId="0DB81CBA" w:rsidR="006F370E" w:rsidRDefault="00C42831" w:rsidP="006F370E">
      <w:r>
        <w:t>« </w:t>
      </w:r>
      <w:r w:rsidRPr="00C42831">
        <w:t>Les espèces exotiques envahissantes (ou EEE) sont des espèces végétales ou animales transportées par l’homme hors de leur aire de répartition naturelle et introduites dans de nouvelles régions où elles s’établissent et se propagent aux dépens des espèces et des écosystèmes locaux.</w:t>
      </w:r>
      <w:r>
        <w:t xml:space="preserve"> » </w:t>
      </w:r>
      <w:r w:rsidR="00D771BE">
        <w:fldChar w:fldCharType="begin"/>
      </w:r>
      <w:r w:rsidR="00D771BE">
        <w:instrText xml:space="preserve"> ADDIN ZOTERO_ITEM CSL_CITATION {"citationID":"qLTQSond","properties":{"unsorted":false,"formattedCitation":"(SPW, s.\\uc0\\u160{}d.)","plainCitation":"(SPW, s. d.)","noteIndex":0},"citationItems":[{"id":593,"uris":["http://zotero.org/groups/5684833/items/2TEHLF2G"],"itemData":{"id":593,"type":"webpage","container-title":"La biodiversité en Wallonie","language":"fr","title":"La biodiversité menacée","URL":"https://biodiversite.wallonie.be/home/agir/especes-exotiques-envahissantes/la-biodiversite-menacee.html","author":[{"family":"SPW","given":""}],"accessed":{"date-parts":[["2026",6,12]]}}}],"schema":"https://github.com/citation-style-language/schema/raw/master/csl-citation.json"} </w:instrText>
      </w:r>
      <w:r w:rsidR="00D771BE">
        <w:fldChar w:fldCharType="separate"/>
      </w:r>
      <w:r w:rsidR="00D771BE" w:rsidRPr="00D771BE">
        <w:rPr>
          <w:rFonts w:cs="Calibri"/>
          <w:kern w:val="0"/>
        </w:rPr>
        <w:t>(SPW, s. d.)</w:t>
      </w:r>
      <w:r w:rsidR="00D771BE">
        <w:fldChar w:fldCharType="end"/>
      </w:r>
      <w:r w:rsidR="00E54EEB">
        <w:t>.</w:t>
      </w:r>
      <w:r w:rsidR="00A2570D">
        <w:t xml:space="preserve"> Dans le cas présent, </w:t>
      </w:r>
      <w:r w:rsidR="10E3EDFB">
        <w:t>seules</w:t>
      </w:r>
      <w:r w:rsidR="00A2570D">
        <w:t xml:space="preserve"> les espèces végétales sont concernées.</w:t>
      </w:r>
    </w:p>
    <w:p w14:paraId="148C5984" w14:textId="4C2B5D28" w:rsidR="006F370E" w:rsidRDefault="006F370E" w:rsidP="00876101">
      <w:pPr>
        <w:pStyle w:val="Titre3"/>
        <w:numPr>
          <w:ilvl w:val="2"/>
          <w:numId w:val="3"/>
        </w:numPr>
      </w:pPr>
      <w:bookmarkStart w:id="142" w:name="_Toc241505323"/>
      <w:r>
        <w:t>Pertinence</w:t>
      </w:r>
      <w:bookmarkEnd w:id="142"/>
    </w:p>
    <w:p w14:paraId="731CFB25" w14:textId="2B7D04F8" w:rsidR="006F370E" w:rsidRDefault="00A2570D" w:rsidP="006F370E">
      <w:r>
        <w:t>Par</w:t>
      </w:r>
      <w:r w:rsidR="00E54EEB">
        <w:t xml:space="preserve"> la menace sur la biodiversité qu’elles représentent, et comme elles se développent et se répandent</w:t>
      </w:r>
      <w:r w:rsidR="62260179">
        <w:t>,</w:t>
      </w:r>
      <w:r w:rsidR="00E54EEB">
        <w:t xml:space="preserve"> </w:t>
      </w:r>
      <w:r w:rsidR="00D00A83">
        <w:t xml:space="preserve">en partie </w:t>
      </w:r>
      <w:r w:rsidR="6A70C717">
        <w:t>plus ou moins importante selon l’espèce</w:t>
      </w:r>
      <w:r w:rsidR="435CAC71">
        <w:t>,</w:t>
      </w:r>
      <w:r w:rsidR="6A70C717">
        <w:t xml:space="preserve"> </w:t>
      </w:r>
      <w:r w:rsidR="000A3F5C">
        <w:t>via</w:t>
      </w:r>
      <w:r w:rsidR="00D00A83">
        <w:t xml:space="preserve"> le sol (rhizomes, graines), </w:t>
      </w:r>
      <w:r w:rsidR="000A3F5C">
        <w:t xml:space="preserve">elles constituent un </w:t>
      </w:r>
      <w:r w:rsidR="000A3F5C">
        <w:lastRenderedPageBreak/>
        <w:t>paramètre incontournable à intégrer dans l’IQSW-pro.</w:t>
      </w:r>
      <w:r w:rsidR="0096326A">
        <w:t xml:space="preserve"> Leur présence est une entrave réelle pour la réalisation de plusieurs </w:t>
      </w:r>
      <w:r w:rsidR="000100FD">
        <w:t>services écosystémiques</w:t>
      </w:r>
      <w:r w:rsidR="0096326A">
        <w:t xml:space="preserve"> (</w:t>
      </w:r>
      <w:r w:rsidR="0096326A" w:rsidRPr="00A549ED">
        <w:rPr>
          <w:i/>
          <w:iCs/>
        </w:rPr>
        <w:t>Production</w:t>
      </w:r>
      <w:r w:rsidR="0096326A">
        <w:t xml:space="preserve"> et </w:t>
      </w:r>
      <w:r w:rsidR="00A549ED" w:rsidRPr="00A549ED">
        <w:rPr>
          <w:i/>
          <w:iCs/>
        </w:rPr>
        <w:t>Potentiel d’accueil pour une végétation diversifiée</w:t>
      </w:r>
      <w:r w:rsidR="00A549ED">
        <w:t>).</w:t>
      </w:r>
    </w:p>
    <w:p w14:paraId="3BAB73AD" w14:textId="6F2475AA" w:rsidR="006F370E" w:rsidRDefault="006F370E" w:rsidP="00876101">
      <w:pPr>
        <w:pStyle w:val="Titre3"/>
        <w:numPr>
          <w:ilvl w:val="2"/>
          <w:numId w:val="3"/>
        </w:numPr>
      </w:pPr>
      <w:bookmarkStart w:id="143" w:name="_Toc241505324"/>
      <w:r>
        <w:t>Méthode de mesure</w:t>
      </w:r>
      <w:bookmarkEnd w:id="143"/>
    </w:p>
    <w:p w14:paraId="240C049B" w14:textId="6D63FAC5" w:rsidR="006F370E" w:rsidRDefault="00A549ED" w:rsidP="006F370E">
      <w:r>
        <w:t>Le relevé de la présence des EEE s’effectue sur le terrain</w:t>
      </w:r>
      <w:r w:rsidR="00995E0B">
        <w:t xml:space="preserve"> et, au besoin, avec une </w:t>
      </w:r>
      <w:r w:rsidR="00C418D0">
        <w:t>clé</w:t>
      </w:r>
      <w:r w:rsidR="00995E0B">
        <w:t xml:space="preserve"> de détermination pour identifier l</w:t>
      </w:r>
      <w:r w:rsidR="00C033F7">
        <w:t>a plante dans ses</w:t>
      </w:r>
      <w:r w:rsidR="00995E0B">
        <w:t xml:space="preserve"> divers stades de croissance</w:t>
      </w:r>
      <w:r w:rsidR="005A4168">
        <w:t xml:space="preserve"> (annexée ci-dessous)</w:t>
      </w:r>
      <w:r w:rsidR="00995E0B">
        <w:t>.</w:t>
      </w:r>
    </w:p>
    <w:p w14:paraId="77D42AA4" w14:textId="6B2F71CC" w:rsidR="006F370E" w:rsidRDefault="006F370E" w:rsidP="00876101">
      <w:pPr>
        <w:pStyle w:val="Titre3"/>
        <w:numPr>
          <w:ilvl w:val="2"/>
          <w:numId w:val="3"/>
        </w:numPr>
      </w:pPr>
      <w:bookmarkStart w:id="144" w:name="_Toc241505325"/>
      <w:r>
        <w:t>Interprétation</w:t>
      </w:r>
      <w:bookmarkEnd w:id="144"/>
    </w:p>
    <w:p w14:paraId="076B2023" w14:textId="4BDFC3AF" w:rsidR="00A035E6" w:rsidRDefault="00A035E6" w:rsidP="006F370E">
      <w:r>
        <w:t xml:space="preserve">Les EEE sont </w:t>
      </w:r>
      <w:r w:rsidR="00C033F7">
        <w:t>interprétées</w:t>
      </w:r>
      <w:r>
        <w:t xml:space="preserve"> comme une contrainte</w:t>
      </w:r>
      <w:r w:rsidR="00C033F7">
        <w:t xml:space="preserve"> pour les </w:t>
      </w:r>
      <w:r w:rsidR="000100FD">
        <w:t>services écosystémiques</w:t>
      </w:r>
      <w:r w:rsidR="00C033F7">
        <w:t xml:space="preserve"> concernés</w:t>
      </w:r>
      <w:r>
        <w:t>, et leur présence se traduit donc en un coefficient de contrainte élevé</w:t>
      </w:r>
      <w:r w:rsidR="001B0D98">
        <w:t xml:space="preserve"> (et donc un score de </w:t>
      </w:r>
      <w:r w:rsidR="000100FD">
        <w:t>service</w:t>
      </w:r>
      <w:r w:rsidR="001B0D98">
        <w:t xml:space="preserve"> faible)</w:t>
      </w:r>
      <w:r w:rsidR="00C033F7">
        <w:t>.</w:t>
      </w:r>
    </w:p>
    <w:p w14:paraId="66D066A8" w14:textId="4CE76085" w:rsidR="008A7FE9" w:rsidRDefault="008A7FE9" w:rsidP="006F370E">
      <w:r>
        <w:t>L</w:t>
      </w:r>
      <w:r w:rsidR="004F1925">
        <w:t>’impact de la présence d’</w:t>
      </w:r>
      <w:r w:rsidR="00E44966">
        <w:t xml:space="preserve">espèces exotiques envahissantes </w:t>
      </w:r>
      <w:r w:rsidR="004F1925">
        <w:t xml:space="preserve">sur une zone </w:t>
      </w:r>
      <w:r w:rsidR="00E44966">
        <w:t>dépend</w:t>
      </w:r>
      <w:r w:rsidR="004F1925">
        <w:t xml:space="preserve"> d’une part, de la densité de recouvrement de ces espèces, et d’autre part, </w:t>
      </w:r>
      <w:r w:rsidR="004C1D54">
        <w:t xml:space="preserve">de l’espèce considérée. En effet, alors que quelques pousses isolées représentent une menace modérée pour </w:t>
      </w:r>
      <w:r w:rsidR="00E355DD">
        <w:t>les écosystèmes</w:t>
      </w:r>
      <w:r w:rsidR="00E355DD" w:rsidRPr="00436690">
        <w:rPr>
          <w:rStyle w:val="Appelnotedebasdep"/>
        </w:rPr>
        <w:footnoteReference w:id="8"/>
      </w:r>
      <w:r w:rsidR="00E355DD">
        <w:t xml:space="preserve">, mais sans être réellement déclassant pour le </w:t>
      </w:r>
      <w:r w:rsidR="000100FD">
        <w:t>service écosystémique</w:t>
      </w:r>
      <w:r w:rsidR="00E355DD">
        <w:t xml:space="preserve"> considéré</w:t>
      </w:r>
      <w:r w:rsidR="00F26F91">
        <w:t>, un massif sera quant à lui une entrave</w:t>
      </w:r>
      <w:r w:rsidR="00427931">
        <w:t xml:space="preserve"> totale</w:t>
      </w:r>
      <w:r w:rsidR="00F26F91">
        <w:t xml:space="preserve"> à la bonne réalisation de certains </w:t>
      </w:r>
      <w:r w:rsidR="000100FD">
        <w:t>service écosystémique</w:t>
      </w:r>
      <w:r w:rsidR="00F26F91">
        <w:t xml:space="preserve"> (</w:t>
      </w:r>
      <w:r w:rsidR="00F26F91" w:rsidRPr="00F26F91">
        <w:rPr>
          <w:i/>
          <w:iCs/>
        </w:rPr>
        <w:t>Production</w:t>
      </w:r>
      <w:r w:rsidR="00F26F91">
        <w:t xml:space="preserve"> ou </w:t>
      </w:r>
      <w:r w:rsidR="00F26F91" w:rsidRPr="00A549ED">
        <w:rPr>
          <w:i/>
          <w:iCs/>
        </w:rPr>
        <w:t>Potentiel d’accueil pour une végétation diversifiée</w:t>
      </w:r>
      <w:r w:rsidR="00F26F91">
        <w:t xml:space="preserve">). </w:t>
      </w:r>
    </w:p>
    <w:p w14:paraId="210BA23A" w14:textId="13E22C9D" w:rsidR="00995E0B" w:rsidRPr="00F26F91" w:rsidRDefault="00427931" w:rsidP="006F370E">
      <w:r>
        <w:t xml:space="preserve">De plus, </w:t>
      </w:r>
      <w:r w:rsidR="00C05C11">
        <w:t xml:space="preserve">la présence d’une EEE </w:t>
      </w:r>
      <w:proofErr w:type="gramStart"/>
      <w:r w:rsidR="00C05C11">
        <w:t>aura</w:t>
      </w:r>
      <w:proofErr w:type="gramEnd"/>
      <w:r w:rsidR="00C05C11">
        <w:t xml:space="preserve"> des conséquences différentes en fonction de l’espèce </w:t>
      </w:r>
      <w:r w:rsidR="001640B6">
        <w:t>concernée. Par exemple</w:t>
      </w:r>
      <w:r w:rsidR="008A7FE9">
        <w:t xml:space="preserve"> en Wallonie</w:t>
      </w:r>
      <w:r w:rsidR="001640B6">
        <w:t xml:space="preserve">, </w:t>
      </w:r>
      <w:r w:rsidR="008A7FE9">
        <w:t>trois espèces doivent faire l’objet d’une vigilance accrue : les renouées asiatiques</w:t>
      </w:r>
      <w:r w:rsidR="00BB3DFF">
        <w:t xml:space="preserve"> (du </w:t>
      </w:r>
      <w:r w:rsidR="63AFC93C">
        <w:t>J</w:t>
      </w:r>
      <w:r w:rsidR="00BB3DFF">
        <w:t xml:space="preserve">apon, de </w:t>
      </w:r>
      <w:r w:rsidR="7D8B4578">
        <w:t>S</w:t>
      </w:r>
      <w:r w:rsidR="00BB3DFF">
        <w:t xml:space="preserve">akhaline et </w:t>
      </w:r>
      <w:r w:rsidR="18F450B6">
        <w:t>B</w:t>
      </w:r>
      <w:r w:rsidR="00BB3DFF">
        <w:t>oh</w:t>
      </w:r>
      <w:r w:rsidR="081AE789">
        <w:t>è</w:t>
      </w:r>
      <w:r w:rsidR="00BB3DFF">
        <w:t>me)</w:t>
      </w:r>
      <w:r w:rsidR="008A7FE9">
        <w:t xml:space="preserve">, la berce du Caucase et la balsamine de l’Himalaya. </w:t>
      </w:r>
      <w:r w:rsidR="00385FFB">
        <w:t xml:space="preserve">Parmi ces espèces, </w:t>
      </w:r>
      <w:r w:rsidR="6FDB930A">
        <w:t>les renouées asiatiques sont</w:t>
      </w:r>
      <w:r w:rsidR="00385FFB">
        <w:t xml:space="preserve"> particulièrement problématique</w:t>
      </w:r>
      <w:r w:rsidR="76F24C69">
        <w:t>s</w:t>
      </w:r>
      <w:r w:rsidR="00385FFB">
        <w:t xml:space="preserve">. En effet, il s’agit de la plante la plus difficile à éradiquer d’une zone, étant donné la persistance et </w:t>
      </w:r>
      <w:r w:rsidR="00D65AAC">
        <w:t>l’étendue de ses rhizomes dans le sol.</w:t>
      </w:r>
    </w:p>
    <w:p w14:paraId="31F150E6" w14:textId="6879EDCA" w:rsidR="006F370E" w:rsidRDefault="001B0D98" w:rsidP="006F370E">
      <w:r>
        <w:t xml:space="preserve">Le coefficient de contrainte lié à la présence d’une (ou plusieurs) EEE sur la zone </w:t>
      </w:r>
      <w:r w:rsidR="003B4658">
        <w:t>étudiée se calcule via l’équation suivante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A7310F" w14:paraId="7B1147C5" w14:textId="77777777" w:rsidTr="004306AE">
        <w:trPr>
          <w:trHeight w:val="647"/>
        </w:trPr>
        <w:tc>
          <w:tcPr>
            <w:tcW w:w="8642" w:type="dxa"/>
            <w:vAlign w:val="center"/>
          </w:tcPr>
          <w:p w14:paraId="3F146FA5" w14:textId="74A0EF1E" w:rsidR="00A7310F" w:rsidRPr="005045D4" w:rsidRDefault="00437C8C" w:rsidP="004306AE">
            <w:pPr>
              <w:jc w:val="center"/>
              <w:rPr>
                <w:iCs/>
              </w:rPr>
            </w:pPr>
            <m:oMathPara>
              <m:oMath>
                <m:sSub>
                  <m:sSubPr>
                    <m:ctrlPr>
                      <w:rPr>
                        <w:rFonts w:ascii="Cambria Math" w:hAnsi="Cambria Math" w:cs="Cambria Math"/>
                        <w:iCs/>
                      </w:rPr>
                    </m:ctrlPr>
                  </m:sSubPr>
                  <m:e>
                    <m:r>
                      <m:rPr>
                        <m:sty m:val="p"/>
                      </m:rPr>
                      <w:rPr>
                        <w:rFonts w:ascii="Cambria Math" w:hAnsi="Cambria Math" w:cs="Cambria Math"/>
                      </w:rPr>
                      <m:t>C</m:t>
                    </m:r>
                  </m:e>
                  <m:sub>
                    <m:r>
                      <m:rPr>
                        <m:sty m:val="p"/>
                      </m:rPr>
                      <w:rPr>
                        <w:rFonts w:ascii="Cambria Math" w:hAnsi="Cambria Math" w:cs="Cambria Math"/>
                      </w:rPr>
                      <m:t>EEE</m:t>
                    </m:r>
                  </m:sub>
                </m:sSub>
                <m:r>
                  <m:rPr>
                    <m:sty m:val="p"/>
                  </m:rPr>
                  <w:rPr>
                    <w:rFonts w:ascii="Cambria Math" w:hAnsi="Cambria Math" w:cs="Cambria Math"/>
                  </w:rPr>
                  <m:t xml:space="preserve"> [0;1] =</m:t>
                </m:r>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densité EEE</m:t>
                    </m:r>
                  </m:sub>
                </m:sSub>
                <m:r>
                  <m:rPr>
                    <m:sty m:val="p"/>
                  </m:rPr>
                  <w:rPr>
                    <w:rFonts w:ascii="Cambria Math" w:hAnsi="Cambria Math"/>
                  </w:rPr>
                  <m:t xml:space="preserve"> ∙ </m:t>
                </m:r>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espèce EEE</m:t>
                    </m:r>
                  </m:sub>
                </m:sSub>
              </m:oMath>
            </m:oMathPara>
          </w:p>
        </w:tc>
        <w:tc>
          <w:tcPr>
            <w:tcW w:w="418" w:type="dxa"/>
            <w:vAlign w:val="center"/>
          </w:tcPr>
          <w:p w14:paraId="0E0BF060" w14:textId="6791DBB3" w:rsidR="00A7310F" w:rsidRDefault="00A7310F" w:rsidP="004306AE">
            <w:pPr>
              <w:jc w:val="center"/>
            </w:pPr>
            <w:r>
              <w:t>(</w:t>
            </w:r>
            <w:r w:rsidR="00A250D5">
              <w:t>4</w:t>
            </w:r>
            <w:r>
              <w:t>)</w:t>
            </w:r>
          </w:p>
        </w:tc>
      </w:tr>
    </w:tbl>
    <w:p w14:paraId="60FB59E9" w14:textId="77777777" w:rsidR="00A7310F" w:rsidRDefault="00A7310F" w:rsidP="00A7310F"/>
    <w:p w14:paraId="25B5178A" w14:textId="77777777" w:rsidR="00A7310F" w:rsidRPr="00032143" w:rsidRDefault="00A7310F" w:rsidP="00A7310F">
      <w:pPr>
        <w:rPr>
          <w:rFonts w:cs="Calibri"/>
          <w:sz w:val="20"/>
          <w:szCs w:val="20"/>
        </w:rPr>
      </w:pPr>
      <w:r w:rsidRPr="00032143">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127"/>
        <w:gridCol w:w="7943"/>
      </w:tblGrid>
      <w:tr w:rsidR="00A7310F" w:rsidRPr="00032143" w14:paraId="0A1375C1" w14:textId="77777777" w:rsidTr="00032143">
        <w:trPr>
          <w:trHeight w:val="227"/>
        </w:trPr>
        <w:tc>
          <w:tcPr>
            <w:tcW w:w="799" w:type="dxa"/>
          </w:tcPr>
          <w:p w14:paraId="2F54BF15" w14:textId="3900962E" w:rsidR="00A7310F" w:rsidRPr="00032143" w:rsidRDefault="00437C8C" w:rsidP="00032143">
            <w:pPr>
              <w:jc w:val="left"/>
              <w:rPr>
                <w:rFonts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m:t>
                    </m:r>
                  </m:e>
                  <m:sub>
                    <m:r>
                      <m:rPr>
                        <m:sty m:val="p"/>
                      </m:rPr>
                      <w:rPr>
                        <w:rFonts w:ascii="Cambria Math" w:hAnsi="Cambria Math" w:cs="Calibri"/>
                        <w:sz w:val="20"/>
                        <w:szCs w:val="20"/>
                      </w:rPr>
                      <m:t>densité EEE</m:t>
                    </m:r>
                  </m:sub>
                </m:sSub>
              </m:oMath>
            </m:oMathPara>
          </w:p>
        </w:tc>
        <w:tc>
          <w:tcPr>
            <w:tcW w:w="8271" w:type="dxa"/>
            <w:vAlign w:val="center"/>
          </w:tcPr>
          <w:p w14:paraId="61335A13" w14:textId="473BD1C3" w:rsidR="00A7310F" w:rsidRPr="00032143" w:rsidRDefault="00E30F82" w:rsidP="004306AE">
            <w:pPr>
              <w:jc w:val="left"/>
              <w:rPr>
                <w:rFonts w:cs="Calibri"/>
                <w:sz w:val="20"/>
                <w:szCs w:val="20"/>
              </w:rPr>
            </w:pPr>
            <w:r w:rsidRPr="00032143">
              <w:rPr>
                <w:rFonts w:eastAsiaTheme="minorEastAsia" w:cs="Calibri"/>
                <w:sz w:val="20"/>
                <w:szCs w:val="20"/>
              </w:rPr>
              <w:t xml:space="preserve">Le coefficient </w:t>
            </w:r>
            <w:r w:rsidR="00232979" w:rsidRPr="00032143">
              <w:rPr>
                <w:rFonts w:eastAsiaTheme="minorEastAsia" w:cs="Calibri"/>
                <w:sz w:val="20"/>
                <w:szCs w:val="20"/>
              </w:rPr>
              <w:t>associé à la densité des EEE</w:t>
            </w:r>
            <w:r w:rsidR="001F35F0" w:rsidRPr="00032143">
              <w:rPr>
                <w:rFonts w:eastAsiaTheme="minorEastAsia" w:cs="Calibri"/>
                <w:sz w:val="20"/>
                <w:szCs w:val="20"/>
              </w:rPr>
              <w:t xml:space="preserve"> sur la zone</w:t>
            </w:r>
            <w:r w:rsidR="00232979" w:rsidRPr="00032143">
              <w:rPr>
                <w:rFonts w:eastAsiaTheme="minorEastAsia" w:cs="Calibri"/>
                <w:sz w:val="20"/>
                <w:szCs w:val="20"/>
              </w:rPr>
              <w:t xml:space="preserve"> (0 = absence ; </w:t>
            </w:r>
            <w:r w:rsidR="001F35F0" w:rsidRPr="00032143">
              <w:rPr>
                <w:rFonts w:eastAsiaTheme="minorEastAsia" w:cs="Calibri"/>
                <w:sz w:val="20"/>
                <w:szCs w:val="20"/>
              </w:rPr>
              <w:t>0,5 = pousses isolées ; 1 = massif)</w:t>
            </w:r>
            <w:r w:rsidR="00A7310F" w:rsidRPr="00032143">
              <w:rPr>
                <w:rFonts w:eastAsiaTheme="minorEastAsia" w:cs="Calibri"/>
                <w:sz w:val="20"/>
                <w:szCs w:val="20"/>
              </w:rPr>
              <w:t> ;</w:t>
            </w:r>
          </w:p>
        </w:tc>
      </w:tr>
      <w:tr w:rsidR="00A7310F" w:rsidRPr="00032143" w14:paraId="0C87C158" w14:textId="77777777" w:rsidTr="00032143">
        <w:trPr>
          <w:trHeight w:val="227"/>
        </w:trPr>
        <w:tc>
          <w:tcPr>
            <w:tcW w:w="799" w:type="dxa"/>
          </w:tcPr>
          <w:p w14:paraId="27992157" w14:textId="207F4126" w:rsidR="00A7310F" w:rsidRPr="00032143" w:rsidRDefault="00437C8C" w:rsidP="00032143">
            <w:pPr>
              <w:jc w:val="left"/>
              <w:rPr>
                <w:rFonts w:eastAsiaTheme="minorEastAsia"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m:t>
                    </m:r>
                  </m:e>
                  <m:sub>
                    <m:r>
                      <m:rPr>
                        <m:sty m:val="p"/>
                      </m:rPr>
                      <w:rPr>
                        <w:rFonts w:ascii="Cambria Math" w:hAnsi="Cambria Math" w:cs="Calibri"/>
                        <w:sz w:val="20"/>
                        <w:szCs w:val="20"/>
                      </w:rPr>
                      <m:t>espèce EEE</m:t>
                    </m:r>
                  </m:sub>
                </m:sSub>
              </m:oMath>
            </m:oMathPara>
          </w:p>
        </w:tc>
        <w:tc>
          <w:tcPr>
            <w:tcW w:w="8271" w:type="dxa"/>
            <w:vAlign w:val="center"/>
          </w:tcPr>
          <w:p w14:paraId="38A0D13C" w14:textId="1D9D3A0B" w:rsidR="00A7310F" w:rsidRPr="00032143" w:rsidRDefault="001F35F0" w:rsidP="004306AE">
            <w:pPr>
              <w:jc w:val="left"/>
              <w:rPr>
                <w:rFonts w:eastAsiaTheme="minorEastAsia" w:cs="Calibri"/>
                <w:sz w:val="20"/>
                <w:szCs w:val="20"/>
              </w:rPr>
            </w:pPr>
            <w:r w:rsidRPr="00032143">
              <w:rPr>
                <w:rFonts w:eastAsiaTheme="minorEastAsia" w:cs="Calibri"/>
                <w:sz w:val="20"/>
                <w:szCs w:val="20"/>
              </w:rPr>
              <w:t xml:space="preserve">Le coefficient associé à l’espèce (ou aux espèces) présente(s) (0,5 = espèce </w:t>
            </w:r>
            <w:r w:rsidR="00312EAD" w:rsidRPr="00032143">
              <w:rPr>
                <w:rFonts w:eastAsiaTheme="minorEastAsia" w:cs="Calibri"/>
                <w:sz w:val="20"/>
                <w:szCs w:val="20"/>
              </w:rPr>
              <w:t>à surveiller</w:t>
            </w:r>
            <w:r w:rsidRPr="00032143">
              <w:rPr>
                <w:rFonts w:eastAsiaTheme="minorEastAsia" w:cs="Calibri"/>
                <w:sz w:val="20"/>
                <w:szCs w:val="20"/>
              </w:rPr>
              <w:t xml:space="preserve">, 1 = espèce </w:t>
            </w:r>
            <w:r w:rsidR="00312EAD" w:rsidRPr="00032143">
              <w:rPr>
                <w:rFonts w:eastAsiaTheme="minorEastAsia" w:cs="Calibri"/>
                <w:sz w:val="20"/>
                <w:szCs w:val="20"/>
              </w:rPr>
              <w:t>particulièrement problématique</w:t>
            </w:r>
            <w:r w:rsidRPr="00032143">
              <w:rPr>
                <w:rFonts w:eastAsiaTheme="minorEastAsia" w:cs="Calibri"/>
                <w:sz w:val="20"/>
                <w:szCs w:val="20"/>
              </w:rPr>
              <w:t>)</w:t>
            </w:r>
            <w:r w:rsidR="00A7310F" w:rsidRPr="00032143">
              <w:rPr>
                <w:rFonts w:eastAsiaTheme="minorEastAsia" w:cs="Calibri"/>
                <w:sz w:val="20"/>
                <w:szCs w:val="20"/>
              </w:rPr>
              <w:t>.</w:t>
            </w:r>
          </w:p>
        </w:tc>
      </w:tr>
    </w:tbl>
    <w:p w14:paraId="102AADBF" w14:textId="77777777" w:rsidR="006F370E" w:rsidRDefault="006F370E" w:rsidP="006F370E"/>
    <w:p w14:paraId="76BAFD44" w14:textId="7AE45361" w:rsidR="0024449F" w:rsidRPr="006F370E" w:rsidRDefault="0024449F" w:rsidP="006F370E"/>
    <w:p w14:paraId="0D298C6D" w14:textId="77777777" w:rsidR="00CB02C5" w:rsidRDefault="00CB02C5" w:rsidP="00876101">
      <w:pPr>
        <w:pStyle w:val="Titre2"/>
        <w:numPr>
          <w:ilvl w:val="1"/>
          <w:numId w:val="3"/>
        </w:numPr>
      </w:pPr>
      <w:bookmarkStart w:id="145" w:name="_Toc241505326"/>
      <w:r>
        <w:lastRenderedPageBreak/>
        <w:t>Pour aller plus loin</w:t>
      </w:r>
      <w:bookmarkEnd w:id="145"/>
    </w:p>
    <w:p w14:paraId="0DFCDD36" w14:textId="77777777" w:rsidR="00CB02C5" w:rsidRDefault="00CB02C5" w:rsidP="00CB02C5">
      <w:r>
        <w:t>Diverses analyses poussées peuvent fournir des informations complémentaires pertinentes sur les communautés microbiennes du sol. Cela comprend :</w:t>
      </w:r>
    </w:p>
    <w:p w14:paraId="38BF0927" w14:textId="77777777" w:rsidR="00CB02C5" w:rsidRDefault="00CB02C5" w:rsidP="00876101">
      <w:pPr>
        <w:pStyle w:val="Paragraphedeliste"/>
        <w:numPr>
          <w:ilvl w:val="0"/>
          <w:numId w:val="7"/>
        </w:numPr>
      </w:pPr>
      <w:r>
        <w:t xml:space="preserve">L’analyse de l’abondance relative des bactéries et des champignons (analyse </w:t>
      </w:r>
      <w:proofErr w:type="spellStart"/>
      <w:r>
        <w:t>qPCR</w:t>
      </w:r>
      <w:proofErr w:type="spellEnd"/>
      <w:r>
        <w:t>) ;</w:t>
      </w:r>
    </w:p>
    <w:p w14:paraId="13CF0146" w14:textId="77777777" w:rsidR="00CB02C5" w:rsidRDefault="00CB02C5" w:rsidP="00876101">
      <w:pPr>
        <w:pStyle w:val="Paragraphedeliste"/>
        <w:numPr>
          <w:ilvl w:val="0"/>
          <w:numId w:val="7"/>
        </w:numPr>
      </w:pPr>
      <w:r>
        <w:t>L’analyse de la diversité des bactéries et des champignons (</w:t>
      </w:r>
      <w:proofErr w:type="spellStart"/>
      <w:r>
        <w:t>métabarcoding</w:t>
      </w:r>
      <w:proofErr w:type="spellEnd"/>
      <w:r>
        <w:t>).</w:t>
      </w:r>
    </w:p>
    <w:p w14:paraId="43DF38EE" w14:textId="3BEBCF5C" w:rsidR="00776B80" w:rsidRDefault="00CB02C5" w:rsidP="00776B80">
      <w:r>
        <w:t>Toutefois, la difficulté liée à l’interprétation de ces indicateurs pour en tirer des conclusions concrètes en termes de gestion, le coût élevé de ces analyses proportionnellement au reste du pack IQSW-pro, et le fait que la filière d’analyse soit peu adaptée aux besoins d’un indice de qualité des sols à terme (long délai de réception des résultats, quand les parties prenantes auront potentiellement besoin de réponses rapides)</w:t>
      </w:r>
      <w:r w:rsidR="009527B7">
        <w:t xml:space="preserve"> en font des indicateurs peu pragmatiques. </w:t>
      </w:r>
      <w:r w:rsidR="005F63EE">
        <w:t>Pour toutes ces raisons, ces</w:t>
      </w:r>
      <w:r>
        <w:t xml:space="preserve"> paramètres sont repris en « Pour aller plus loin » dans la version actuelle de l’outil</w:t>
      </w:r>
      <w:r w:rsidR="00DF58B0">
        <w:t>. La porte reste cependant ouverte</w:t>
      </w:r>
      <w:r w:rsidR="005F63EE">
        <w:t xml:space="preserve"> </w:t>
      </w:r>
      <w:r w:rsidR="00DF58B0">
        <w:t xml:space="preserve">à </w:t>
      </w:r>
      <w:r w:rsidR="005F63EE">
        <w:t>une perspective d’intégration à plus long terme, en fonction des avancées scientifiques et techniques.</w:t>
      </w:r>
    </w:p>
    <w:p w14:paraId="68C5F1C7" w14:textId="127C8DC8" w:rsidR="00555D58" w:rsidRDefault="00555D58" w:rsidP="00876101">
      <w:pPr>
        <w:pStyle w:val="Titre1"/>
        <w:numPr>
          <w:ilvl w:val="0"/>
          <w:numId w:val="3"/>
        </w:numPr>
      </w:pPr>
      <w:bookmarkStart w:id="146" w:name="_Toc230267124"/>
      <w:bookmarkStart w:id="147" w:name="_Toc241505327"/>
      <w:r>
        <w:t>Indicateurs calculés</w:t>
      </w:r>
      <w:bookmarkEnd w:id="146"/>
      <w:bookmarkEnd w:id="147"/>
    </w:p>
    <w:p w14:paraId="04C0BA6F" w14:textId="740F88C4" w:rsidR="00EE66A7" w:rsidRPr="00EE66A7" w:rsidRDefault="00914EFC" w:rsidP="00EE66A7">
      <w:r>
        <w:t>Cette partie regroupe les indicateurs calculés sur base de plusieurs paramètres mesurés individuellement.</w:t>
      </w:r>
    </w:p>
    <w:p w14:paraId="1E4F3D58" w14:textId="27879888" w:rsidR="008D2AF7" w:rsidRDefault="008D2AF7" w:rsidP="00876101">
      <w:pPr>
        <w:pStyle w:val="Titre2"/>
        <w:numPr>
          <w:ilvl w:val="1"/>
          <w:numId w:val="3"/>
        </w:numPr>
      </w:pPr>
      <w:bookmarkStart w:id="148" w:name="_Ref233113146"/>
      <w:bookmarkStart w:id="149" w:name="_Toc241505328"/>
      <w:r>
        <w:t xml:space="preserve">Rapport </w:t>
      </w:r>
      <w:proofErr w:type="spellStart"/>
      <w:r>
        <w:t>C</w:t>
      </w:r>
      <w:r>
        <w:rPr>
          <w:vertAlign w:val="subscript"/>
        </w:rPr>
        <w:t>org</w:t>
      </w:r>
      <w:proofErr w:type="spellEnd"/>
      <w:r>
        <w:t>/argile</w:t>
      </w:r>
      <w:bookmarkEnd w:id="148"/>
      <w:bookmarkEnd w:id="149"/>
    </w:p>
    <w:p w14:paraId="3C9F74A9" w14:textId="2C2BA93C" w:rsidR="004C09AB" w:rsidRDefault="004C09AB" w:rsidP="00876101">
      <w:pPr>
        <w:pStyle w:val="Titre3"/>
        <w:numPr>
          <w:ilvl w:val="2"/>
          <w:numId w:val="3"/>
        </w:numPr>
      </w:pPr>
      <w:bookmarkStart w:id="150" w:name="_Toc241505329"/>
      <w:r>
        <w:t>Définition</w:t>
      </w:r>
      <w:r w:rsidR="00F95551">
        <w:t xml:space="preserve"> et calcul</w:t>
      </w:r>
      <w:bookmarkEnd w:id="150"/>
    </w:p>
    <w:p w14:paraId="5AC5879F" w14:textId="49506326" w:rsidR="004C09AB" w:rsidRDefault="004C09AB" w:rsidP="004C09AB">
      <w:r>
        <w:t xml:space="preserve">Le rapport </w:t>
      </w:r>
      <w:proofErr w:type="spellStart"/>
      <w:r w:rsidR="00D36880">
        <w:t>C</w:t>
      </w:r>
      <w:r w:rsidR="00D36880" w:rsidRPr="48222D96">
        <w:rPr>
          <w:vertAlign w:val="subscript"/>
        </w:rPr>
        <w:t>org</w:t>
      </w:r>
      <w:proofErr w:type="spellEnd"/>
      <w:r w:rsidR="00D36880">
        <w:t>/argile</w:t>
      </w:r>
      <w:r w:rsidR="00F95551">
        <w:t xml:space="preserve"> (%)</w:t>
      </w:r>
      <w:r w:rsidR="00D36880">
        <w:t xml:space="preserve"> </w:t>
      </w:r>
      <w:r w:rsidR="00EE2CA8">
        <w:t>est calculé via l’équation suivante</w:t>
      </w:r>
      <w:r w:rsidR="00F95551">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5A3791" w14:paraId="4299CA6A" w14:textId="77777777" w:rsidTr="004306AE">
        <w:trPr>
          <w:trHeight w:val="647"/>
        </w:trPr>
        <w:tc>
          <w:tcPr>
            <w:tcW w:w="8642" w:type="dxa"/>
            <w:vAlign w:val="center"/>
          </w:tcPr>
          <w:p w14:paraId="720782C1" w14:textId="423FB37F" w:rsidR="005A3791" w:rsidRPr="002E3BF5" w:rsidRDefault="00437C8C" w:rsidP="004306AE">
            <w:pPr>
              <w:jc w:val="center"/>
              <w:rPr>
                <w:iCs/>
              </w:rPr>
            </w:pPr>
            <m:oMathPara>
              <m:oMath>
                <m:sSub>
                  <m:sSubPr>
                    <m:ctrlPr>
                      <w:rPr>
                        <w:rFonts w:ascii="Cambria Math" w:hAnsi="Cambria Math" w:cs="Cambria Math"/>
                        <w:iCs/>
                      </w:rPr>
                    </m:ctrlPr>
                  </m:sSubPr>
                  <m:e>
                    <m:r>
                      <m:rPr>
                        <m:sty m:val="p"/>
                      </m:rPr>
                      <w:rPr>
                        <w:rFonts w:ascii="Cambria Math" w:hAnsi="Cambria Math" w:cs="Cambria Math"/>
                      </w:rPr>
                      <m:t>C</m:t>
                    </m:r>
                  </m:e>
                  <m:sub>
                    <m:r>
                      <m:rPr>
                        <m:sty m:val="p"/>
                      </m:rPr>
                      <w:rPr>
                        <w:rFonts w:ascii="Cambria Math" w:hAnsi="Cambria Math" w:cs="Cambria Math"/>
                      </w:rPr>
                      <m:t>org</m:t>
                    </m:r>
                  </m:sub>
                </m:sSub>
                <m:r>
                  <m:rPr>
                    <m:sty m:val="p"/>
                  </m:rPr>
                  <w:rPr>
                    <w:rFonts w:ascii="Cambria Math" w:hAnsi="Cambria Math" w:cs="Cambria Math"/>
                  </w:rPr>
                  <m:t>/argile (%)=</m:t>
                </m:r>
                <m:f>
                  <m:fPr>
                    <m:ctrlPr>
                      <w:rPr>
                        <w:rFonts w:ascii="Cambria Math" w:hAnsi="Cambria Math"/>
                        <w:iCs/>
                      </w:rPr>
                    </m:ctrlPr>
                  </m:fPr>
                  <m:num>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org</m:t>
                        </m:r>
                      </m:sub>
                    </m:sSub>
                  </m:num>
                  <m:den>
                    <m:r>
                      <m:rPr>
                        <m:sty m:val="p"/>
                      </m:rPr>
                      <w:rPr>
                        <w:rFonts w:ascii="Cambria Math" w:hAnsi="Cambria Math"/>
                      </w:rPr>
                      <m:t>argile</m:t>
                    </m:r>
                  </m:den>
                </m:f>
                <m:r>
                  <m:rPr>
                    <m:sty m:val="p"/>
                  </m:rPr>
                  <w:rPr>
                    <w:rFonts w:ascii="Cambria Math" w:hAnsi="Cambria Math"/>
                  </w:rPr>
                  <m:t>∙</m:t>
                </m:r>
                <m:r>
                  <m:rPr>
                    <m:sty m:val="p"/>
                  </m:rPr>
                  <w:rPr>
                    <w:rFonts w:ascii="Cambria Math" w:hAnsi="Cambria Math"/>
                  </w:rPr>
                  <m:t xml:space="preserve">100 </m:t>
                </m:r>
              </m:oMath>
            </m:oMathPara>
          </w:p>
        </w:tc>
        <w:tc>
          <w:tcPr>
            <w:tcW w:w="418" w:type="dxa"/>
            <w:vAlign w:val="center"/>
          </w:tcPr>
          <w:p w14:paraId="2530221F" w14:textId="4635ED10" w:rsidR="005A3791" w:rsidRDefault="005A3791" w:rsidP="004306AE">
            <w:pPr>
              <w:jc w:val="center"/>
            </w:pPr>
            <w:r>
              <w:t>(</w:t>
            </w:r>
            <w:r w:rsidR="00A250D5">
              <w:t>5</w:t>
            </w:r>
            <w:r>
              <w:t>)</w:t>
            </w:r>
          </w:p>
        </w:tc>
      </w:tr>
    </w:tbl>
    <w:p w14:paraId="6DC67871" w14:textId="77777777" w:rsidR="005A3791" w:rsidRDefault="005A3791" w:rsidP="004C09AB"/>
    <w:p w14:paraId="02561CCD" w14:textId="77777777" w:rsidR="00D5306D" w:rsidRPr="00032143" w:rsidRDefault="00D5306D" w:rsidP="00D5306D">
      <w:pPr>
        <w:rPr>
          <w:rFonts w:cs="Calibri"/>
          <w:sz w:val="20"/>
          <w:szCs w:val="20"/>
        </w:rPr>
      </w:pPr>
      <w:r w:rsidRPr="00032143">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799"/>
        <w:gridCol w:w="8271"/>
      </w:tblGrid>
      <w:tr w:rsidR="00D5306D" w:rsidRPr="00032143" w14:paraId="3AE92699" w14:textId="77777777" w:rsidTr="004834CA">
        <w:trPr>
          <w:trHeight w:val="227"/>
        </w:trPr>
        <w:tc>
          <w:tcPr>
            <w:tcW w:w="799" w:type="dxa"/>
            <w:vAlign w:val="center"/>
          </w:tcPr>
          <w:p w14:paraId="3C9BA2F7" w14:textId="261F5A2A" w:rsidR="00D5306D" w:rsidRPr="00032143" w:rsidRDefault="00437C8C" w:rsidP="004306AE">
            <w:pPr>
              <w:jc w:val="left"/>
              <w:rPr>
                <w:rFonts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m:t>
                    </m:r>
                  </m:e>
                  <m:sub>
                    <m:r>
                      <m:rPr>
                        <m:sty m:val="p"/>
                      </m:rPr>
                      <w:rPr>
                        <w:rFonts w:ascii="Cambria Math" w:hAnsi="Cambria Math" w:cs="Calibri"/>
                        <w:sz w:val="20"/>
                        <w:szCs w:val="20"/>
                      </w:rPr>
                      <m:t>org</m:t>
                    </m:r>
                  </m:sub>
                </m:sSub>
              </m:oMath>
            </m:oMathPara>
          </w:p>
        </w:tc>
        <w:tc>
          <w:tcPr>
            <w:tcW w:w="8271" w:type="dxa"/>
            <w:vAlign w:val="center"/>
          </w:tcPr>
          <w:p w14:paraId="39C7A3F1" w14:textId="7EF88096" w:rsidR="00D5306D" w:rsidRPr="00032143" w:rsidRDefault="00D5306D" w:rsidP="004306AE">
            <w:pPr>
              <w:jc w:val="left"/>
              <w:rPr>
                <w:rFonts w:cs="Calibri"/>
                <w:sz w:val="20"/>
                <w:szCs w:val="20"/>
              </w:rPr>
            </w:pPr>
            <w:r w:rsidRPr="00032143">
              <w:rPr>
                <w:rFonts w:eastAsiaTheme="minorEastAsia" w:cs="Calibri"/>
                <w:sz w:val="20"/>
                <w:szCs w:val="20"/>
              </w:rPr>
              <w:t xml:space="preserve">La </w:t>
            </w:r>
            <w:r w:rsidR="004834CA" w:rsidRPr="00032143">
              <w:rPr>
                <w:rFonts w:eastAsiaTheme="minorEastAsia" w:cs="Calibri"/>
                <w:sz w:val="20"/>
                <w:szCs w:val="20"/>
              </w:rPr>
              <w:t>teneur en carbone organique (%)</w:t>
            </w:r>
            <w:r w:rsidRPr="00032143">
              <w:rPr>
                <w:rFonts w:eastAsiaTheme="minorEastAsia" w:cs="Calibri"/>
                <w:sz w:val="20"/>
                <w:szCs w:val="20"/>
              </w:rPr>
              <w:t> ;</w:t>
            </w:r>
          </w:p>
        </w:tc>
      </w:tr>
      <w:tr w:rsidR="00D5306D" w:rsidRPr="00032143" w14:paraId="3E64AE77" w14:textId="77777777" w:rsidTr="00032143">
        <w:trPr>
          <w:trHeight w:val="114"/>
        </w:trPr>
        <w:tc>
          <w:tcPr>
            <w:tcW w:w="799" w:type="dxa"/>
            <w:vAlign w:val="center"/>
          </w:tcPr>
          <w:p w14:paraId="1D7A9174" w14:textId="362556B9" w:rsidR="00D5306D" w:rsidRPr="00032143" w:rsidRDefault="004834CA" w:rsidP="004306AE">
            <w:pPr>
              <w:jc w:val="left"/>
              <w:rPr>
                <w:rFonts w:eastAsiaTheme="minorEastAsia" w:cs="Calibri"/>
                <w:sz w:val="20"/>
                <w:szCs w:val="20"/>
              </w:rPr>
            </w:pPr>
            <m:oMathPara>
              <m:oMathParaPr>
                <m:jc m:val="left"/>
              </m:oMathParaPr>
              <m:oMath>
                <m:r>
                  <m:rPr>
                    <m:sty m:val="p"/>
                  </m:rPr>
                  <w:rPr>
                    <w:rFonts w:ascii="Cambria Math" w:hAnsi="Cambria Math" w:cs="Calibri"/>
                    <w:sz w:val="20"/>
                    <w:szCs w:val="20"/>
                  </w:rPr>
                  <m:t xml:space="preserve">argile </m:t>
                </m:r>
              </m:oMath>
            </m:oMathPara>
          </w:p>
        </w:tc>
        <w:tc>
          <w:tcPr>
            <w:tcW w:w="8271" w:type="dxa"/>
            <w:vAlign w:val="center"/>
          </w:tcPr>
          <w:p w14:paraId="022AC8C4" w14:textId="78368A47" w:rsidR="00D5306D" w:rsidRPr="00032143" w:rsidRDefault="00D5306D" w:rsidP="004306AE">
            <w:pPr>
              <w:jc w:val="left"/>
              <w:rPr>
                <w:rFonts w:eastAsiaTheme="minorEastAsia" w:cs="Calibri"/>
                <w:sz w:val="20"/>
                <w:szCs w:val="20"/>
              </w:rPr>
            </w:pPr>
            <w:r w:rsidRPr="00032143">
              <w:rPr>
                <w:rFonts w:eastAsiaTheme="minorEastAsia" w:cs="Calibri"/>
                <w:sz w:val="20"/>
                <w:szCs w:val="20"/>
              </w:rPr>
              <w:t xml:space="preserve">La </w:t>
            </w:r>
            <w:r w:rsidR="004834CA" w:rsidRPr="00032143">
              <w:rPr>
                <w:rFonts w:eastAsiaTheme="minorEastAsia" w:cs="Calibri"/>
                <w:sz w:val="20"/>
                <w:szCs w:val="20"/>
              </w:rPr>
              <w:t>teneur en argile (%).</w:t>
            </w:r>
          </w:p>
        </w:tc>
      </w:tr>
    </w:tbl>
    <w:p w14:paraId="0A308474" w14:textId="77777777" w:rsidR="00D5306D" w:rsidRDefault="00D5306D" w:rsidP="004C09AB"/>
    <w:p w14:paraId="3DA7EA5D" w14:textId="77777777" w:rsidR="004C09AB" w:rsidRDefault="004C09AB" w:rsidP="00876101">
      <w:pPr>
        <w:pStyle w:val="Titre3"/>
        <w:numPr>
          <w:ilvl w:val="2"/>
          <w:numId w:val="3"/>
        </w:numPr>
      </w:pPr>
      <w:bookmarkStart w:id="151" w:name="_Toc241505330"/>
      <w:r>
        <w:t>Pertinence</w:t>
      </w:r>
      <w:bookmarkEnd w:id="151"/>
    </w:p>
    <w:p w14:paraId="2A70F51E" w14:textId="379C1B74" w:rsidR="005A3791" w:rsidRPr="005A3791" w:rsidRDefault="005A3791" w:rsidP="005A3791">
      <w:r>
        <w:t xml:space="preserve">Le rapport </w:t>
      </w:r>
      <w:proofErr w:type="spellStart"/>
      <w:r>
        <w:t>C</w:t>
      </w:r>
      <w:r>
        <w:rPr>
          <w:vertAlign w:val="subscript"/>
        </w:rPr>
        <w:t>org</w:t>
      </w:r>
      <w:proofErr w:type="spellEnd"/>
      <w:r>
        <w:t xml:space="preserve">/argile est un bon indicateur de la </w:t>
      </w:r>
      <w:r w:rsidR="00F10EE0">
        <w:t>résilience</w:t>
      </w:r>
      <w:r>
        <w:t xml:space="preserve"> structurale du sol. </w:t>
      </w:r>
      <w:r w:rsidR="00C87B27">
        <w:t xml:space="preserve">En effet, </w:t>
      </w:r>
      <w:r w:rsidR="000B085F">
        <w:t>il est fortement corrélé avec des indicateurs de qualité structurale</w:t>
      </w:r>
      <w:r w:rsidR="00740BDA">
        <w:t xml:space="preserve"> </w:t>
      </w:r>
      <w:r w:rsidR="00740BDA">
        <w:fldChar w:fldCharType="begin"/>
      </w:r>
      <w:r w:rsidR="00740BDA">
        <w:instrText xml:space="preserve"> ADDIN ZOTERO_ITEM CSL_CITATION {"citationID":"wCDki8bx","properties":{"unsorted":false,"formattedCitation":"(Johannes et al., 2017; Prout et al., 2021)","plainCitation":"(Johannes et al., 2017; Prout et al., 2021)","noteIndex":0},"citationItems":[{"id":578,"uris":["http://zotero.org/groups/5684833/items/7DIUTBLP"],"itemData":{"id":578,"type":"article-journal","abstract":"Most soil structure-related physical properties are correlated to soil organic carbon (SOC) content. Texture, mineralogy, and SOC:clay ratio are also acknowledged to affect physical properties, however there is no consensus or general conclusions in this respect. Against this background, the present study aims at determining objectives for the management of SOC in terms of structural quality of agricultural soils. The large area in which 161 free-to-swell undisturbed samples were obtained for this research represents a major part of the Swiss agricultural land and belongs to one broad soil group (Cambi-Luvisols). The structural quality was scored visually, and bulk volumes (inverse of bulk density) were measured at standard matric potentials. To define the effect of SOC without interference of soil mechanical degradation, soils with good structural quality scores were considered first in studying the relationship between SOC and soil pore volumes. Results suggest that the relationship is always linear, irrespective of the clay content of the soils. No optimum of SOC corresponding to a fraction of the clay content is found, contrary to the theory of “complexed organic carbon” (Dexter et al., 2008). However, the SOC:clay ratio decreases with decreasing soil structure quality. The SOC:clay ratio of 1:8 is the average for a very good structure quality. A SOC:clay ratio of 1:10 is the limit between good and medium structural quality, thus it constitutes a reasonable goal for soil management by farmers. A SOC:clay ratio of 1:8 or smaller leads to a high probability of poor structural state. These ratios can be used as criteria for soil structural quality and SOC management, and in that context, the concept of complexed organic carbon appears relevant.","container-title":"Geoderma","DOI":"10.1016/j.geoderma.2017.04.021","ISSN":"0016-7061","journalAbbreviation":"Geoderma","page":"14-21","source":"ScienceDirect","title":"Optimal organic carbon values for soil structure quality of arable soils. Does clay content matter?","volume":"302","author":[{"family":"Johannes","given":"Alice"},{"family":"Matter","given":"Adrien"},{"family":"Schulin","given":"Rainer"},{"family":"Weisskopf","given":"Peter"},{"family":"Baveye","given":"Philippe C."},{"family":"Boivin","given":"Pascal"}],"issued":{"date-parts":[["2017",9,15]]}}},{"id":583,"uris":["http://zotero.org/groups/5684833/items/DB7ESN5B"],"itemData":{"id":583,"type":"article-journal","abstract":"Simple measures of appropriate levels of soil organic matter are needed for soil evaluation, management and monitoring, based on readily measurable soil properties. We test an index of soil organic matter based on the soil organic carbon (SOC) to clay ratio, defined by thresholds of SOC/clay ratio for specified levels of soil structural quality. The thresholds were originally delineated for a small number of Swiss soils. We assess the index using data from the initial sampling (1978–83) of the National Soil Inventory of England and Wales, covering 3,809 sites under arable land, grassland and woodland. Land use, soil type, annual precipitation and soil pH together explained 21% of the variance in SOC/clay ratio in the dataset, with land use the most important variable. Thresholds of SOC/clay ratio of 1/8, 1/10 and 1/13 indicated the boundaries between “very good”, “good”, “moderate” and “degraded” levels of structural condition. On this scale, 38.2, 6.6 and 5.6% of arable, grassland and woodland sites, respectively, were degraded. The index gives a method to assess and monitor soil organic matter at national, regional or sub-regional scales based on two routinely measured soil properties. Given the wide range of soils and land uses across England and Wales in the dataset used to test the index, we suggest it should apply to other European soils in similar climate zones. Highlights We assess the use of SOC/clay ratios as guidelines for soil management in England and Wales. We use data from 3,809 sites to assess thresholds based on work for Polish, French and Swiss soils. SOC/clay threshold values can indicate degraded and good soil structural condition. The thresholds show the effect of land use and provide an index for use in England and Wales.","container-title":"European Journal of Soil Science","DOI":"10.1111/ejss.13012","ISSN":"1365-2389","issue":"6","language":"en","license":"© 2020 The Authors. European Journal of Soil Science published by John Wiley &amp; Sons Ltd on behalf of British Society of Soil Science.","note":"_eprint: https://bsssjournals.onlinelibrary.wiley.com/doi/pdf/10.1111/ejss.13012","page":"2493-2503","source":"Wiley Online Library","title":"What is a good level of soil organic matter? An index based on organic carbon to clay ratio","title-short":"What is a good level of soil organic matter?","volume":"72","author":[{"family":"Prout","given":"Jonah M."},{"family":"Shepherd","given":"Keith D."},{"family":"McGrath","given":"Steve P."},{"family":"Kirk","given":"Guy J. D."},{"family":"Haefele","given":"Stephan M."}],"issued":{"date-parts":[["2021"]]}}}],"schema":"https://github.com/citation-style-language/schema/raw/master/csl-citation.json"} </w:instrText>
      </w:r>
      <w:r w:rsidR="00740BDA">
        <w:fldChar w:fldCharType="separate"/>
      </w:r>
      <w:r w:rsidR="00740BDA" w:rsidRPr="00740BDA">
        <w:rPr>
          <w:rFonts w:cs="Calibri"/>
        </w:rPr>
        <w:t>(Johannes et al., 2017; Prout et al., 2021)</w:t>
      </w:r>
      <w:r w:rsidR="00740BDA">
        <w:fldChar w:fldCharType="end"/>
      </w:r>
      <w:r w:rsidR="000B085F">
        <w:t xml:space="preserve"> et de stabilité structurale </w:t>
      </w:r>
      <w:r w:rsidR="000B085F">
        <w:fldChar w:fldCharType="begin"/>
      </w:r>
      <w:r w:rsidR="000B085F">
        <w:instrText xml:space="preserve"> ADDIN ZOTERO_ITEM CSL_CITATION {"citationID":"qekIuhoO","properties":{"unsorted":false,"formattedCitation":"(Vanwindekens &amp; Hardy, 2023)","plainCitation":"(Vanwindekens &amp; Hardy, 2023)","noteIndex":0},"citationItems":[{"id":581,"uris":["http://zotero.org/groups/5684833/items/JU9ZTR8B"],"itemData":{"id":581,"type":"article-journal","abstract":"We evaluated the performance of a new, simple test to evaluate soil structural stability. The QuantiSlakeTest (QST) consists in a quantitative approach of the slake test, a dynamic weighing of a dried structured soil sample once immersed in water. The objective of this work was threefold: we aimed to (i) derive indicators from QST curves to evaluate soil structural stability, (ii) establish the relationship between soil properties and QST indicators, and (iii) assess how QST indicators respond to contrasting soil management practices. To reach these goals, we sampled the soil of 35 plots from three long-term field trials in the silt loam region of Belgium dealing respectively with contrasting organic matter inputs, tillage and P–K fertilisation. For each plot, indicators calculated from QST curves (e.g. total relative mass loss, disaggregation speed and time to meet a threshold values of mass loss) were compared to the results of the three tests of Le Bissonnais (1996), used as a reference method for the measurement of soil aggregate stability.\n\n Shortly after immersion in water, soil mass increases due to the rapid replacement of air by water in soil porosity. Then soil mass reaches a maximum before decreasing, once mass loss by disaggregation exceeds mass gain by air loss. Our results confirmed that the early mass loss under water is mainly related to slaking, whereas after a longer time period, clay dispersion and differential swelling become the dominant processes of soil disaggregation. The overall soil structural stability was positively correlated to the soil organic carbon (SOC) content and negatively correlated to the clay content of soil. Consequently, the SOC : clay ratio was closely related to QST indicators. Nevertheless, for a similar mean annual carbon (C) input, green manure and crop residues were more efficient in decreasing clay dispersivity and differential swelling, whereas farmyard manure promoted SOC storage and was more efficient against slaking. QST curves had a strong discriminating power between reduced tillage and ploughing regardless of the indicator, as reduced tillage increases both total SOC content and root biomass in the topsoil.\n\n The QST has several advantages. It (i) is rapid to run, (ii) does not require expensive equipment or consumables, and (iii) provides a high density of information on both specific mechanisms of soil disaggregation and the overall soil structural stability. As an open-access programme for QST data management is currently under development, the test has a strong potential for adoption by a widespread community of end users.","container-title":"SOIL","DOI":"10.5194/soil-9-573-2023","ISSN":"2199-3971","issue":"2","language":"English","page":"573-591","publisher":"Copernicus GmbH","source":"Copernicus Online Journals","title":"The QuantiSlakeTest, measuring soil structural stability by dynamic weighing of undisturbed samples immersed in water","volume":"9","author":[{"family":"Vanwindekens","given":"Frédéric Marie"},{"family":"Hardy","given":"Brieuc François"}],"issued":{"date-parts":[["2023",11,17]]}}}],"schema":"https://github.com/citation-style-language/schema/raw/master/csl-citation.json"} </w:instrText>
      </w:r>
      <w:r w:rsidR="000B085F">
        <w:fldChar w:fldCharType="separate"/>
      </w:r>
      <w:r w:rsidR="000B085F" w:rsidRPr="000B085F">
        <w:rPr>
          <w:rFonts w:cs="Calibri"/>
        </w:rPr>
        <w:t>(Vanwindekens &amp; Hardy, 2023)</w:t>
      </w:r>
      <w:r w:rsidR="000B085F">
        <w:fldChar w:fldCharType="end"/>
      </w:r>
      <w:r w:rsidR="00695B81">
        <w:t>.</w:t>
      </w:r>
      <w:r w:rsidR="002807D0">
        <w:t xml:space="preserve"> </w:t>
      </w:r>
      <w:r w:rsidR="00D53B09">
        <w:t xml:space="preserve">Il permet </w:t>
      </w:r>
      <w:r w:rsidR="002807D0">
        <w:t xml:space="preserve">également </w:t>
      </w:r>
      <w:r w:rsidR="00D53B09">
        <w:t>d’</w:t>
      </w:r>
      <w:r w:rsidR="00A170C5">
        <w:t>objectiver la quantité de carbone stockée en fonction de la texture du sol</w:t>
      </w:r>
      <w:r w:rsidR="002807D0">
        <w:t xml:space="preserve"> (approche santé)</w:t>
      </w:r>
      <w:r w:rsidR="00A170C5">
        <w:t>.</w:t>
      </w:r>
    </w:p>
    <w:p w14:paraId="00F9C251" w14:textId="522C4968" w:rsidR="004C09AB" w:rsidRDefault="004C09AB" w:rsidP="00876101">
      <w:pPr>
        <w:pStyle w:val="Titre3"/>
        <w:numPr>
          <w:ilvl w:val="2"/>
          <w:numId w:val="3"/>
        </w:numPr>
      </w:pPr>
      <w:bookmarkStart w:id="152" w:name="_Toc241505331"/>
      <w:r>
        <w:t>Interprétation</w:t>
      </w:r>
      <w:bookmarkEnd w:id="152"/>
    </w:p>
    <w:p w14:paraId="516AC52C" w14:textId="25D727FC" w:rsidR="006A5C81" w:rsidRDefault="00695B81" w:rsidP="006A06A9">
      <w:r w:rsidRPr="00695B81">
        <w:t>Johannes et al.</w:t>
      </w:r>
      <w:r>
        <w:t xml:space="preserve"> </w:t>
      </w:r>
      <w:r>
        <w:fldChar w:fldCharType="begin"/>
      </w:r>
      <w:r w:rsidR="003B1600">
        <w:instrText xml:space="preserve"> ADDIN ZOTERO_ITEM CSL_CITATION {"citationID":"FzSvT8xF","properties":{"unsorted":false,"formattedCitation":"(2017)","plainCitation":"(2017)","noteIndex":0},"citationItems":[{"id":578,"uris":["http://zotero.org/groups/5684833/items/7DIUTBLP"],"itemData":{"id":578,"type":"article-journal","abstract":"Most soil structure-related physical properties are correlated to soil organic carbon (SOC) content. Texture, mineralogy, and SOC:clay ratio are also acknowledged to affect physical properties, however there is no consensus or general conclusions in this respect. Against this background, the present study aims at determining objectives for the management of SOC in terms of structural quality of agricultural soils. The large area in which 161 free-to-swell undisturbed samples were obtained for this research represents a major part of the Swiss agricultural land and belongs to one broad soil group (Cambi-Luvisols). The structural quality was scored visually, and bulk volumes (inverse of bulk density) were measured at standard matric potentials. To define the effect of SOC without interference of soil mechanical degradation, soils with good structural quality scores were considered first in studying the relationship between SOC and soil pore volumes. Results suggest that the relationship is always linear, irrespective of the clay content of the soils. No optimum of SOC corresponding to a fraction of the clay content is found, contrary to the theory of “complexed organic carbon” (Dexter et al., 2008). However, the SOC:clay ratio decreases with decreasing soil structure quality. The SOC:clay ratio of 1:8 is the average for a very good structure quality. A SOC:clay ratio of 1:10 is the limit between good and medium structural quality, thus it constitutes a reasonable goal for soil management by farmers. A SOC:clay ratio of 1:8 or smaller leads to a high probability of poor structural state. These ratios can be used as criteria for soil structural quality and SOC management, and in that context, the concept of complexed organic carbon appears relevant.","container-title":"Geoderma","DOI":"10.1016/j.geoderma.2017.04.021","ISSN":"0016-7061","journalAbbreviation":"Geoderma","page":"14-21","source":"ScienceDirect","title":"Optimal organic carbon values for soil structure quality of arable soils. Does clay content matter?","volume":"302","author":[{"family":"Johannes","given":"Alice"},{"family":"Matter","given":"Adrien"},{"family":"Schulin","given":"Rainer"},{"family":"Weisskopf","given":"Peter"},{"family":"Baveye","given":"Philippe C."},{"family":"Boivin","given":"Pascal"}],"issued":{"date-parts":[["2017",9,15]]}},"suppress-author":true}],"schema":"https://github.com/citation-style-language/schema/raw/master/csl-citation.json"} </w:instrText>
      </w:r>
      <w:r>
        <w:fldChar w:fldCharType="separate"/>
      </w:r>
      <w:r w:rsidR="003B1600" w:rsidRPr="003B1600">
        <w:rPr>
          <w:rFonts w:cs="Calibri"/>
        </w:rPr>
        <w:t>(2017)</w:t>
      </w:r>
      <w:r>
        <w:fldChar w:fldCharType="end"/>
      </w:r>
      <w:r w:rsidR="003B1600">
        <w:t xml:space="preserve"> mentionne des seuils critiques de </w:t>
      </w:r>
      <w:proofErr w:type="spellStart"/>
      <w:r w:rsidR="003B1600">
        <w:t>C</w:t>
      </w:r>
      <w:r w:rsidR="003B1600">
        <w:rPr>
          <w:vertAlign w:val="subscript"/>
        </w:rPr>
        <w:t>org</w:t>
      </w:r>
      <w:proofErr w:type="spellEnd"/>
      <w:r w:rsidR="003B1600">
        <w:t xml:space="preserve">/argile sous lesquels la qualité structurale tend à diminuer. </w:t>
      </w:r>
      <w:r w:rsidR="00A025C1">
        <w:t xml:space="preserve">Ces seuils sont adaptés pour </w:t>
      </w:r>
      <w:r w:rsidR="00F05D44">
        <w:t xml:space="preserve">monitorer l’impact de bonnes pratiques de gestion </w:t>
      </w:r>
      <w:r w:rsidR="00E03F23">
        <w:t xml:space="preserve">dans le cadre de la MAEC </w:t>
      </w:r>
      <w:r w:rsidR="00516DE3">
        <w:t>S</w:t>
      </w:r>
      <w:r w:rsidR="00E03F23">
        <w:t xml:space="preserve">ol </w:t>
      </w:r>
      <w:r w:rsidR="00E03F23">
        <w:fldChar w:fldCharType="begin"/>
      </w:r>
      <w:r w:rsidR="00E03F23">
        <w:instrText xml:space="preserve"> ADDIN ZOTERO_ITEM CSL_CITATION {"citationID":"0JZZ17gf","properties":{"unsorted":false,"formattedCitation":"(SPW, 2026)","plainCitation":"(SPW, 2026)","noteIndex":0},"citationItems":[{"id":576,"uris":["http://zotero.org/groups/5684833/items/BV6WX899"],"itemData":{"id":576,"type":"webpage","container-title":"Agriculture en Wallonie","language":"fr","title":"MAEC Sol - MR14 - Portail de l'agriculture wallonne","URL":"https://agriculture.wallonie.be/home/aides/pac-2023-2027-description-des-interventions/mesures-agro-environnementales-et-climatiques/maec-sol---mr14.html","author":[{"family":"SPW","given":""}],"accessed":{"date-parts":[["2026",6,8]]},"issued":{"date-parts":[["2026"]]}}}],"schema":"https://github.com/citation-style-language/schema/raw/master/csl-citation.json"} </w:instrText>
      </w:r>
      <w:r w:rsidR="00E03F23">
        <w:fldChar w:fldCharType="separate"/>
      </w:r>
      <w:r w:rsidR="00E03F23" w:rsidRPr="00E03F23">
        <w:rPr>
          <w:rFonts w:cs="Calibri"/>
        </w:rPr>
        <w:t>(SPW, 2026)</w:t>
      </w:r>
      <w:r w:rsidR="00E03F23">
        <w:fldChar w:fldCharType="end"/>
      </w:r>
      <w:r w:rsidR="00E03F23">
        <w:t>.</w:t>
      </w:r>
      <w:r w:rsidR="005C482F">
        <w:t xml:space="preserve"> Quant au </w:t>
      </w:r>
      <w:r w:rsidR="000100FD">
        <w:t>service écosystémique</w:t>
      </w:r>
      <w:r w:rsidR="005C482F">
        <w:t xml:space="preserve"> </w:t>
      </w:r>
      <w:r w:rsidR="005C482F" w:rsidRPr="006A5C81">
        <w:rPr>
          <w:i/>
          <w:iCs/>
        </w:rPr>
        <w:t>Stockage de carbone</w:t>
      </w:r>
      <w:r w:rsidR="005C482F">
        <w:t xml:space="preserve">, la directive </w:t>
      </w:r>
      <w:r w:rsidR="005C482F">
        <w:lastRenderedPageBreak/>
        <w:t xml:space="preserve">sur la </w:t>
      </w:r>
      <w:r w:rsidR="005C482F" w:rsidRPr="005C482F">
        <w:t>surveillance des sols</w:t>
      </w:r>
      <w:r w:rsidR="005C482F">
        <w:t xml:space="preserve"> mentionne un </w:t>
      </w:r>
      <w:r w:rsidR="005455EA">
        <w:t xml:space="preserve">seuil minimal lié à la menace de perte de carbone organique des sols </w:t>
      </w:r>
      <w:r w:rsidR="006A5C81">
        <w:fldChar w:fldCharType="begin"/>
      </w:r>
      <w:r w:rsidR="00377A1A">
        <w:instrText xml:space="preserve"> ADDIN ZOTERO_ITEM CSL_CITATION {"citationID":"GLmwKgtD","properties":{"unsorted":false,"formattedCitation":"(UE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6A5C81">
        <w:fldChar w:fldCharType="separate"/>
      </w:r>
      <w:r w:rsidR="00377A1A" w:rsidRPr="00377A1A">
        <w:rPr>
          <w:rFonts w:cs="Calibri"/>
        </w:rPr>
        <w:t>(UE 2025/2360, 2025)</w:t>
      </w:r>
      <w:r w:rsidR="006A5C81">
        <w:fldChar w:fldCharType="end"/>
      </w:r>
      <w:r w:rsidR="006A5C81">
        <w:t>.</w:t>
      </w:r>
    </w:p>
    <w:p w14:paraId="0FDC7DD0" w14:textId="383EAAC2" w:rsidR="00CD2EF0" w:rsidRPr="0018710B" w:rsidRDefault="008423C9" w:rsidP="00CD2EF0">
      <w:pPr>
        <w:pStyle w:val="Lgende"/>
        <w:keepNext/>
        <w:jc w:val="center"/>
      </w:pPr>
      <w:bookmarkStart w:id="153" w:name="_Toc233122668"/>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12</w:t>
      </w:r>
      <w:r w:rsidRPr="00261C30">
        <w:rPr>
          <w:i w:val="0"/>
          <w:iCs w:val="0"/>
        </w:rPr>
        <w:fldChar w:fldCharType="end"/>
      </w:r>
      <w:r w:rsidRPr="00261C30">
        <w:rPr>
          <w:i w:val="0"/>
          <w:iCs w:val="0"/>
        </w:rPr>
        <w:t xml:space="preserve"> : Référentiels d’interprétation </w:t>
      </w:r>
      <w:r>
        <w:rPr>
          <w:i w:val="0"/>
          <w:iCs w:val="0"/>
        </w:rPr>
        <w:t>du</w:t>
      </w:r>
      <w:r w:rsidRPr="00261C30">
        <w:rPr>
          <w:i w:val="0"/>
          <w:iCs w:val="0"/>
        </w:rPr>
        <w:t xml:space="preserve"> paramètre </w:t>
      </w:r>
      <w:r>
        <w:rPr>
          <w:i w:val="0"/>
          <w:iCs w:val="0"/>
        </w:rPr>
        <w:t>ou</w:t>
      </w:r>
      <w:r w:rsidRPr="00261C30">
        <w:rPr>
          <w:i w:val="0"/>
          <w:iCs w:val="0"/>
        </w:rPr>
        <w:t xml:space="preserve"> indicateur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i w:val="0"/>
          <w:iCs w:val="0"/>
          <w:noProof/>
        </w:rPr>
        <w:drawing>
          <wp:inline distT="0" distB="0" distL="0" distR="0" wp14:anchorId="793968D3" wp14:editId="2A775C24">
            <wp:extent cx="91440" cy="118745"/>
            <wp:effectExtent l="0" t="0" r="3810" b="0"/>
            <wp:docPr id="123983389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i w:val="0"/>
          <w:iCs w:val="0"/>
          <w:noProof/>
        </w:rPr>
        <w:drawing>
          <wp:inline distT="0" distB="0" distL="0" distR="0" wp14:anchorId="4016A3B9" wp14:editId="3F93D775">
            <wp:extent cx="85917" cy="88985"/>
            <wp:effectExtent l="0" t="0" r="9525" b="6350"/>
            <wp:docPr id="130022831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i w:val="0"/>
          <w:iCs w:val="0"/>
          <w:noProof/>
        </w:rPr>
        <w:drawing>
          <wp:inline distT="0" distB="0" distL="0" distR="0" wp14:anchorId="25BD88E2" wp14:editId="733916B9">
            <wp:extent cx="164432" cy="65784"/>
            <wp:effectExtent l="0" t="0" r="7620" b="0"/>
            <wp:docPr id="26993329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w:t>
      </w:r>
      <w:bookmarkEnd w:id="153"/>
    </w:p>
    <w:tbl>
      <w:tblPr>
        <w:tblStyle w:val="Grilledutableau"/>
        <w:tblW w:w="0" w:type="auto"/>
        <w:tblCellMar>
          <w:top w:w="28" w:type="dxa"/>
          <w:bottom w:w="28" w:type="dxa"/>
        </w:tblCellMar>
        <w:tblLook w:val="04A0" w:firstRow="1" w:lastRow="0" w:firstColumn="1" w:lastColumn="0" w:noHBand="0" w:noVBand="1"/>
      </w:tblPr>
      <w:tblGrid>
        <w:gridCol w:w="1176"/>
        <w:gridCol w:w="1159"/>
        <w:gridCol w:w="1077"/>
        <w:gridCol w:w="1384"/>
        <w:gridCol w:w="4264"/>
      </w:tblGrid>
      <w:tr w:rsidR="00CD2EF0" w:rsidRPr="0000352D" w14:paraId="7FF1F199" w14:textId="77777777" w:rsidTr="00BC089F">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18D35F0B" w14:textId="4CC09198" w:rsidR="00CD2EF0" w:rsidRPr="0000352D" w:rsidRDefault="00BC089F" w:rsidP="004306AE">
            <w:pPr>
              <w:jc w:val="center"/>
              <w:rPr>
                <w:sz w:val="20"/>
                <w:szCs w:val="20"/>
              </w:rPr>
            </w:pPr>
            <w:r>
              <w:rPr>
                <w:sz w:val="20"/>
                <w:szCs w:val="20"/>
              </w:rPr>
              <w:t xml:space="preserve">Rapport </w:t>
            </w:r>
            <w:proofErr w:type="spellStart"/>
            <w:r>
              <w:rPr>
                <w:sz w:val="20"/>
                <w:szCs w:val="20"/>
              </w:rPr>
              <w:t>C</w:t>
            </w:r>
            <w:r>
              <w:rPr>
                <w:sz w:val="20"/>
                <w:szCs w:val="20"/>
                <w:vertAlign w:val="subscript"/>
              </w:rPr>
              <w:t>org</w:t>
            </w:r>
            <w:proofErr w:type="spellEnd"/>
            <w:r>
              <w:rPr>
                <w:sz w:val="20"/>
                <w:szCs w:val="20"/>
                <w:vertAlign w:val="subscript"/>
              </w:rPr>
              <w:t xml:space="preserve"> </w:t>
            </w:r>
            <w:r>
              <w:rPr>
                <w:sz w:val="20"/>
                <w:szCs w:val="20"/>
              </w:rPr>
              <w:t>/ argile</w:t>
            </w:r>
            <w:r w:rsidR="00CD2EF0">
              <w:rPr>
                <w:sz w:val="20"/>
                <w:szCs w:val="20"/>
              </w:rPr>
              <w:t xml:space="preserve"> </w:t>
            </w:r>
            <w:r w:rsidR="00CD2EF0" w:rsidRPr="0000352D">
              <w:rPr>
                <w:sz w:val="20"/>
                <w:szCs w:val="20"/>
              </w:rPr>
              <w:t>- Référentiel</w:t>
            </w:r>
            <w:r w:rsidR="00CD2EF0">
              <w:rPr>
                <w:sz w:val="20"/>
                <w:szCs w:val="20"/>
              </w:rPr>
              <w:t>s</w:t>
            </w:r>
            <w:r w:rsidR="00CD2EF0" w:rsidRPr="0000352D">
              <w:rPr>
                <w:sz w:val="20"/>
                <w:szCs w:val="20"/>
              </w:rPr>
              <w:t xml:space="preserve"> d’interprétation</w:t>
            </w:r>
          </w:p>
        </w:tc>
      </w:tr>
      <w:tr w:rsidR="00CD2EF0" w:rsidRPr="0000352D" w14:paraId="3C98DBD2" w14:textId="77777777" w:rsidTr="00BC089F">
        <w:tc>
          <w:tcPr>
            <w:tcW w:w="1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7FCE7B28" w14:textId="17F6BE36" w:rsidR="00CD2EF0" w:rsidRPr="00423C23" w:rsidRDefault="000100FD" w:rsidP="004306AE">
            <w:pPr>
              <w:jc w:val="center"/>
              <w:rPr>
                <w:sz w:val="20"/>
                <w:szCs w:val="20"/>
              </w:rPr>
            </w:pPr>
            <w:r>
              <w:rPr>
                <w:sz w:val="20"/>
                <w:szCs w:val="20"/>
              </w:rPr>
              <w:t>Service</w:t>
            </w:r>
          </w:p>
        </w:tc>
        <w:tc>
          <w:tcPr>
            <w:tcW w:w="11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2F57A20C" w14:textId="77777777" w:rsidR="00CD2EF0" w:rsidRPr="00423C23" w:rsidRDefault="00CD2EF0" w:rsidP="004306AE">
            <w:pPr>
              <w:jc w:val="center"/>
              <w:rPr>
                <w:sz w:val="20"/>
                <w:szCs w:val="20"/>
              </w:rPr>
            </w:pPr>
            <w:r w:rsidRPr="00423C23">
              <w:rPr>
                <w:sz w:val="20"/>
                <w:szCs w:val="20"/>
              </w:rPr>
              <w:t>Fonction</w:t>
            </w:r>
          </w:p>
        </w:tc>
        <w:tc>
          <w:tcPr>
            <w:tcW w:w="11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4FF06B38" w14:textId="77777777" w:rsidR="00CD2EF0" w:rsidRPr="00423C23" w:rsidRDefault="00CD2EF0" w:rsidP="004306AE">
            <w:pPr>
              <w:jc w:val="center"/>
              <w:rPr>
                <w:sz w:val="20"/>
                <w:szCs w:val="20"/>
              </w:rPr>
            </w:pPr>
            <w:r>
              <w:rPr>
                <w:sz w:val="20"/>
                <w:szCs w:val="20"/>
              </w:rPr>
              <w:t>Forme</w:t>
            </w:r>
          </w:p>
        </w:tc>
        <w:tc>
          <w:tcPr>
            <w:tcW w:w="10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554E1A69" w14:textId="77777777" w:rsidR="00CD2EF0" w:rsidRPr="00423C23" w:rsidRDefault="00CD2EF0" w:rsidP="004306AE">
            <w:pPr>
              <w:jc w:val="center"/>
              <w:rPr>
                <w:sz w:val="20"/>
                <w:szCs w:val="20"/>
              </w:rPr>
            </w:pPr>
            <w:r w:rsidRPr="00423C23">
              <w:rPr>
                <w:sz w:val="20"/>
                <w:szCs w:val="20"/>
              </w:rPr>
              <w:t>Évaluation</w:t>
            </w:r>
          </w:p>
        </w:tc>
        <w:tc>
          <w:tcPr>
            <w:tcW w:w="45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30580A88" w14:textId="77777777" w:rsidR="00CD2EF0" w:rsidRPr="00423C23" w:rsidRDefault="00CD2EF0" w:rsidP="004306AE">
            <w:pPr>
              <w:jc w:val="center"/>
              <w:rPr>
                <w:sz w:val="20"/>
                <w:szCs w:val="20"/>
              </w:rPr>
            </w:pPr>
            <w:r w:rsidRPr="00423C23">
              <w:rPr>
                <w:sz w:val="20"/>
                <w:szCs w:val="20"/>
              </w:rPr>
              <w:t>Référentiel</w:t>
            </w:r>
          </w:p>
        </w:tc>
      </w:tr>
      <w:tr w:rsidR="00CD2EF0" w:rsidRPr="0000352D" w14:paraId="4DB4A777" w14:textId="77777777" w:rsidTr="00A03ADD">
        <w:trPr>
          <w:trHeight w:val="355"/>
        </w:trPr>
        <w:tc>
          <w:tcPr>
            <w:tcW w:w="1182" w:type="dxa"/>
            <w:vMerge w:val="restart"/>
            <w:tcBorders>
              <w:top w:val="single" w:sz="4" w:space="0" w:color="FFFFFF" w:themeColor="background1"/>
            </w:tcBorders>
            <w:vAlign w:val="center"/>
          </w:tcPr>
          <w:p w14:paraId="4F35EE04" w14:textId="77777777" w:rsidR="00CD2EF0" w:rsidRDefault="00CD2EF0" w:rsidP="00BC089F">
            <w:pPr>
              <w:jc w:val="left"/>
              <w:rPr>
                <w:sz w:val="20"/>
                <w:szCs w:val="20"/>
              </w:rPr>
            </w:pPr>
            <w:r>
              <w:rPr>
                <w:sz w:val="20"/>
                <w:szCs w:val="20"/>
              </w:rPr>
              <w:t>Production</w:t>
            </w:r>
          </w:p>
        </w:tc>
        <w:tc>
          <w:tcPr>
            <w:tcW w:w="1175" w:type="dxa"/>
            <w:vMerge w:val="restart"/>
            <w:tcBorders>
              <w:top w:val="single" w:sz="4" w:space="0" w:color="FFFFFF" w:themeColor="background1"/>
            </w:tcBorders>
            <w:vAlign w:val="center"/>
          </w:tcPr>
          <w:p w14:paraId="62F8EA6A" w14:textId="6650670E" w:rsidR="00CD2EF0" w:rsidRDefault="00BC089F" w:rsidP="00BC089F">
            <w:pPr>
              <w:jc w:val="left"/>
              <w:rPr>
                <w:sz w:val="20"/>
                <w:szCs w:val="20"/>
              </w:rPr>
            </w:pPr>
            <w:r>
              <w:rPr>
                <w:sz w:val="20"/>
                <w:szCs w:val="20"/>
              </w:rPr>
              <w:t>Structure</w:t>
            </w:r>
          </w:p>
        </w:tc>
        <w:tc>
          <w:tcPr>
            <w:tcW w:w="1107" w:type="dxa"/>
            <w:vMerge w:val="restart"/>
            <w:tcBorders>
              <w:top w:val="single" w:sz="4" w:space="0" w:color="FFFFFF" w:themeColor="background1"/>
            </w:tcBorders>
            <w:vAlign w:val="center"/>
          </w:tcPr>
          <w:p w14:paraId="0245D1FB" w14:textId="3E0C4934" w:rsidR="00CD2EF0" w:rsidRPr="0000352D" w:rsidRDefault="00A03ADD" w:rsidP="00A03ADD">
            <w:pPr>
              <w:jc w:val="center"/>
              <w:rPr>
                <w:sz w:val="20"/>
                <w:szCs w:val="20"/>
              </w:rPr>
            </w:pPr>
            <w:r>
              <w:rPr>
                <w:noProof/>
                <w:sz w:val="20"/>
                <w:szCs w:val="20"/>
              </w:rPr>
              <mc:AlternateContent>
                <mc:Choice Requires="wps">
                  <w:drawing>
                    <wp:inline distT="0" distB="0" distL="0" distR="0" wp14:anchorId="78611D70" wp14:editId="40B351D1">
                      <wp:extent cx="94615" cy="153035"/>
                      <wp:effectExtent l="0" t="38100" r="57785" b="18415"/>
                      <wp:docPr id="1011434354"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7195C9F3"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067" w:type="dxa"/>
            <w:tcBorders>
              <w:top w:val="single" w:sz="4" w:space="0" w:color="FFFFFF" w:themeColor="background1"/>
            </w:tcBorders>
            <w:shd w:val="clear" w:color="auto" w:fill="F2F9EB"/>
            <w:vAlign w:val="center"/>
          </w:tcPr>
          <w:p w14:paraId="4B954C1F" w14:textId="25A89FA1" w:rsidR="00CD2EF0" w:rsidRPr="00BC089F" w:rsidRDefault="00BC089F" w:rsidP="00BC089F">
            <w:pPr>
              <w:jc w:val="left"/>
              <w:rPr>
                <w:sz w:val="20"/>
                <w:szCs w:val="20"/>
                <w:vertAlign w:val="subscript"/>
              </w:rPr>
            </w:pPr>
            <w:proofErr w:type="spellStart"/>
            <w:r>
              <w:rPr>
                <w:sz w:val="20"/>
                <w:szCs w:val="20"/>
              </w:rPr>
              <w:t>C</w:t>
            </w:r>
            <w:r>
              <w:rPr>
                <w:sz w:val="20"/>
                <w:szCs w:val="20"/>
                <w:vertAlign w:val="subscript"/>
              </w:rPr>
              <w:t>org</w:t>
            </w:r>
            <w:proofErr w:type="spellEnd"/>
            <w:r>
              <w:rPr>
                <w:sz w:val="20"/>
                <w:szCs w:val="20"/>
              </w:rPr>
              <w:t>/</w:t>
            </w:r>
            <w:proofErr w:type="spellStart"/>
            <w:r>
              <w:rPr>
                <w:sz w:val="20"/>
                <w:szCs w:val="20"/>
              </w:rPr>
              <w:t>argile</w:t>
            </w:r>
            <w:r>
              <w:rPr>
                <w:sz w:val="20"/>
                <w:szCs w:val="20"/>
                <w:vertAlign w:val="subscript"/>
              </w:rPr>
              <w:t>qualité</w:t>
            </w:r>
            <w:proofErr w:type="spellEnd"/>
          </w:p>
        </w:tc>
        <w:tc>
          <w:tcPr>
            <w:tcW w:w="4529" w:type="dxa"/>
            <w:tcBorders>
              <w:top w:val="single" w:sz="4" w:space="0" w:color="FFFFFF" w:themeColor="background1"/>
            </w:tcBorders>
            <w:vAlign w:val="center"/>
          </w:tcPr>
          <w:p w14:paraId="3996151C" w14:textId="2CC76BA3" w:rsidR="00CD2EF0" w:rsidRPr="00CF72F7" w:rsidRDefault="007A5ABF" w:rsidP="00BC089F">
            <w:pPr>
              <w:jc w:val="left"/>
              <w:rPr>
                <w:sz w:val="20"/>
                <w:szCs w:val="20"/>
              </w:rPr>
            </w:pPr>
            <w:r>
              <w:rPr>
                <w:sz w:val="20"/>
                <w:szCs w:val="20"/>
              </w:rPr>
              <w:t xml:space="preserve">Valeurs optimales en lien avec une bonne qualité structurale </w:t>
            </w:r>
            <w:r>
              <w:rPr>
                <w:sz w:val="20"/>
                <w:szCs w:val="20"/>
              </w:rPr>
              <w:fldChar w:fldCharType="begin"/>
            </w:r>
            <w:r>
              <w:rPr>
                <w:sz w:val="20"/>
                <w:szCs w:val="20"/>
              </w:rPr>
              <w:instrText xml:space="preserve"> ADDIN ZOTERO_ITEM CSL_CITATION {"citationID":"nssi0osP","properties":{"unsorted":false,"formattedCitation":"(Johannes et al., 2017)","plainCitation":"(Johannes et al., 2017)","noteIndex":0},"citationItems":[{"id":578,"uris":["http://zotero.org/groups/5684833/items/7DIUTBLP"],"itemData":{"id":578,"type":"article-journal","abstract":"Most soil structure-related physical properties are correlated to soil organic carbon (SOC) content. Texture, mineralogy, and SOC:clay ratio are also acknowledged to affect physical properties, however there is no consensus or general conclusions in this respect. Against this background, the present study aims at determining objectives for the management of SOC in terms of structural quality of agricultural soils. The large area in which 161 free-to-swell undisturbed samples were obtained for this research represents a major part of the Swiss agricultural land and belongs to one broad soil group (Cambi-Luvisols). The structural quality was scored visually, and bulk volumes (inverse of bulk density) were measured at standard matric potentials. To define the effect of SOC without interference of soil mechanical degradation, soils with good structural quality scores were considered first in studying the relationship between SOC and soil pore volumes. Results suggest that the relationship is always linear, irrespective of the clay content of the soils. No optimum of SOC corresponding to a fraction of the clay content is found, contrary to the theory of “complexed organic carbon” (Dexter et al., 2008). However, the SOC:clay ratio decreases with decreasing soil structure quality. The SOC:clay ratio of 1:8 is the average for a very good structure quality. A SOC:clay ratio of 1:10 is the limit between good and medium structural quality, thus it constitutes a reasonable goal for soil management by farmers. A SOC:clay ratio of 1:8 or smaller leads to a high probability of poor structural state. These ratios can be used as criteria for soil structural quality and SOC management, and in that context, the concept of complexed organic carbon appears relevant.","container-title":"Geoderma","DOI":"10.1016/j.geoderma.2017.04.021","ISSN":"0016-7061","journalAbbreviation":"Geoderma","page":"14-21","source":"ScienceDirect","title":"Optimal organic carbon values for soil structure quality of arable soils. Does clay content matter?","volume":"302","author":[{"family":"Johannes","given":"Alice"},{"family":"Matter","given":"Adrien"},{"family":"Schulin","given":"Rainer"},{"family":"Weisskopf","given":"Peter"},{"family":"Baveye","given":"Philippe C."},{"family":"Boivin","given":"Pascal"}],"issued":{"date-parts":[["2017",9,15]]}}}],"schema":"https://github.com/citation-style-language/schema/raw/master/csl-citation.json"} </w:instrText>
            </w:r>
            <w:r>
              <w:rPr>
                <w:sz w:val="20"/>
                <w:szCs w:val="20"/>
              </w:rPr>
              <w:fldChar w:fldCharType="separate"/>
            </w:r>
            <w:r w:rsidRPr="007A5ABF">
              <w:rPr>
                <w:rFonts w:cs="Calibri"/>
                <w:sz w:val="20"/>
              </w:rPr>
              <w:t>(Johannes et al., 2017)</w:t>
            </w:r>
            <w:r>
              <w:rPr>
                <w:sz w:val="20"/>
                <w:szCs w:val="20"/>
              </w:rPr>
              <w:fldChar w:fldCharType="end"/>
            </w:r>
          </w:p>
        </w:tc>
      </w:tr>
      <w:tr w:rsidR="00CD2EF0" w:rsidRPr="0000352D" w14:paraId="43C1B947" w14:textId="77777777" w:rsidTr="00A03ADD">
        <w:tc>
          <w:tcPr>
            <w:tcW w:w="1182" w:type="dxa"/>
            <w:vMerge/>
            <w:tcBorders>
              <w:bottom w:val="single" w:sz="4" w:space="0" w:color="auto"/>
            </w:tcBorders>
            <w:vAlign w:val="center"/>
          </w:tcPr>
          <w:p w14:paraId="26896755" w14:textId="77777777" w:rsidR="00CD2EF0" w:rsidRDefault="00CD2EF0" w:rsidP="00BC089F">
            <w:pPr>
              <w:jc w:val="left"/>
              <w:rPr>
                <w:sz w:val="20"/>
                <w:szCs w:val="20"/>
              </w:rPr>
            </w:pPr>
          </w:p>
        </w:tc>
        <w:tc>
          <w:tcPr>
            <w:tcW w:w="1175" w:type="dxa"/>
            <w:vMerge/>
            <w:tcBorders>
              <w:bottom w:val="single" w:sz="4" w:space="0" w:color="auto"/>
            </w:tcBorders>
            <w:vAlign w:val="center"/>
          </w:tcPr>
          <w:p w14:paraId="004DFF53" w14:textId="77777777" w:rsidR="00CD2EF0" w:rsidRDefault="00CD2EF0" w:rsidP="00BC089F">
            <w:pPr>
              <w:jc w:val="left"/>
              <w:rPr>
                <w:sz w:val="20"/>
                <w:szCs w:val="20"/>
              </w:rPr>
            </w:pPr>
          </w:p>
        </w:tc>
        <w:tc>
          <w:tcPr>
            <w:tcW w:w="1107" w:type="dxa"/>
            <w:vMerge/>
            <w:tcBorders>
              <w:bottom w:val="single" w:sz="4" w:space="0" w:color="auto"/>
            </w:tcBorders>
            <w:vAlign w:val="center"/>
          </w:tcPr>
          <w:p w14:paraId="4B48C5A7" w14:textId="77777777" w:rsidR="00CD2EF0" w:rsidRPr="0000352D" w:rsidRDefault="00CD2EF0" w:rsidP="00A03ADD">
            <w:pPr>
              <w:jc w:val="center"/>
              <w:rPr>
                <w:sz w:val="20"/>
                <w:szCs w:val="20"/>
              </w:rPr>
            </w:pPr>
          </w:p>
        </w:tc>
        <w:tc>
          <w:tcPr>
            <w:tcW w:w="1067" w:type="dxa"/>
            <w:tcBorders>
              <w:bottom w:val="single" w:sz="4" w:space="0" w:color="auto"/>
            </w:tcBorders>
            <w:shd w:val="clear" w:color="auto" w:fill="EFF5FB"/>
            <w:vAlign w:val="center"/>
          </w:tcPr>
          <w:p w14:paraId="41D381D8" w14:textId="1F1A8321" w:rsidR="00CD2EF0" w:rsidRPr="002315F4" w:rsidRDefault="00BC089F" w:rsidP="00BC089F">
            <w:pPr>
              <w:jc w:val="left"/>
              <w:rPr>
                <w:sz w:val="20"/>
                <w:szCs w:val="20"/>
                <w:vertAlign w:val="subscript"/>
              </w:rPr>
            </w:pPr>
            <w:proofErr w:type="spellStart"/>
            <w:r>
              <w:rPr>
                <w:sz w:val="20"/>
                <w:szCs w:val="20"/>
              </w:rPr>
              <w:t>C</w:t>
            </w:r>
            <w:r>
              <w:rPr>
                <w:sz w:val="20"/>
                <w:szCs w:val="20"/>
                <w:vertAlign w:val="subscript"/>
              </w:rPr>
              <w:t>org</w:t>
            </w:r>
            <w:proofErr w:type="spellEnd"/>
            <w:r>
              <w:rPr>
                <w:sz w:val="20"/>
                <w:szCs w:val="20"/>
              </w:rPr>
              <w:t>/</w:t>
            </w:r>
            <w:proofErr w:type="spellStart"/>
            <w:r>
              <w:rPr>
                <w:sz w:val="20"/>
                <w:szCs w:val="20"/>
              </w:rPr>
              <w:t>argile</w:t>
            </w:r>
            <w:r>
              <w:rPr>
                <w:sz w:val="20"/>
                <w:szCs w:val="20"/>
                <w:vertAlign w:val="subscript"/>
              </w:rPr>
              <w:t>santé</w:t>
            </w:r>
            <w:proofErr w:type="spellEnd"/>
          </w:p>
        </w:tc>
        <w:tc>
          <w:tcPr>
            <w:tcW w:w="4529" w:type="dxa"/>
            <w:vAlign w:val="center"/>
          </w:tcPr>
          <w:p w14:paraId="6A290C17" w14:textId="6E28D104" w:rsidR="00CD2EF0" w:rsidRPr="00CF72F7" w:rsidRDefault="00627BB2" w:rsidP="00BC089F">
            <w:pPr>
              <w:jc w:val="left"/>
              <w:rPr>
                <w:sz w:val="20"/>
                <w:szCs w:val="20"/>
              </w:rPr>
            </w:pPr>
            <w:r>
              <w:rPr>
                <w:sz w:val="20"/>
                <w:szCs w:val="20"/>
              </w:rPr>
              <w:t>Comparaison à la valeur potentielle atteignable en fonction de la classe texturale (sur base de MO potentielle)</w:t>
            </w:r>
          </w:p>
        </w:tc>
      </w:tr>
      <w:tr w:rsidR="00BC089F" w:rsidRPr="00CF72F7" w14:paraId="78F43BB7" w14:textId="77777777" w:rsidTr="00A03ADD">
        <w:trPr>
          <w:trHeight w:val="355"/>
        </w:trPr>
        <w:tc>
          <w:tcPr>
            <w:tcW w:w="1182" w:type="dxa"/>
            <w:vMerge w:val="restart"/>
            <w:vAlign w:val="center"/>
          </w:tcPr>
          <w:p w14:paraId="176CDFEE" w14:textId="1A2DAB82" w:rsidR="00BC089F" w:rsidRDefault="00BC089F" w:rsidP="00BC089F">
            <w:pPr>
              <w:jc w:val="left"/>
              <w:rPr>
                <w:sz w:val="20"/>
                <w:szCs w:val="20"/>
              </w:rPr>
            </w:pPr>
            <w:r>
              <w:rPr>
                <w:sz w:val="20"/>
                <w:szCs w:val="20"/>
              </w:rPr>
              <w:t>Stockage C</w:t>
            </w:r>
          </w:p>
        </w:tc>
        <w:tc>
          <w:tcPr>
            <w:tcW w:w="1175" w:type="dxa"/>
            <w:vMerge w:val="restart"/>
            <w:vAlign w:val="center"/>
          </w:tcPr>
          <w:p w14:paraId="46D7649C" w14:textId="00E90CA3" w:rsidR="00BC089F" w:rsidRDefault="00BC089F" w:rsidP="00BC089F">
            <w:pPr>
              <w:jc w:val="left"/>
              <w:rPr>
                <w:sz w:val="20"/>
                <w:szCs w:val="20"/>
              </w:rPr>
            </w:pPr>
            <w:r>
              <w:rPr>
                <w:sz w:val="20"/>
                <w:szCs w:val="20"/>
              </w:rPr>
              <w:t>Stockage</w:t>
            </w:r>
          </w:p>
        </w:tc>
        <w:tc>
          <w:tcPr>
            <w:tcW w:w="1107" w:type="dxa"/>
            <w:vMerge w:val="restart"/>
            <w:vAlign w:val="center"/>
          </w:tcPr>
          <w:p w14:paraId="503B8286" w14:textId="6BC7AF9E" w:rsidR="00BC089F" w:rsidRPr="0000352D" w:rsidRDefault="00A03ADD" w:rsidP="00A03ADD">
            <w:pPr>
              <w:jc w:val="center"/>
              <w:rPr>
                <w:sz w:val="20"/>
                <w:szCs w:val="20"/>
              </w:rPr>
            </w:pPr>
            <w:r>
              <w:rPr>
                <w:noProof/>
                <w:sz w:val="20"/>
                <w:szCs w:val="20"/>
              </w:rPr>
              <mc:AlternateContent>
                <mc:Choice Requires="wps">
                  <w:drawing>
                    <wp:inline distT="0" distB="0" distL="0" distR="0" wp14:anchorId="66A929AC" wp14:editId="02B08D45">
                      <wp:extent cx="94615" cy="153035"/>
                      <wp:effectExtent l="0" t="38100" r="57785" b="18415"/>
                      <wp:docPr id="574379906"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365FBDF1"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067" w:type="dxa"/>
            <w:shd w:val="clear" w:color="auto" w:fill="F2F9EB"/>
            <w:vAlign w:val="center"/>
          </w:tcPr>
          <w:p w14:paraId="160B1DF5" w14:textId="5778E09D" w:rsidR="00BC089F" w:rsidRPr="002315F4" w:rsidRDefault="00BC089F" w:rsidP="00BC089F">
            <w:pPr>
              <w:jc w:val="left"/>
              <w:rPr>
                <w:sz w:val="20"/>
                <w:szCs w:val="20"/>
                <w:vertAlign w:val="subscript"/>
              </w:rPr>
            </w:pPr>
            <w:proofErr w:type="spellStart"/>
            <w:r>
              <w:rPr>
                <w:sz w:val="20"/>
                <w:szCs w:val="20"/>
              </w:rPr>
              <w:t>C</w:t>
            </w:r>
            <w:r>
              <w:rPr>
                <w:sz w:val="20"/>
                <w:szCs w:val="20"/>
                <w:vertAlign w:val="subscript"/>
              </w:rPr>
              <w:t>org</w:t>
            </w:r>
            <w:proofErr w:type="spellEnd"/>
            <w:r>
              <w:rPr>
                <w:sz w:val="20"/>
                <w:szCs w:val="20"/>
              </w:rPr>
              <w:t>/</w:t>
            </w:r>
            <w:proofErr w:type="spellStart"/>
            <w:r>
              <w:rPr>
                <w:sz w:val="20"/>
                <w:szCs w:val="20"/>
              </w:rPr>
              <w:t>argile</w:t>
            </w:r>
            <w:r>
              <w:rPr>
                <w:sz w:val="20"/>
                <w:szCs w:val="20"/>
                <w:vertAlign w:val="subscript"/>
              </w:rPr>
              <w:t>qualité</w:t>
            </w:r>
            <w:proofErr w:type="spellEnd"/>
          </w:p>
        </w:tc>
        <w:tc>
          <w:tcPr>
            <w:tcW w:w="4529" w:type="dxa"/>
            <w:vAlign w:val="center"/>
          </w:tcPr>
          <w:p w14:paraId="4388FA39" w14:textId="45A2E942" w:rsidR="00BC089F" w:rsidRPr="00CF72F7" w:rsidRDefault="00554F07" w:rsidP="00BC089F">
            <w:pPr>
              <w:jc w:val="left"/>
              <w:rPr>
                <w:sz w:val="20"/>
                <w:szCs w:val="20"/>
              </w:rPr>
            </w:pPr>
            <w:r>
              <w:rPr>
                <w:sz w:val="20"/>
                <w:szCs w:val="20"/>
              </w:rPr>
              <w:t>Seuil mentionné dans la directive</w:t>
            </w:r>
            <w:r w:rsidR="00BE16F5">
              <w:rPr>
                <w:sz w:val="20"/>
                <w:szCs w:val="20"/>
              </w:rPr>
              <w:t xml:space="preserve"> - </w:t>
            </w:r>
            <w:r w:rsidR="005537D0">
              <w:rPr>
                <w:sz w:val="20"/>
                <w:szCs w:val="20"/>
              </w:rPr>
              <w:t xml:space="preserve">perte de carbone organique du sol </w:t>
            </w:r>
            <w:r w:rsidR="005537D0">
              <w:rPr>
                <w:sz w:val="20"/>
                <w:szCs w:val="20"/>
              </w:rPr>
              <w:fldChar w:fldCharType="begin"/>
            </w:r>
            <w:r w:rsidR="00377A1A">
              <w:rPr>
                <w:sz w:val="20"/>
                <w:szCs w:val="20"/>
              </w:rPr>
              <w:instrText xml:space="preserve"> ADDIN ZOTERO_ITEM CSL_CITATION {"citationID":"ECn0W6V7","properties":{"unsorted":false,"formattedCitation":"(UE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5537D0">
              <w:rPr>
                <w:sz w:val="20"/>
                <w:szCs w:val="20"/>
              </w:rPr>
              <w:fldChar w:fldCharType="separate"/>
            </w:r>
            <w:r w:rsidR="00377A1A" w:rsidRPr="00377A1A">
              <w:rPr>
                <w:rFonts w:cs="Calibri"/>
                <w:sz w:val="20"/>
              </w:rPr>
              <w:t>(UE 2025/2360, 2025)</w:t>
            </w:r>
            <w:r w:rsidR="005537D0">
              <w:rPr>
                <w:sz w:val="20"/>
                <w:szCs w:val="20"/>
              </w:rPr>
              <w:fldChar w:fldCharType="end"/>
            </w:r>
          </w:p>
        </w:tc>
      </w:tr>
      <w:tr w:rsidR="00BC089F" w:rsidRPr="00CF72F7" w14:paraId="01F2BDF3" w14:textId="77777777" w:rsidTr="00BC089F">
        <w:tc>
          <w:tcPr>
            <w:tcW w:w="1182" w:type="dxa"/>
            <w:vMerge/>
            <w:vAlign w:val="center"/>
          </w:tcPr>
          <w:p w14:paraId="4CA3C19B" w14:textId="77777777" w:rsidR="00BC089F" w:rsidRDefault="00BC089F" w:rsidP="00BC089F">
            <w:pPr>
              <w:jc w:val="left"/>
              <w:rPr>
                <w:sz w:val="20"/>
                <w:szCs w:val="20"/>
              </w:rPr>
            </w:pPr>
          </w:p>
        </w:tc>
        <w:tc>
          <w:tcPr>
            <w:tcW w:w="1175" w:type="dxa"/>
            <w:vMerge/>
            <w:vAlign w:val="center"/>
          </w:tcPr>
          <w:p w14:paraId="41474754" w14:textId="77777777" w:rsidR="00BC089F" w:rsidRDefault="00BC089F" w:rsidP="00BC089F">
            <w:pPr>
              <w:jc w:val="left"/>
              <w:rPr>
                <w:sz w:val="20"/>
                <w:szCs w:val="20"/>
              </w:rPr>
            </w:pPr>
          </w:p>
        </w:tc>
        <w:tc>
          <w:tcPr>
            <w:tcW w:w="1107" w:type="dxa"/>
            <w:vMerge/>
            <w:vAlign w:val="center"/>
          </w:tcPr>
          <w:p w14:paraId="66882A32" w14:textId="77777777" w:rsidR="00BC089F" w:rsidRPr="0000352D" w:rsidRDefault="00BC089F" w:rsidP="00BC089F">
            <w:pPr>
              <w:jc w:val="left"/>
              <w:rPr>
                <w:sz w:val="20"/>
                <w:szCs w:val="20"/>
              </w:rPr>
            </w:pPr>
          </w:p>
        </w:tc>
        <w:tc>
          <w:tcPr>
            <w:tcW w:w="1067" w:type="dxa"/>
            <w:shd w:val="clear" w:color="auto" w:fill="EFF5FB"/>
            <w:vAlign w:val="center"/>
          </w:tcPr>
          <w:p w14:paraId="10C7A159" w14:textId="561DED5A" w:rsidR="00BC089F" w:rsidRPr="002315F4" w:rsidRDefault="00BC089F" w:rsidP="00BC089F">
            <w:pPr>
              <w:jc w:val="left"/>
              <w:rPr>
                <w:sz w:val="20"/>
                <w:szCs w:val="20"/>
                <w:vertAlign w:val="subscript"/>
              </w:rPr>
            </w:pPr>
            <w:proofErr w:type="spellStart"/>
            <w:r>
              <w:rPr>
                <w:sz w:val="20"/>
                <w:szCs w:val="20"/>
              </w:rPr>
              <w:t>C</w:t>
            </w:r>
            <w:r>
              <w:rPr>
                <w:sz w:val="20"/>
                <w:szCs w:val="20"/>
                <w:vertAlign w:val="subscript"/>
              </w:rPr>
              <w:t>org</w:t>
            </w:r>
            <w:proofErr w:type="spellEnd"/>
            <w:r>
              <w:rPr>
                <w:sz w:val="20"/>
                <w:szCs w:val="20"/>
              </w:rPr>
              <w:t>/</w:t>
            </w:r>
            <w:proofErr w:type="spellStart"/>
            <w:r>
              <w:rPr>
                <w:sz w:val="20"/>
                <w:szCs w:val="20"/>
              </w:rPr>
              <w:t>argile</w:t>
            </w:r>
            <w:r>
              <w:rPr>
                <w:sz w:val="20"/>
                <w:szCs w:val="20"/>
                <w:vertAlign w:val="subscript"/>
              </w:rPr>
              <w:t>santé</w:t>
            </w:r>
            <w:proofErr w:type="spellEnd"/>
          </w:p>
        </w:tc>
        <w:tc>
          <w:tcPr>
            <w:tcW w:w="4529" w:type="dxa"/>
            <w:vAlign w:val="center"/>
          </w:tcPr>
          <w:p w14:paraId="55859D5C" w14:textId="07A15FA1" w:rsidR="00BC089F" w:rsidRPr="00CF72F7" w:rsidRDefault="00627BB2" w:rsidP="00BC089F">
            <w:pPr>
              <w:jc w:val="left"/>
              <w:rPr>
                <w:sz w:val="20"/>
                <w:szCs w:val="20"/>
              </w:rPr>
            </w:pPr>
            <w:r>
              <w:rPr>
                <w:sz w:val="20"/>
                <w:szCs w:val="20"/>
              </w:rPr>
              <w:t>Comparaison à la valeur potentielle atteignable en fonction de la classe texturale (sur base de MO potentielle)</w:t>
            </w:r>
          </w:p>
        </w:tc>
      </w:tr>
    </w:tbl>
    <w:p w14:paraId="6989685C" w14:textId="77777777" w:rsidR="00714805" w:rsidRDefault="00714805" w:rsidP="00714805"/>
    <w:p w14:paraId="5AE5B1C3" w14:textId="77777777" w:rsidR="00B217F9" w:rsidRDefault="000E2E6E" w:rsidP="00B217F9">
      <w:pPr>
        <w:keepNext/>
        <w:jc w:val="center"/>
      </w:pPr>
      <w:r>
        <w:rPr>
          <w:noProof/>
        </w:rPr>
        <w:drawing>
          <wp:inline distT="0" distB="0" distL="0" distR="0" wp14:anchorId="478F134C" wp14:editId="6D6F282E">
            <wp:extent cx="4496757" cy="3207224"/>
            <wp:effectExtent l="0" t="0" r="0" b="0"/>
            <wp:docPr id="1808116614"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4169" cy="3212511"/>
                    </a:xfrm>
                    <a:prstGeom prst="rect">
                      <a:avLst/>
                    </a:prstGeom>
                    <a:noFill/>
                    <a:ln>
                      <a:noFill/>
                    </a:ln>
                  </pic:spPr>
                </pic:pic>
              </a:graphicData>
            </a:graphic>
          </wp:inline>
        </w:drawing>
      </w:r>
    </w:p>
    <w:p w14:paraId="05AA4872" w14:textId="1D2A1631" w:rsidR="00B217F9" w:rsidRPr="00B217F9" w:rsidRDefault="00B217F9" w:rsidP="00B217F9">
      <w:pPr>
        <w:pStyle w:val="Lgende"/>
        <w:jc w:val="center"/>
        <w:rPr>
          <w:i w:val="0"/>
          <w:iCs w:val="0"/>
        </w:rPr>
      </w:pPr>
      <w:bookmarkStart w:id="154" w:name="_Toc241505123"/>
      <w:r w:rsidRPr="00B217F9">
        <w:rPr>
          <w:i w:val="0"/>
          <w:iCs w:val="0"/>
        </w:rPr>
        <w:t xml:space="preserve">Figure </w:t>
      </w:r>
      <w:r w:rsidRPr="00B217F9">
        <w:rPr>
          <w:i w:val="0"/>
          <w:iCs w:val="0"/>
        </w:rPr>
        <w:fldChar w:fldCharType="begin"/>
      </w:r>
      <w:r w:rsidRPr="00B217F9">
        <w:rPr>
          <w:i w:val="0"/>
          <w:iCs w:val="0"/>
        </w:rPr>
        <w:instrText xml:space="preserve"> SEQ Figure \* ARABIC </w:instrText>
      </w:r>
      <w:r w:rsidRPr="00B217F9">
        <w:rPr>
          <w:i w:val="0"/>
          <w:iCs w:val="0"/>
        </w:rPr>
        <w:fldChar w:fldCharType="separate"/>
      </w:r>
      <w:r w:rsidR="00B90382">
        <w:rPr>
          <w:i w:val="0"/>
          <w:iCs w:val="0"/>
          <w:noProof/>
        </w:rPr>
        <w:t>17</w:t>
      </w:r>
      <w:r w:rsidRPr="00B217F9">
        <w:rPr>
          <w:i w:val="0"/>
          <w:iCs w:val="0"/>
        </w:rPr>
        <w:fldChar w:fldCharType="end"/>
      </w:r>
      <w:r w:rsidRPr="00B217F9">
        <w:rPr>
          <w:i w:val="0"/>
          <w:iCs w:val="0"/>
        </w:rPr>
        <w:t xml:space="preserve"> : Exemple de fonction d'interprétation pour l’indicateur </w:t>
      </w:r>
      <w:proofErr w:type="spellStart"/>
      <w:r>
        <w:rPr>
          <w:i w:val="0"/>
          <w:iCs w:val="0"/>
        </w:rPr>
        <w:t>Corg</w:t>
      </w:r>
      <w:proofErr w:type="spellEnd"/>
      <w:r>
        <w:rPr>
          <w:i w:val="0"/>
          <w:iCs w:val="0"/>
        </w:rPr>
        <w:t>/argile</w:t>
      </w:r>
      <w:r w:rsidRPr="00B217F9">
        <w:rPr>
          <w:i w:val="0"/>
          <w:iCs w:val="0"/>
        </w:rPr>
        <w:t xml:space="preserve"> (fonction </w:t>
      </w:r>
      <w:r w:rsidR="00B90382">
        <w:rPr>
          <w:i w:val="0"/>
          <w:iCs w:val="0"/>
        </w:rPr>
        <w:t>Structure</w:t>
      </w:r>
      <w:r w:rsidRPr="00B217F9">
        <w:rPr>
          <w:i w:val="0"/>
          <w:iCs w:val="0"/>
        </w:rPr>
        <w:t xml:space="preserve">, SE </w:t>
      </w:r>
      <w:r w:rsidR="00B90382">
        <w:rPr>
          <w:i w:val="0"/>
          <w:iCs w:val="0"/>
        </w:rPr>
        <w:t>Production – cultures</w:t>
      </w:r>
      <w:r w:rsidRPr="00B217F9">
        <w:rPr>
          <w:i w:val="0"/>
          <w:iCs w:val="0"/>
        </w:rPr>
        <w:t>)</w:t>
      </w:r>
      <w:r w:rsidR="00B90382">
        <w:rPr>
          <w:rStyle w:val="Appelnotedebasdep"/>
          <w:i w:val="0"/>
          <w:iCs w:val="0"/>
        </w:rPr>
        <w:footnoteReference w:id="9"/>
      </w:r>
      <w:r w:rsidR="00B90382">
        <w:rPr>
          <w:i w:val="0"/>
          <w:iCs w:val="0"/>
        </w:rPr>
        <w:t> : référentiel de qualité</w:t>
      </w:r>
      <w:bookmarkEnd w:id="154"/>
    </w:p>
    <w:p w14:paraId="1A85678A" w14:textId="77777777" w:rsidR="00B90382" w:rsidRDefault="002E31FC" w:rsidP="00B90382">
      <w:pPr>
        <w:keepNext/>
        <w:jc w:val="center"/>
      </w:pPr>
      <w:r>
        <w:rPr>
          <w:noProof/>
        </w:rPr>
        <w:lastRenderedPageBreak/>
        <w:drawing>
          <wp:inline distT="0" distB="0" distL="0" distR="0" wp14:anchorId="74EC7957" wp14:editId="7CC35A61">
            <wp:extent cx="4312693" cy="3075944"/>
            <wp:effectExtent l="0" t="0" r="0" b="0"/>
            <wp:docPr id="1141924726"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20923" cy="3081814"/>
                    </a:xfrm>
                    <a:prstGeom prst="rect">
                      <a:avLst/>
                    </a:prstGeom>
                    <a:noFill/>
                    <a:ln>
                      <a:noFill/>
                    </a:ln>
                  </pic:spPr>
                </pic:pic>
              </a:graphicData>
            </a:graphic>
          </wp:inline>
        </w:drawing>
      </w:r>
    </w:p>
    <w:p w14:paraId="2DA5BD4E" w14:textId="5CD67E9C" w:rsidR="000E2E6E" w:rsidRPr="00B90382" w:rsidRDefault="00B90382" w:rsidP="00B90382">
      <w:pPr>
        <w:pStyle w:val="Lgende"/>
        <w:jc w:val="center"/>
        <w:rPr>
          <w:i w:val="0"/>
          <w:iCs w:val="0"/>
        </w:rPr>
      </w:pPr>
      <w:bookmarkStart w:id="155" w:name="_Toc241505124"/>
      <w:r w:rsidRPr="00B90382">
        <w:rPr>
          <w:i w:val="0"/>
          <w:iCs w:val="0"/>
        </w:rPr>
        <w:t xml:space="preserve">Figure </w:t>
      </w:r>
      <w:r w:rsidRPr="00B90382">
        <w:rPr>
          <w:i w:val="0"/>
          <w:iCs w:val="0"/>
        </w:rPr>
        <w:fldChar w:fldCharType="begin"/>
      </w:r>
      <w:r w:rsidRPr="00B90382">
        <w:rPr>
          <w:i w:val="0"/>
          <w:iCs w:val="0"/>
        </w:rPr>
        <w:instrText xml:space="preserve"> SEQ Figure \* ARABIC </w:instrText>
      </w:r>
      <w:r w:rsidRPr="00B90382">
        <w:rPr>
          <w:i w:val="0"/>
          <w:iCs w:val="0"/>
        </w:rPr>
        <w:fldChar w:fldCharType="separate"/>
      </w:r>
      <w:r>
        <w:rPr>
          <w:i w:val="0"/>
          <w:iCs w:val="0"/>
          <w:noProof/>
        </w:rPr>
        <w:t>18</w:t>
      </w:r>
      <w:r w:rsidRPr="00B90382">
        <w:rPr>
          <w:i w:val="0"/>
          <w:iCs w:val="0"/>
        </w:rPr>
        <w:fldChar w:fldCharType="end"/>
      </w:r>
      <w:r w:rsidRPr="00B90382">
        <w:rPr>
          <w:i w:val="0"/>
          <w:iCs w:val="0"/>
        </w:rPr>
        <w:t xml:space="preserve"> : Exemple de fonction d'interprétation pour l’indicateur </w:t>
      </w:r>
      <w:proofErr w:type="spellStart"/>
      <w:r w:rsidRPr="00B90382">
        <w:rPr>
          <w:i w:val="0"/>
          <w:iCs w:val="0"/>
        </w:rPr>
        <w:t>Corg</w:t>
      </w:r>
      <w:proofErr w:type="spellEnd"/>
      <w:r w:rsidRPr="00B90382">
        <w:rPr>
          <w:i w:val="0"/>
          <w:iCs w:val="0"/>
        </w:rPr>
        <w:t>/argile (fonction Structure, SE Production – cultures) : référentiel de santé</w:t>
      </w:r>
      <w:bookmarkEnd w:id="155"/>
    </w:p>
    <w:p w14:paraId="7874F4A6" w14:textId="77777777" w:rsidR="000E2E6E" w:rsidRPr="006A06A9" w:rsidRDefault="000E2E6E" w:rsidP="00714805"/>
    <w:p w14:paraId="23FB8E50" w14:textId="600995DA" w:rsidR="00714805" w:rsidRDefault="00714805" w:rsidP="00876101">
      <w:pPr>
        <w:pStyle w:val="Titre2"/>
        <w:numPr>
          <w:ilvl w:val="1"/>
          <w:numId w:val="3"/>
        </w:numPr>
      </w:pPr>
      <w:bookmarkStart w:id="156" w:name="_Ref232207217"/>
      <w:bookmarkStart w:id="157" w:name="_Toc241505332"/>
      <w:r>
        <w:t>Rapport K/Mg</w:t>
      </w:r>
      <w:bookmarkEnd w:id="156"/>
      <w:bookmarkEnd w:id="157"/>
    </w:p>
    <w:p w14:paraId="1ABC1EF6" w14:textId="77777777" w:rsidR="00714805" w:rsidRDefault="00714805" w:rsidP="00876101">
      <w:pPr>
        <w:pStyle w:val="Titre3"/>
        <w:numPr>
          <w:ilvl w:val="2"/>
          <w:numId w:val="3"/>
        </w:numPr>
      </w:pPr>
      <w:bookmarkStart w:id="158" w:name="_Toc241505333"/>
      <w:r>
        <w:t>Définition et calcul</w:t>
      </w:r>
      <w:bookmarkEnd w:id="158"/>
    </w:p>
    <w:p w14:paraId="473B6F53" w14:textId="3687AE91" w:rsidR="0076033C" w:rsidRPr="0076033C" w:rsidRDefault="0076033C" w:rsidP="0076033C">
      <w:r>
        <w:t>Ce rapport se calcule simplement en rapportant les teneurs de ces deux éléments.</w:t>
      </w:r>
    </w:p>
    <w:p w14:paraId="790CBB86" w14:textId="696FEBB7" w:rsidR="00714805" w:rsidRDefault="0076033C" w:rsidP="00876101">
      <w:pPr>
        <w:pStyle w:val="Titre3"/>
        <w:numPr>
          <w:ilvl w:val="2"/>
          <w:numId w:val="3"/>
        </w:numPr>
      </w:pPr>
      <w:bookmarkStart w:id="159" w:name="_Toc241505334"/>
      <w:r>
        <w:t>Pertinence</w:t>
      </w:r>
      <w:bookmarkEnd w:id="159"/>
    </w:p>
    <w:p w14:paraId="30796C7C" w14:textId="667A58C7" w:rsidR="00240D22" w:rsidRPr="00240D22" w:rsidRDefault="00240D22" w:rsidP="00240D22">
      <w:r>
        <w:t xml:space="preserve">Le rapport K/Mg </w:t>
      </w:r>
      <w:r w:rsidR="000F1B8A">
        <w:t>caractérise l’équilibre entre ces deux éléments,</w:t>
      </w:r>
      <w:r w:rsidR="004023C7">
        <w:t xml:space="preserve"> et est complémentaire à l’interprétation des teneurs individuelles et nutriments car il </w:t>
      </w:r>
      <w:r>
        <w:t>permet d’informer sur le risque de carence induite.</w:t>
      </w:r>
      <w:r w:rsidR="004023C7">
        <w:t xml:space="preserve"> </w:t>
      </w:r>
      <w:r w:rsidR="05D6B31D">
        <w:t>C</w:t>
      </w:r>
      <w:r w:rsidR="004023C7">
        <w:t>et indicateur présente une forte variabilité temporelle.</w:t>
      </w:r>
    </w:p>
    <w:p w14:paraId="34098F1B" w14:textId="6BFAAC90" w:rsidR="0076033C" w:rsidRPr="0076033C" w:rsidRDefault="0076033C" w:rsidP="00876101">
      <w:pPr>
        <w:pStyle w:val="Titre3"/>
        <w:numPr>
          <w:ilvl w:val="2"/>
          <w:numId w:val="3"/>
        </w:numPr>
      </w:pPr>
      <w:bookmarkStart w:id="160" w:name="_Toc241505335"/>
      <w:r>
        <w:t>Interprétation</w:t>
      </w:r>
      <w:bookmarkEnd w:id="160"/>
    </w:p>
    <w:p w14:paraId="699BB7F7" w14:textId="26D2CB01" w:rsidR="00714805" w:rsidRDefault="001A6728" w:rsidP="00714805">
      <w:r>
        <w:t>Un</w:t>
      </w:r>
      <w:r w:rsidR="009D49FA">
        <w:t xml:space="preserve">e gamme optimale de valeurs </w:t>
      </w:r>
      <w:r>
        <w:t>de ce rapport est présenté</w:t>
      </w:r>
      <w:r w:rsidR="009D49FA">
        <w:t>e</w:t>
      </w:r>
      <w:r>
        <w:t xml:space="preserve"> </w:t>
      </w:r>
      <w:r w:rsidR="00C02660">
        <w:t xml:space="preserve">par REQUASUD </w:t>
      </w:r>
      <w:r w:rsidR="00C02660">
        <w:fldChar w:fldCharType="begin"/>
      </w:r>
      <w:r w:rsidR="00C02660">
        <w:instrText xml:space="preserve"> ADDIN ZOTERO_ITEM CSL_CITATION {"citationID":"hhnkiwyy","properties":{"unsorted":false,"formattedCitation":"(Cugnon,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sidR="00C02660">
        <w:fldChar w:fldCharType="separate"/>
      </w:r>
      <w:r w:rsidR="00C02660" w:rsidRPr="00C02660">
        <w:rPr>
          <w:rFonts w:cs="Calibri"/>
        </w:rPr>
        <w:t>(Cugnon, 2025)</w:t>
      </w:r>
      <w:r w:rsidR="00C02660">
        <w:fldChar w:fldCharType="end"/>
      </w:r>
      <w:r w:rsidR="00C02660">
        <w:t>.</w:t>
      </w:r>
    </w:p>
    <w:p w14:paraId="05C4AB15" w14:textId="77777777" w:rsidR="00032143" w:rsidRDefault="00032143" w:rsidP="00714805"/>
    <w:p w14:paraId="77D4EEB6" w14:textId="0D3AE0AB" w:rsidR="00C02660" w:rsidRPr="0018710B" w:rsidRDefault="00C02660" w:rsidP="00C02660">
      <w:pPr>
        <w:pStyle w:val="Lgende"/>
        <w:keepNext/>
        <w:jc w:val="center"/>
      </w:pPr>
      <w:bookmarkStart w:id="161" w:name="_Toc233122669"/>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13</w:t>
      </w:r>
      <w:r w:rsidRPr="00261C30">
        <w:rPr>
          <w:i w:val="0"/>
          <w:iCs w:val="0"/>
        </w:rPr>
        <w:fldChar w:fldCharType="end"/>
      </w:r>
      <w:r w:rsidRPr="00261C30">
        <w:rPr>
          <w:i w:val="0"/>
          <w:iCs w:val="0"/>
        </w:rPr>
        <w:t xml:space="preserve"> : Référentiels d’interprétation </w:t>
      </w:r>
      <w:r>
        <w:rPr>
          <w:i w:val="0"/>
          <w:iCs w:val="0"/>
        </w:rPr>
        <w:t>d</w:t>
      </w:r>
      <w:r w:rsidR="2473EBF8" w:rsidRPr="6CB535F6">
        <w:rPr>
          <w:i w:val="0"/>
          <w:iCs w:val="0"/>
        </w:rPr>
        <w:t>e l’</w:t>
      </w:r>
      <w:r w:rsidRPr="6CB535F6">
        <w:rPr>
          <w:i w:val="0"/>
          <w:iCs w:val="0"/>
        </w:rPr>
        <w:t>indicateur</w:t>
      </w:r>
      <w:r w:rsidRPr="00261C30">
        <w:rPr>
          <w:i w:val="0"/>
          <w:iCs w:val="0"/>
        </w:rPr>
        <w:t xml:space="preserve">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noProof/>
        </w:rPr>
        <w:drawing>
          <wp:inline distT="0" distB="0" distL="0" distR="0" wp14:anchorId="61AF73BF" wp14:editId="22F84B51">
            <wp:extent cx="91440" cy="118745"/>
            <wp:effectExtent l="0" t="0" r="3810" b="0"/>
            <wp:docPr id="103048173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2A6E2F9B" wp14:editId="6025043B">
            <wp:extent cx="85917" cy="88985"/>
            <wp:effectExtent l="0" t="0" r="9525" b="6350"/>
            <wp:docPr id="102347531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07202ABF" wp14:editId="781496A8">
            <wp:extent cx="164432" cy="65784"/>
            <wp:effectExtent l="0" t="0" r="7620" b="0"/>
            <wp:docPr id="65514401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w:t>
      </w:r>
      <w:bookmarkEnd w:id="161"/>
    </w:p>
    <w:tbl>
      <w:tblPr>
        <w:tblStyle w:val="Grilledutableau"/>
        <w:tblW w:w="0" w:type="auto"/>
        <w:tblCellMar>
          <w:top w:w="28" w:type="dxa"/>
          <w:bottom w:w="28" w:type="dxa"/>
        </w:tblCellMar>
        <w:tblLook w:val="04A0" w:firstRow="1" w:lastRow="0" w:firstColumn="1" w:lastColumn="0" w:noHBand="0" w:noVBand="1"/>
      </w:tblPr>
      <w:tblGrid>
        <w:gridCol w:w="1182"/>
        <w:gridCol w:w="1175"/>
        <w:gridCol w:w="1107"/>
        <w:gridCol w:w="1209"/>
        <w:gridCol w:w="4387"/>
      </w:tblGrid>
      <w:tr w:rsidR="00C02660" w:rsidRPr="009D49FA" w14:paraId="4D7C7920" w14:textId="77777777" w:rsidTr="004306AE">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3ED6B221" w14:textId="0A978EB1" w:rsidR="00C02660" w:rsidRPr="009D49FA" w:rsidRDefault="00C02660" w:rsidP="004306AE">
            <w:pPr>
              <w:jc w:val="center"/>
              <w:rPr>
                <w:sz w:val="20"/>
                <w:szCs w:val="20"/>
              </w:rPr>
            </w:pPr>
            <w:r w:rsidRPr="009D49FA">
              <w:rPr>
                <w:sz w:val="20"/>
                <w:szCs w:val="20"/>
              </w:rPr>
              <w:t>Rapport K/Mg - Référentiels d’interprétation</w:t>
            </w:r>
          </w:p>
        </w:tc>
      </w:tr>
      <w:tr w:rsidR="00C02660" w:rsidRPr="009D49FA" w14:paraId="2B6BD0BF" w14:textId="77777777" w:rsidTr="004306AE">
        <w:tc>
          <w:tcPr>
            <w:tcW w:w="118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3B3F91FF" w14:textId="6A1DDACD" w:rsidR="00C02660" w:rsidRPr="009D49FA" w:rsidRDefault="000100FD" w:rsidP="004306AE">
            <w:pPr>
              <w:jc w:val="center"/>
              <w:rPr>
                <w:sz w:val="20"/>
                <w:szCs w:val="20"/>
              </w:rPr>
            </w:pPr>
            <w:r>
              <w:rPr>
                <w:sz w:val="20"/>
                <w:szCs w:val="20"/>
              </w:rPr>
              <w:t>Service</w:t>
            </w:r>
          </w:p>
        </w:tc>
        <w:tc>
          <w:tcPr>
            <w:tcW w:w="117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10D0C785" w14:textId="77777777" w:rsidR="00C02660" w:rsidRPr="009D49FA" w:rsidRDefault="00C02660" w:rsidP="004306AE">
            <w:pPr>
              <w:jc w:val="center"/>
              <w:rPr>
                <w:sz w:val="20"/>
                <w:szCs w:val="20"/>
              </w:rPr>
            </w:pPr>
            <w:r w:rsidRPr="009D49FA">
              <w:rPr>
                <w:sz w:val="20"/>
                <w:szCs w:val="20"/>
              </w:rPr>
              <w:t>Fonction</w:t>
            </w:r>
          </w:p>
        </w:tc>
        <w:tc>
          <w:tcPr>
            <w:tcW w:w="110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3482F1AA" w14:textId="77777777" w:rsidR="00C02660" w:rsidRPr="009D49FA" w:rsidRDefault="00C02660" w:rsidP="004306AE">
            <w:pPr>
              <w:jc w:val="center"/>
              <w:rPr>
                <w:sz w:val="20"/>
                <w:szCs w:val="20"/>
              </w:rPr>
            </w:pPr>
            <w:r w:rsidRPr="009D49FA">
              <w:rPr>
                <w:sz w:val="20"/>
                <w:szCs w:val="20"/>
              </w:rPr>
              <w:t>Forme</w:t>
            </w:r>
          </w:p>
        </w:tc>
        <w:tc>
          <w:tcPr>
            <w:tcW w:w="120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1E7DD104" w14:textId="77777777" w:rsidR="00C02660" w:rsidRPr="009D49FA" w:rsidRDefault="00C02660" w:rsidP="004306AE">
            <w:pPr>
              <w:jc w:val="center"/>
              <w:rPr>
                <w:sz w:val="20"/>
                <w:szCs w:val="20"/>
              </w:rPr>
            </w:pPr>
            <w:r w:rsidRPr="009D49FA">
              <w:rPr>
                <w:sz w:val="20"/>
                <w:szCs w:val="20"/>
              </w:rPr>
              <w:t>Évaluation</w:t>
            </w:r>
          </w:p>
        </w:tc>
        <w:tc>
          <w:tcPr>
            <w:tcW w:w="438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5BC83A27" w14:textId="77777777" w:rsidR="00C02660" w:rsidRPr="009D49FA" w:rsidRDefault="00C02660" w:rsidP="004306AE">
            <w:pPr>
              <w:jc w:val="center"/>
              <w:rPr>
                <w:sz w:val="20"/>
                <w:szCs w:val="20"/>
              </w:rPr>
            </w:pPr>
            <w:r w:rsidRPr="009D49FA">
              <w:rPr>
                <w:sz w:val="20"/>
                <w:szCs w:val="20"/>
              </w:rPr>
              <w:t>Référentiel</w:t>
            </w:r>
          </w:p>
        </w:tc>
      </w:tr>
      <w:tr w:rsidR="009D49FA" w:rsidRPr="009D49FA" w14:paraId="7DF93A7A" w14:textId="77777777" w:rsidTr="009D49FA">
        <w:trPr>
          <w:trHeight w:val="355"/>
        </w:trPr>
        <w:tc>
          <w:tcPr>
            <w:tcW w:w="1182" w:type="dxa"/>
            <w:vMerge w:val="restart"/>
            <w:tcBorders>
              <w:top w:val="single" w:sz="4" w:space="0" w:color="auto"/>
            </w:tcBorders>
            <w:vAlign w:val="center"/>
          </w:tcPr>
          <w:p w14:paraId="6233FC69" w14:textId="08FEE2E4" w:rsidR="009D49FA" w:rsidRPr="009D49FA" w:rsidRDefault="009D49FA" w:rsidP="004306AE">
            <w:pPr>
              <w:jc w:val="left"/>
              <w:rPr>
                <w:sz w:val="20"/>
                <w:szCs w:val="20"/>
              </w:rPr>
            </w:pPr>
            <w:r w:rsidRPr="009D49FA">
              <w:rPr>
                <w:sz w:val="20"/>
                <w:szCs w:val="20"/>
              </w:rPr>
              <w:t>Production</w:t>
            </w:r>
          </w:p>
        </w:tc>
        <w:tc>
          <w:tcPr>
            <w:tcW w:w="1175" w:type="dxa"/>
            <w:vMerge w:val="restart"/>
            <w:tcBorders>
              <w:top w:val="single" w:sz="4" w:space="0" w:color="auto"/>
            </w:tcBorders>
            <w:vAlign w:val="center"/>
          </w:tcPr>
          <w:p w14:paraId="7F673DDA" w14:textId="157E83B9" w:rsidR="009D49FA" w:rsidRPr="009D49FA" w:rsidRDefault="00A21E2F" w:rsidP="004306AE">
            <w:pPr>
              <w:jc w:val="left"/>
              <w:rPr>
                <w:sz w:val="20"/>
                <w:szCs w:val="20"/>
              </w:rPr>
            </w:pPr>
            <w:r>
              <w:rPr>
                <w:sz w:val="20"/>
                <w:szCs w:val="20"/>
              </w:rPr>
              <w:t>Fourniture nutriments</w:t>
            </w:r>
          </w:p>
        </w:tc>
        <w:tc>
          <w:tcPr>
            <w:tcW w:w="1107" w:type="dxa"/>
            <w:vMerge w:val="restart"/>
            <w:tcBorders>
              <w:top w:val="single" w:sz="4" w:space="0" w:color="auto"/>
            </w:tcBorders>
            <w:vAlign w:val="center"/>
          </w:tcPr>
          <w:p w14:paraId="36BCE21C" w14:textId="3E35D7EF" w:rsidR="009D49FA" w:rsidRPr="009D49FA" w:rsidRDefault="009D49FA" w:rsidP="004306AE">
            <w:pPr>
              <w:jc w:val="center"/>
              <w:rPr>
                <w:sz w:val="20"/>
                <w:szCs w:val="20"/>
              </w:rPr>
            </w:pPr>
            <w:r w:rsidRPr="009D49FA">
              <w:rPr>
                <w:noProof/>
                <w:sz w:val="20"/>
                <w:szCs w:val="20"/>
              </w:rPr>
              <mc:AlternateContent>
                <mc:Choice Requires="wps">
                  <w:drawing>
                    <wp:inline distT="0" distB="0" distL="0" distR="0" wp14:anchorId="32A9C49E" wp14:editId="35E89E3E">
                      <wp:extent cx="248400" cy="0"/>
                      <wp:effectExtent l="38100" t="76200" r="18415" b="95250"/>
                      <wp:docPr id="678942296" name="Connecteur droit avec flèche 1"/>
                      <wp:cNvGraphicFramePr/>
                      <a:graphic xmlns:a="http://schemas.openxmlformats.org/drawingml/2006/main">
                        <a:graphicData uri="http://schemas.microsoft.com/office/word/2010/wordprocessingShape">
                          <wps:wsp>
                            <wps:cNvCnPr/>
                            <wps:spPr>
                              <a:xfrm flipV="1">
                                <a:off x="0" y="0"/>
                                <a:ext cx="248400" cy="0"/>
                              </a:xfrm>
                              <a:prstGeom prst="straightConnector1">
                                <a:avLst/>
                              </a:prstGeom>
                              <a:ln w="12700">
                                <a:solidFill>
                                  <a:schemeClr val="tx2"/>
                                </a:solidFill>
                                <a:headEnd type="triangl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7716B8EB" id="Connecteur droit avec flèche 1" o:spid="_x0000_s1026" type="#_x0000_t32" style="width:19.55pt;height:0;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" strokecolor="#0e2841 [3215]" strokeweight="1pt">
                      <v:stroke startarrow="block" endarrow="block" joinstyle="miter"/>
                      <w10:anchorlock/>
                    </v:shape>
                  </w:pict>
                </mc:Fallback>
              </mc:AlternateContent>
            </w:r>
          </w:p>
        </w:tc>
        <w:tc>
          <w:tcPr>
            <w:tcW w:w="1209" w:type="dxa"/>
            <w:tcBorders>
              <w:top w:val="single" w:sz="4" w:space="0" w:color="auto"/>
              <w:bottom w:val="single" w:sz="4" w:space="0" w:color="auto"/>
            </w:tcBorders>
            <w:shd w:val="clear" w:color="auto" w:fill="F2F9EB"/>
            <w:vAlign w:val="center"/>
          </w:tcPr>
          <w:p w14:paraId="073B2737" w14:textId="602B447D" w:rsidR="009D49FA" w:rsidRPr="009D49FA" w:rsidRDefault="009D49FA" w:rsidP="004306AE">
            <w:pPr>
              <w:jc w:val="left"/>
              <w:rPr>
                <w:sz w:val="20"/>
                <w:szCs w:val="20"/>
                <w:vertAlign w:val="subscript"/>
              </w:rPr>
            </w:pPr>
            <w:r w:rsidRPr="009D49FA">
              <w:rPr>
                <w:sz w:val="20"/>
                <w:szCs w:val="20"/>
              </w:rPr>
              <w:t>K/</w:t>
            </w:r>
            <w:proofErr w:type="spellStart"/>
            <w:r w:rsidRPr="009D49FA">
              <w:rPr>
                <w:sz w:val="20"/>
                <w:szCs w:val="20"/>
              </w:rPr>
              <w:t>Mg</w:t>
            </w:r>
            <w:r w:rsidRPr="009D49FA">
              <w:rPr>
                <w:sz w:val="20"/>
                <w:szCs w:val="20"/>
                <w:vertAlign w:val="subscript"/>
              </w:rPr>
              <w:t>qualité</w:t>
            </w:r>
            <w:proofErr w:type="spellEnd"/>
          </w:p>
        </w:tc>
        <w:tc>
          <w:tcPr>
            <w:tcW w:w="4387" w:type="dxa"/>
            <w:vMerge w:val="restart"/>
            <w:tcBorders>
              <w:top w:val="single" w:sz="4" w:space="0" w:color="auto"/>
            </w:tcBorders>
            <w:vAlign w:val="center"/>
          </w:tcPr>
          <w:p w14:paraId="035C10B2" w14:textId="3AE7F4AB" w:rsidR="009D49FA" w:rsidRPr="009D49FA" w:rsidRDefault="009D49FA" w:rsidP="004306AE">
            <w:pPr>
              <w:jc w:val="left"/>
              <w:rPr>
                <w:sz w:val="20"/>
                <w:szCs w:val="20"/>
              </w:rPr>
            </w:pPr>
            <w:r w:rsidRPr="009D49FA">
              <w:rPr>
                <w:sz w:val="20"/>
                <w:szCs w:val="20"/>
              </w:rPr>
              <w:t xml:space="preserve">Gamme optimale </w:t>
            </w:r>
            <w:r w:rsidRPr="009D49FA">
              <w:rPr>
                <w:sz w:val="20"/>
                <w:szCs w:val="20"/>
              </w:rPr>
              <w:fldChar w:fldCharType="begin"/>
            </w:r>
            <w:r w:rsidR="00107905">
              <w:rPr>
                <w:sz w:val="20"/>
                <w:szCs w:val="20"/>
              </w:rPr>
              <w:instrText xml:space="preserve"> ADDIN ZOTERO_ITEM CSL_CITATION {"citationID":"GyXRVuc9","properties":{"unsorted":false,"formattedCitation":"(Cugnon,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sidRPr="009D49FA">
              <w:rPr>
                <w:sz w:val="20"/>
                <w:szCs w:val="20"/>
              </w:rPr>
              <w:fldChar w:fldCharType="separate"/>
            </w:r>
            <w:r w:rsidRPr="009D49FA">
              <w:rPr>
                <w:rFonts w:cs="Calibri"/>
                <w:sz w:val="20"/>
                <w:szCs w:val="20"/>
              </w:rPr>
              <w:t>(Cugnon, 2025)</w:t>
            </w:r>
            <w:r w:rsidRPr="009D49FA">
              <w:rPr>
                <w:sz w:val="20"/>
                <w:szCs w:val="20"/>
              </w:rPr>
              <w:fldChar w:fldCharType="end"/>
            </w:r>
          </w:p>
        </w:tc>
      </w:tr>
      <w:tr w:rsidR="009D49FA" w:rsidRPr="009D49FA" w14:paraId="7C299113" w14:textId="77777777" w:rsidTr="009D49FA">
        <w:trPr>
          <w:trHeight w:val="355"/>
        </w:trPr>
        <w:tc>
          <w:tcPr>
            <w:tcW w:w="1182" w:type="dxa"/>
            <w:vMerge/>
            <w:vAlign w:val="center"/>
          </w:tcPr>
          <w:p w14:paraId="5D4554E7" w14:textId="77777777" w:rsidR="009D49FA" w:rsidRPr="009D49FA" w:rsidRDefault="009D49FA" w:rsidP="009D49FA">
            <w:pPr>
              <w:jc w:val="left"/>
              <w:rPr>
                <w:sz w:val="20"/>
                <w:szCs w:val="20"/>
              </w:rPr>
            </w:pPr>
          </w:p>
        </w:tc>
        <w:tc>
          <w:tcPr>
            <w:tcW w:w="1175" w:type="dxa"/>
            <w:vMerge/>
            <w:vAlign w:val="center"/>
          </w:tcPr>
          <w:p w14:paraId="47D7020D" w14:textId="77777777" w:rsidR="009D49FA" w:rsidRPr="009D49FA" w:rsidRDefault="009D49FA" w:rsidP="009D49FA">
            <w:pPr>
              <w:jc w:val="left"/>
              <w:rPr>
                <w:sz w:val="20"/>
                <w:szCs w:val="20"/>
              </w:rPr>
            </w:pPr>
          </w:p>
        </w:tc>
        <w:tc>
          <w:tcPr>
            <w:tcW w:w="1107" w:type="dxa"/>
            <w:vMerge/>
            <w:vAlign w:val="center"/>
          </w:tcPr>
          <w:p w14:paraId="1E76884A" w14:textId="77777777" w:rsidR="009D49FA" w:rsidRPr="009D49FA" w:rsidRDefault="009D49FA" w:rsidP="009D49FA">
            <w:pPr>
              <w:jc w:val="left"/>
              <w:rPr>
                <w:sz w:val="20"/>
                <w:szCs w:val="20"/>
              </w:rPr>
            </w:pPr>
          </w:p>
        </w:tc>
        <w:tc>
          <w:tcPr>
            <w:tcW w:w="1209" w:type="dxa"/>
            <w:tcBorders>
              <w:top w:val="single" w:sz="4" w:space="0" w:color="auto"/>
            </w:tcBorders>
            <w:shd w:val="clear" w:color="auto" w:fill="EFF5FB"/>
            <w:vAlign w:val="center"/>
          </w:tcPr>
          <w:p w14:paraId="44573103" w14:textId="07698B4E" w:rsidR="009D49FA" w:rsidRPr="009D49FA" w:rsidRDefault="009D49FA" w:rsidP="009D49FA">
            <w:pPr>
              <w:jc w:val="left"/>
              <w:rPr>
                <w:sz w:val="20"/>
                <w:szCs w:val="20"/>
                <w:vertAlign w:val="subscript"/>
              </w:rPr>
            </w:pPr>
            <w:r w:rsidRPr="009D49FA">
              <w:rPr>
                <w:sz w:val="20"/>
                <w:szCs w:val="20"/>
              </w:rPr>
              <w:t>K/</w:t>
            </w:r>
            <w:proofErr w:type="spellStart"/>
            <w:r w:rsidRPr="009D49FA">
              <w:rPr>
                <w:sz w:val="20"/>
                <w:szCs w:val="20"/>
              </w:rPr>
              <w:t>Mg</w:t>
            </w:r>
            <w:r w:rsidRPr="009D49FA">
              <w:rPr>
                <w:sz w:val="20"/>
                <w:szCs w:val="20"/>
                <w:vertAlign w:val="subscript"/>
              </w:rPr>
              <w:t>santé</w:t>
            </w:r>
            <w:proofErr w:type="spellEnd"/>
          </w:p>
        </w:tc>
        <w:tc>
          <w:tcPr>
            <w:tcW w:w="4387" w:type="dxa"/>
            <w:vMerge/>
            <w:vAlign w:val="center"/>
          </w:tcPr>
          <w:p w14:paraId="6000076C" w14:textId="7711F577" w:rsidR="009D49FA" w:rsidRPr="009D49FA" w:rsidRDefault="009D49FA" w:rsidP="009D49FA">
            <w:pPr>
              <w:jc w:val="left"/>
              <w:rPr>
                <w:sz w:val="20"/>
                <w:szCs w:val="20"/>
              </w:rPr>
            </w:pPr>
          </w:p>
        </w:tc>
      </w:tr>
    </w:tbl>
    <w:p w14:paraId="48F4F12C" w14:textId="77777777" w:rsidR="00C02660" w:rsidRPr="00714805" w:rsidRDefault="00C02660" w:rsidP="00714805"/>
    <w:p w14:paraId="10CEBDD9" w14:textId="27AFF29F" w:rsidR="00892569" w:rsidRDefault="00892569" w:rsidP="00876101">
      <w:pPr>
        <w:pStyle w:val="Titre2"/>
        <w:numPr>
          <w:ilvl w:val="1"/>
          <w:numId w:val="3"/>
        </w:numPr>
      </w:pPr>
      <w:bookmarkStart w:id="162" w:name="_Ref233120324"/>
      <w:bookmarkStart w:id="163" w:name="_Ref233120348"/>
      <w:bookmarkStart w:id="164" w:name="_Toc241505336"/>
      <w:r>
        <w:lastRenderedPageBreak/>
        <w:t>Stock de carbone</w:t>
      </w:r>
      <w:bookmarkEnd w:id="162"/>
      <w:bookmarkEnd w:id="163"/>
      <w:bookmarkEnd w:id="164"/>
    </w:p>
    <w:p w14:paraId="78A343FD" w14:textId="77777777" w:rsidR="00892569" w:rsidRDefault="00892569" w:rsidP="00876101">
      <w:pPr>
        <w:pStyle w:val="Titre3"/>
        <w:numPr>
          <w:ilvl w:val="2"/>
          <w:numId w:val="3"/>
        </w:numPr>
      </w:pPr>
      <w:bookmarkStart w:id="165" w:name="_Toc241505337"/>
      <w:r>
        <w:t>Définition et calcul</w:t>
      </w:r>
      <w:bookmarkEnd w:id="165"/>
    </w:p>
    <w:p w14:paraId="2A7430EE" w14:textId="421F9CAD" w:rsidR="00892569" w:rsidRDefault="00892569" w:rsidP="00892569">
      <w:r>
        <w:t>Le stock de carbone</w:t>
      </w:r>
      <w:r w:rsidR="009A6111">
        <w:t xml:space="preserve"> pour une couche de sol donnée</w:t>
      </w:r>
      <w:r>
        <w:t xml:space="preserve"> se calcule via l’équation suivante </w:t>
      </w:r>
      <w:r w:rsidR="008C070D">
        <w:fldChar w:fldCharType="begin"/>
      </w:r>
      <w:r w:rsidR="006428DA">
        <w:instrText xml:space="preserve"> ADDIN ZOTERO_ITEM CSL_CITATION {"citationID":"m4nusmMN","properties":{"unsorted":false,"formattedCitation":"(Chartin et al., 2015)","plainCitation":"(Chartin et al., 2015)","noteIndex":0},"citationItems":[{"id":91,"uris":["http://zotero.org/groups/5684833/items/X3Q8CCBC"],"itemData":{"id":91,"type":"article-journal","language":"fr","source":"Zotero","title":"« Carbone organique, biomasse et activité microbienne des sols : vers un indicateur de la qualité des sols en Wallonie »","author":[{"family":"Chartin","given":"Caroline"},{"family":"Kruger","given":"Inken"},{"family":"Stevens","given":"Antoine"},{"family":"Wesemael","given":"Bas Van"},{"family":"Carnol","given":"Monique"}],"issued":{"date-parts":[["2015"]]}}}],"schema":"https://github.com/citation-style-language/schema/raw/master/csl-citation.json"} </w:instrText>
      </w:r>
      <w:r w:rsidR="008C070D">
        <w:fldChar w:fldCharType="separate"/>
      </w:r>
      <w:r w:rsidR="006428DA" w:rsidRPr="006428DA">
        <w:rPr>
          <w:rFonts w:cs="Calibri"/>
        </w:rPr>
        <w:t>(</w:t>
      </w:r>
      <w:proofErr w:type="spellStart"/>
      <w:r w:rsidR="006428DA" w:rsidRPr="006428DA">
        <w:rPr>
          <w:rFonts w:cs="Calibri"/>
        </w:rPr>
        <w:t>Chartin</w:t>
      </w:r>
      <w:proofErr w:type="spellEnd"/>
      <w:r w:rsidR="006428DA" w:rsidRPr="006428DA">
        <w:rPr>
          <w:rFonts w:cs="Calibri"/>
        </w:rPr>
        <w:t xml:space="preserve"> et al., 2015)</w:t>
      </w:r>
      <w:r w:rsidR="008C070D">
        <w:fldChar w:fldCharType="end"/>
      </w:r>
      <w: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892569" w14:paraId="2A1AE743" w14:textId="77777777" w:rsidTr="004306AE">
        <w:trPr>
          <w:trHeight w:val="647"/>
        </w:trPr>
        <w:tc>
          <w:tcPr>
            <w:tcW w:w="8642" w:type="dxa"/>
            <w:vAlign w:val="center"/>
          </w:tcPr>
          <w:p w14:paraId="4685E337" w14:textId="3541CE75" w:rsidR="00892569" w:rsidRPr="002A471B" w:rsidRDefault="002A471B" w:rsidP="004306AE">
            <w:pPr>
              <w:jc w:val="center"/>
              <w:rPr>
                <w:iCs/>
              </w:rPr>
            </w:pPr>
            <m:oMathPara>
              <m:oMath>
                <m:r>
                  <m:rPr>
                    <m:sty m:val="p"/>
                  </m:rPr>
                  <w:rPr>
                    <w:rFonts w:ascii="Cambria Math" w:hAnsi="Cambria Math" w:cs="Cambria Math"/>
                  </w:rPr>
                  <m:t xml:space="preserve">Stock C </m:t>
                </m:r>
                <m:d>
                  <m:dPr>
                    <m:ctrlPr>
                      <w:rPr>
                        <w:rFonts w:ascii="Cambria Math" w:hAnsi="Cambria Math" w:cs="Cambria Math"/>
                        <w:iCs/>
                      </w:rPr>
                    </m:ctrlPr>
                  </m:dPr>
                  <m:e>
                    <m:sSub>
                      <m:sSubPr>
                        <m:ctrlPr>
                          <w:rPr>
                            <w:rFonts w:ascii="Cambria Math" w:hAnsi="Cambria Math" w:cs="Cambria Math"/>
                            <w:iCs/>
                          </w:rPr>
                        </m:ctrlPr>
                      </m:sSubPr>
                      <m:e>
                        <m:r>
                          <m:rPr>
                            <m:sty m:val="p"/>
                          </m:rPr>
                          <w:rPr>
                            <w:rFonts w:ascii="Cambria Math" w:hAnsi="Cambria Math" w:cs="Cambria Math"/>
                          </w:rPr>
                          <m:t>Mg</m:t>
                        </m:r>
                      </m:e>
                      <m:sub>
                        <m:r>
                          <m:rPr>
                            <m:sty m:val="p"/>
                          </m:rPr>
                          <w:rPr>
                            <w:rFonts w:ascii="Cambria Math" w:hAnsi="Cambria Math" w:cs="Cambria Math"/>
                          </w:rPr>
                          <m:t>C</m:t>
                        </m:r>
                      </m:sub>
                    </m:sSub>
                    <m:r>
                      <m:rPr>
                        <m:sty m:val="p"/>
                      </m:rPr>
                      <w:rPr>
                        <w:rFonts w:ascii="Cambria Math" w:hAnsi="Cambria Math" w:cs="Cambria Math"/>
                      </w:rPr>
                      <m:t>∙</m:t>
                    </m:r>
                    <m:sSup>
                      <m:sSupPr>
                        <m:ctrlPr>
                          <w:rPr>
                            <w:rFonts w:ascii="Cambria Math" w:hAnsi="Cambria Math" w:cs="Cambria Math"/>
                            <w:iCs/>
                          </w:rPr>
                        </m:ctrlPr>
                      </m:sSupPr>
                      <m:e>
                        <m:r>
                          <m:rPr>
                            <m:sty m:val="p"/>
                          </m:rPr>
                          <w:rPr>
                            <w:rFonts w:ascii="Cambria Math" w:hAnsi="Cambria Math" w:cs="Cambria Math"/>
                          </w:rPr>
                          <m:t>ha</m:t>
                        </m:r>
                      </m:e>
                      <m:sup>
                        <m:r>
                          <m:rPr>
                            <m:sty m:val="p"/>
                          </m:rPr>
                          <w:rPr>
                            <w:rFonts w:ascii="Cambria Math" w:hAnsi="Cambria Math" w:cs="Cambria Math"/>
                          </w:rPr>
                          <m:t>-1</m:t>
                        </m:r>
                      </m:sup>
                    </m:sSup>
                  </m:e>
                </m:d>
                <m:r>
                  <m:rPr>
                    <m:sty m:val="p"/>
                  </m:rPr>
                  <w:rPr>
                    <w:rFonts w:ascii="Cambria Math" w:hAnsi="Cambria Math" w:cs="Cambria Math"/>
                  </w:rPr>
                  <m:t>=</m:t>
                </m:r>
                <m:sSub>
                  <m:sSubPr>
                    <m:ctrlPr>
                      <w:rPr>
                        <w:rFonts w:ascii="Cambria Math" w:hAnsi="Cambria Math" w:cs="Cambria Math"/>
                        <w:iCs/>
                      </w:rPr>
                    </m:ctrlPr>
                  </m:sSubPr>
                  <m:e>
                    <m:r>
                      <m:rPr>
                        <m:sty m:val="p"/>
                      </m:rPr>
                      <w:rPr>
                        <w:rFonts w:ascii="Cambria Math" w:hAnsi="Cambria Math" w:cs="Cambria Math"/>
                      </w:rPr>
                      <m:t>C</m:t>
                    </m:r>
                  </m:e>
                  <m:sub>
                    <m:r>
                      <m:rPr>
                        <m:sty m:val="p"/>
                      </m:rPr>
                      <w:rPr>
                        <w:rFonts w:ascii="Cambria Math" w:hAnsi="Cambria Math" w:cs="Cambria Math"/>
                      </w:rPr>
                      <m:t>org</m:t>
                    </m:r>
                  </m:sub>
                </m:sSub>
                <m:r>
                  <m:rPr>
                    <m:sty m:val="p"/>
                  </m:rPr>
                  <w:rPr>
                    <w:rFonts w:ascii="Cambria Math" w:hAnsi="Cambria Math" w:cs="Cambria Math"/>
                  </w:rPr>
                  <m:t>∙</m:t>
                </m:r>
                <m:sSub>
                  <m:sSubPr>
                    <m:ctrlPr>
                      <w:rPr>
                        <w:rFonts w:ascii="Cambria Math" w:hAnsi="Cambria Math" w:cs="Cambria Math"/>
                      </w:rPr>
                    </m:ctrlPr>
                  </m:sSubPr>
                  <m:e>
                    <m:r>
                      <m:rPr>
                        <m:sty m:val="p"/>
                      </m:rPr>
                      <w:rPr>
                        <w:rFonts w:ascii="Cambria Math" w:hAnsi="Cambria Math" w:cs="Cambria Math"/>
                      </w:rPr>
                      <m:t>ρ</m:t>
                    </m:r>
                  </m:e>
                  <m:sub>
                    <m:r>
                      <m:rPr>
                        <m:sty m:val="p"/>
                      </m:rPr>
                      <w:rPr>
                        <w:rFonts w:ascii="Cambria Math" w:hAnsi="Cambria Math" w:cs="Cambria Math"/>
                      </w:rPr>
                      <m:t>b</m:t>
                    </m:r>
                  </m:sub>
                </m:sSub>
                <m:r>
                  <m:rPr>
                    <m:sty m:val="p"/>
                  </m:rPr>
                  <w:rPr>
                    <w:rFonts w:ascii="Cambria Math" w:hAnsi="Cambria Math" w:cs="Cambria Math"/>
                  </w:rPr>
                  <m:t xml:space="preserve">∙ </m:t>
                </m:r>
                <m:d>
                  <m:dPr>
                    <m:ctrlPr>
                      <w:rPr>
                        <w:rFonts w:ascii="Cambria Math" w:hAnsi="Cambria Math" w:cs="Cambria Math"/>
                        <w:iCs/>
                      </w:rPr>
                    </m:ctrlPr>
                  </m:dPr>
                  <m:e>
                    <m:r>
                      <m:rPr>
                        <m:sty m:val="p"/>
                      </m:rPr>
                      <w:rPr>
                        <w:rFonts w:ascii="Cambria Math" w:hAnsi="Cambria Math" w:cs="Cambria Math"/>
                      </w:rPr>
                      <m:t>1-</m:t>
                    </m:r>
                    <m:f>
                      <m:fPr>
                        <m:ctrlPr>
                          <w:rPr>
                            <w:rFonts w:ascii="Cambria Math" w:hAnsi="Cambria Math" w:cs="Cambria Math"/>
                            <w:iCs/>
                          </w:rPr>
                        </m:ctrlPr>
                      </m:fPr>
                      <m:num>
                        <m:sSub>
                          <m:sSubPr>
                            <m:ctrlPr>
                              <w:rPr>
                                <w:rFonts w:ascii="Cambria Math" w:hAnsi="Cambria Math" w:cs="Cambria Math"/>
                                <w:iCs/>
                              </w:rPr>
                            </m:ctrlPr>
                          </m:sSubPr>
                          <m:e>
                            <m:r>
                              <m:rPr>
                                <m:sty m:val="p"/>
                              </m:rPr>
                              <w:rPr>
                                <w:rFonts w:ascii="Cambria Math" w:hAnsi="Cambria Math" w:cs="Cambria Math"/>
                              </w:rPr>
                              <m:t>%</m:t>
                            </m:r>
                          </m:e>
                          <m:sub>
                            <m:r>
                              <m:rPr>
                                <m:sty m:val="p"/>
                              </m:rPr>
                              <w:rPr>
                                <w:rFonts w:ascii="Cambria Math" w:hAnsi="Cambria Math" w:cs="Cambria Math"/>
                              </w:rPr>
                              <m:t>EG</m:t>
                            </m:r>
                          </m:sub>
                        </m:sSub>
                      </m:num>
                      <m:den>
                        <m:r>
                          <m:rPr>
                            <m:sty m:val="p"/>
                          </m:rPr>
                          <w:rPr>
                            <w:rFonts w:ascii="Cambria Math" w:hAnsi="Cambria Math" w:cs="Cambria Math"/>
                          </w:rPr>
                          <m:t>100</m:t>
                        </m:r>
                      </m:den>
                    </m:f>
                  </m:e>
                </m:d>
                <m:r>
                  <m:rPr>
                    <m:sty m:val="p"/>
                  </m:rPr>
                  <w:rPr>
                    <w:rFonts w:ascii="Cambria Math" w:hAnsi="Cambria Math"/>
                  </w:rPr>
                  <m:t xml:space="preserve">∙e </m:t>
                </m:r>
              </m:oMath>
            </m:oMathPara>
          </w:p>
        </w:tc>
        <w:tc>
          <w:tcPr>
            <w:tcW w:w="418" w:type="dxa"/>
            <w:vAlign w:val="center"/>
          </w:tcPr>
          <w:p w14:paraId="196A9D22" w14:textId="77D81F23" w:rsidR="00892569" w:rsidRDefault="00892569" w:rsidP="004306AE">
            <w:pPr>
              <w:jc w:val="center"/>
            </w:pPr>
            <w:r>
              <w:t>(</w:t>
            </w:r>
            <w:r w:rsidR="00A250D5">
              <w:t>6</w:t>
            </w:r>
            <w:r>
              <w:t>)</w:t>
            </w:r>
          </w:p>
        </w:tc>
      </w:tr>
    </w:tbl>
    <w:p w14:paraId="6526BADF" w14:textId="77777777" w:rsidR="00892569" w:rsidRDefault="00892569" w:rsidP="00892569"/>
    <w:p w14:paraId="1CB0EF6C" w14:textId="77777777" w:rsidR="001906A0" w:rsidRPr="00032143" w:rsidRDefault="001906A0" w:rsidP="001906A0">
      <w:pPr>
        <w:rPr>
          <w:rFonts w:cs="Calibri"/>
          <w:sz w:val="20"/>
          <w:szCs w:val="20"/>
        </w:rPr>
      </w:pPr>
      <w:r w:rsidRPr="00032143">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633"/>
        <w:gridCol w:w="8437"/>
      </w:tblGrid>
      <w:tr w:rsidR="001906A0" w:rsidRPr="00032143" w14:paraId="7B29D337" w14:textId="77777777" w:rsidTr="009A6111">
        <w:trPr>
          <w:trHeight w:val="227"/>
        </w:trPr>
        <w:tc>
          <w:tcPr>
            <w:tcW w:w="633" w:type="dxa"/>
            <w:vAlign w:val="center"/>
          </w:tcPr>
          <w:p w14:paraId="4ADDC897" w14:textId="2CCE25D4" w:rsidR="001906A0" w:rsidRPr="00032143" w:rsidRDefault="00437C8C" w:rsidP="004306AE">
            <w:pPr>
              <w:jc w:val="left"/>
              <w:rPr>
                <w:rFonts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m:t>
                    </m:r>
                  </m:e>
                  <m:sub>
                    <m:r>
                      <m:rPr>
                        <m:sty m:val="p"/>
                      </m:rPr>
                      <w:rPr>
                        <w:rFonts w:ascii="Cambria Math" w:hAnsi="Cambria Math" w:cs="Calibri"/>
                        <w:sz w:val="20"/>
                        <w:szCs w:val="20"/>
                      </w:rPr>
                      <m:t>org</m:t>
                    </m:r>
                  </m:sub>
                </m:sSub>
              </m:oMath>
            </m:oMathPara>
          </w:p>
        </w:tc>
        <w:tc>
          <w:tcPr>
            <w:tcW w:w="8437" w:type="dxa"/>
            <w:vAlign w:val="center"/>
          </w:tcPr>
          <w:p w14:paraId="39653833" w14:textId="0DD61DEE" w:rsidR="001906A0" w:rsidRPr="00032143" w:rsidRDefault="001906A0" w:rsidP="004306AE">
            <w:pPr>
              <w:jc w:val="left"/>
              <w:rPr>
                <w:rFonts w:cs="Calibri"/>
                <w:sz w:val="20"/>
                <w:szCs w:val="20"/>
              </w:rPr>
            </w:pPr>
            <w:r w:rsidRPr="00032143">
              <w:rPr>
                <w:rFonts w:eastAsiaTheme="minorEastAsia" w:cs="Calibri"/>
                <w:sz w:val="20"/>
                <w:szCs w:val="20"/>
              </w:rPr>
              <w:t xml:space="preserve">La </w:t>
            </w:r>
            <w:r w:rsidR="009A6111" w:rsidRPr="00032143">
              <w:rPr>
                <w:rFonts w:eastAsiaTheme="minorEastAsia" w:cs="Calibri"/>
                <w:sz w:val="20"/>
                <w:szCs w:val="20"/>
              </w:rPr>
              <w:t>teneur en carbone organique (%)</w:t>
            </w:r>
            <w:r w:rsidRPr="00032143">
              <w:rPr>
                <w:rFonts w:eastAsiaTheme="minorEastAsia" w:cs="Calibri"/>
                <w:sz w:val="20"/>
                <w:szCs w:val="20"/>
              </w:rPr>
              <w:t> ;</w:t>
            </w:r>
          </w:p>
        </w:tc>
      </w:tr>
      <w:tr w:rsidR="001906A0" w:rsidRPr="00032143" w14:paraId="7A6CB2EB" w14:textId="77777777" w:rsidTr="009A6111">
        <w:trPr>
          <w:trHeight w:val="227"/>
        </w:trPr>
        <w:tc>
          <w:tcPr>
            <w:tcW w:w="633" w:type="dxa"/>
            <w:vAlign w:val="center"/>
          </w:tcPr>
          <w:p w14:paraId="0E98EB41" w14:textId="7E2FDA41" w:rsidR="001906A0" w:rsidRPr="00032143" w:rsidRDefault="00CD79A7" w:rsidP="004306AE">
            <w:pPr>
              <w:jc w:val="left"/>
              <w:rPr>
                <w:rFonts w:eastAsiaTheme="minorEastAsia" w:cs="Calibri"/>
                <w:sz w:val="20"/>
                <w:szCs w:val="20"/>
              </w:rPr>
            </w:pPr>
            <w:proofErr w:type="spellStart"/>
            <w:proofErr w:type="gramStart"/>
            <w:r w:rsidRPr="00032143">
              <w:rPr>
                <w:rFonts w:cs="Calibri"/>
                <w:sz w:val="20"/>
                <w:szCs w:val="20"/>
              </w:rPr>
              <w:t>ρ</w:t>
            </w:r>
            <w:proofErr w:type="gramEnd"/>
            <w:r w:rsidRPr="00032143">
              <w:rPr>
                <w:rFonts w:cs="Calibri"/>
                <w:sz w:val="20"/>
                <w:szCs w:val="20"/>
                <w:vertAlign w:val="subscript"/>
              </w:rPr>
              <w:t>b</w:t>
            </w:r>
            <w:proofErr w:type="spellEnd"/>
          </w:p>
        </w:tc>
        <w:tc>
          <w:tcPr>
            <w:tcW w:w="8437" w:type="dxa"/>
            <w:vAlign w:val="center"/>
          </w:tcPr>
          <w:p w14:paraId="1B85E346" w14:textId="68B8B72B" w:rsidR="001906A0" w:rsidRPr="00032143" w:rsidRDefault="001906A0" w:rsidP="004306AE">
            <w:pPr>
              <w:jc w:val="left"/>
              <w:rPr>
                <w:rFonts w:eastAsiaTheme="minorEastAsia" w:cs="Calibri"/>
                <w:sz w:val="20"/>
                <w:szCs w:val="20"/>
              </w:rPr>
            </w:pPr>
            <w:r w:rsidRPr="00032143">
              <w:rPr>
                <w:rFonts w:eastAsiaTheme="minorEastAsia" w:cs="Calibri"/>
                <w:sz w:val="20"/>
                <w:szCs w:val="20"/>
              </w:rPr>
              <w:t xml:space="preserve">La </w:t>
            </w:r>
            <w:r w:rsidR="009A6111" w:rsidRPr="00032143">
              <w:rPr>
                <w:rFonts w:eastAsiaTheme="minorEastAsia" w:cs="Calibri"/>
                <w:sz w:val="20"/>
                <w:szCs w:val="20"/>
              </w:rPr>
              <w:t>masse volumique apparente de la terre</w:t>
            </w:r>
            <w:r w:rsidR="00CD79A7" w:rsidRPr="00032143">
              <w:rPr>
                <w:rFonts w:eastAsiaTheme="minorEastAsia" w:cs="Calibri"/>
                <w:sz w:val="20"/>
                <w:szCs w:val="20"/>
              </w:rPr>
              <w:t xml:space="preserve"> fine</w:t>
            </w:r>
            <w:r w:rsidR="009A6111" w:rsidRPr="00032143">
              <w:rPr>
                <w:rFonts w:eastAsiaTheme="minorEastAsia" w:cs="Calibri"/>
                <w:sz w:val="20"/>
                <w:szCs w:val="20"/>
              </w:rPr>
              <w:t xml:space="preserve"> </w:t>
            </w:r>
            <w:r w:rsidRPr="00032143">
              <w:rPr>
                <w:rFonts w:eastAsiaTheme="minorEastAsia" w:cs="Calibri"/>
                <w:sz w:val="20"/>
                <w:szCs w:val="20"/>
              </w:rPr>
              <w:t>(</w:t>
            </w:r>
            <w:r w:rsidR="009A6111" w:rsidRPr="00032143">
              <w:rPr>
                <w:rFonts w:eastAsiaTheme="minorEastAsia" w:cs="Calibri"/>
                <w:sz w:val="20"/>
                <w:szCs w:val="20"/>
              </w:rPr>
              <w:t>g</w:t>
            </w:r>
            <w:r w:rsidRPr="00032143">
              <w:rPr>
                <w:rFonts w:eastAsiaTheme="minorEastAsia" w:cs="Calibri"/>
                <w:sz w:val="20"/>
                <w:szCs w:val="20"/>
              </w:rPr>
              <w:t xml:space="preserve"> · </w:t>
            </w:r>
            <w:r w:rsidR="009A6111" w:rsidRPr="00032143">
              <w:rPr>
                <w:rFonts w:eastAsiaTheme="minorEastAsia" w:cs="Calibri"/>
                <w:sz w:val="20"/>
                <w:szCs w:val="20"/>
              </w:rPr>
              <w:t>cm</w:t>
            </w:r>
            <w:r w:rsidRPr="00032143">
              <w:rPr>
                <w:rFonts w:eastAsiaTheme="minorEastAsia" w:cs="Calibri"/>
                <w:sz w:val="20"/>
                <w:szCs w:val="20"/>
                <w:vertAlign w:val="superscript"/>
              </w:rPr>
              <w:t>-</w:t>
            </w:r>
            <w:r w:rsidR="009A6111" w:rsidRPr="00032143">
              <w:rPr>
                <w:rFonts w:eastAsiaTheme="minorEastAsia" w:cs="Calibri"/>
                <w:sz w:val="20"/>
                <w:szCs w:val="20"/>
                <w:vertAlign w:val="superscript"/>
              </w:rPr>
              <w:t>3</w:t>
            </w:r>
            <w:r w:rsidRPr="00032143">
              <w:rPr>
                <w:rFonts w:eastAsiaTheme="minorEastAsia" w:cs="Calibri"/>
                <w:sz w:val="20"/>
                <w:szCs w:val="20"/>
              </w:rPr>
              <w:t>) ;</w:t>
            </w:r>
          </w:p>
        </w:tc>
      </w:tr>
      <w:tr w:rsidR="001906A0" w:rsidRPr="00032143" w14:paraId="4686B0CF" w14:textId="77777777" w:rsidTr="009A6111">
        <w:trPr>
          <w:trHeight w:val="227"/>
        </w:trPr>
        <w:tc>
          <w:tcPr>
            <w:tcW w:w="633" w:type="dxa"/>
            <w:vAlign w:val="center"/>
          </w:tcPr>
          <w:p w14:paraId="3718CDF1" w14:textId="60CA5F0D" w:rsidR="001906A0" w:rsidRPr="00032143" w:rsidRDefault="00437C8C" w:rsidP="004306AE">
            <w:pPr>
              <w:jc w:val="left"/>
              <w:rPr>
                <w:rFonts w:eastAsiaTheme="minorEastAsia"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m:t>
                    </m:r>
                  </m:e>
                  <m:sub>
                    <m:r>
                      <m:rPr>
                        <m:sty m:val="p"/>
                      </m:rPr>
                      <w:rPr>
                        <w:rFonts w:ascii="Cambria Math" w:hAnsi="Cambria Math" w:cs="Calibri"/>
                        <w:sz w:val="20"/>
                        <w:szCs w:val="20"/>
                      </w:rPr>
                      <m:t>EG</m:t>
                    </m:r>
                  </m:sub>
                </m:sSub>
              </m:oMath>
            </m:oMathPara>
          </w:p>
        </w:tc>
        <w:tc>
          <w:tcPr>
            <w:tcW w:w="8437" w:type="dxa"/>
            <w:vAlign w:val="center"/>
          </w:tcPr>
          <w:p w14:paraId="4DA17808" w14:textId="38E6C741" w:rsidR="001906A0" w:rsidRPr="00032143" w:rsidRDefault="009A6111" w:rsidP="004306AE">
            <w:pPr>
              <w:jc w:val="left"/>
              <w:rPr>
                <w:rFonts w:eastAsiaTheme="minorEastAsia" w:cs="Calibri"/>
                <w:sz w:val="20"/>
                <w:szCs w:val="20"/>
              </w:rPr>
            </w:pPr>
            <w:r w:rsidRPr="00032143">
              <w:rPr>
                <w:rFonts w:eastAsiaTheme="minorEastAsia" w:cs="Calibri"/>
                <w:sz w:val="20"/>
                <w:szCs w:val="20"/>
              </w:rPr>
              <w:t xml:space="preserve">La charge volumique en éléments grossiers (%) </w:t>
            </w:r>
            <w:r w:rsidR="001906A0" w:rsidRPr="00032143">
              <w:rPr>
                <w:rFonts w:eastAsiaTheme="minorEastAsia" w:cs="Calibri"/>
                <w:sz w:val="20"/>
                <w:szCs w:val="20"/>
              </w:rPr>
              <w:t>;</w:t>
            </w:r>
          </w:p>
        </w:tc>
      </w:tr>
      <w:tr w:rsidR="001906A0" w:rsidRPr="00032143" w14:paraId="37EF1BFA" w14:textId="77777777" w:rsidTr="009A6111">
        <w:trPr>
          <w:trHeight w:val="227"/>
        </w:trPr>
        <w:tc>
          <w:tcPr>
            <w:tcW w:w="633" w:type="dxa"/>
            <w:vAlign w:val="center"/>
          </w:tcPr>
          <w:p w14:paraId="3839D03D" w14:textId="705AE1F2" w:rsidR="001906A0" w:rsidRPr="00032143" w:rsidRDefault="009A6111" w:rsidP="004306AE">
            <w:pPr>
              <w:jc w:val="left"/>
              <w:rPr>
                <w:rFonts w:eastAsia="Times New Roman" w:cs="Calibri"/>
                <w:sz w:val="20"/>
                <w:szCs w:val="20"/>
              </w:rPr>
            </w:pPr>
            <m:oMathPara>
              <m:oMathParaPr>
                <m:jc m:val="left"/>
              </m:oMathParaPr>
              <m:oMath>
                <m:r>
                  <m:rPr>
                    <m:sty m:val="p"/>
                  </m:rPr>
                  <w:rPr>
                    <w:rFonts w:ascii="Cambria Math" w:hAnsi="Cambria Math" w:cs="Calibri"/>
                    <w:sz w:val="20"/>
                    <w:szCs w:val="20"/>
                    <w:lang w:val="fr-FR"/>
                  </w:rPr>
                  <m:t>e</m:t>
                </m:r>
              </m:oMath>
            </m:oMathPara>
          </w:p>
        </w:tc>
        <w:tc>
          <w:tcPr>
            <w:tcW w:w="8437" w:type="dxa"/>
            <w:vAlign w:val="center"/>
          </w:tcPr>
          <w:p w14:paraId="1CF6823D" w14:textId="58E7F7AB" w:rsidR="001906A0" w:rsidRPr="00032143" w:rsidRDefault="009A6111" w:rsidP="004306AE">
            <w:pPr>
              <w:jc w:val="left"/>
              <w:rPr>
                <w:rFonts w:eastAsiaTheme="minorEastAsia" w:cs="Calibri"/>
                <w:sz w:val="20"/>
                <w:szCs w:val="20"/>
              </w:rPr>
            </w:pPr>
            <w:r w:rsidRPr="00032143">
              <w:rPr>
                <w:rFonts w:eastAsiaTheme="minorEastAsia" w:cs="Calibri"/>
                <w:sz w:val="20"/>
                <w:szCs w:val="20"/>
              </w:rPr>
              <w:t xml:space="preserve">L’épaisseur de la </w:t>
            </w:r>
            <w:r w:rsidR="00C36BC7" w:rsidRPr="00032143">
              <w:rPr>
                <w:rFonts w:eastAsiaTheme="minorEastAsia" w:cs="Calibri"/>
                <w:sz w:val="20"/>
                <w:szCs w:val="20"/>
              </w:rPr>
              <w:t>couche</w:t>
            </w:r>
            <w:r w:rsidRPr="00032143">
              <w:rPr>
                <w:rFonts w:eastAsiaTheme="minorEastAsia" w:cs="Calibri"/>
                <w:sz w:val="20"/>
                <w:szCs w:val="20"/>
              </w:rPr>
              <w:t xml:space="preserve"> de sol considérée (cm).</w:t>
            </w:r>
          </w:p>
        </w:tc>
      </w:tr>
    </w:tbl>
    <w:p w14:paraId="7B8E49C4" w14:textId="77777777" w:rsidR="001906A0" w:rsidRDefault="001906A0" w:rsidP="00892569"/>
    <w:p w14:paraId="250A15A0" w14:textId="77777777" w:rsidR="00892569" w:rsidRDefault="00892569" w:rsidP="00876101">
      <w:pPr>
        <w:pStyle w:val="Titre3"/>
        <w:numPr>
          <w:ilvl w:val="2"/>
          <w:numId w:val="3"/>
        </w:numPr>
      </w:pPr>
      <w:bookmarkStart w:id="166" w:name="_Toc241505338"/>
      <w:r>
        <w:t>Pertinence</w:t>
      </w:r>
      <w:bookmarkEnd w:id="166"/>
    </w:p>
    <w:p w14:paraId="0EEC508D" w14:textId="7BB3CACE" w:rsidR="00892569" w:rsidRPr="005A3791" w:rsidRDefault="006428DA" w:rsidP="00892569">
      <w:r>
        <w:t xml:space="preserve">Le stock de carbone permet de caractériser la </w:t>
      </w:r>
      <w:r w:rsidR="00AB4296">
        <w:t>quantité de carbone stocké</w:t>
      </w:r>
      <w:r w:rsidR="00416272">
        <w:t>e</w:t>
      </w:r>
      <w:r w:rsidR="00AB4296">
        <w:t xml:space="preserve"> dans le sol</w:t>
      </w:r>
      <w:r>
        <w:t>.</w:t>
      </w:r>
    </w:p>
    <w:p w14:paraId="1ADAF842" w14:textId="77777777" w:rsidR="00892569" w:rsidRDefault="00892569" w:rsidP="00876101">
      <w:pPr>
        <w:pStyle w:val="Titre3"/>
        <w:numPr>
          <w:ilvl w:val="2"/>
          <w:numId w:val="3"/>
        </w:numPr>
      </w:pPr>
      <w:bookmarkStart w:id="167" w:name="_Toc241505339"/>
      <w:r>
        <w:t>Interprétation</w:t>
      </w:r>
      <w:bookmarkEnd w:id="167"/>
    </w:p>
    <w:p w14:paraId="05840FA2" w14:textId="60CB370A" w:rsidR="00892569" w:rsidRDefault="00EE299A" w:rsidP="00892569">
      <w:r>
        <w:t xml:space="preserve">Une valeur cible de </w:t>
      </w:r>
      <w:r w:rsidR="00D23CD4">
        <w:t xml:space="preserve">100 </w:t>
      </w:r>
      <w:r w:rsidR="008F0CFC">
        <w:t xml:space="preserve">t </w:t>
      </w:r>
      <w:r w:rsidR="00D23CD4">
        <w:rPr>
          <w:rFonts w:cs="Calibri"/>
        </w:rPr>
        <w:t>· ha</w:t>
      </w:r>
      <w:r w:rsidR="00D23CD4">
        <w:rPr>
          <w:rFonts w:cs="Calibri"/>
          <w:vertAlign w:val="superscript"/>
        </w:rPr>
        <w:t>-1</w:t>
      </w:r>
      <w:r w:rsidR="00D23CD4">
        <w:rPr>
          <w:rFonts w:cs="Calibri"/>
        </w:rPr>
        <w:t xml:space="preserve"> est considérée comme </w:t>
      </w:r>
      <w:r w:rsidR="00232F43">
        <w:rPr>
          <w:rFonts w:cs="Calibri"/>
        </w:rPr>
        <w:t xml:space="preserve">satisfaisante pour considérer que le sol est riche en carbone, tandis que des valeurs inférieures à 50 </w:t>
      </w:r>
      <w:r w:rsidR="008F0CFC">
        <w:t>t</w:t>
      </w:r>
      <w:r w:rsidR="00232F43">
        <w:rPr>
          <w:vertAlign w:val="subscript"/>
        </w:rPr>
        <w:t xml:space="preserve"> </w:t>
      </w:r>
      <w:r w:rsidR="00232F43">
        <w:rPr>
          <w:rFonts w:cs="Calibri"/>
        </w:rPr>
        <w:t>· ha</w:t>
      </w:r>
      <w:r w:rsidR="00232F43">
        <w:rPr>
          <w:rFonts w:cs="Calibri"/>
          <w:vertAlign w:val="superscript"/>
        </w:rPr>
        <w:t>-1</w:t>
      </w:r>
      <w:r w:rsidR="00232F43">
        <w:rPr>
          <w:rFonts w:cs="Calibri"/>
        </w:rPr>
        <w:t xml:space="preserve"> sont insuffisantes </w:t>
      </w:r>
      <w:r w:rsidR="00B2139C">
        <w:fldChar w:fldCharType="begin"/>
      </w:r>
      <w:r w:rsidR="007665A8">
        <w:instrText xml:space="preserve"> ADDIN ZOTERO_ITEM CSL_CITATION {"citationID":"STIIZNZJ","properties":{"unsorted":false,"formattedCitation":"(Mukherjee &amp; Lal, 2014)","plainCitation":"(Mukherjee &amp; Lal, 2014)","noteIndex":0},"citationItems":[{"id":99,"uris":["http://zotero.org/groups/5684833/items/KAYA7WNR"],"itemData":{"id":99,"type":"article-journal","abstract":"Assessment of management-induced changes in soil quality is important to sustaining high crop yield. A large diversity of cultivated soils necessitate identification development of an appropriate soil quality index (SQI) based on relative soil properties and crop yield. Whereas numerous attempts have been made to estimate SQI for major soils across the World, there is no standard method established and thus, a strong need exists for developing a user-friendly and credible SQI through comparison of various available methods. Therefore, the objective of this article is to compare three widely used methods to estimate SQI using the data collected from 72 soil samples from three on-farm study sites in Ohio. Additionally, challenge lies in establishing a correlation between crop yield versus SQI calculated either depth wise or in combination of soil layers as standard methodology is not yet available and was not given much attention to date. Predominant soils of the study included one organic (Mc), and two mineral (CrB, Ko) soils. Three methods used to estimate SQI were: (i) simple additive SQI (SQI-1), (ii) weighted additive SQI (SQI-2), and (iii) statistically modeled SQI (SQI-3) based on principal component analysis (PCA). The SQI varied between treatments and soil types and ranged between 0–0.9 (1 being the maximum SQI). In general, SQIs did not significantly differ at depths under any method suggesting that soil quality did not significantly differ for different depths at the studied sites. Additionally, data indicate that SQI-3 was most strongly correlated with crop yield, the correlation coefficient ranged between 0.74–0.78. All three SQIs were significantly correlated (r = 0.92–0.97) to each other and with crop yield (r = 0.65–0.79). Separate analyses by crop variety revealed that correlation was low indicating that some key aspects of soil quality related to crop response are important requirements for estimating SQI.","container-title":"PLOS ONE","DOI":"10.1371/journal.pone.0105981","ISSN":"1932-6203","issue":"8","journalAbbreviation":"PLOS ONE","language":"en","page":"e105981","publisher":"Public Library of Science","source":"PLoS Journals","title":"Comparison of Soil Quality Index Using Three Methods","volume":"9","author":[{"family":"Mukherjee","given":"Atanu"},{"family":"Lal","given":"Rattan"}],"issued":{"date-parts":[["2014",8,22]]}}}],"schema":"https://github.com/citation-style-language/schema/raw/master/csl-citation.json"} </w:instrText>
      </w:r>
      <w:r w:rsidR="00B2139C">
        <w:fldChar w:fldCharType="separate"/>
      </w:r>
      <w:r w:rsidR="007665A8" w:rsidRPr="007665A8">
        <w:rPr>
          <w:rFonts w:cs="Calibri"/>
        </w:rPr>
        <w:t>(Mukherjee &amp; Lal, 2014)</w:t>
      </w:r>
      <w:r w:rsidR="00B2139C">
        <w:fldChar w:fldCharType="end"/>
      </w:r>
      <w:r w:rsidR="00232F43">
        <w:t>.</w:t>
      </w:r>
    </w:p>
    <w:p w14:paraId="78CE795B" w14:textId="352A715D" w:rsidR="00CD2EF0" w:rsidRPr="0018710B" w:rsidRDefault="00E63E18" w:rsidP="00CD2EF0">
      <w:pPr>
        <w:pStyle w:val="Lgende"/>
        <w:keepNext/>
        <w:jc w:val="center"/>
      </w:pPr>
      <w:bookmarkStart w:id="168" w:name="_Toc233122670"/>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14</w:t>
      </w:r>
      <w:r w:rsidRPr="00261C30">
        <w:rPr>
          <w:i w:val="0"/>
          <w:iCs w:val="0"/>
        </w:rPr>
        <w:fldChar w:fldCharType="end"/>
      </w:r>
      <w:r w:rsidRPr="00261C30">
        <w:rPr>
          <w:i w:val="0"/>
          <w:iCs w:val="0"/>
        </w:rPr>
        <w:t xml:space="preserve"> : Référentiels d’interprétation </w:t>
      </w:r>
      <w:r>
        <w:rPr>
          <w:i w:val="0"/>
          <w:iCs w:val="0"/>
        </w:rPr>
        <w:t>du</w:t>
      </w:r>
      <w:r w:rsidRPr="00261C30">
        <w:rPr>
          <w:i w:val="0"/>
          <w:iCs w:val="0"/>
        </w:rPr>
        <w:t xml:space="preserve"> paramètre </w:t>
      </w:r>
      <w:r>
        <w:rPr>
          <w:i w:val="0"/>
          <w:iCs w:val="0"/>
        </w:rPr>
        <w:t>ou</w:t>
      </w:r>
      <w:r w:rsidRPr="00261C30">
        <w:rPr>
          <w:i w:val="0"/>
          <w:iCs w:val="0"/>
        </w:rPr>
        <w:t xml:space="preserve"> indicateur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i w:val="0"/>
          <w:iCs w:val="0"/>
          <w:noProof/>
        </w:rPr>
        <w:drawing>
          <wp:inline distT="0" distB="0" distL="0" distR="0" wp14:anchorId="252DCEEE" wp14:editId="69684CBC">
            <wp:extent cx="91440" cy="118745"/>
            <wp:effectExtent l="0" t="0" r="3810" b="0"/>
            <wp:docPr id="36162759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i w:val="0"/>
          <w:iCs w:val="0"/>
          <w:noProof/>
        </w:rPr>
        <w:drawing>
          <wp:inline distT="0" distB="0" distL="0" distR="0" wp14:anchorId="6154C50D" wp14:editId="0C186E20">
            <wp:extent cx="85917" cy="88985"/>
            <wp:effectExtent l="0" t="0" r="9525" b="6350"/>
            <wp:docPr id="145100463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i w:val="0"/>
          <w:iCs w:val="0"/>
          <w:noProof/>
        </w:rPr>
        <w:drawing>
          <wp:inline distT="0" distB="0" distL="0" distR="0" wp14:anchorId="20457268" wp14:editId="2342BCC6">
            <wp:extent cx="164432" cy="65784"/>
            <wp:effectExtent l="0" t="0" r="7620" b="0"/>
            <wp:docPr id="96391837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w:t>
      </w:r>
      <w:bookmarkEnd w:id="168"/>
    </w:p>
    <w:tbl>
      <w:tblPr>
        <w:tblStyle w:val="Grilledutableau"/>
        <w:tblW w:w="0" w:type="auto"/>
        <w:tblCellMar>
          <w:top w:w="28" w:type="dxa"/>
          <w:bottom w:w="28" w:type="dxa"/>
        </w:tblCellMar>
        <w:tblLook w:val="04A0" w:firstRow="1" w:lastRow="0" w:firstColumn="1" w:lastColumn="0" w:noHBand="0" w:noVBand="1"/>
      </w:tblPr>
      <w:tblGrid>
        <w:gridCol w:w="1182"/>
        <w:gridCol w:w="1175"/>
        <w:gridCol w:w="1107"/>
        <w:gridCol w:w="1209"/>
        <w:gridCol w:w="4387"/>
      </w:tblGrid>
      <w:tr w:rsidR="00CD2EF0" w:rsidRPr="0000352D" w14:paraId="78625458" w14:textId="77777777" w:rsidTr="004306AE">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2412981D" w14:textId="1A950C12" w:rsidR="00CD2EF0" w:rsidRPr="0000352D" w:rsidRDefault="00CD2EF0" w:rsidP="004306AE">
            <w:pPr>
              <w:jc w:val="center"/>
              <w:rPr>
                <w:sz w:val="20"/>
                <w:szCs w:val="20"/>
              </w:rPr>
            </w:pPr>
            <w:r>
              <w:rPr>
                <w:sz w:val="20"/>
                <w:szCs w:val="20"/>
              </w:rPr>
              <w:t>Stock de carbone (Stock C)</w:t>
            </w:r>
            <w:r w:rsidRPr="0000352D">
              <w:rPr>
                <w:sz w:val="20"/>
                <w:szCs w:val="20"/>
              </w:rPr>
              <w:t xml:space="preserve"> - Référentiel</w:t>
            </w:r>
            <w:r>
              <w:rPr>
                <w:sz w:val="20"/>
                <w:szCs w:val="20"/>
              </w:rPr>
              <w:t>s</w:t>
            </w:r>
            <w:r w:rsidRPr="0000352D">
              <w:rPr>
                <w:sz w:val="20"/>
                <w:szCs w:val="20"/>
              </w:rPr>
              <w:t xml:space="preserve"> d’interprétation</w:t>
            </w:r>
          </w:p>
        </w:tc>
      </w:tr>
      <w:tr w:rsidR="00CD2EF0" w:rsidRPr="0000352D" w14:paraId="513ACE27" w14:textId="77777777" w:rsidTr="00627BB2">
        <w:tc>
          <w:tcPr>
            <w:tcW w:w="118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6F4A9C91" w14:textId="53BCBAF1" w:rsidR="00CD2EF0" w:rsidRPr="00423C23" w:rsidRDefault="000100FD" w:rsidP="004306AE">
            <w:pPr>
              <w:jc w:val="center"/>
              <w:rPr>
                <w:sz w:val="20"/>
                <w:szCs w:val="20"/>
              </w:rPr>
            </w:pPr>
            <w:r>
              <w:rPr>
                <w:sz w:val="20"/>
                <w:szCs w:val="20"/>
              </w:rPr>
              <w:t>Service</w:t>
            </w:r>
          </w:p>
        </w:tc>
        <w:tc>
          <w:tcPr>
            <w:tcW w:w="117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1C655665" w14:textId="77777777" w:rsidR="00CD2EF0" w:rsidRPr="00423C23" w:rsidRDefault="00CD2EF0" w:rsidP="004306AE">
            <w:pPr>
              <w:jc w:val="center"/>
              <w:rPr>
                <w:sz w:val="20"/>
                <w:szCs w:val="20"/>
              </w:rPr>
            </w:pPr>
            <w:r w:rsidRPr="00423C23">
              <w:rPr>
                <w:sz w:val="20"/>
                <w:szCs w:val="20"/>
              </w:rPr>
              <w:t>Fonction</w:t>
            </w:r>
          </w:p>
        </w:tc>
        <w:tc>
          <w:tcPr>
            <w:tcW w:w="110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76B033EF" w14:textId="77777777" w:rsidR="00CD2EF0" w:rsidRPr="00423C23" w:rsidRDefault="00CD2EF0" w:rsidP="004306AE">
            <w:pPr>
              <w:jc w:val="center"/>
              <w:rPr>
                <w:sz w:val="20"/>
                <w:szCs w:val="20"/>
              </w:rPr>
            </w:pPr>
            <w:r>
              <w:rPr>
                <w:sz w:val="20"/>
                <w:szCs w:val="20"/>
              </w:rPr>
              <w:t>Forme</w:t>
            </w:r>
          </w:p>
        </w:tc>
        <w:tc>
          <w:tcPr>
            <w:tcW w:w="120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60C55075" w14:textId="77777777" w:rsidR="00CD2EF0" w:rsidRPr="00423C23" w:rsidRDefault="00CD2EF0" w:rsidP="004306AE">
            <w:pPr>
              <w:jc w:val="center"/>
              <w:rPr>
                <w:sz w:val="20"/>
                <w:szCs w:val="20"/>
              </w:rPr>
            </w:pPr>
            <w:r w:rsidRPr="00423C23">
              <w:rPr>
                <w:sz w:val="20"/>
                <w:szCs w:val="20"/>
              </w:rPr>
              <w:t>Évaluation</w:t>
            </w:r>
          </w:p>
        </w:tc>
        <w:tc>
          <w:tcPr>
            <w:tcW w:w="438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tcPr>
          <w:p w14:paraId="0CAC836E" w14:textId="77777777" w:rsidR="00CD2EF0" w:rsidRPr="00423C23" w:rsidRDefault="00CD2EF0" w:rsidP="004306AE">
            <w:pPr>
              <w:jc w:val="center"/>
              <w:rPr>
                <w:sz w:val="20"/>
                <w:szCs w:val="20"/>
              </w:rPr>
            </w:pPr>
            <w:r w:rsidRPr="00423C23">
              <w:rPr>
                <w:sz w:val="20"/>
                <w:szCs w:val="20"/>
              </w:rPr>
              <w:t>Référentiel</w:t>
            </w:r>
          </w:p>
        </w:tc>
      </w:tr>
      <w:tr w:rsidR="00627BB2" w:rsidRPr="0000352D" w14:paraId="395A78D6" w14:textId="77777777" w:rsidTr="00606127">
        <w:trPr>
          <w:trHeight w:val="355"/>
        </w:trPr>
        <w:tc>
          <w:tcPr>
            <w:tcW w:w="1182" w:type="dxa"/>
            <w:vMerge w:val="restart"/>
            <w:tcBorders>
              <w:top w:val="single" w:sz="4" w:space="0" w:color="auto"/>
            </w:tcBorders>
            <w:vAlign w:val="center"/>
          </w:tcPr>
          <w:p w14:paraId="58039B0A" w14:textId="78906CFD" w:rsidR="00627BB2" w:rsidRDefault="00627BB2" w:rsidP="004306AE">
            <w:pPr>
              <w:jc w:val="left"/>
              <w:rPr>
                <w:sz w:val="20"/>
                <w:szCs w:val="20"/>
              </w:rPr>
            </w:pPr>
            <w:r>
              <w:rPr>
                <w:sz w:val="20"/>
                <w:szCs w:val="20"/>
              </w:rPr>
              <w:t>Stockage C</w:t>
            </w:r>
          </w:p>
        </w:tc>
        <w:tc>
          <w:tcPr>
            <w:tcW w:w="1175" w:type="dxa"/>
            <w:vMerge w:val="restart"/>
            <w:tcBorders>
              <w:top w:val="single" w:sz="4" w:space="0" w:color="auto"/>
            </w:tcBorders>
            <w:vAlign w:val="center"/>
          </w:tcPr>
          <w:p w14:paraId="1D5FA58D" w14:textId="39A0250D" w:rsidR="00627BB2" w:rsidRDefault="00627BB2" w:rsidP="004306AE">
            <w:pPr>
              <w:jc w:val="left"/>
              <w:rPr>
                <w:sz w:val="20"/>
                <w:szCs w:val="20"/>
              </w:rPr>
            </w:pPr>
            <w:r>
              <w:rPr>
                <w:sz w:val="20"/>
                <w:szCs w:val="20"/>
              </w:rPr>
              <w:t>Stockage</w:t>
            </w:r>
          </w:p>
        </w:tc>
        <w:tc>
          <w:tcPr>
            <w:tcW w:w="1107" w:type="dxa"/>
            <w:vMerge w:val="restart"/>
            <w:tcBorders>
              <w:top w:val="single" w:sz="4" w:space="0" w:color="auto"/>
            </w:tcBorders>
            <w:vAlign w:val="center"/>
          </w:tcPr>
          <w:p w14:paraId="795EE0AB" w14:textId="60C315FA" w:rsidR="00627BB2" w:rsidRPr="0000352D" w:rsidRDefault="00606127" w:rsidP="00606127">
            <w:pPr>
              <w:jc w:val="center"/>
              <w:rPr>
                <w:sz w:val="20"/>
                <w:szCs w:val="20"/>
              </w:rPr>
            </w:pPr>
            <w:r>
              <w:rPr>
                <w:noProof/>
                <w:sz w:val="20"/>
                <w:szCs w:val="20"/>
              </w:rPr>
              <mc:AlternateContent>
                <mc:Choice Requires="wps">
                  <w:drawing>
                    <wp:inline distT="0" distB="0" distL="0" distR="0" wp14:anchorId="372F0178" wp14:editId="215836C8">
                      <wp:extent cx="94615" cy="153035"/>
                      <wp:effectExtent l="0" t="38100" r="57785" b="18415"/>
                      <wp:docPr id="1551817335"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2FF01377"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209" w:type="dxa"/>
            <w:tcBorders>
              <w:top w:val="single" w:sz="4" w:space="0" w:color="auto"/>
              <w:bottom w:val="single" w:sz="4" w:space="0" w:color="auto"/>
            </w:tcBorders>
            <w:shd w:val="clear" w:color="auto" w:fill="F2F9EB"/>
            <w:vAlign w:val="center"/>
          </w:tcPr>
          <w:p w14:paraId="47DE0724" w14:textId="60424A42" w:rsidR="00627BB2" w:rsidRPr="002315F4" w:rsidRDefault="00627BB2" w:rsidP="004306AE">
            <w:pPr>
              <w:jc w:val="left"/>
              <w:rPr>
                <w:sz w:val="20"/>
                <w:szCs w:val="20"/>
                <w:vertAlign w:val="subscript"/>
              </w:rPr>
            </w:pPr>
            <w:r>
              <w:rPr>
                <w:sz w:val="20"/>
                <w:szCs w:val="20"/>
              </w:rPr>
              <w:t xml:space="preserve">Stock </w:t>
            </w:r>
            <w:proofErr w:type="spellStart"/>
            <w:r>
              <w:rPr>
                <w:sz w:val="20"/>
                <w:szCs w:val="20"/>
              </w:rPr>
              <w:t>C</w:t>
            </w:r>
            <w:r>
              <w:rPr>
                <w:sz w:val="20"/>
                <w:szCs w:val="20"/>
                <w:vertAlign w:val="subscript"/>
              </w:rPr>
              <w:t>qualité</w:t>
            </w:r>
            <w:proofErr w:type="spellEnd"/>
          </w:p>
        </w:tc>
        <w:tc>
          <w:tcPr>
            <w:tcW w:w="4387" w:type="dxa"/>
            <w:tcBorders>
              <w:top w:val="single" w:sz="4" w:space="0" w:color="auto"/>
              <w:bottom w:val="single" w:sz="4" w:space="0" w:color="auto"/>
            </w:tcBorders>
            <w:shd w:val="clear" w:color="auto" w:fill="F2F9EB"/>
            <w:vAlign w:val="center"/>
          </w:tcPr>
          <w:p w14:paraId="2BC4D635" w14:textId="19BB11D9" w:rsidR="00627BB2" w:rsidRPr="00CF72F7" w:rsidRDefault="00627BB2" w:rsidP="004306AE">
            <w:pPr>
              <w:jc w:val="left"/>
              <w:rPr>
                <w:sz w:val="20"/>
                <w:szCs w:val="20"/>
              </w:rPr>
            </w:pPr>
            <w:r w:rsidRPr="00CF72F7">
              <w:rPr>
                <w:sz w:val="20"/>
                <w:szCs w:val="20"/>
              </w:rPr>
              <w:t xml:space="preserve">Valeurs </w:t>
            </w:r>
            <w:r w:rsidR="0096035A">
              <w:rPr>
                <w:sz w:val="20"/>
                <w:szCs w:val="20"/>
              </w:rPr>
              <w:t>minimales pour un stockage considéré suffisant</w:t>
            </w:r>
            <w:r>
              <w:rPr>
                <w:sz w:val="20"/>
                <w:szCs w:val="20"/>
              </w:rPr>
              <w:t xml:space="preserve"> </w:t>
            </w:r>
            <w:r>
              <w:rPr>
                <w:sz w:val="20"/>
                <w:szCs w:val="20"/>
              </w:rPr>
              <w:fldChar w:fldCharType="begin"/>
            </w:r>
            <w:r>
              <w:rPr>
                <w:sz w:val="20"/>
                <w:szCs w:val="20"/>
              </w:rPr>
              <w:instrText xml:space="preserve"> ADDIN ZOTERO_ITEM CSL_CITATION {"citationID":"68izicWF","properties":{"unsorted":false,"formattedCitation":"(Mukherjee &amp; Lal, 2014)","plainCitation":"(Mukherjee &amp; Lal, 2014)","noteIndex":0},"citationItems":[{"id":99,"uris":["http://zotero.org/groups/5684833/items/KAYA7WNR"],"itemData":{"id":99,"type":"article-journal","abstract":"Assessment of management-induced changes in soil quality is important to sustaining high crop yield. A large diversity of cultivated soils necessitate identification development of an appropriate soil quality index (SQI) based on relative soil properties and crop yield. Whereas numerous attempts have been made to estimate SQI for major soils across the World, there is no standard method established and thus, a strong need exists for developing a user-friendly and credible SQI through comparison of various available methods. Therefore, the objective of this article is to compare three widely used methods to estimate SQI using the data collected from 72 soil samples from three on-farm study sites in Ohio. Additionally, challenge lies in establishing a correlation between crop yield versus SQI calculated either depth wise or in combination of soil layers as standard methodology is not yet available and was not given much attention to date. Predominant soils of the study included one organic (Mc), and two mineral (CrB, Ko) soils. Three methods used to estimate SQI were: (i) simple additive SQI (SQI-1), (ii) weighted additive SQI (SQI-2), and (iii) statistically modeled SQI (SQI-3) based on principal component analysis (PCA). The SQI varied between treatments and soil types and ranged between 0–0.9 (1 being the maximum SQI). In general, SQIs did not significantly differ at depths under any method suggesting that soil quality did not significantly differ for different depths at the studied sites. Additionally, data indicate that SQI-3 was most strongly correlated with crop yield, the correlation coefficient ranged between 0.74–0.78. All three SQIs were significantly correlated (r = 0.92–0.97) to each other and with crop yield (r = 0.65–0.79). Separate analyses by crop variety revealed that correlation was low indicating that some key aspects of soil quality related to crop response are important requirements for estimating SQI.","container-title":"PLOS ONE","DOI":"10.1371/journal.pone.0105981","ISSN":"1932-6203","issue":"8","journalAbbreviation":"PLOS ONE","language":"en","page":"e105981","publisher":"Public Library of Science","source":"PLoS Journals","title":"Comparison of Soil Quality Index Using Three Methods","volume":"9","author":[{"family":"Mukherjee","given":"Atanu"},{"family":"Lal","given":"Rattan"}],"issued":{"date-parts":[["2014",8,22]]}}}],"schema":"https://github.com/citation-style-language/schema/raw/master/csl-citation.json"} </w:instrText>
            </w:r>
            <w:r>
              <w:rPr>
                <w:sz w:val="20"/>
                <w:szCs w:val="20"/>
              </w:rPr>
              <w:fldChar w:fldCharType="separate"/>
            </w:r>
            <w:r w:rsidRPr="6CB535F6">
              <w:rPr>
                <w:rFonts w:cs="Calibri"/>
                <w:sz w:val="20"/>
                <w:szCs w:val="20"/>
              </w:rPr>
              <w:t>(Mukherjee &amp; Lal, 2014)</w:t>
            </w:r>
            <w:r>
              <w:rPr>
                <w:sz w:val="20"/>
                <w:szCs w:val="20"/>
              </w:rPr>
              <w:fldChar w:fldCharType="end"/>
            </w:r>
          </w:p>
        </w:tc>
      </w:tr>
      <w:tr w:rsidR="00627BB2" w:rsidRPr="0000352D" w14:paraId="292E03EB" w14:textId="77777777" w:rsidTr="004306AE">
        <w:trPr>
          <w:trHeight w:val="355"/>
        </w:trPr>
        <w:tc>
          <w:tcPr>
            <w:tcW w:w="1182" w:type="dxa"/>
            <w:vMerge/>
            <w:vAlign w:val="center"/>
          </w:tcPr>
          <w:p w14:paraId="5827FC26" w14:textId="77777777" w:rsidR="00627BB2" w:rsidRDefault="00627BB2" w:rsidP="004306AE">
            <w:pPr>
              <w:jc w:val="left"/>
              <w:rPr>
                <w:sz w:val="20"/>
                <w:szCs w:val="20"/>
              </w:rPr>
            </w:pPr>
          </w:p>
        </w:tc>
        <w:tc>
          <w:tcPr>
            <w:tcW w:w="1175" w:type="dxa"/>
            <w:vMerge/>
            <w:vAlign w:val="center"/>
          </w:tcPr>
          <w:p w14:paraId="110118FF" w14:textId="77777777" w:rsidR="00627BB2" w:rsidRDefault="00627BB2" w:rsidP="004306AE">
            <w:pPr>
              <w:jc w:val="left"/>
              <w:rPr>
                <w:sz w:val="20"/>
                <w:szCs w:val="20"/>
              </w:rPr>
            </w:pPr>
          </w:p>
        </w:tc>
        <w:tc>
          <w:tcPr>
            <w:tcW w:w="1107" w:type="dxa"/>
            <w:vMerge/>
            <w:vAlign w:val="center"/>
          </w:tcPr>
          <w:p w14:paraId="7228A448" w14:textId="77777777" w:rsidR="00627BB2" w:rsidRDefault="00627BB2" w:rsidP="004306AE">
            <w:pPr>
              <w:jc w:val="left"/>
              <w:rPr>
                <w:sz w:val="20"/>
                <w:szCs w:val="20"/>
              </w:rPr>
            </w:pPr>
          </w:p>
        </w:tc>
        <w:tc>
          <w:tcPr>
            <w:tcW w:w="1209" w:type="dxa"/>
            <w:tcBorders>
              <w:top w:val="single" w:sz="4" w:space="0" w:color="auto"/>
            </w:tcBorders>
            <w:shd w:val="clear" w:color="auto" w:fill="EFF5FB"/>
            <w:vAlign w:val="center"/>
          </w:tcPr>
          <w:p w14:paraId="1C336076" w14:textId="0EE398A5" w:rsidR="00627BB2" w:rsidRDefault="00627BB2" w:rsidP="004306AE">
            <w:pPr>
              <w:jc w:val="left"/>
              <w:rPr>
                <w:sz w:val="20"/>
                <w:szCs w:val="20"/>
              </w:rPr>
            </w:pPr>
            <w:r>
              <w:rPr>
                <w:sz w:val="20"/>
                <w:szCs w:val="20"/>
              </w:rPr>
              <w:t xml:space="preserve">Stock </w:t>
            </w:r>
            <w:proofErr w:type="spellStart"/>
            <w:r>
              <w:rPr>
                <w:sz w:val="20"/>
                <w:szCs w:val="20"/>
              </w:rPr>
              <w:t>C</w:t>
            </w:r>
            <w:r>
              <w:rPr>
                <w:sz w:val="20"/>
                <w:szCs w:val="20"/>
                <w:vertAlign w:val="subscript"/>
              </w:rPr>
              <w:t>santé</w:t>
            </w:r>
            <w:proofErr w:type="spellEnd"/>
          </w:p>
        </w:tc>
        <w:tc>
          <w:tcPr>
            <w:tcW w:w="4387" w:type="dxa"/>
            <w:tcBorders>
              <w:top w:val="single" w:sz="4" w:space="0" w:color="auto"/>
            </w:tcBorders>
            <w:shd w:val="clear" w:color="auto" w:fill="EFF5FB"/>
            <w:vAlign w:val="center"/>
          </w:tcPr>
          <w:p w14:paraId="7A083D8B" w14:textId="237AB56A" w:rsidR="00627BB2" w:rsidRPr="00CF72F7" w:rsidRDefault="00627BB2" w:rsidP="004306AE">
            <w:pPr>
              <w:jc w:val="left"/>
              <w:rPr>
                <w:sz w:val="20"/>
                <w:szCs w:val="20"/>
              </w:rPr>
            </w:pPr>
            <w:r>
              <w:rPr>
                <w:sz w:val="20"/>
                <w:szCs w:val="20"/>
              </w:rPr>
              <w:t xml:space="preserve">Comparaison à la valeur </w:t>
            </w:r>
            <w:r w:rsidR="0096035A">
              <w:rPr>
                <w:sz w:val="20"/>
                <w:szCs w:val="20"/>
              </w:rPr>
              <w:t>optimale</w:t>
            </w:r>
            <w:r>
              <w:rPr>
                <w:sz w:val="20"/>
                <w:szCs w:val="20"/>
              </w:rPr>
              <w:t xml:space="preserve"> en fonction de la classe texturale (sur base de MO potentielle)</w:t>
            </w:r>
          </w:p>
        </w:tc>
      </w:tr>
    </w:tbl>
    <w:p w14:paraId="66702F2B" w14:textId="77777777" w:rsidR="00CD2EF0" w:rsidRDefault="00CD2EF0" w:rsidP="00892569"/>
    <w:p w14:paraId="36A23D19" w14:textId="77777777" w:rsidR="00B90382" w:rsidRDefault="00077F1F" w:rsidP="00B90382">
      <w:pPr>
        <w:keepNext/>
        <w:jc w:val="center"/>
      </w:pPr>
      <w:r>
        <w:rPr>
          <w:noProof/>
        </w:rPr>
        <w:lastRenderedPageBreak/>
        <w:drawing>
          <wp:inline distT="0" distB="0" distL="0" distR="0" wp14:anchorId="55CD59CE" wp14:editId="478CB9DE">
            <wp:extent cx="4346812" cy="3100279"/>
            <wp:effectExtent l="0" t="0" r="0" b="5080"/>
            <wp:docPr id="388180191"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358057" cy="3108300"/>
                    </a:xfrm>
                    <a:prstGeom prst="rect">
                      <a:avLst/>
                    </a:prstGeom>
                    <a:noFill/>
                    <a:ln>
                      <a:noFill/>
                    </a:ln>
                  </pic:spPr>
                </pic:pic>
              </a:graphicData>
            </a:graphic>
          </wp:inline>
        </w:drawing>
      </w:r>
    </w:p>
    <w:p w14:paraId="315BD9F8" w14:textId="48B38399" w:rsidR="00077F1F" w:rsidRPr="00B90382" w:rsidRDefault="00B90382" w:rsidP="00B90382">
      <w:pPr>
        <w:pStyle w:val="Lgende"/>
        <w:jc w:val="center"/>
        <w:rPr>
          <w:i w:val="0"/>
          <w:iCs w:val="0"/>
        </w:rPr>
      </w:pPr>
      <w:bookmarkStart w:id="169" w:name="_Toc241505125"/>
      <w:r w:rsidRPr="00B90382">
        <w:rPr>
          <w:i w:val="0"/>
          <w:iCs w:val="0"/>
        </w:rPr>
        <w:t xml:space="preserve">Figure </w:t>
      </w:r>
      <w:r w:rsidRPr="00B90382">
        <w:rPr>
          <w:i w:val="0"/>
          <w:iCs w:val="0"/>
        </w:rPr>
        <w:fldChar w:fldCharType="begin"/>
      </w:r>
      <w:r w:rsidRPr="00B90382">
        <w:rPr>
          <w:i w:val="0"/>
          <w:iCs w:val="0"/>
        </w:rPr>
        <w:instrText xml:space="preserve"> SEQ Figure \* ARABIC </w:instrText>
      </w:r>
      <w:r w:rsidRPr="00B90382">
        <w:rPr>
          <w:i w:val="0"/>
          <w:iCs w:val="0"/>
        </w:rPr>
        <w:fldChar w:fldCharType="separate"/>
      </w:r>
      <w:r>
        <w:rPr>
          <w:i w:val="0"/>
          <w:iCs w:val="0"/>
          <w:noProof/>
        </w:rPr>
        <w:t>19</w:t>
      </w:r>
      <w:r w:rsidRPr="00B90382">
        <w:rPr>
          <w:i w:val="0"/>
          <w:iCs w:val="0"/>
        </w:rPr>
        <w:fldChar w:fldCharType="end"/>
      </w:r>
      <w:r w:rsidRPr="00B90382">
        <w:rPr>
          <w:i w:val="0"/>
          <w:iCs w:val="0"/>
        </w:rPr>
        <w:t xml:space="preserve"> : Exemple de fonction d'interprétation pour l’indicateur Stock de carbone (fonction Stockage, SE Stockage de carbone)</w:t>
      </w:r>
      <w:bookmarkEnd w:id="169"/>
    </w:p>
    <w:p w14:paraId="067E68D3" w14:textId="522F0224" w:rsidR="006D45C8" w:rsidRDefault="00FD61F1" w:rsidP="00876101">
      <w:pPr>
        <w:pStyle w:val="Titre2"/>
        <w:numPr>
          <w:ilvl w:val="1"/>
          <w:numId w:val="3"/>
        </w:numPr>
      </w:pPr>
      <w:bookmarkStart w:id="170" w:name="_Ref233113069"/>
      <w:bookmarkStart w:id="171" w:name="_Toc241505340"/>
      <w:r>
        <w:t>Réserve en eau utile</w:t>
      </w:r>
      <w:bookmarkEnd w:id="170"/>
      <w:bookmarkEnd w:id="171"/>
    </w:p>
    <w:p w14:paraId="69360A4B" w14:textId="77777777" w:rsidR="00FD61F1" w:rsidRPr="00C82C0F" w:rsidRDefault="00FD61F1" w:rsidP="00876101">
      <w:pPr>
        <w:pStyle w:val="Titre3"/>
        <w:numPr>
          <w:ilvl w:val="2"/>
          <w:numId w:val="3"/>
        </w:numPr>
      </w:pPr>
      <w:bookmarkStart w:id="172" w:name="_Toc241505341"/>
      <w:r>
        <w:t>Définition</w:t>
      </w:r>
      <w:bookmarkEnd w:id="172"/>
    </w:p>
    <w:p w14:paraId="23A45AF0" w14:textId="2DB4DCED" w:rsidR="00653D87" w:rsidRDefault="00FD61F1" w:rsidP="00FD61F1">
      <w:r>
        <w:t xml:space="preserve">La </w:t>
      </w:r>
      <w:r w:rsidR="006E2B73">
        <w:t xml:space="preserve">réserve en eau </w:t>
      </w:r>
      <w:r w:rsidR="00C91A26">
        <w:t>utile</w:t>
      </w:r>
      <w:r w:rsidR="005332C8">
        <w:t xml:space="preserve"> (REU)</w:t>
      </w:r>
      <w:r w:rsidR="00C91A26">
        <w:t xml:space="preserve">, aussi appelée réserve maximale en eau utile, correspond à la quantité maximale d’eau qui peut être absorbée par le sol et restituée à la plante </w:t>
      </w:r>
      <w:r w:rsidR="00373A72">
        <w:fldChar w:fldCharType="begin"/>
      </w:r>
      <w:r w:rsidR="00373A72">
        <w:instrText xml:space="preserve"> ADDIN ZOTERO_ITEM CSL_CITATION {"citationID":"QJ8d0TtN","properties":{"unsorted":false,"formattedCitation":"(Desmet, s.\\uc0\\u160{}d.)","plainCitation":"(Desmet, s. d.)","noteIndex":0},"citationItems":[{"id":77,"uris":["http://zotero.org/groups/5684833/items/JVSIP4A4"],"itemData":{"id":77,"type":"article-magazine","container-title":"Agriculture en Wallonie","language":"fr","publisher":"SPW ARNE Direction R&amp;D","title":"La réserve utile - Portail de l'agriculture wallonne","URL":"https://agriculture.wallonie.be/cms/render/live/fr/sites/agriculture/home/recherche-developpement/adaptations-a-la-secheresse/resilience-en-grandes-cultures/efficience-en-eau/la-reserve-utile.html","author":[{"family":"Desmet","given":"Florence"}],"accessed":{"date-parts":[["2024",9,27]]}}}],"schema":"https://github.com/citation-style-language/schema/raw/master/csl-citation.json"} </w:instrText>
      </w:r>
      <w:r w:rsidR="00373A72">
        <w:fldChar w:fldCharType="separate"/>
      </w:r>
      <w:r w:rsidR="00373A72" w:rsidRPr="00373A72">
        <w:rPr>
          <w:rFonts w:cs="Calibri"/>
          <w:kern w:val="0"/>
        </w:rPr>
        <w:t>(Desmet, s. d.)</w:t>
      </w:r>
      <w:r w:rsidR="00373A72">
        <w:fldChar w:fldCharType="end"/>
      </w:r>
      <w:r w:rsidR="0028666A">
        <w:t xml:space="preserve">. </w:t>
      </w:r>
      <w:r w:rsidR="007B4936">
        <w:t>En pratique, elle correspond à la différence entre la teneur en eau</w:t>
      </w:r>
      <w:r w:rsidR="00EE43CB">
        <w:t xml:space="preserve"> volumique</w:t>
      </w:r>
      <w:r w:rsidR="007B4936">
        <w:t xml:space="preserve"> à la capacité au champ (</w:t>
      </w:r>
      <w:proofErr w:type="spellStart"/>
      <w:r w:rsidR="000828BE">
        <w:rPr>
          <w:rFonts w:cs="Calibri"/>
        </w:rPr>
        <w:t>θ</w:t>
      </w:r>
      <w:r w:rsidR="000828BE">
        <w:rPr>
          <w:vertAlign w:val="subscript"/>
        </w:rPr>
        <w:t>cc</w:t>
      </w:r>
      <w:proofErr w:type="spellEnd"/>
      <w:r w:rsidR="000828BE">
        <w:t xml:space="preserve">, soit </w:t>
      </w:r>
      <w:r w:rsidR="00EE43CB">
        <w:t>la teneur en eau après une phase de ressuyage de 48</w:t>
      </w:r>
      <w:r w:rsidR="3C6B4946">
        <w:t xml:space="preserve"> </w:t>
      </w:r>
      <w:r w:rsidR="00EE43CB">
        <w:t>h</w:t>
      </w:r>
      <w:r w:rsidR="73264537">
        <w:t xml:space="preserve"> après saturation</w:t>
      </w:r>
      <w:r w:rsidR="00EE43CB">
        <w:t xml:space="preserve">) </w:t>
      </w:r>
      <w:r w:rsidR="00AA705E">
        <w:t>et la teneur en eau volumique au point de flétrissement (</w:t>
      </w:r>
      <w:proofErr w:type="spellStart"/>
      <w:r w:rsidR="001A0FCC" w:rsidRPr="48222D96">
        <w:rPr>
          <w:rFonts w:cs="Calibri"/>
        </w:rPr>
        <w:t>θ</w:t>
      </w:r>
      <w:r w:rsidR="001A0FCC" w:rsidRPr="48222D96">
        <w:rPr>
          <w:vertAlign w:val="subscript"/>
        </w:rPr>
        <w:t>pf</w:t>
      </w:r>
      <w:proofErr w:type="spellEnd"/>
      <w:r w:rsidR="001A0FCC">
        <w:t xml:space="preserve">, soit la teneur en eau </w:t>
      </w:r>
      <w:r w:rsidR="00D32B5D">
        <w:t>limite à partir de laquelle</w:t>
      </w:r>
      <w:r w:rsidR="00555768">
        <w:t xml:space="preserve"> celle-ci n’est plus disponible pour les plantes).</w:t>
      </w:r>
      <w:r w:rsidR="00974C01">
        <w:t xml:space="preserve"> Le schéma ci-dessous</w:t>
      </w:r>
      <w:r w:rsidR="00593CB4">
        <w:t xml:space="preserve"> (</w:t>
      </w:r>
      <w:r w:rsidR="00103896" w:rsidRPr="00103896">
        <w:fldChar w:fldCharType="begin"/>
      </w:r>
      <w:r w:rsidR="00103896" w:rsidRPr="00103896">
        <w:instrText xml:space="preserve"> REF _Ref231832197 \h  \* MERGEFORMAT </w:instrText>
      </w:r>
      <w:r w:rsidR="00103896" w:rsidRPr="00103896">
        <w:fldChar w:fldCharType="separate"/>
      </w:r>
      <w:r w:rsidR="00103896" w:rsidRPr="00103896">
        <w:t xml:space="preserve">Figure </w:t>
      </w:r>
      <w:r w:rsidR="00103896" w:rsidRPr="00103896">
        <w:rPr>
          <w:noProof/>
        </w:rPr>
        <w:t>3</w:t>
      </w:r>
      <w:r w:rsidR="00103896" w:rsidRPr="00103896">
        <w:fldChar w:fldCharType="end"/>
      </w:r>
      <w:r w:rsidR="001271CB" w:rsidRPr="00103896">
        <w:t xml:space="preserve">) </w:t>
      </w:r>
      <w:r w:rsidR="00974C01" w:rsidRPr="00103896">
        <w:t>tiré</w:t>
      </w:r>
      <w:r w:rsidR="00974C01">
        <w:t xml:space="preserve"> de Desmet </w:t>
      </w:r>
      <w:r w:rsidR="00974C01">
        <w:fldChar w:fldCharType="begin"/>
      </w:r>
      <w:r w:rsidR="00974C01">
        <w:instrText xml:space="preserve"> ADDIN ZOTERO_ITEM CSL_CITATION {"citationID":"EYlltjux","properties":{"unsorted":false,"formattedCitation":"(s.\\uc0\\u160{}d.)","plainCitation":"(s. d.)","noteIndex":0},"citationItems":[{"id":77,"uris":["http://zotero.org/groups/5684833/items/JVSIP4A4"],"itemData":{"id":77,"type":"article-magazine","container-title":"Agriculture en Wallonie","language":"fr","publisher":"SPW ARNE Direction R&amp;D","title":"La réserve utile - Portail de l'agriculture wallonne","URL":"https://agriculture.wallonie.be/cms/render/live/fr/sites/agriculture/home/recherche-developpement/adaptations-a-la-secheresse/resilience-en-grandes-cultures/efficience-en-eau/la-reserve-utile.html","author":[{"family":"Desmet","given":"Florence"}],"accessed":{"date-parts":[["2024",9,27]]}},"suppress-author":true}],"schema":"https://github.com/citation-style-language/schema/raw/master/csl-citation.json"} </w:instrText>
      </w:r>
      <w:r w:rsidR="00974C01">
        <w:fldChar w:fldCharType="separate"/>
      </w:r>
      <w:r w:rsidR="00974C01" w:rsidRPr="48222D96">
        <w:rPr>
          <w:rFonts w:cs="Calibri"/>
        </w:rPr>
        <w:t>(s. d.)</w:t>
      </w:r>
      <w:r w:rsidR="00974C01">
        <w:fldChar w:fldCharType="end"/>
      </w:r>
      <w:r w:rsidR="00593CB4">
        <w:t xml:space="preserve"> </w:t>
      </w:r>
      <w:r w:rsidR="00652BFC">
        <w:t>représente</w:t>
      </w:r>
      <w:r w:rsidR="00593CB4">
        <w:t xml:space="preserve"> </w:t>
      </w:r>
      <w:r w:rsidR="00652BFC">
        <w:t>schématiquement</w:t>
      </w:r>
      <w:r w:rsidR="00593CB4">
        <w:t xml:space="preserve"> </w:t>
      </w:r>
      <w:r w:rsidR="00833DD2">
        <w:t xml:space="preserve">les concepts liés à la </w:t>
      </w:r>
      <w:r w:rsidR="00593CB4">
        <w:t>REU.</w:t>
      </w:r>
    </w:p>
    <w:p w14:paraId="0F02DE02" w14:textId="77777777" w:rsidR="00593CB4" w:rsidRDefault="006902A0" w:rsidP="00593CB4">
      <w:pPr>
        <w:keepNext/>
        <w:jc w:val="center"/>
      </w:pPr>
      <w:r w:rsidRPr="00DC09EE">
        <w:rPr>
          <w:noProof/>
        </w:rPr>
        <w:lastRenderedPageBreak/>
        <w:drawing>
          <wp:inline distT="0" distB="0" distL="0" distR="0" wp14:anchorId="47DA0998" wp14:editId="12AEE50D">
            <wp:extent cx="5731510" cy="3604895"/>
            <wp:effectExtent l="0" t="0" r="2540" b="0"/>
            <wp:docPr id="209142452" name="Image 1" descr="Une image contenant texte, capture d’écran, Page web, Site web&#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42452" name="Image 1" descr="Une image contenant texte, capture d’écran, Page web, Site web&#10;&#10;Description générée automatiquement"/>
                    <pic:cNvPicPr/>
                  </pic:nvPicPr>
                  <pic:blipFill>
                    <a:blip r:embed="rId41"/>
                    <a:stretch>
                      <a:fillRect/>
                    </a:stretch>
                  </pic:blipFill>
                  <pic:spPr>
                    <a:xfrm>
                      <a:off x="0" y="0"/>
                      <a:ext cx="5731510" cy="3604895"/>
                    </a:xfrm>
                    <a:prstGeom prst="rect">
                      <a:avLst/>
                    </a:prstGeom>
                  </pic:spPr>
                </pic:pic>
              </a:graphicData>
            </a:graphic>
          </wp:inline>
        </w:drawing>
      </w:r>
    </w:p>
    <w:p w14:paraId="736DD2CB" w14:textId="013A50DB" w:rsidR="002D7242" w:rsidRPr="00DF58B0" w:rsidRDefault="00593CB4" w:rsidP="00593CB4">
      <w:pPr>
        <w:pStyle w:val="Lgende"/>
        <w:jc w:val="center"/>
        <w:rPr>
          <w:i w:val="0"/>
          <w:iCs w:val="0"/>
        </w:rPr>
      </w:pPr>
      <w:bookmarkStart w:id="173" w:name="_Ref231832197"/>
      <w:bookmarkStart w:id="174" w:name="_Ref231832187"/>
      <w:bookmarkStart w:id="175" w:name="_Toc233123181"/>
      <w:bookmarkStart w:id="176" w:name="_Toc241505126"/>
      <w:r w:rsidRPr="00DF58B0">
        <w:rPr>
          <w:i w:val="0"/>
          <w:iCs w:val="0"/>
        </w:rPr>
        <w:t xml:space="preserve">Figure </w:t>
      </w:r>
      <w:r w:rsidR="0032669B" w:rsidRPr="00DF58B0">
        <w:rPr>
          <w:i w:val="0"/>
          <w:iCs w:val="0"/>
        </w:rPr>
        <w:fldChar w:fldCharType="begin"/>
      </w:r>
      <w:r w:rsidR="0032669B" w:rsidRPr="00DF58B0">
        <w:rPr>
          <w:i w:val="0"/>
          <w:iCs w:val="0"/>
        </w:rPr>
        <w:instrText xml:space="preserve"> SEQ Figure \* ARABIC </w:instrText>
      </w:r>
      <w:r w:rsidR="0032669B" w:rsidRPr="00DF58B0">
        <w:rPr>
          <w:i w:val="0"/>
          <w:iCs w:val="0"/>
        </w:rPr>
        <w:fldChar w:fldCharType="separate"/>
      </w:r>
      <w:r w:rsidR="00B90382">
        <w:rPr>
          <w:i w:val="0"/>
          <w:iCs w:val="0"/>
          <w:noProof/>
        </w:rPr>
        <w:t>20</w:t>
      </w:r>
      <w:r w:rsidR="0032669B" w:rsidRPr="00DF58B0">
        <w:rPr>
          <w:i w:val="0"/>
          <w:iCs w:val="0"/>
          <w:noProof/>
        </w:rPr>
        <w:fldChar w:fldCharType="end"/>
      </w:r>
      <w:bookmarkEnd w:id="173"/>
      <w:r w:rsidRPr="00DF58B0">
        <w:rPr>
          <w:i w:val="0"/>
          <w:iCs w:val="0"/>
        </w:rPr>
        <w:t xml:space="preserve"> </w:t>
      </w:r>
      <w:bookmarkStart w:id="177" w:name="_Ref231832207"/>
      <w:r w:rsidRPr="00DF58B0">
        <w:rPr>
          <w:i w:val="0"/>
          <w:iCs w:val="0"/>
        </w:rPr>
        <w:t xml:space="preserve">: représentation des concepts en lien avec la réserve utile (RU), tel que réalisé </w:t>
      </w:r>
      <w:r w:rsidRPr="00DF58B0">
        <w:rPr>
          <w:i w:val="0"/>
          <w:iCs w:val="0"/>
          <w:noProof/>
        </w:rPr>
        <w:t>par Desmet Florence (SPW ARNE Direction R&amp;D, 2023).</w:t>
      </w:r>
      <w:bookmarkEnd w:id="174"/>
      <w:bookmarkEnd w:id="175"/>
      <w:bookmarkEnd w:id="176"/>
      <w:bookmarkEnd w:id="177"/>
    </w:p>
    <w:p w14:paraId="5935DB07" w14:textId="1DD230BC" w:rsidR="00FD61F1" w:rsidRDefault="001D685A" w:rsidP="00FD61F1">
      <w:r>
        <w:t>La REU est influencée par la texture, la charge en éléments grossiers</w:t>
      </w:r>
      <w:r w:rsidR="0018567A">
        <w:t>, la profondeur de sol et la teneur en matière organique.</w:t>
      </w:r>
    </w:p>
    <w:p w14:paraId="02207815" w14:textId="77777777" w:rsidR="00FD61F1" w:rsidRDefault="00FD61F1" w:rsidP="00876101">
      <w:pPr>
        <w:pStyle w:val="Titre3"/>
        <w:numPr>
          <w:ilvl w:val="2"/>
          <w:numId w:val="3"/>
        </w:numPr>
      </w:pPr>
      <w:bookmarkStart w:id="178" w:name="_Toc241505342"/>
      <w:r>
        <w:t>Pertinence</w:t>
      </w:r>
      <w:bookmarkEnd w:id="178"/>
    </w:p>
    <w:p w14:paraId="6536EB67" w14:textId="721A9B8C" w:rsidR="00FF23A0" w:rsidRDefault="00FF23A0" w:rsidP="00FD61F1">
      <w:r>
        <w:t>L’estimation de la REU est primordiale pour évaluer la capacité du sol à fournir de l’eau aux plantes pour leur croissance</w:t>
      </w:r>
      <w:r w:rsidR="0006034D">
        <w:t>, et ainsi sa résilience en cas de sécheresse.</w:t>
      </w:r>
      <w:r w:rsidR="00664677">
        <w:t xml:space="preserve"> La REU est un indicateur pertinent</w:t>
      </w:r>
      <w:r w:rsidR="0A447F18">
        <w:t>,</w:t>
      </w:r>
      <w:r w:rsidR="00664677">
        <w:t xml:space="preserve"> à évaluer </w:t>
      </w:r>
      <w:r w:rsidR="2A87401D">
        <w:t>tant</w:t>
      </w:r>
      <w:r w:rsidR="00664677">
        <w:t xml:space="preserve"> dans la couche superficielle du sol</w:t>
      </w:r>
      <w:r w:rsidR="64C94C20">
        <w:t xml:space="preserve"> qu’</w:t>
      </w:r>
      <w:r w:rsidR="003722F4">
        <w:t xml:space="preserve">en profondeur. En effet, les racines </w:t>
      </w:r>
      <w:r w:rsidR="008D48AF">
        <w:t>peuvent généralement</w:t>
      </w:r>
      <w:r w:rsidR="003722F4">
        <w:t xml:space="preserve"> puiser l’eau dans les horizons </w:t>
      </w:r>
      <w:r w:rsidR="008D48AF">
        <w:t xml:space="preserve">profonds, qui constituent une réserve indispensable en cas de sécheresse </w:t>
      </w:r>
      <w:r w:rsidR="008D48AF">
        <w:fldChar w:fldCharType="begin"/>
      </w:r>
      <w:r w:rsidR="008D48AF">
        <w:instrText xml:space="preserve"> ADDIN ZOTERO_ITEM CSL_CITATION {"citationID":"seZQ7YPt","properties":{"unsorted":false,"formattedCitation":"(Katerji et al., 1984)","plainCitation":"(Katerji et al., 1984)","noteIndex":0},"citationItems":[{"id":101,"uris":["http://zotero.org/groups/5684833/items/VSSSY4CQ"],"itemData":{"id":101,"type":"article-journal","abstract":"Agronomy for Sustainable Development, An International Journal in Agriculture and Environment","container-title":"Agronomie","DOI":"10.1051/agro:19840810","ISSN":"0249-5627","issue":"8","journalAbbreviation":"Agronomie","language":"fr","license":"Inra, Elsevier","page":"779-787","publisher":"EDP Sciences","source":"www.agronomy-journal.org","title":"Contribution des réserves profondes du sol au bilan hydrique des cultures. Détermination et importance","volume":"4","author":[{"family":"Katerji","given":"Nader"},{"family":"Daudet","given":"François"},{"family":"Valancogne","given":"Charles"},{"family":"Bach","given":"Maurice"},{"family":"Fouère","given":"Alain"}],"issued":{"date-parts":[["1984"]]}}}],"schema":"https://github.com/citation-style-language/schema/raw/master/csl-citation.json"} </w:instrText>
      </w:r>
      <w:r w:rsidR="008D48AF">
        <w:fldChar w:fldCharType="separate"/>
      </w:r>
      <w:r w:rsidR="008D48AF" w:rsidRPr="008D48AF">
        <w:rPr>
          <w:rFonts w:cs="Calibri"/>
        </w:rPr>
        <w:t>(Katerji et al., 1984)</w:t>
      </w:r>
      <w:r w:rsidR="008D48AF">
        <w:fldChar w:fldCharType="end"/>
      </w:r>
      <w:r w:rsidR="003722F4">
        <w:t>.</w:t>
      </w:r>
    </w:p>
    <w:p w14:paraId="77FEF4E2" w14:textId="450B4A64" w:rsidR="00FD61F1" w:rsidRDefault="00FD61F1" w:rsidP="00876101">
      <w:pPr>
        <w:pStyle w:val="Titre3"/>
        <w:numPr>
          <w:ilvl w:val="2"/>
          <w:numId w:val="3"/>
        </w:numPr>
      </w:pPr>
      <w:bookmarkStart w:id="179" w:name="_Toc241505343"/>
      <w:r>
        <w:t>Calcul de l’indicateur</w:t>
      </w:r>
      <w:bookmarkEnd w:id="179"/>
    </w:p>
    <w:p w14:paraId="7E97EF4E" w14:textId="483BDC56" w:rsidR="00941AE8" w:rsidRPr="000A6FCA" w:rsidRDefault="00E61394" w:rsidP="00FD61F1">
      <w:r>
        <w:t xml:space="preserve">La courbe de rétention en eau d’un sol peut se modéliser via l’équation de Van Genuchten, qui permet de </w:t>
      </w:r>
      <w:r w:rsidR="00706878">
        <w:t xml:space="preserve">visualiser l’évolution de </w:t>
      </w:r>
      <w:r w:rsidR="00214EF0">
        <w:t xml:space="preserve">la teneur en eau </w:t>
      </w:r>
      <w:r w:rsidR="00941AE8">
        <w:t xml:space="preserve">selon une </w:t>
      </w:r>
      <w:r w:rsidR="00214EF0">
        <w:t xml:space="preserve">succion </w:t>
      </w:r>
      <w:r w:rsidR="00941AE8">
        <w:t xml:space="preserve">croissante </w:t>
      </w:r>
      <w:r w:rsidR="00214EF0">
        <w:t xml:space="preserve">appliquée aux </w:t>
      </w:r>
      <w:proofErr w:type="spellStart"/>
      <w:r w:rsidR="00214EF0">
        <w:t>pores</w:t>
      </w:r>
      <w:proofErr w:type="spellEnd"/>
      <w:r w:rsidR="00214EF0">
        <w:t xml:space="preserve"> du sol</w:t>
      </w:r>
      <w:r w:rsidR="00DC0CB8">
        <w:t xml:space="preserve">, </w:t>
      </w:r>
      <w:r w:rsidR="00DC0CB8">
        <w:rPr>
          <w:rFonts w:cs="Calibri"/>
        </w:rPr>
        <w:t>θ</w:t>
      </w:r>
      <w:r w:rsidR="00DC0CB8">
        <w:t>(h)</w:t>
      </w:r>
      <w:r w:rsidR="00214EF0">
        <w:t>.</w:t>
      </w:r>
      <w:r w:rsidR="0007443E">
        <w:t xml:space="preserve"> Diverses fonctions </w:t>
      </w:r>
      <w:r w:rsidR="3BEA6A89">
        <w:t>de</w:t>
      </w:r>
      <w:r w:rsidR="0007443E">
        <w:t xml:space="preserve"> </w:t>
      </w:r>
      <w:proofErr w:type="spellStart"/>
      <w:r w:rsidR="0007443E">
        <w:t>pédotransfert</w:t>
      </w:r>
      <w:proofErr w:type="spellEnd"/>
      <w:r w:rsidR="0007443E">
        <w:t xml:space="preserve"> existent pour</w:t>
      </w:r>
      <w:r w:rsidR="007D54D1">
        <w:t xml:space="preserve"> calculer soit</w:t>
      </w:r>
      <w:r w:rsidR="0007443E">
        <w:t xml:space="preserve"> </w:t>
      </w:r>
      <w:r w:rsidR="38820F0A">
        <w:t>(1)</w:t>
      </w:r>
      <w:r w:rsidR="0007443E">
        <w:t xml:space="preserve"> les </w:t>
      </w:r>
      <w:r w:rsidR="001A2205">
        <w:t>termes de l’équation de Van Genuchten et</w:t>
      </w:r>
      <w:r w:rsidR="00DC0CB8">
        <w:t xml:space="preserve"> ensuite déduire les valeurs de </w:t>
      </w:r>
      <w:proofErr w:type="spellStart"/>
      <w:r w:rsidR="00DC0CB8">
        <w:rPr>
          <w:rFonts w:cs="Calibri"/>
        </w:rPr>
        <w:t>θ</w:t>
      </w:r>
      <w:r w:rsidR="00DC0CB8">
        <w:rPr>
          <w:vertAlign w:val="subscript"/>
        </w:rPr>
        <w:t>cc</w:t>
      </w:r>
      <w:proofErr w:type="spellEnd"/>
      <w:r w:rsidR="00DC0CB8">
        <w:t xml:space="preserve"> et </w:t>
      </w:r>
      <w:proofErr w:type="spellStart"/>
      <w:r w:rsidR="00DC0CB8">
        <w:rPr>
          <w:rFonts w:cs="Calibri"/>
        </w:rPr>
        <w:t>θ</w:t>
      </w:r>
      <w:r w:rsidR="00DC0CB8">
        <w:rPr>
          <w:vertAlign w:val="subscript"/>
        </w:rPr>
        <w:t>pf</w:t>
      </w:r>
      <w:proofErr w:type="spellEnd"/>
      <w:r w:rsidR="00DC0CB8">
        <w:t xml:space="preserve"> en fixant </w:t>
      </w:r>
      <w:r w:rsidR="00B22930">
        <w:t>h (succion)</w:t>
      </w:r>
      <w:r w:rsidR="001A2205">
        <w:t xml:space="preserve">, (2) directement </w:t>
      </w:r>
      <w:proofErr w:type="spellStart"/>
      <w:r w:rsidR="001A2205">
        <w:rPr>
          <w:rFonts w:cs="Calibri"/>
        </w:rPr>
        <w:t>θ</w:t>
      </w:r>
      <w:r w:rsidR="001A2205">
        <w:rPr>
          <w:vertAlign w:val="subscript"/>
        </w:rPr>
        <w:t>cc</w:t>
      </w:r>
      <w:proofErr w:type="spellEnd"/>
      <w:r w:rsidR="001A2205">
        <w:t xml:space="preserve"> et </w:t>
      </w:r>
      <w:proofErr w:type="spellStart"/>
      <w:r w:rsidR="001A2205">
        <w:rPr>
          <w:rFonts w:cs="Calibri"/>
        </w:rPr>
        <w:t>θ</w:t>
      </w:r>
      <w:r w:rsidR="001A2205">
        <w:rPr>
          <w:vertAlign w:val="subscript"/>
        </w:rPr>
        <w:t>pf</w:t>
      </w:r>
      <w:proofErr w:type="spellEnd"/>
      <w:r w:rsidR="00B22930">
        <w:t xml:space="preserve">. </w:t>
      </w:r>
      <w:r w:rsidR="0077457F">
        <w:t xml:space="preserve">Parmi celles-ci, les </w:t>
      </w:r>
      <w:r w:rsidR="00B22930">
        <w:t>équation</w:t>
      </w:r>
      <w:r w:rsidR="0077457F">
        <w:t>s</w:t>
      </w:r>
      <w:r w:rsidR="00B22930">
        <w:t xml:space="preserve"> de </w:t>
      </w:r>
      <w:r w:rsidR="00507221" w:rsidRPr="00507221">
        <w:t>Tóth</w:t>
      </w:r>
      <w:r w:rsidR="00507221">
        <w:t xml:space="preserve"> et al. </w:t>
      </w:r>
      <w:r w:rsidR="00507221">
        <w:fldChar w:fldCharType="begin"/>
      </w:r>
      <w:r w:rsidR="00507221">
        <w:instrText xml:space="preserve"> ADDIN ZOTERO_ITEM CSL_CITATION {"citationID":"xPUN9Oh7","properties":{"unsorted":false,"formattedCitation":"(2015)","plainCitation":"(2015)","noteIndex":0},"citationItems":[{"id":168,"uris":["http://zotero.org/groups/5684833/items/CT5CCALU"],"itemData":{"id":168,"type":"article-journal","abstract":"A range of continental-scale soil datasets exists in Europe with different spatial representation and based on different principles. We developed comprehensive pedotransfer functions (PTFs) for applications principally on spatial datasets with continental coverage. The PTF development included the prediction of soil water retention at various matric potentials and prediction of parameters to characterize soil moisture retention and the hydraulic conductivity curve (MRC and HCC) of European soils. We developed PTFs with a hierarchical approach, determined by the input requirements. The PTFs were derived by using three statistical methods: (i) linear regression where there were quantitative input variables, (ii) a regression tree for qualitative, quantitative and mixed types of information and (iii) mean statistics of developer-defined soil groups (class PTF) when only qualitative input parameters were available. Data of the recently established European Hydropedological Data Inventory (EU-HYDI), which holds the most comprehensive geographical and thematic coverage of hydro-pedological data in Europe, were used to train and test the PTFs. The applied modelling techniques and the EU-HYDI allowed the development of hydraulic PTFs that are more reliable and applicable for a greater variety of input parameters than those previously available for Europe. Therefore the new set of PTFs offers tailored advanced tools for a wide range of applications in the continent.","container-title":"European Journal of Soil Science","DOI":"10.1111/ejss.12192","ISSN":"1365-2389","issue":"1","language":"en","license":"© 2014 The Authors. European Journal of Soil Science published by John Wiley &amp; Sons Ltd on behalf of British Society of Soil Science.","note":"_eprint: https://bsssjournals.onlinelibrary.wiley.com/doi/pdf/10.1111/ejss.12192","page":"226-238","source":"Wiley Online Library","title":"New generation of hydraulic pedotransfer functions for Europe","volume":"66","author":[{"family":"Tóth","given":"B."},{"family":"Weynants","given":"M."},{"family":"Nemes","given":"A."},{"family":"Makó","given":"A."},{"family":"Bilas","given":"G."},{"family":"Tóth","given":"G."}],"issued":{"date-parts":[["2015"]]}},"suppress-author":true}],"schema":"https://github.com/citation-style-language/schema/raw/master/csl-citation.json"} </w:instrText>
      </w:r>
      <w:r w:rsidR="00507221">
        <w:fldChar w:fldCharType="separate"/>
      </w:r>
      <w:r w:rsidR="00507221" w:rsidRPr="00507221">
        <w:rPr>
          <w:rFonts w:cs="Calibri"/>
        </w:rPr>
        <w:t>(2015)</w:t>
      </w:r>
      <w:r w:rsidR="00507221">
        <w:fldChar w:fldCharType="end"/>
      </w:r>
      <w:r w:rsidR="00D4483E">
        <w:t xml:space="preserve"> </w:t>
      </w:r>
      <w:r w:rsidR="00CC250D">
        <w:t xml:space="preserve">font figure de référence </w:t>
      </w:r>
      <w:r w:rsidR="008D2269">
        <w:t>au niveau européen</w:t>
      </w:r>
      <w:r w:rsidR="00826FC6" w:rsidRPr="00436690">
        <w:rPr>
          <w:rStyle w:val="Appelnotedebasdep"/>
        </w:rPr>
        <w:footnoteReference w:id="10"/>
      </w:r>
      <w:r w:rsidR="001A6D2E">
        <w:t xml:space="preserve">. En effet, celles-ci reposent sur la base de données </w:t>
      </w:r>
      <w:r w:rsidR="001A6D2E" w:rsidRPr="001A6D2E">
        <w:t xml:space="preserve">EU-HYDI </w:t>
      </w:r>
      <w:r w:rsidR="001A6D2E">
        <w:t xml:space="preserve">(qui regroupe elle-même des bases de données UE </w:t>
      </w:r>
      <w:r w:rsidR="00BD2DB0">
        <w:t xml:space="preserve">pour les sols agricoles et forestiers). </w:t>
      </w:r>
      <w:r w:rsidR="002A1824">
        <w:t xml:space="preserve">Ainsi, la première étape du calcul de la REU consiste à estimer les teneurs en eau </w:t>
      </w:r>
      <w:r w:rsidR="009F1CD2">
        <w:t>à la capacité au champ (</w:t>
      </w:r>
      <w:proofErr w:type="spellStart"/>
      <w:r w:rsidR="001F24E0">
        <w:rPr>
          <w:rFonts w:cs="Calibri"/>
        </w:rPr>
        <w:t>θ</w:t>
      </w:r>
      <w:r w:rsidR="001F24E0">
        <w:rPr>
          <w:vertAlign w:val="subscript"/>
        </w:rPr>
        <w:t>cc</w:t>
      </w:r>
      <w:proofErr w:type="spellEnd"/>
      <w:r w:rsidR="009F1CD2">
        <w:t>) et au point de flétrissement (</w:t>
      </w:r>
      <w:proofErr w:type="spellStart"/>
      <w:r w:rsidR="001F24E0">
        <w:rPr>
          <w:rFonts w:cs="Calibri"/>
        </w:rPr>
        <w:t>θ</w:t>
      </w:r>
      <w:r w:rsidR="001F24E0">
        <w:rPr>
          <w:vertAlign w:val="subscript"/>
        </w:rPr>
        <w:t>pf</w:t>
      </w:r>
      <w:proofErr w:type="spellEnd"/>
      <w:r w:rsidR="009F1CD2">
        <w:t>) via les équations suivantes </w:t>
      </w:r>
      <w:r w:rsidR="009F1CD2">
        <w:fldChar w:fldCharType="begin"/>
      </w:r>
      <w:r w:rsidR="009F1CD2">
        <w:instrText xml:space="preserve"> ADDIN ZOTERO_ITEM CSL_CITATION {"citationID":"WQUTXv9B","properties":{"unsorted":false,"formattedCitation":"(T\\uc0\\u243{}th et al., 2015)","plainCitation":"(Tóth et al., 2015)","noteIndex":0},"citationItems":[{"id":168,"uris":["http://zotero.org/groups/5684833/items/CT5CCALU"],"itemData":{"id":168,"type":"article-journal","abstract":"A range of continental-scale soil datasets exists in Europe with different spatial representation and based on different principles. We developed comprehensive pedotransfer functions (PTFs) for applications principally on spatial datasets with continental coverage. The PTF development included the prediction of soil water retention at various matric potentials and prediction of parameters to characterize soil moisture retention and the hydraulic conductivity curve (MRC and HCC) of European soils. We developed PTFs with a hierarchical approach, determined by the input requirements. The PTFs were derived by using three statistical methods: (i) linear regression where there were quantitative input variables, (ii) a regression tree for qualitative, quantitative and mixed types of information and (iii) mean statistics of developer-defined soil groups (class PTF) when only qualitative input parameters were available. Data of the recently established European Hydropedological Data Inventory (EU-HYDI), which holds the most comprehensive geographical and thematic coverage of hydro-pedological data in Europe, were used to train and test the PTFs. The applied modelling techniques and the EU-HYDI allowed the development of hydraulic PTFs that are more reliable and applicable for a greater variety of input parameters than those previously available for Europe. Therefore the new set of PTFs offers tailored advanced tools for a wide range of applications in the continent.","container-title":"European Journal of Soil Science","DOI":"10.1111/ejss.12192","ISSN":"1365-2389","issue":"1","language":"en","license":"© 2014 The Authors. European Journal of Soil Science published by John Wiley &amp; Sons Ltd on behalf of British Society of Soil Science.","note":"_eprint: https://bsssjournals.onlinelibrary.wiley.com/doi/pdf/10.1111/ejss.12192","page":"226-238","source":"Wiley Online Library","title":"New generation of hydraulic pedotransfer functions for Europe","volume":"66","author":[{"family":"Tóth","given":"B."},{"family":"Weynants","given":"M."},{"family":"Nemes","given":"A."},{"family":"Makó","given":"A."},{"family":"Bilas","given":"G."},{"family":"Tóth","given":"G."}],"issued":{"date-parts":[["2015"]]}}}],"schema":"https://github.com/citation-style-language/schema/raw/master/csl-citation.json"} </w:instrText>
      </w:r>
      <w:r w:rsidR="009F1CD2">
        <w:fldChar w:fldCharType="separate"/>
      </w:r>
      <w:r w:rsidR="009F1CD2" w:rsidRPr="009F1CD2">
        <w:rPr>
          <w:rFonts w:cs="Calibri"/>
          <w:kern w:val="0"/>
        </w:rPr>
        <w:t>(Tóth et al., 2015)</w:t>
      </w:r>
      <w:r w:rsidR="009F1CD2">
        <w:fldChar w:fldCharType="end"/>
      </w:r>
      <w:r w:rsidR="009F1CD2">
        <w:t xml:space="preserve"> : </w:t>
      </w:r>
    </w:p>
    <w:tbl>
      <w:tblPr>
        <w:tblStyle w:val="Grilledutableau"/>
        <w:tblW w:w="90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8364"/>
        <w:gridCol w:w="703"/>
      </w:tblGrid>
      <w:tr w:rsidR="00E85593" w:rsidRPr="008A331C" w14:paraId="483DF1C5" w14:textId="77777777" w:rsidTr="00001C66">
        <w:trPr>
          <w:jc w:val="center"/>
        </w:trPr>
        <w:tc>
          <w:tcPr>
            <w:tcW w:w="8364" w:type="dxa"/>
          </w:tcPr>
          <w:p w14:paraId="33C10D2A" w14:textId="5CC2E58A" w:rsidR="00E85593" w:rsidRPr="006808B1" w:rsidRDefault="00437C8C" w:rsidP="008A331C">
            <w:pPr>
              <w:tabs>
                <w:tab w:val="left" w:pos="496"/>
              </w:tabs>
              <w:jc w:val="center"/>
              <w:rPr>
                <w:rFonts w:eastAsiaTheme="minorEastAsia"/>
                <w:sz w:val="18"/>
                <w:szCs w:val="18"/>
              </w:rPr>
            </w:pPr>
            <m:oMath>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θ</m:t>
                  </m:r>
                </m:e>
                <m:sub>
                  <m:r>
                    <m:rPr>
                      <m:sty m:val="p"/>
                    </m:rPr>
                    <w:rPr>
                      <w:rFonts w:ascii="Cambria Math" w:eastAsia="Cambria Math" w:hAnsi="Cambria Math" w:cs="Calibri"/>
                      <w:sz w:val="18"/>
                      <w:szCs w:val="18"/>
                    </w:rPr>
                    <m:t>CC</m:t>
                  </m:r>
                </m:sub>
              </m:sSub>
              <m:r>
                <m:rPr>
                  <m:sty m:val="p"/>
                </m:rPr>
                <w:rPr>
                  <w:rFonts w:ascii="Cambria Math" w:eastAsia="Cambria Math" w:hAnsi="Cambria Math" w:cs="Calibri"/>
                  <w:sz w:val="18"/>
                  <w:szCs w:val="18"/>
                </w:rPr>
                <m:t>=0,2449-0,1887</m:t>
              </m:r>
              <m:r>
                <m:rPr>
                  <m:sty m:val="p"/>
                </m:rPr>
                <w:rPr>
                  <w:rFonts w:ascii="Cambria Math" w:hAnsi="Cambria Math" w:cs="Calibri"/>
                </w:rPr>
                <m:t>·</m:t>
              </m:r>
              <m:d>
                <m:dPr>
                  <m:ctrlPr>
                    <w:rPr>
                      <w:rFonts w:ascii="Cambria Math" w:eastAsia="Cambria Math" w:hAnsi="Cambria Math" w:cs="Calibri"/>
                      <w:sz w:val="18"/>
                      <w:szCs w:val="18"/>
                    </w:rPr>
                  </m:ctrlPr>
                </m:dPr>
                <m:e>
                  <m:f>
                    <m:fPr>
                      <m:ctrlPr>
                        <w:rPr>
                          <w:rFonts w:ascii="Cambria Math" w:eastAsia="Cambria Math" w:hAnsi="Cambria Math" w:cs="Calibri"/>
                          <w:sz w:val="18"/>
                          <w:szCs w:val="18"/>
                        </w:rPr>
                      </m:ctrlPr>
                    </m:fPr>
                    <m:num>
                      <m:r>
                        <m:rPr>
                          <m:sty m:val="p"/>
                        </m:rPr>
                        <w:rPr>
                          <w:rFonts w:ascii="Cambria Math" w:eastAsia="Cambria Math" w:hAnsi="Cambria Math" w:cs="Calibri"/>
                          <w:sz w:val="18"/>
                          <w:szCs w:val="18"/>
                        </w:rPr>
                        <m:t>1</m:t>
                      </m:r>
                    </m:num>
                    <m:den>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org</m:t>
                          </m:r>
                        </m:sub>
                      </m:sSub>
                      <m:r>
                        <m:rPr>
                          <m:sty m:val="p"/>
                        </m:rPr>
                        <w:rPr>
                          <w:rFonts w:ascii="Cambria Math" w:eastAsia="Cambria Math" w:hAnsi="Cambria Math" w:cs="Calibri"/>
                          <w:sz w:val="18"/>
                          <w:szCs w:val="18"/>
                        </w:rPr>
                        <m:t>+1</m:t>
                      </m:r>
                    </m:den>
                  </m:f>
                </m:e>
              </m:d>
              <m:r>
                <m:rPr>
                  <m:sty m:val="p"/>
                </m:rPr>
                <w:rPr>
                  <w:rFonts w:ascii="Cambria Math" w:eastAsia="Cambria Math" w:hAnsi="Cambria Math" w:cs="Calibri"/>
                  <w:sz w:val="18"/>
                  <w:szCs w:val="18"/>
                </w:rPr>
                <m:t xml:space="preserve"> </m:t>
              </m:r>
              <m:r>
                <m:rPr>
                  <m:sty m:val="p"/>
                </m:rPr>
                <w:rPr>
                  <w:rFonts w:ascii="Cambria Math" w:eastAsia="Aptos" w:hAnsi="Cambria Math" w:cs="Calibri"/>
                  <w:sz w:val="18"/>
                  <w:szCs w:val="18"/>
                </w:rPr>
                <m:t>+ 0,004527</m:t>
              </m:r>
              <m:r>
                <m:rPr>
                  <m:sty m:val="p"/>
                </m:rPr>
                <w:rPr>
                  <w:rFonts w:ascii="Cambria Math" w:hAnsi="Cambria Math" w:cs="Calibri"/>
                </w:rPr>
                <m:t>·</m:t>
              </m:r>
              <m:r>
                <m:rPr>
                  <m:sty m:val="p"/>
                </m:rPr>
                <w:rPr>
                  <w:rFonts w:ascii="Cambria Math" w:eastAsia="Aptos" w:hAnsi="Cambria Math" w:cs="Calibri"/>
                  <w:sz w:val="18"/>
                  <w:szCs w:val="18"/>
                </w:rPr>
                <m:t>argile + 0,001535</m:t>
              </m:r>
              <m:r>
                <m:rPr>
                  <m:sty m:val="p"/>
                </m:rPr>
                <w:rPr>
                  <w:rFonts w:ascii="Cambria Math" w:hAnsi="Cambria Math" w:cs="Calibri"/>
                </w:rPr>
                <m:t>·</m:t>
              </m:r>
              <m:r>
                <m:rPr>
                  <m:sty m:val="p"/>
                </m:rPr>
                <w:rPr>
                  <w:rFonts w:ascii="Cambria Math" w:eastAsia="Aptos" w:hAnsi="Cambria Math" w:cs="Calibri"/>
                  <w:sz w:val="18"/>
                  <w:szCs w:val="18"/>
                </w:rPr>
                <m:t>limon+0,001442</m:t>
              </m:r>
              <m:r>
                <m:rPr>
                  <m:sty m:val="p"/>
                </m:rPr>
                <w:rPr>
                  <w:rFonts w:ascii="Cambria Math" w:hAnsi="Cambria Math" w:cs="Calibri"/>
                </w:rPr>
                <m:t>·</m:t>
              </m:r>
              <m:r>
                <m:rPr>
                  <m:sty m:val="p"/>
                </m:rPr>
                <w:rPr>
                  <w:rFonts w:ascii="Cambria Math" w:eastAsia="Aptos" w:hAnsi="Cambria Math" w:cs="Calibri"/>
                  <w:sz w:val="18"/>
                  <w:szCs w:val="18"/>
                </w:rPr>
                <m:t>limon</m:t>
              </m:r>
              <m:r>
                <m:rPr>
                  <m:sty m:val="p"/>
                </m:rPr>
                <w:rPr>
                  <w:rFonts w:ascii="Cambria Math" w:hAnsi="Cambria Math" w:cs="Calibri"/>
                </w:rPr>
                <m:t>·</m:t>
              </m:r>
              <m:d>
                <m:dPr>
                  <m:ctrlPr>
                    <w:rPr>
                      <w:rFonts w:ascii="Cambria Math" w:eastAsia="Cambria Math" w:hAnsi="Cambria Math" w:cs="Calibri"/>
                      <w:sz w:val="18"/>
                      <w:szCs w:val="18"/>
                    </w:rPr>
                  </m:ctrlPr>
                </m:dPr>
                <m:e>
                  <m:f>
                    <m:fPr>
                      <m:ctrlPr>
                        <w:rPr>
                          <w:rFonts w:ascii="Cambria Math" w:eastAsia="Cambria Math" w:hAnsi="Cambria Math" w:cs="Calibri"/>
                          <w:sz w:val="18"/>
                          <w:szCs w:val="18"/>
                        </w:rPr>
                      </m:ctrlPr>
                    </m:fPr>
                    <m:num>
                      <m:r>
                        <m:rPr>
                          <m:sty m:val="p"/>
                        </m:rPr>
                        <w:rPr>
                          <w:rFonts w:ascii="Cambria Math" w:eastAsia="Cambria Math" w:hAnsi="Cambria Math" w:cs="Calibri"/>
                          <w:sz w:val="18"/>
                          <w:szCs w:val="18"/>
                        </w:rPr>
                        <m:t>1</m:t>
                      </m:r>
                    </m:num>
                    <m:den>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org</m:t>
                          </m:r>
                        </m:sub>
                      </m:sSub>
                      <m:r>
                        <m:rPr>
                          <m:sty m:val="p"/>
                        </m:rPr>
                        <w:rPr>
                          <w:rFonts w:ascii="Cambria Math" w:eastAsia="Cambria Math" w:hAnsi="Cambria Math" w:cs="Calibri"/>
                          <w:sz w:val="18"/>
                          <w:szCs w:val="18"/>
                        </w:rPr>
                        <m:t>+1</m:t>
                      </m:r>
                    </m:den>
                  </m:f>
                </m:e>
              </m:d>
              <m:r>
                <m:rPr>
                  <m:sty m:val="p"/>
                </m:rPr>
                <w:rPr>
                  <w:rFonts w:ascii="Cambria Math" w:eastAsia="Cambria Math" w:hAnsi="Cambria Math" w:cs="Calibri"/>
                  <w:sz w:val="18"/>
                  <w:szCs w:val="18"/>
                </w:rPr>
                <m:t>-</m:t>
              </m:r>
              <m:r>
                <m:rPr>
                  <m:sty m:val="p"/>
                </m:rPr>
                <w:rPr>
                  <w:rFonts w:ascii="Cambria Math" w:eastAsia="Cambria Math" w:hAnsi="Cambria Math" w:cs="Calibri"/>
                  <w:sz w:val="18"/>
                  <w:szCs w:val="18"/>
                </w:rPr>
                <m:t xml:space="preserve"> 0,00005110</m:t>
              </m:r>
              <m:r>
                <m:rPr>
                  <m:sty m:val="p"/>
                </m:rPr>
                <w:rPr>
                  <w:rFonts w:ascii="Cambria Math" w:hAnsi="Cambria Math" w:cs="Calibri"/>
                </w:rPr>
                <m:t>·</m:t>
              </m:r>
              <m:r>
                <m:rPr>
                  <m:sty m:val="p"/>
                </m:rPr>
                <w:rPr>
                  <w:rFonts w:ascii="Cambria Math" w:eastAsia="Aptos" w:hAnsi="Cambria Math" w:cs="Calibri"/>
                  <w:sz w:val="18"/>
                  <w:szCs w:val="18"/>
                </w:rPr>
                <m:t>limon</m:t>
              </m:r>
              <m:r>
                <m:rPr>
                  <m:sty m:val="p"/>
                </m:rPr>
                <w:rPr>
                  <w:rFonts w:ascii="Cambria Math" w:hAnsi="Cambria Math" w:cs="Calibri"/>
                </w:rPr>
                <m:t>·</m:t>
              </m:r>
              <m:r>
                <m:rPr>
                  <m:sty m:val="p"/>
                </m:rPr>
                <w:rPr>
                  <w:rFonts w:ascii="Cambria Math" w:eastAsia="Aptos" w:hAnsi="Cambria Math" w:cs="Calibri"/>
                  <w:sz w:val="18"/>
                  <w:szCs w:val="18"/>
                </w:rPr>
                <m:t xml:space="preserve">argile </m:t>
              </m:r>
              <m:r>
                <m:rPr>
                  <m:sty m:val="p"/>
                </m:rPr>
                <w:rPr>
                  <w:rFonts w:ascii="Cambria Math" w:eastAsia="Cambria Math" w:hAnsi="Cambria Math" w:cs="Calibri"/>
                  <w:sz w:val="18"/>
                  <w:szCs w:val="18"/>
                </w:rPr>
                <m:t>+ 0,0008676</m:t>
              </m:r>
              <m:r>
                <m:rPr>
                  <m:sty m:val="p"/>
                </m:rPr>
                <w:rPr>
                  <w:rFonts w:ascii="Cambria Math" w:hAnsi="Cambria Math" w:cs="Calibri"/>
                </w:rPr>
                <m:t>·</m:t>
              </m:r>
              <m:r>
                <m:rPr>
                  <m:sty m:val="p"/>
                </m:rPr>
                <w:rPr>
                  <w:rFonts w:ascii="Cambria Math" w:eastAsia="Aptos" w:hAnsi="Cambria Math" w:cs="Calibri"/>
                  <w:sz w:val="18"/>
                  <w:szCs w:val="18"/>
                </w:rPr>
                <m:t>argile</m:t>
              </m:r>
              <m:r>
                <m:rPr>
                  <m:sty m:val="p"/>
                </m:rPr>
                <w:rPr>
                  <w:rFonts w:ascii="Cambria Math" w:hAnsi="Cambria Math" w:cs="Calibri"/>
                </w:rPr>
                <m:t>·</m:t>
              </m:r>
              <m:d>
                <m:dPr>
                  <m:ctrlPr>
                    <w:rPr>
                      <w:rFonts w:ascii="Cambria Math" w:eastAsia="Cambria Math" w:hAnsi="Cambria Math" w:cs="Calibri"/>
                      <w:sz w:val="18"/>
                      <w:szCs w:val="18"/>
                    </w:rPr>
                  </m:ctrlPr>
                </m:dPr>
                <m:e>
                  <m:f>
                    <m:fPr>
                      <m:ctrlPr>
                        <w:rPr>
                          <w:rFonts w:ascii="Cambria Math" w:eastAsia="Cambria Math" w:hAnsi="Cambria Math" w:cs="Calibri"/>
                          <w:sz w:val="18"/>
                          <w:szCs w:val="18"/>
                        </w:rPr>
                      </m:ctrlPr>
                    </m:fPr>
                    <m:num>
                      <m:r>
                        <m:rPr>
                          <m:sty m:val="p"/>
                        </m:rPr>
                        <w:rPr>
                          <w:rFonts w:ascii="Cambria Math" w:eastAsia="Cambria Math" w:hAnsi="Cambria Math" w:cs="Calibri"/>
                          <w:sz w:val="18"/>
                          <w:szCs w:val="18"/>
                        </w:rPr>
                        <m:t>1</m:t>
                      </m:r>
                    </m:num>
                    <m:den>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org</m:t>
                          </m:r>
                        </m:sub>
                      </m:sSub>
                      <m:r>
                        <m:rPr>
                          <m:sty m:val="p"/>
                        </m:rPr>
                        <w:rPr>
                          <w:rFonts w:ascii="Cambria Math" w:eastAsia="Cambria Math" w:hAnsi="Cambria Math" w:cs="Calibri"/>
                          <w:sz w:val="18"/>
                          <w:szCs w:val="18"/>
                        </w:rPr>
                        <m:t>+1</m:t>
                      </m:r>
                    </m:den>
                  </m:f>
                </m:e>
              </m:d>
            </m:oMath>
            <w:r w:rsidR="00E85593" w:rsidRPr="006808B1">
              <w:rPr>
                <w:rFonts w:ascii="Cambria Math" w:eastAsia="Aptos" w:hAnsi="Cambria Math" w:cs="Calibri"/>
                <w:sz w:val="18"/>
                <w:szCs w:val="18"/>
              </w:rPr>
              <w:t xml:space="preserve"> </w:t>
            </w:r>
          </w:p>
        </w:tc>
        <w:tc>
          <w:tcPr>
            <w:tcW w:w="703" w:type="dxa"/>
            <w:vAlign w:val="center"/>
          </w:tcPr>
          <w:p w14:paraId="2DAC5B79" w14:textId="399BC580" w:rsidR="00E85593" w:rsidRPr="009E5D4E" w:rsidRDefault="00E85593" w:rsidP="00E85593">
            <w:pPr>
              <w:tabs>
                <w:tab w:val="left" w:pos="496"/>
              </w:tabs>
              <w:jc w:val="center"/>
              <w:rPr>
                <w:rFonts w:ascii="Cambria Math" w:eastAsia="Aptos" w:hAnsi="Cambria Math" w:cs="Calibri"/>
                <w:sz w:val="20"/>
                <w:szCs w:val="20"/>
              </w:rPr>
            </w:pPr>
            <w:r>
              <w:rPr>
                <w:rFonts w:ascii="Cambria Math" w:eastAsia="Aptos" w:hAnsi="Cambria Math" w:cs="Calibri"/>
                <w:sz w:val="20"/>
                <w:szCs w:val="20"/>
              </w:rPr>
              <w:t>(</w:t>
            </w:r>
            <w:r w:rsidR="002934E3">
              <w:rPr>
                <w:rFonts w:ascii="Cambria Math" w:eastAsia="Aptos" w:hAnsi="Cambria Math" w:cs="Calibri"/>
                <w:sz w:val="20"/>
                <w:szCs w:val="20"/>
              </w:rPr>
              <w:t>7</w:t>
            </w:r>
            <w:r w:rsidR="00001C66">
              <w:rPr>
                <w:rFonts w:ascii="Cambria Math" w:eastAsia="Aptos" w:hAnsi="Cambria Math" w:cs="Calibri"/>
                <w:sz w:val="20"/>
                <w:szCs w:val="20"/>
              </w:rPr>
              <w:t>a</w:t>
            </w:r>
            <w:r>
              <w:rPr>
                <w:rFonts w:ascii="Cambria Math" w:eastAsia="Aptos" w:hAnsi="Cambria Math" w:cs="Calibri"/>
                <w:sz w:val="20"/>
                <w:szCs w:val="20"/>
              </w:rPr>
              <w:t>)</w:t>
            </w:r>
          </w:p>
        </w:tc>
      </w:tr>
      <w:tr w:rsidR="00854C38" w:rsidRPr="008A331C" w14:paraId="2CFF9433" w14:textId="77777777" w:rsidTr="001F24E0">
        <w:trPr>
          <w:jc w:val="center"/>
        </w:trPr>
        <w:tc>
          <w:tcPr>
            <w:tcW w:w="9067" w:type="dxa"/>
            <w:gridSpan w:val="2"/>
          </w:tcPr>
          <w:p w14:paraId="0B49E5BF" w14:textId="77777777" w:rsidR="00854C38" w:rsidRPr="008A331C" w:rsidRDefault="00854C38" w:rsidP="008A331C">
            <w:pPr>
              <w:tabs>
                <w:tab w:val="left" w:pos="496"/>
              </w:tabs>
              <w:jc w:val="center"/>
              <w:rPr>
                <w:rFonts w:eastAsia="Aptos" w:cs="Times New Roman"/>
                <w:szCs w:val="22"/>
              </w:rPr>
            </w:pPr>
          </w:p>
        </w:tc>
      </w:tr>
      <w:tr w:rsidR="003A21FB" w:rsidRPr="008A331C" w14:paraId="60662DDC" w14:textId="77777777" w:rsidTr="00001C66">
        <w:trPr>
          <w:jc w:val="center"/>
        </w:trPr>
        <w:tc>
          <w:tcPr>
            <w:tcW w:w="8364" w:type="dxa"/>
          </w:tcPr>
          <w:p w14:paraId="3F0FC6E0" w14:textId="2D217A5D" w:rsidR="003A21FB" w:rsidRPr="006808B1" w:rsidRDefault="00437C8C" w:rsidP="00854C38">
            <w:pPr>
              <w:tabs>
                <w:tab w:val="left" w:pos="496"/>
              </w:tabs>
              <w:jc w:val="center"/>
              <w:rPr>
                <w:rFonts w:ascii="Cambria Math" w:eastAsia="Aptos" w:hAnsi="Cambria Math" w:cs="Calibri"/>
                <w:sz w:val="18"/>
                <w:szCs w:val="18"/>
              </w:rPr>
            </w:pPr>
            <m:oMath>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θ</m:t>
                  </m:r>
                </m:e>
                <m:sub>
                  <m:r>
                    <m:rPr>
                      <m:sty m:val="p"/>
                    </m:rPr>
                    <w:rPr>
                      <w:rFonts w:ascii="Cambria Math" w:eastAsia="Cambria Math" w:hAnsi="Cambria Math" w:cs="Calibri"/>
                      <w:sz w:val="18"/>
                      <w:szCs w:val="18"/>
                    </w:rPr>
                    <m:t>PF</m:t>
                  </m:r>
                </m:sub>
              </m:sSub>
              <m:r>
                <m:rPr>
                  <m:sty m:val="p"/>
                </m:rPr>
                <w:rPr>
                  <w:rFonts w:ascii="Cambria Math" w:eastAsia="Cambria Math" w:hAnsi="Cambria Math" w:cs="Calibri"/>
                  <w:sz w:val="18"/>
                  <w:szCs w:val="18"/>
                </w:rPr>
                <m:t>=0,09878+0,002127</m:t>
              </m:r>
              <m:r>
                <m:rPr>
                  <m:sty m:val="p"/>
                </m:rPr>
                <w:rPr>
                  <w:rFonts w:ascii="Cambria Math" w:hAnsi="Cambria Math" w:cs="Calibri"/>
                </w:rPr>
                <m:t>·</m:t>
              </m:r>
              <m:r>
                <m:rPr>
                  <m:sty m:val="p"/>
                </m:rPr>
                <w:rPr>
                  <w:rFonts w:ascii="Cambria Math" w:eastAsia="Aptos" w:hAnsi="Cambria Math" w:cs="Calibri"/>
                  <w:sz w:val="18"/>
                  <w:szCs w:val="18"/>
                </w:rPr>
                <m:t xml:space="preserve">argile </m:t>
              </m:r>
              <m:r>
                <m:rPr>
                  <m:sty m:val="p"/>
                </m:rPr>
                <w:rPr>
                  <w:rFonts w:ascii="Cambria Math" w:eastAsia="Cambria Math" w:hAnsi="Cambria Math" w:cs="Calibri"/>
                  <w:sz w:val="18"/>
                  <w:szCs w:val="18"/>
                </w:rPr>
                <m:t>-</m:t>
              </m:r>
              <m:r>
                <m:rPr>
                  <m:sty m:val="p"/>
                </m:rPr>
                <w:rPr>
                  <w:rFonts w:ascii="Cambria Math" w:eastAsia="Cambria Math" w:hAnsi="Cambria Math" w:cs="Calibri"/>
                  <w:sz w:val="18"/>
                  <w:szCs w:val="18"/>
                </w:rPr>
                <m:t>0,0008366</m:t>
              </m:r>
              <m:r>
                <m:rPr>
                  <m:sty m:val="p"/>
                </m:rPr>
                <w:rPr>
                  <w:rFonts w:ascii="Cambria Math" w:hAnsi="Cambria Math" w:cs="Calibri"/>
                </w:rPr>
                <m:t>·</m:t>
              </m:r>
              <m:r>
                <m:rPr>
                  <m:sty m:val="p"/>
                </m:rPr>
                <w:rPr>
                  <w:rFonts w:ascii="Cambria Math" w:eastAsia="Aptos" w:hAnsi="Cambria Math" w:cs="Calibri"/>
                  <w:sz w:val="18"/>
                  <w:szCs w:val="18"/>
                </w:rPr>
                <m:t>limon</m:t>
              </m:r>
              <m:r>
                <m:rPr>
                  <m:sty m:val="p"/>
                </m:rPr>
                <w:rPr>
                  <w:rFonts w:ascii="Cambria Math" w:eastAsia="Cambria Math" w:hAnsi="Cambria Math" w:cs="Calibri"/>
                  <w:sz w:val="18"/>
                  <w:szCs w:val="18"/>
                </w:rPr>
                <m:t>-</m:t>
              </m:r>
              <m:r>
                <m:rPr>
                  <m:sty m:val="p"/>
                </m:rPr>
                <w:rPr>
                  <w:rFonts w:ascii="Cambria Math" w:eastAsia="Cambria Math" w:hAnsi="Cambria Math" w:cs="Calibri"/>
                  <w:sz w:val="18"/>
                  <w:szCs w:val="18"/>
                </w:rPr>
                <m:t>0,07670</m:t>
              </m:r>
              <m:r>
                <m:rPr>
                  <m:sty m:val="p"/>
                </m:rPr>
                <w:rPr>
                  <w:rFonts w:ascii="Cambria Math" w:hAnsi="Cambria Math" w:cs="Calibri"/>
                </w:rPr>
                <m:t>·</m:t>
              </m:r>
              <m:d>
                <m:dPr>
                  <m:ctrlPr>
                    <w:rPr>
                      <w:rFonts w:ascii="Cambria Math" w:eastAsia="Cambria Math" w:hAnsi="Cambria Math" w:cs="Calibri"/>
                      <w:sz w:val="18"/>
                      <w:szCs w:val="18"/>
                    </w:rPr>
                  </m:ctrlPr>
                </m:dPr>
                <m:e>
                  <m:f>
                    <m:fPr>
                      <m:ctrlPr>
                        <w:rPr>
                          <w:rFonts w:ascii="Cambria Math" w:eastAsia="Cambria Math" w:hAnsi="Cambria Math" w:cs="Calibri"/>
                          <w:sz w:val="18"/>
                          <w:szCs w:val="18"/>
                        </w:rPr>
                      </m:ctrlPr>
                    </m:fPr>
                    <m:num>
                      <m:r>
                        <m:rPr>
                          <m:sty m:val="p"/>
                        </m:rPr>
                        <w:rPr>
                          <w:rFonts w:ascii="Cambria Math" w:eastAsia="Cambria Math" w:hAnsi="Cambria Math" w:cs="Calibri"/>
                          <w:sz w:val="18"/>
                          <w:szCs w:val="18"/>
                        </w:rPr>
                        <m:t>1</m:t>
                      </m:r>
                    </m:num>
                    <m:den>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org</m:t>
                          </m:r>
                        </m:sub>
                      </m:sSub>
                      <m:r>
                        <m:rPr>
                          <m:sty m:val="p"/>
                        </m:rPr>
                        <w:rPr>
                          <w:rFonts w:ascii="Cambria Math" w:eastAsia="Cambria Math" w:hAnsi="Cambria Math" w:cs="Calibri"/>
                          <w:sz w:val="18"/>
                          <w:szCs w:val="18"/>
                        </w:rPr>
                        <m:t>+1</m:t>
                      </m:r>
                    </m:den>
                  </m:f>
                </m:e>
              </m:d>
              <m:r>
                <w:rPr>
                  <w:rFonts w:ascii="Cambria Math" w:eastAsia="Cambria Math" w:hAnsi="Cambria Math" w:cs="Calibri"/>
                  <w:sz w:val="18"/>
                  <w:szCs w:val="18"/>
                </w:rPr>
                <m:t>+0,00003853</m:t>
              </m:r>
              <m:r>
                <m:rPr>
                  <m:sty m:val="p"/>
                </m:rPr>
                <w:rPr>
                  <w:rFonts w:ascii="Cambria Math" w:hAnsi="Cambria Math" w:cs="Calibri"/>
                </w:rPr>
                <m:t>·</m:t>
              </m:r>
              <m:r>
                <m:rPr>
                  <m:sty m:val="p"/>
                </m:rPr>
                <w:rPr>
                  <w:rFonts w:ascii="Cambria Math" w:eastAsia="Aptos" w:hAnsi="Cambria Math" w:cs="Calibri"/>
                  <w:sz w:val="18"/>
                  <w:szCs w:val="18"/>
                </w:rPr>
                <m:t>limon</m:t>
              </m:r>
              <m:r>
                <m:rPr>
                  <m:sty m:val="p"/>
                </m:rPr>
                <w:rPr>
                  <w:rFonts w:ascii="Cambria Math" w:hAnsi="Cambria Math" w:cs="Calibri"/>
                </w:rPr>
                <m:t>·</m:t>
              </m:r>
              <m:r>
                <m:rPr>
                  <m:sty m:val="p"/>
                </m:rPr>
                <w:rPr>
                  <w:rFonts w:ascii="Cambria Math" w:eastAsia="Aptos" w:hAnsi="Cambria Math" w:cs="Calibri"/>
                  <w:sz w:val="18"/>
                  <w:szCs w:val="18"/>
                </w:rPr>
                <m:t xml:space="preserve">argile </m:t>
              </m:r>
              <m:r>
                <w:rPr>
                  <w:rFonts w:ascii="Cambria Math" w:eastAsia="Cambria Math" w:hAnsi="Cambria Math" w:cs="Calibri"/>
                  <w:sz w:val="18"/>
                  <w:szCs w:val="18"/>
                </w:rPr>
                <m:t>+0,002330</m:t>
              </m:r>
              <m:r>
                <m:rPr>
                  <m:sty m:val="p"/>
                </m:rPr>
                <w:rPr>
                  <w:rFonts w:ascii="Cambria Math" w:hAnsi="Cambria Math" w:cs="Calibri"/>
                </w:rPr>
                <m:t>·</m:t>
              </m:r>
              <m:r>
                <m:rPr>
                  <m:sty m:val="p"/>
                </m:rPr>
                <w:rPr>
                  <w:rFonts w:ascii="Cambria Math" w:eastAsia="Aptos" w:hAnsi="Cambria Math" w:cs="Calibri"/>
                  <w:sz w:val="18"/>
                  <w:szCs w:val="18"/>
                </w:rPr>
                <m:t xml:space="preserve">argile </m:t>
              </m:r>
              <m:r>
                <m:rPr>
                  <m:sty m:val="p"/>
                </m:rPr>
                <w:rPr>
                  <w:rFonts w:ascii="Cambria Math" w:hAnsi="Cambria Math" w:cs="Calibri"/>
                </w:rPr>
                <m:t>·</m:t>
              </m:r>
              <m:r>
                <w:rPr>
                  <w:rFonts w:ascii="Cambria Math" w:eastAsia="Cambria Math" w:hAnsi="Cambria Math" w:cs="Calibri"/>
                  <w:sz w:val="18"/>
                  <w:szCs w:val="18"/>
                </w:rPr>
                <m:t xml:space="preserve"> </m:t>
              </m:r>
              <m:d>
                <m:dPr>
                  <m:ctrlPr>
                    <w:rPr>
                      <w:rFonts w:ascii="Cambria Math" w:eastAsia="Cambria Math" w:hAnsi="Cambria Math" w:cs="Calibri"/>
                      <w:sz w:val="18"/>
                      <w:szCs w:val="18"/>
                    </w:rPr>
                  </m:ctrlPr>
                </m:dPr>
                <m:e>
                  <m:f>
                    <m:fPr>
                      <m:ctrlPr>
                        <w:rPr>
                          <w:rFonts w:ascii="Cambria Math" w:eastAsia="Cambria Math" w:hAnsi="Cambria Math" w:cs="Calibri"/>
                          <w:sz w:val="18"/>
                          <w:szCs w:val="18"/>
                        </w:rPr>
                      </m:ctrlPr>
                    </m:fPr>
                    <m:num>
                      <m:r>
                        <m:rPr>
                          <m:sty m:val="p"/>
                        </m:rPr>
                        <w:rPr>
                          <w:rFonts w:ascii="Cambria Math" w:eastAsia="Cambria Math" w:hAnsi="Cambria Math" w:cs="Calibri"/>
                          <w:sz w:val="18"/>
                          <w:szCs w:val="18"/>
                        </w:rPr>
                        <m:t>1</m:t>
                      </m:r>
                    </m:num>
                    <m:den>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org</m:t>
                          </m:r>
                        </m:sub>
                      </m:sSub>
                      <m:r>
                        <m:rPr>
                          <m:sty m:val="p"/>
                        </m:rPr>
                        <w:rPr>
                          <w:rFonts w:ascii="Cambria Math" w:eastAsia="Cambria Math" w:hAnsi="Cambria Math" w:cs="Calibri"/>
                          <w:sz w:val="18"/>
                          <w:szCs w:val="18"/>
                        </w:rPr>
                        <m:t>+1</m:t>
                      </m:r>
                    </m:den>
                  </m:f>
                </m:e>
              </m:d>
              <m:r>
                <w:rPr>
                  <w:rFonts w:ascii="Cambria Math" w:eastAsia="Cambria Math" w:hAnsi="Cambria Math" w:cs="Calibri"/>
                  <w:sz w:val="18"/>
                  <w:szCs w:val="18"/>
                </w:rPr>
                <m:t>+0,0009498</m:t>
              </m:r>
              <m:r>
                <m:rPr>
                  <m:sty m:val="p"/>
                </m:rPr>
                <w:rPr>
                  <w:rFonts w:ascii="Cambria Math" w:hAnsi="Cambria Math" w:cs="Calibri"/>
                </w:rPr>
                <m:t>·</m:t>
              </m:r>
              <m:r>
                <m:rPr>
                  <m:sty m:val="p"/>
                </m:rPr>
                <w:rPr>
                  <w:rFonts w:ascii="Cambria Math" w:eastAsia="Aptos" w:hAnsi="Cambria Math" w:cs="Calibri"/>
                  <w:sz w:val="18"/>
                  <w:szCs w:val="18"/>
                </w:rPr>
                <m:t>limon</m:t>
              </m:r>
              <m:r>
                <m:rPr>
                  <m:sty m:val="p"/>
                </m:rPr>
                <w:rPr>
                  <w:rFonts w:ascii="Cambria Math" w:hAnsi="Cambria Math" w:cs="Calibri"/>
                </w:rPr>
                <m:t>·</m:t>
              </m:r>
              <m:r>
                <w:rPr>
                  <w:rFonts w:ascii="Cambria Math" w:eastAsia="Cambria Math" w:hAnsi="Cambria Math" w:cs="Calibri"/>
                  <w:sz w:val="18"/>
                  <w:szCs w:val="18"/>
                </w:rPr>
                <m:t xml:space="preserve"> </m:t>
              </m:r>
              <m:d>
                <m:dPr>
                  <m:ctrlPr>
                    <w:rPr>
                      <w:rFonts w:ascii="Cambria Math" w:eastAsia="Cambria Math" w:hAnsi="Cambria Math" w:cs="Calibri"/>
                      <w:sz w:val="18"/>
                      <w:szCs w:val="18"/>
                    </w:rPr>
                  </m:ctrlPr>
                </m:dPr>
                <m:e>
                  <m:f>
                    <m:fPr>
                      <m:ctrlPr>
                        <w:rPr>
                          <w:rFonts w:ascii="Cambria Math" w:eastAsia="Cambria Math" w:hAnsi="Cambria Math" w:cs="Calibri"/>
                          <w:sz w:val="18"/>
                          <w:szCs w:val="18"/>
                        </w:rPr>
                      </m:ctrlPr>
                    </m:fPr>
                    <m:num>
                      <m:r>
                        <m:rPr>
                          <m:sty m:val="p"/>
                        </m:rPr>
                        <w:rPr>
                          <w:rFonts w:ascii="Cambria Math" w:eastAsia="Cambria Math" w:hAnsi="Cambria Math" w:cs="Calibri"/>
                          <w:sz w:val="18"/>
                          <w:szCs w:val="18"/>
                        </w:rPr>
                        <m:t>1</m:t>
                      </m:r>
                    </m:num>
                    <m:den>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org</m:t>
                          </m:r>
                        </m:sub>
                      </m:sSub>
                      <m:r>
                        <m:rPr>
                          <m:sty m:val="p"/>
                        </m:rPr>
                        <w:rPr>
                          <w:rFonts w:ascii="Cambria Math" w:eastAsia="Cambria Math" w:hAnsi="Cambria Math" w:cs="Calibri"/>
                          <w:sz w:val="18"/>
                          <w:szCs w:val="18"/>
                        </w:rPr>
                        <m:t>+1</m:t>
                      </m:r>
                    </m:den>
                  </m:f>
                </m:e>
              </m:d>
            </m:oMath>
            <w:r w:rsidR="006808B1">
              <w:rPr>
                <w:rFonts w:ascii="Cambria Math" w:eastAsia="Aptos" w:hAnsi="Cambria Math" w:cs="Calibri"/>
                <w:sz w:val="18"/>
                <w:szCs w:val="18"/>
              </w:rPr>
              <w:t xml:space="preserve"> </w:t>
            </w:r>
          </w:p>
        </w:tc>
        <w:tc>
          <w:tcPr>
            <w:tcW w:w="703" w:type="dxa"/>
            <w:vAlign w:val="center"/>
          </w:tcPr>
          <w:p w14:paraId="06D97B91" w14:textId="6C414092" w:rsidR="003A21FB" w:rsidRPr="009E5D4E" w:rsidRDefault="003A21FB" w:rsidP="003A21FB">
            <w:pPr>
              <w:tabs>
                <w:tab w:val="left" w:pos="496"/>
              </w:tabs>
              <w:jc w:val="center"/>
              <w:rPr>
                <w:rFonts w:ascii="Cambria Math" w:eastAsia="Aptos" w:hAnsi="Cambria Math" w:cs="Calibri"/>
                <w:sz w:val="20"/>
                <w:szCs w:val="20"/>
              </w:rPr>
            </w:pPr>
            <w:r>
              <w:rPr>
                <w:rFonts w:ascii="Cambria Math" w:eastAsia="Aptos" w:hAnsi="Cambria Math" w:cs="Calibri"/>
                <w:sz w:val="20"/>
                <w:szCs w:val="20"/>
              </w:rPr>
              <w:t>(</w:t>
            </w:r>
            <w:r w:rsidR="002934E3">
              <w:rPr>
                <w:rFonts w:ascii="Cambria Math" w:eastAsia="Aptos" w:hAnsi="Cambria Math" w:cs="Calibri"/>
                <w:sz w:val="20"/>
                <w:szCs w:val="20"/>
              </w:rPr>
              <w:t>7</w:t>
            </w:r>
            <w:r w:rsidR="00001C66">
              <w:rPr>
                <w:rFonts w:ascii="Cambria Math" w:eastAsia="Aptos" w:hAnsi="Cambria Math" w:cs="Calibri"/>
                <w:sz w:val="20"/>
                <w:szCs w:val="20"/>
              </w:rPr>
              <w:t>b</w:t>
            </w:r>
            <w:r>
              <w:rPr>
                <w:rFonts w:ascii="Cambria Math" w:eastAsia="Aptos" w:hAnsi="Cambria Math" w:cs="Calibri"/>
                <w:sz w:val="20"/>
                <w:szCs w:val="20"/>
              </w:rPr>
              <w:t>)</w:t>
            </w:r>
          </w:p>
        </w:tc>
      </w:tr>
      <w:tr w:rsidR="00854C38" w:rsidRPr="008A331C" w14:paraId="3052C31F" w14:textId="77777777" w:rsidTr="001F24E0">
        <w:trPr>
          <w:jc w:val="center"/>
        </w:trPr>
        <w:tc>
          <w:tcPr>
            <w:tcW w:w="9067" w:type="dxa"/>
            <w:gridSpan w:val="2"/>
          </w:tcPr>
          <w:p w14:paraId="61589D2F" w14:textId="77777777" w:rsidR="00854C38" w:rsidRDefault="00854C38" w:rsidP="00854C38">
            <w:pPr>
              <w:tabs>
                <w:tab w:val="left" w:pos="496"/>
              </w:tabs>
              <w:jc w:val="center"/>
              <w:rPr>
                <w:rFonts w:ascii="Cambria Math" w:eastAsia="Aptos" w:hAnsi="Cambria Math" w:cs="Calibri"/>
                <w:szCs w:val="22"/>
              </w:rPr>
            </w:pPr>
          </w:p>
          <w:p w14:paraId="3F60847E" w14:textId="77777777" w:rsidR="001906A0" w:rsidRPr="00E54DA6" w:rsidRDefault="001906A0" w:rsidP="001906A0">
            <w:pPr>
              <w:rPr>
                <w:rFonts w:cs="Calibri"/>
                <w:sz w:val="20"/>
                <w:szCs w:val="20"/>
              </w:rPr>
            </w:pPr>
            <w:r w:rsidRPr="00E54DA6">
              <w:rPr>
                <w:rFonts w:cs="Calibri"/>
                <w:sz w:val="20"/>
                <w:szCs w:val="20"/>
              </w:rPr>
              <w:t>Avec</w:t>
            </w:r>
          </w:p>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567"/>
              <w:gridCol w:w="8503"/>
            </w:tblGrid>
            <w:tr w:rsidR="001906A0" w:rsidRPr="00E54DA6" w14:paraId="2A6A13A2" w14:textId="77777777" w:rsidTr="00C36BC7">
              <w:trPr>
                <w:trHeight w:val="227"/>
              </w:trPr>
              <w:tc>
                <w:tcPr>
                  <w:tcW w:w="567" w:type="dxa"/>
                  <w:vAlign w:val="center"/>
                </w:tcPr>
                <w:p w14:paraId="74C79B74" w14:textId="2367A1BA" w:rsidR="001906A0" w:rsidRPr="00E54DA6" w:rsidRDefault="00437C8C" w:rsidP="001906A0">
                  <w:pPr>
                    <w:jc w:val="left"/>
                    <w:rPr>
                      <w:rFonts w:cs="Calibri"/>
                      <w:sz w:val="20"/>
                      <w:szCs w:val="20"/>
                    </w:rPr>
                  </w:pPr>
                  <m:oMathPara>
                    <m:oMathParaPr>
                      <m:jc m:val="left"/>
                    </m:oMathParaPr>
                    <m:oMath>
                      <m:sSub>
                        <m:sSubPr>
                          <m:ctrlPr>
                            <w:rPr>
                              <w:rFonts w:ascii="Cambria Math" w:eastAsia="Cambria Math" w:hAnsi="Cambria Math" w:cs="Calibri"/>
                              <w:sz w:val="20"/>
                              <w:szCs w:val="20"/>
                            </w:rPr>
                          </m:ctrlPr>
                        </m:sSubPr>
                        <m:e>
                          <m:r>
                            <m:rPr>
                              <m:sty m:val="p"/>
                            </m:rPr>
                            <w:rPr>
                              <w:rFonts w:ascii="Cambria Math" w:eastAsia="Cambria Math" w:hAnsi="Cambria Math" w:cs="Calibri"/>
                              <w:sz w:val="20"/>
                              <w:szCs w:val="20"/>
                            </w:rPr>
                            <m:t>C</m:t>
                          </m:r>
                        </m:e>
                        <m:sub>
                          <m:r>
                            <m:rPr>
                              <m:sty m:val="p"/>
                            </m:rPr>
                            <w:rPr>
                              <w:rFonts w:ascii="Cambria Math" w:eastAsia="Cambria Math" w:hAnsi="Cambria Math" w:cs="Calibri"/>
                              <w:sz w:val="20"/>
                              <w:szCs w:val="20"/>
                            </w:rPr>
                            <m:t>org</m:t>
                          </m:r>
                        </m:sub>
                      </m:sSub>
                    </m:oMath>
                  </m:oMathPara>
                </w:p>
              </w:tc>
              <w:tc>
                <w:tcPr>
                  <w:tcW w:w="8503" w:type="dxa"/>
                  <w:vAlign w:val="center"/>
                </w:tcPr>
                <w:p w14:paraId="28A3AE7F" w14:textId="21873954" w:rsidR="001906A0" w:rsidRPr="00E54DA6" w:rsidRDefault="00C36BC7" w:rsidP="001906A0">
                  <w:pPr>
                    <w:jc w:val="left"/>
                    <w:rPr>
                      <w:rFonts w:cs="Calibri"/>
                      <w:sz w:val="20"/>
                      <w:szCs w:val="20"/>
                    </w:rPr>
                  </w:pPr>
                  <w:r w:rsidRPr="00E54DA6">
                    <w:rPr>
                      <w:rFonts w:eastAsiaTheme="minorEastAsia" w:cs="Calibri"/>
                      <w:sz w:val="20"/>
                      <w:szCs w:val="20"/>
                    </w:rPr>
                    <w:t>La teneur en carbone organique (%) </w:t>
                  </w:r>
                  <w:r w:rsidR="001906A0" w:rsidRPr="00E54DA6">
                    <w:rPr>
                      <w:rFonts w:eastAsiaTheme="minorEastAsia" w:cs="Calibri"/>
                      <w:sz w:val="20"/>
                      <w:szCs w:val="20"/>
                    </w:rPr>
                    <w:t>;</w:t>
                  </w:r>
                </w:p>
              </w:tc>
            </w:tr>
            <w:tr w:rsidR="001906A0" w:rsidRPr="00E54DA6" w14:paraId="48BED7B9" w14:textId="77777777" w:rsidTr="00C36BC7">
              <w:trPr>
                <w:trHeight w:val="227"/>
              </w:trPr>
              <w:tc>
                <w:tcPr>
                  <w:tcW w:w="567" w:type="dxa"/>
                  <w:vAlign w:val="center"/>
                </w:tcPr>
                <w:p w14:paraId="427FEAFE" w14:textId="6D6439B2" w:rsidR="001906A0" w:rsidRPr="00E54DA6" w:rsidRDefault="00C36BC7" w:rsidP="001906A0">
                  <w:pPr>
                    <w:jc w:val="left"/>
                    <w:rPr>
                      <w:rFonts w:eastAsiaTheme="minorEastAsia" w:cs="Calibri"/>
                      <w:sz w:val="20"/>
                      <w:szCs w:val="20"/>
                    </w:rPr>
                  </w:pPr>
                  <m:oMathPara>
                    <m:oMathParaPr>
                      <m:jc m:val="left"/>
                    </m:oMathParaPr>
                    <m:oMath>
                      <m:r>
                        <m:rPr>
                          <m:sty m:val="p"/>
                        </m:rPr>
                        <w:rPr>
                          <w:rFonts w:ascii="Cambria Math" w:eastAsia="Aptos" w:hAnsi="Cambria Math" w:cs="Calibri"/>
                          <w:sz w:val="20"/>
                          <w:szCs w:val="20"/>
                        </w:rPr>
                        <m:t xml:space="preserve">argile </m:t>
                      </m:r>
                    </m:oMath>
                  </m:oMathPara>
                </w:p>
              </w:tc>
              <w:tc>
                <w:tcPr>
                  <w:tcW w:w="8503" w:type="dxa"/>
                  <w:vAlign w:val="center"/>
                </w:tcPr>
                <w:p w14:paraId="4066F481" w14:textId="0D89BD20" w:rsidR="001906A0" w:rsidRPr="00E54DA6" w:rsidRDefault="001906A0" w:rsidP="001906A0">
                  <w:pPr>
                    <w:jc w:val="left"/>
                    <w:rPr>
                      <w:rFonts w:eastAsiaTheme="minorEastAsia" w:cs="Calibri"/>
                      <w:sz w:val="20"/>
                      <w:szCs w:val="20"/>
                    </w:rPr>
                  </w:pPr>
                  <w:r w:rsidRPr="00E54DA6">
                    <w:rPr>
                      <w:rFonts w:eastAsiaTheme="minorEastAsia" w:cs="Calibri"/>
                      <w:sz w:val="20"/>
                      <w:szCs w:val="20"/>
                    </w:rPr>
                    <w:t xml:space="preserve">La </w:t>
                  </w:r>
                  <w:r w:rsidR="00C36BC7" w:rsidRPr="00E54DA6">
                    <w:rPr>
                      <w:rFonts w:eastAsiaTheme="minorEastAsia" w:cs="Calibri"/>
                      <w:sz w:val="20"/>
                      <w:szCs w:val="20"/>
                    </w:rPr>
                    <w:t>teneur en argile (%)</w:t>
                  </w:r>
                  <w:r w:rsidRPr="00E54DA6">
                    <w:rPr>
                      <w:rFonts w:eastAsiaTheme="minorEastAsia" w:cs="Calibri"/>
                      <w:sz w:val="20"/>
                      <w:szCs w:val="20"/>
                    </w:rPr>
                    <w:t> ;</w:t>
                  </w:r>
                </w:p>
              </w:tc>
            </w:tr>
            <w:tr w:rsidR="001906A0" w:rsidRPr="00E54DA6" w14:paraId="4DD8F6B3" w14:textId="77777777" w:rsidTr="00C36BC7">
              <w:trPr>
                <w:trHeight w:val="227"/>
              </w:trPr>
              <w:tc>
                <w:tcPr>
                  <w:tcW w:w="567" w:type="dxa"/>
                  <w:vAlign w:val="center"/>
                </w:tcPr>
                <w:p w14:paraId="5C66AC65" w14:textId="6AB9A04F" w:rsidR="001906A0" w:rsidRPr="00E54DA6" w:rsidRDefault="00C36BC7" w:rsidP="001906A0">
                  <w:pPr>
                    <w:jc w:val="left"/>
                    <w:rPr>
                      <w:rFonts w:eastAsiaTheme="minorEastAsia" w:cs="Calibri"/>
                      <w:sz w:val="20"/>
                      <w:szCs w:val="20"/>
                    </w:rPr>
                  </w:pPr>
                  <m:oMathPara>
                    <m:oMathParaPr>
                      <m:jc m:val="left"/>
                    </m:oMathParaPr>
                    <m:oMath>
                      <m:r>
                        <m:rPr>
                          <m:sty m:val="p"/>
                        </m:rPr>
                        <w:rPr>
                          <w:rFonts w:ascii="Cambria Math" w:eastAsia="Aptos" w:hAnsi="Cambria Math" w:cs="Calibri"/>
                          <w:sz w:val="20"/>
                          <w:szCs w:val="20"/>
                        </w:rPr>
                        <m:t>limon</m:t>
                      </m:r>
                    </m:oMath>
                  </m:oMathPara>
                </w:p>
              </w:tc>
              <w:tc>
                <w:tcPr>
                  <w:tcW w:w="8503" w:type="dxa"/>
                  <w:vAlign w:val="center"/>
                </w:tcPr>
                <w:p w14:paraId="69F096E0" w14:textId="577E1EC1" w:rsidR="001906A0" w:rsidRPr="00E54DA6" w:rsidRDefault="00C36BC7" w:rsidP="001906A0">
                  <w:pPr>
                    <w:jc w:val="left"/>
                    <w:rPr>
                      <w:rFonts w:eastAsiaTheme="minorEastAsia" w:cs="Calibri"/>
                      <w:sz w:val="20"/>
                      <w:szCs w:val="20"/>
                    </w:rPr>
                  </w:pPr>
                  <w:r w:rsidRPr="00E54DA6">
                    <w:rPr>
                      <w:rFonts w:eastAsiaTheme="minorEastAsia" w:cs="Calibri"/>
                      <w:sz w:val="20"/>
                      <w:szCs w:val="20"/>
                    </w:rPr>
                    <w:t>La teneur en limon total (%).</w:t>
                  </w:r>
                </w:p>
              </w:tc>
            </w:tr>
          </w:tbl>
          <w:p w14:paraId="1B6B86F2" w14:textId="77777777" w:rsidR="001906A0" w:rsidRDefault="001906A0" w:rsidP="001906A0">
            <w:pPr>
              <w:tabs>
                <w:tab w:val="left" w:pos="496"/>
              </w:tabs>
              <w:jc w:val="left"/>
              <w:rPr>
                <w:rFonts w:ascii="Cambria Math" w:eastAsia="Aptos" w:hAnsi="Cambria Math" w:cs="Calibri"/>
                <w:szCs w:val="22"/>
              </w:rPr>
            </w:pPr>
          </w:p>
          <w:p w14:paraId="25F4E777" w14:textId="77777777" w:rsidR="001906A0" w:rsidRDefault="001906A0" w:rsidP="003D0CF9"/>
          <w:p w14:paraId="69A66A8E" w14:textId="5A6989BA" w:rsidR="003D0CF9" w:rsidRPr="008A331C" w:rsidRDefault="002304E5" w:rsidP="003D0CF9">
            <w:r>
              <w:t>Ces</w:t>
            </w:r>
            <w:r w:rsidR="003D0CF9">
              <w:t xml:space="preserve"> équations sont </w:t>
            </w:r>
            <w:r>
              <w:t xml:space="preserve">appliquées </w:t>
            </w:r>
            <w:r w:rsidR="00BC577F">
              <w:t>à</w:t>
            </w:r>
            <w:r>
              <w:t xml:space="preserve"> chaque </w:t>
            </w:r>
            <w:r w:rsidR="00C36BC7">
              <w:t>couche</w:t>
            </w:r>
            <w:r>
              <w:t xml:space="preserve"> de sol, </w:t>
            </w:r>
            <w:r w:rsidR="00BC577F">
              <w:t>pour laquelle la REU est déduite selon l’équation (</w:t>
            </w:r>
            <w:r w:rsidR="005D2D45">
              <w:t>8c</w:t>
            </w:r>
            <w:r w:rsidR="00BC577F">
              <w:t>)</w:t>
            </w:r>
            <w:r w:rsidR="00BC7CE9">
              <w:t xml:space="preserve"> en</w:t>
            </w:r>
            <w:r w:rsidR="00BA40A3">
              <w:t xml:space="preserve"> intégrant la notion de sol </w:t>
            </w:r>
            <w:r w:rsidR="004340EF">
              <w:t>utile à travers la multiplication de</w:t>
            </w:r>
            <w:r w:rsidR="00BC7CE9">
              <w:t xml:space="preserve"> </w:t>
            </w:r>
            <w:r w:rsidR="0049353F">
              <w:t xml:space="preserve">la réserve estimée pour la </w:t>
            </w:r>
            <w:r w:rsidR="00C36BC7">
              <w:t>couche</w:t>
            </w:r>
            <w:r w:rsidR="0049353F">
              <w:t xml:space="preserve"> considérée </w:t>
            </w:r>
            <w:r w:rsidR="00C81A43">
              <w:t xml:space="preserve">par son volume, soit </w:t>
            </w:r>
            <w:r w:rsidR="00A150BF">
              <w:t xml:space="preserve">son </w:t>
            </w:r>
            <w:r w:rsidR="0049353F">
              <w:t xml:space="preserve">épaisseur </w:t>
            </w:r>
            <w:r w:rsidR="00C81A43">
              <w:t xml:space="preserve">multipliée par </w:t>
            </w:r>
            <w:r w:rsidR="0032390C">
              <w:t>(1 – charge volumique en EG).</w:t>
            </w:r>
          </w:p>
        </w:tc>
      </w:tr>
      <w:tr w:rsidR="00FA6ACA" w:rsidRPr="008A331C" w14:paraId="39912294" w14:textId="77777777" w:rsidTr="00001C66">
        <w:trPr>
          <w:jc w:val="center"/>
        </w:trPr>
        <w:tc>
          <w:tcPr>
            <w:tcW w:w="8364" w:type="dxa"/>
          </w:tcPr>
          <w:p w14:paraId="665039A7" w14:textId="1CDDA683" w:rsidR="00FA6ACA" w:rsidRPr="00B329B3" w:rsidRDefault="00FA6ACA">
            <w:pPr>
              <w:tabs>
                <w:tab w:val="left" w:pos="496"/>
              </w:tabs>
              <w:rPr>
                <w:rFonts w:ascii="Cambria Math" w:eastAsia="Aptos" w:hAnsi="Cambria Math" w:cs="Calibri"/>
                <w:szCs w:val="22"/>
              </w:rPr>
            </w:pPr>
            <m:oMathPara>
              <m:oMath>
                <m:r>
                  <m:rPr>
                    <m:sty m:val="p"/>
                  </m:rPr>
                  <w:rPr>
                    <w:rFonts w:ascii="Cambria Math" w:eastAsia="Aptos" w:hAnsi="Cambria Math" w:cs="Calibri"/>
                    <w:szCs w:val="22"/>
                  </w:rPr>
                  <m:t>REU</m:t>
                </m:r>
                <m:r>
                  <m:rPr>
                    <m:sty m:val="p"/>
                  </m:rPr>
                  <w:rPr>
                    <w:rFonts w:ascii="Cambria Math" w:eastAsia="Cambria Math" w:hAnsi="Cambria Math" w:cs="Calibri"/>
                    <w:szCs w:val="22"/>
                  </w:rPr>
                  <m:t>=</m:t>
                </m:r>
                <m:d>
                  <m:dPr>
                    <m:ctrlPr>
                      <w:rPr>
                        <w:rFonts w:ascii="Cambria Math" w:eastAsia="Cambria Math" w:hAnsi="Cambria Math" w:cs="Calibri"/>
                        <w:szCs w:val="22"/>
                      </w:rPr>
                    </m:ctrlPr>
                  </m:dPr>
                  <m:e>
                    <m:sSub>
                      <m:sSubPr>
                        <m:ctrlPr>
                          <w:rPr>
                            <w:rFonts w:ascii="Cambria Math" w:eastAsia="Cambria Math" w:hAnsi="Cambria Math" w:cs="Calibri"/>
                            <w:szCs w:val="22"/>
                          </w:rPr>
                        </m:ctrlPr>
                      </m:sSubPr>
                      <m:e>
                        <m:r>
                          <m:rPr>
                            <m:sty m:val="p"/>
                          </m:rPr>
                          <w:rPr>
                            <w:rFonts w:ascii="Cambria Math" w:eastAsia="Cambria Math" w:hAnsi="Cambria Math" w:cs="Calibri"/>
                            <w:szCs w:val="22"/>
                          </w:rPr>
                          <m:t>θ</m:t>
                        </m:r>
                      </m:e>
                      <m:sub>
                        <m:r>
                          <m:rPr>
                            <m:sty m:val="p"/>
                          </m:rPr>
                          <w:rPr>
                            <w:rFonts w:ascii="Cambria Math" w:eastAsia="Cambria Math" w:hAnsi="Cambria Math" w:cs="Calibri"/>
                            <w:szCs w:val="22"/>
                          </w:rPr>
                          <m:t>CC</m:t>
                        </m:r>
                      </m:sub>
                    </m:sSub>
                    <m:r>
                      <m:rPr>
                        <m:sty m:val="p"/>
                      </m:rPr>
                      <w:rPr>
                        <w:rFonts w:ascii="Cambria Math" w:eastAsia="Cambria Math" w:hAnsi="Cambria Math" w:cs="Calibri"/>
                        <w:szCs w:val="22"/>
                      </w:rPr>
                      <m:t xml:space="preserve">- </m:t>
                    </m:r>
                    <m:sSub>
                      <m:sSubPr>
                        <m:ctrlPr>
                          <w:rPr>
                            <w:rFonts w:ascii="Cambria Math" w:eastAsia="Cambria Math" w:hAnsi="Cambria Math" w:cs="Calibri"/>
                            <w:szCs w:val="22"/>
                          </w:rPr>
                        </m:ctrlPr>
                      </m:sSubPr>
                      <m:e>
                        <m:r>
                          <m:rPr>
                            <m:sty m:val="p"/>
                          </m:rPr>
                          <w:rPr>
                            <w:rFonts w:ascii="Cambria Math" w:eastAsia="Cambria Math" w:hAnsi="Cambria Math" w:cs="Calibri"/>
                            <w:szCs w:val="22"/>
                          </w:rPr>
                          <m:t>θ</m:t>
                        </m:r>
                      </m:e>
                      <m:sub>
                        <m:r>
                          <m:rPr>
                            <m:sty m:val="p"/>
                          </m:rPr>
                          <w:rPr>
                            <w:rFonts w:ascii="Cambria Math" w:eastAsia="Cambria Math" w:hAnsi="Cambria Math" w:cs="Calibri"/>
                            <w:szCs w:val="22"/>
                          </w:rPr>
                          <m:t>PF</m:t>
                        </m:r>
                      </m:sub>
                    </m:sSub>
                  </m:e>
                </m:d>
                <m:r>
                  <m:rPr>
                    <m:sty m:val="p"/>
                  </m:rPr>
                  <w:rPr>
                    <w:rFonts w:ascii="Cambria Math" w:hAnsi="Cambria Math" w:cs="Calibri"/>
                  </w:rPr>
                  <m:t>·</m:t>
                </m:r>
                <m:r>
                  <m:rPr>
                    <m:sty m:val="p"/>
                  </m:rPr>
                  <w:rPr>
                    <w:rFonts w:ascii="Cambria Math" w:eastAsia="Cambria Math" w:hAnsi="Cambria Math" w:cs="Calibri"/>
                    <w:szCs w:val="22"/>
                  </w:rPr>
                  <m:t>d</m:t>
                </m:r>
                <m:r>
                  <m:rPr>
                    <m:sty m:val="p"/>
                  </m:rPr>
                  <w:rPr>
                    <w:rFonts w:ascii="Cambria Math" w:hAnsi="Cambria Math" w:cs="Calibri"/>
                  </w:rPr>
                  <m:t>·</m:t>
                </m:r>
                <m:r>
                  <m:rPr>
                    <m:sty m:val="p"/>
                  </m:rPr>
                  <w:rPr>
                    <w:rFonts w:ascii="Cambria Math" w:eastAsia="Cambria Math" w:hAnsi="Cambria Math" w:cs="Calibri"/>
                    <w:szCs w:val="22"/>
                  </w:rPr>
                  <m:t xml:space="preserve"> </m:t>
                </m:r>
                <m:d>
                  <m:dPr>
                    <m:ctrlPr>
                      <w:rPr>
                        <w:rFonts w:ascii="Cambria Math" w:eastAsia="Cambria Math" w:hAnsi="Cambria Math" w:cs="Calibri"/>
                        <w:szCs w:val="22"/>
                      </w:rPr>
                    </m:ctrlPr>
                  </m:dPr>
                  <m:e>
                    <m:r>
                      <m:rPr>
                        <m:sty m:val="p"/>
                      </m:rPr>
                      <w:rPr>
                        <w:rFonts w:ascii="Cambria Math" w:eastAsia="Cambria Math" w:hAnsi="Cambria Math" w:cs="Calibri"/>
                        <w:szCs w:val="22"/>
                      </w:rPr>
                      <m:t>1-</m:t>
                    </m:r>
                    <m:f>
                      <m:fPr>
                        <m:ctrlPr>
                          <w:rPr>
                            <w:rFonts w:ascii="Cambria Math" w:eastAsia="Cambria Math" w:hAnsi="Cambria Math" w:cs="Calibri"/>
                            <w:szCs w:val="22"/>
                          </w:rPr>
                        </m:ctrlPr>
                      </m:fPr>
                      <m:num>
                        <m:sSub>
                          <m:sSubPr>
                            <m:ctrlPr>
                              <w:rPr>
                                <w:rFonts w:ascii="Cambria Math" w:eastAsia="Cambria Math" w:hAnsi="Cambria Math" w:cs="Calibri"/>
                                <w:szCs w:val="22"/>
                              </w:rPr>
                            </m:ctrlPr>
                          </m:sSubPr>
                          <m:e>
                            <m:r>
                              <m:rPr>
                                <m:sty m:val="p"/>
                              </m:rPr>
                              <w:rPr>
                                <w:rFonts w:ascii="Cambria Math" w:eastAsia="Cambria Math" w:hAnsi="Cambria Math" w:cs="Calibri"/>
                                <w:szCs w:val="22"/>
                              </w:rPr>
                              <m:t>%</m:t>
                            </m:r>
                          </m:e>
                          <m:sub>
                            <m:r>
                              <m:rPr>
                                <m:sty m:val="p"/>
                              </m:rPr>
                              <w:rPr>
                                <w:rFonts w:ascii="Cambria Math" w:eastAsia="Cambria Math" w:hAnsi="Cambria Math" w:cs="Calibri"/>
                                <w:szCs w:val="22"/>
                              </w:rPr>
                              <m:t>EG</m:t>
                            </m:r>
                          </m:sub>
                        </m:sSub>
                      </m:num>
                      <m:den>
                        <m:r>
                          <m:rPr>
                            <m:sty m:val="p"/>
                          </m:rPr>
                          <w:rPr>
                            <w:rFonts w:ascii="Cambria Math" w:eastAsia="Cambria Math" w:hAnsi="Cambria Math" w:cs="Calibri"/>
                            <w:szCs w:val="22"/>
                          </w:rPr>
                          <m:t>100</m:t>
                        </m:r>
                      </m:den>
                    </m:f>
                  </m:e>
                </m:d>
              </m:oMath>
            </m:oMathPara>
          </w:p>
        </w:tc>
        <w:tc>
          <w:tcPr>
            <w:tcW w:w="703" w:type="dxa"/>
            <w:vAlign w:val="center"/>
          </w:tcPr>
          <w:p w14:paraId="7BF6791C" w14:textId="0CE5B8D4" w:rsidR="00FA6ACA" w:rsidRPr="00B329B3" w:rsidRDefault="00FA6ACA" w:rsidP="00FA6ACA">
            <w:pPr>
              <w:tabs>
                <w:tab w:val="left" w:pos="496"/>
              </w:tabs>
              <w:jc w:val="center"/>
              <w:rPr>
                <w:rFonts w:ascii="Cambria Math" w:eastAsia="Aptos" w:hAnsi="Cambria Math" w:cs="Calibri"/>
                <w:szCs w:val="22"/>
              </w:rPr>
            </w:pPr>
            <w:r>
              <w:rPr>
                <w:rFonts w:ascii="Cambria Math" w:eastAsia="Aptos" w:hAnsi="Cambria Math" w:cs="Calibri"/>
                <w:szCs w:val="22"/>
              </w:rPr>
              <w:t>(</w:t>
            </w:r>
            <w:r w:rsidR="002934E3">
              <w:rPr>
                <w:rFonts w:ascii="Cambria Math" w:eastAsia="Aptos" w:hAnsi="Cambria Math" w:cs="Calibri"/>
                <w:szCs w:val="22"/>
              </w:rPr>
              <w:t>7</w:t>
            </w:r>
            <w:r w:rsidR="00001C66">
              <w:rPr>
                <w:rFonts w:ascii="Cambria Math" w:eastAsia="Aptos" w:hAnsi="Cambria Math" w:cs="Calibri"/>
                <w:szCs w:val="22"/>
              </w:rPr>
              <w:t>c</w:t>
            </w:r>
            <w:r>
              <w:rPr>
                <w:rFonts w:ascii="Cambria Math" w:eastAsia="Aptos" w:hAnsi="Cambria Math" w:cs="Calibri"/>
                <w:szCs w:val="22"/>
              </w:rPr>
              <w:t>)</w:t>
            </w:r>
          </w:p>
        </w:tc>
      </w:tr>
    </w:tbl>
    <w:p w14:paraId="5222FF68" w14:textId="77777777" w:rsidR="001906A0" w:rsidRPr="00E54DA6" w:rsidRDefault="001906A0" w:rsidP="001906A0">
      <w:pPr>
        <w:rPr>
          <w:rFonts w:cs="Calibri"/>
          <w:sz w:val="20"/>
          <w:szCs w:val="20"/>
        </w:rPr>
      </w:pPr>
      <w:r w:rsidRPr="00E54DA6">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633"/>
        <w:gridCol w:w="8437"/>
      </w:tblGrid>
      <w:tr w:rsidR="001906A0" w:rsidRPr="00E54DA6" w14:paraId="48406720" w14:textId="77777777" w:rsidTr="009D08EE">
        <w:trPr>
          <w:trHeight w:val="227"/>
        </w:trPr>
        <w:tc>
          <w:tcPr>
            <w:tcW w:w="633" w:type="dxa"/>
            <w:vAlign w:val="center"/>
          </w:tcPr>
          <w:p w14:paraId="23AD1A91" w14:textId="6B4F25BE" w:rsidR="001906A0" w:rsidRPr="00E54DA6" w:rsidRDefault="00437C8C" w:rsidP="004306AE">
            <w:pPr>
              <w:jc w:val="left"/>
              <w:rPr>
                <w:rFonts w:cs="Calibri"/>
                <w:sz w:val="20"/>
                <w:szCs w:val="20"/>
              </w:rPr>
            </w:pPr>
            <m:oMathPara>
              <m:oMathParaPr>
                <m:jc m:val="left"/>
              </m:oMathParaPr>
              <m:oMath>
                <m:sSub>
                  <m:sSubPr>
                    <m:ctrlPr>
                      <w:rPr>
                        <w:rFonts w:ascii="Cambria Math" w:eastAsia="Cambria Math" w:hAnsi="Cambria Math" w:cs="Calibri"/>
                        <w:sz w:val="20"/>
                        <w:szCs w:val="20"/>
                      </w:rPr>
                    </m:ctrlPr>
                  </m:sSubPr>
                  <m:e>
                    <m:r>
                      <m:rPr>
                        <m:sty m:val="p"/>
                      </m:rPr>
                      <w:rPr>
                        <w:rFonts w:ascii="Cambria Math" w:eastAsia="Cambria Math" w:hAnsi="Cambria Math" w:cs="Calibri"/>
                        <w:sz w:val="20"/>
                        <w:szCs w:val="20"/>
                      </w:rPr>
                      <m:t>θ</m:t>
                    </m:r>
                  </m:e>
                  <m:sub>
                    <m:r>
                      <m:rPr>
                        <m:sty m:val="p"/>
                      </m:rPr>
                      <w:rPr>
                        <w:rFonts w:ascii="Cambria Math" w:eastAsia="Cambria Math" w:hAnsi="Cambria Math" w:cs="Calibri"/>
                        <w:sz w:val="20"/>
                        <w:szCs w:val="20"/>
                      </w:rPr>
                      <m:t>CC</m:t>
                    </m:r>
                  </m:sub>
                </m:sSub>
              </m:oMath>
            </m:oMathPara>
          </w:p>
        </w:tc>
        <w:tc>
          <w:tcPr>
            <w:tcW w:w="8437" w:type="dxa"/>
            <w:vAlign w:val="center"/>
          </w:tcPr>
          <w:p w14:paraId="42E0E1BA" w14:textId="624DCBD2" w:rsidR="001906A0" w:rsidRPr="00E54DA6" w:rsidRDefault="00193907" w:rsidP="004306AE">
            <w:pPr>
              <w:jc w:val="left"/>
              <w:rPr>
                <w:rFonts w:cs="Calibri"/>
                <w:sz w:val="20"/>
                <w:szCs w:val="20"/>
              </w:rPr>
            </w:pPr>
            <w:r w:rsidRPr="00E54DA6">
              <w:rPr>
                <w:rFonts w:eastAsiaTheme="minorEastAsia" w:cs="Calibri"/>
                <w:sz w:val="20"/>
                <w:szCs w:val="20"/>
              </w:rPr>
              <w:t>La teneur en eau volumique à la capacité au champ (</w:t>
            </w:r>
            <w:r w:rsidR="006A2926" w:rsidRPr="00E54DA6">
              <w:rPr>
                <w:rFonts w:eastAsiaTheme="minorEastAsia" w:cs="Calibri"/>
                <w:sz w:val="20"/>
                <w:szCs w:val="20"/>
              </w:rPr>
              <w:t>m</w:t>
            </w:r>
            <w:r w:rsidR="006A2926" w:rsidRPr="00E54DA6">
              <w:rPr>
                <w:rFonts w:eastAsiaTheme="minorEastAsia" w:cs="Calibri"/>
                <w:sz w:val="20"/>
                <w:szCs w:val="20"/>
                <w:vertAlign w:val="superscript"/>
              </w:rPr>
              <w:t>3</w:t>
            </w:r>
            <w:r w:rsidR="006A2926" w:rsidRPr="00E54DA6">
              <w:rPr>
                <w:rFonts w:eastAsiaTheme="minorEastAsia" w:cs="Calibri"/>
                <w:sz w:val="20"/>
                <w:szCs w:val="20"/>
              </w:rPr>
              <w:t xml:space="preserve"> · m</w:t>
            </w:r>
            <w:r w:rsidR="006A2926" w:rsidRPr="00E54DA6">
              <w:rPr>
                <w:rFonts w:eastAsiaTheme="minorEastAsia" w:cs="Calibri"/>
                <w:sz w:val="20"/>
                <w:szCs w:val="20"/>
                <w:vertAlign w:val="superscript"/>
              </w:rPr>
              <w:t>-3</w:t>
            </w:r>
            <w:r w:rsidR="006A2926" w:rsidRPr="00E54DA6">
              <w:rPr>
                <w:rFonts w:eastAsiaTheme="minorEastAsia" w:cs="Calibri"/>
                <w:sz w:val="20"/>
                <w:szCs w:val="20"/>
              </w:rPr>
              <w:t>)</w:t>
            </w:r>
            <w:r w:rsidR="001906A0" w:rsidRPr="00E54DA6">
              <w:rPr>
                <w:rFonts w:eastAsiaTheme="minorEastAsia" w:cs="Calibri"/>
                <w:sz w:val="20"/>
                <w:szCs w:val="20"/>
              </w:rPr>
              <w:t> ;</w:t>
            </w:r>
          </w:p>
        </w:tc>
      </w:tr>
      <w:tr w:rsidR="001906A0" w:rsidRPr="00E54DA6" w14:paraId="7FACAA48" w14:textId="77777777" w:rsidTr="009D08EE">
        <w:trPr>
          <w:trHeight w:val="227"/>
        </w:trPr>
        <w:tc>
          <w:tcPr>
            <w:tcW w:w="633" w:type="dxa"/>
            <w:vAlign w:val="center"/>
          </w:tcPr>
          <w:p w14:paraId="69C10632" w14:textId="25EF205B" w:rsidR="001906A0" w:rsidRPr="00E54DA6" w:rsidRDefault="00437C8C" w:rsidP="004306AE">
            <w:pPr>
              <w:jc w:val="left"/>
              <w:rPr>
                <w:rFonts w:eastAsiaTheme="minorEastAsia" w:cs="Calibri"/>
                <w:sz w:val="20"/>
                <w:szCs w:val="20"/>
              </w:rPr>
            </w:pPr>
            <m:oMathPara>
              <m:oMathParaPr>
                <m:jc m:val="left"/>
              </m:oMathParaPr>
              <m:oMath>
                <m:sSub>
                  <m:sSubPr>
                    <m:ctrlPr>
                      <w:rPr>
                        <w:rFonts w:ascii="Cambria Math" w:eastAsia="Cambria Math" w:hAnsi="Cambria Math" w:cs="Calibri"/>
                        <w:sz w:val="20"/>
                        <w:szCs w:val="20"/>
                      </w:rPr>
                    </m:ctrlPr>
                  </m:sSubPr>
                  <m:e>
                    <m:r>
                      <m:rPr>
                        <m:sty m:val="p"/>
                      </m:rPr>
                      <w:rPr>
                        <w:rFonts w:ascii="Cambria Math" w:eastAsia="Cambria Math" w:hAnsi="Cambria Math" w:cs="Calibri"/>
                        <w:sz w:val="20"/>
                        <w:szCs w:val="20"/>
                      </w:rPr>
                      <m:t>θ</m:t>
                    </m:r>
                  </m:e>
                  <m:sub>
                    <m:r>
                      <m:rPr>
                        <m:sty m:val="p"/>
                      </m:rPr>
                      <w:rPr>
                        <w:rFonts w:ascii="Cambria Math" w:eastAsia="Cambria Math" w:hAnsi="Cambria Math" w:cs="Calibri"/>
                        <w:sz w:val="20"/>
                        <w:szCs w:val="20"/>
                      </w:rPr>
                      <m:t>PF</m:t>
                    </m:r>
                  </m:sub>
                </m:sSub>
              </m:oMath>
            </m:oMathPara>
          </w:p>
        </w:tc>
        <w:tc>
          <w:tcPr>
            <w:tcW w:w="8437" w:type="dxa"/>
            <w:vAlign w:val="center"/>
          </w:tcPr>
          <w:p w14:paraId="2D17A89F" w14:textId="5CAD7539" w:rsidR="001906A0" w:rsidRPr="00E54DA6" w:rsidRDefault="001906A0" w:rsidP="004306AE">
            <w:pPr>
              <w:jc w:val="left"/>
              <w:rPr>
                <w:rFonts w:eastAsiaTheme="minorEastAsia" w:cs="Calibri"/>
                <w:sz w:val="20"/>
                <w:szCs w:val="20"/>
              </w:rPr>
            </w:pPr>
            <w:r w:rsidRPr="00E54DA6">
              <w:rPr>
                <w:rFonts w:eastAsiaTheme="minorEastAsia" w:cs="Calibri"/>
                <w:sz w:val="20"/>
                <w:szCs w:val="20"/>
              </w:rPr>
              <w:t xml:space="preserve">La </w:t>
            </w:r>
            <w:r w:rsidR="00193907" w:rsidRPr="00E54DA6">
              <w:rPr>
                <w:rFonts w:eastAsiaTheme="minorEastAsia" w:cs="Calibri"/>
                <w:sz w:val="20"/>
                <w:szCs w:val="20"/>
              </w:rPr>
              <w:t>teneur en eau volumique au point de flétrissement</w:t>
            </w:r>
            <w:r w:rsidR="006A2926" w:rsidRPr="00E54DA6">
              <w:rPr>
                <w:rFonts w:eastAsiaTheme="minorEastAsia" w:cs="Calibri"/>
                <w:sz w:val="20"/>
                <w:szCs w:val="20"/>
              </w:rPr>
              <w:t xml:space="preserve"> (m</w:t>
            </w:r>
            <w:r w:rsidR="006A2926" w:rsidRPr="00E54DA6">
              <w:rPr>
                <w:rFonts w:eastAsiaTheme="minorEastAsia" w:cs="Calibri"/>
                <w:sz w:val="20"/>
                <w:szCs w:val="20"/>
                <w:vertAlign w:val="superscript"/>
              </w:rPr>
              <w:t>3</w:t>
            </w:r>
            <w:r w:rsidR="006A2926" w:rsidRPr="00E54DA6">
              <w:rPr>
                <w:rFonts w:eastAsiaTheme="minorEastAsia" w:cs="Calibri"/>
                <w:sz w:val="20"/>
                <w:szCs w:val="20"/>
              </w:rPr>
              <w:t xml:space="preserve"> · m</w:t>
            </w:r>
            <w:r w:rsidR="006A2926" w:rsidRPr="00E54DA6">
              <w:rPr>
                <w:rFonts w:eastAsiaTheme="minorEastAsia" w:cs="Calibri"/>
                <w:sz w:val="20"/>
                <w:szCs w:val="20"/>
                <w:vertAlign w:val="superscript"/>
              </w:rPr>
              <w:t>-3</w:t>
            </w:r>
            <w:r w:rsidR="006A2926" w:rsidRPr="00E54DA6">
              <w:rPr>
                <w:rFonts w:eastAsiaTheme="minorEastAsia" w:cs="Calibri"/>
                <w:sz w:val="20"/>
                <w:szCs w:val="20"/>
              </w:rPr>
              <w:t>)</w:t>
            </w:r>
            <w:r w:rsidRPr="00E54DA6">
              <w:rPr>
                <w:rFonts w:eastAsiaTheme="minorEastAsia" w:cs="Calibri"/>
                <w:sz w:val="20"/>
                <w:szCs w:val="20"/>
              </w:rPr>
              <w:t> ;</w:t>
            </w:r>
          </w:p>
        </w:tc>
      </w:tr>
      <w:tr w:rsidR="001906A0" w:rsidRPr="00E54DA6" w14:paraId="365AA8DD" w14:textId="77777777" w:rsidTr="009D08EE">
        <w:trPr>
          <w:trHeight w:val="227"/>
        </w:trPr>
        <w:tc>
          <w:tcPr>
            <w:tcW w:w="633" w:type="dxa"/>
            <w:vAlign w:val="center"/>
          </w:tcPr>
          <w:p w14:paraId="1E0D9A26" w14:textId="77777777" w:rsidR="001906A0" w:rsidRPr="00E54DA6" w:rsidRDefault="001906A0" w:rsidP="004306AE">
            <w:pPr>
              <w:jc w:val="left"/>
              <w:rPr>
                <w:rFonts w:eastAsiaTheme="minorEastAsia" w:cs="Calibri"/>
                <w:sz w:val="20"/>
                <w:szCs w:val="20"/>
              </w:rPr>
            </w:pPr>
            <m:oMathPara>
              <m:oMathParaPr>
                <m:jc m:val="left"/>
              </m:oMathParaPr>
              <m:oMath>
                <m:r>
                  <m:rPr>
                    <m:sty m:val="p"/>
                  </m:rPr>
                  <w:rPr>
                    <w:rFonts w:ascii="Cambria Math" w:hAnsi="Cambria Math" w:cs="Calibri"/>
                    <w:sz w:val="20"/>
                    <w:szCs w:val="20"/>
                    <w:lang w:val="fr-FR"/>
                  </w:rPr>
                  <m:t>d</m:t>
                </m:r>
              </m:oMath>
            </m:oMathPara>
          </w:p>
        </w:tc>
        <w:tc>
          <w:tcPr>
            <w:tcW w:w="8437" w:type="dxa"/>
            <w:vAlign w:val="center"/>
          </w:tcPr>
          <w:p w14:paraId="0ADF5F60" w14:textId="2FA28A87" w:rsidR="001906A0" w:rsidRPr="00E54DA6" w:rsidRDefault="009D08EE" w:rsidP="004306AE">
            <w:pPr>
              <w:jc w:val="left"/>
              <w:rPr>
                <w:rFonts w:eastAsiaTheme="minorEastAsia" w:cs="Calibri"/>
                <w:sz w:val="20"/>
                <w:szCs w:val="20"/>
              </w:rPr>
            </w:pPr>
            <w:r w:rsidRPr="00E54DA6">
              <w:rPr>
                <w:rFonts w:eastAsiaTheme="minorEastAsia" w:cs="Calibri"/>
                <w:sz w:val="20"/>
                <w:szCs w:val="20"/>
              </w:rPr>
              <w:t>L’épaisseur de la couche de sol considérée (m)</w:t>
            </w:r>
            <w:r w:rsidR="001906A0" w:rsidRPr="00E54DA6">
              <w:rPr>
                <w:rFonts w:eastAsiaTheme="minorEastAsia" w:cs="Calibri"/>
                <w:sz w:val="20"/>
                <w:szCs w:val="20"/>
              </w:rPr>
              <w:t xml:space="preserve"> ;</w:t>
            </w:r>
          </w:p>
        </w:tc>
      </w:tr>
      <w:tr w:rsidR="001906A0" w:rsidRPr="00E54DA6" w14:paraId="75A36454" w14:textId="77777777" w:rsidTr="009D08EE">
        <w:trPr>
          <w:trHeight w:val="227"/>
        </w:trPr>
        <w:tc>
          <w:tcPr>
            <w:tcW w:w="633" w:type="dxa"/>
            <w:vAlign w:val="center"/>
          </w:tcPr>
          <w:p w14:paraId="4F0CE899" w14:textId="468643EE" w:rsidR="001906A0" w:rsidRPr="00E54DA6" w:rsidRDefault="00437C8C" w:rsidP="004306AE">
            <w:pPr>
              <w:jc w:val="left"/>
              <w:rPr>
                <w:rFonts w:eastAsia="Times New Roman" w:cs="Calibri"/>
                <w:sz w:val="20"/>
                <w:szCs w:val="20"/>
              </w:rPr>
            </w:pPr>
            <m:oMathPara>
              <m:oMathParaPr>
                <m:jc m:val="left"/>
              </m:oMathParaPr>
              <m:oMath>
                <m:sSub>
                  <m:sSubPr>
                    <m:ctrlPr>
                      <w:rPr>
                        <w:rFonts w:ascii="Cambria Math" w:eastAsia="Cambria Math" w:hAnsi="Cambria Math" w:cs="Calibri"/>
                        <w:sz w:val="20"/>
                        <w:szCs w:val="20"/>
                      </w:rPr>
                    </m:ctrlPr>
                  </m:sSubPr>
                  <m:e>
                    <m:r>
                      <m:rPr>
                        <m:sty m:val="p"/>
                      </m:rPr>
                      <w:rPr>
                        <w:rFonts w:ascii="Cambria Math" w:eastAsia="Cambria Math" w:hAnsi="Cambria Math" w:cs="Calibri"/>
                        <w:sz w:val="20"/>
                        <w:szCs w:val="20"/>
                      </w:rPr>
                      <m:t>%</m:t>
                    </m:r>
                  </m:e>
                  <m:sub>
                    <m:r>
                      <m:rPr>
                        <m:sty m:val="p"/>
                      </m:rPr>
                      <w:rPr>
                        <w:rFonts w:ascii="Cambria Math" w:eastAsia="Cambria Math" w:hAnsi="Cambria Math" w:cs="Calibri"/>
                        <w:sz w:val="20"/>
                        <w:szCs w:val="20"/>
                      </w:rPr>
                      <m:t>EG</m:t>
                    </m:r>
                  </m:sub>
                </m:sSub>
              </m:oMath>
            </m:oMathPara>
          </w:p>
        </w:tc>
        <w:tc>
          <w:tcPr>
            <w:tcW w:w="8437" w:type="dxa"/>
            <w:vAlign w:val="center"/>
          </w:tcPr>
          <w:p w14:paraId="3D4405E8" w14:textId="1A086D8C" w:rsidR="001906A0" w:rsidRPr="00E54DA6" w:rsidRDefault="009D08EE" w:rsidP="004306AE">
            <w:pPr>
              <w:jc w:val="left"/>
              <w:rPr>
                <w:rFonts w:eastAsiaTheme="minorEastAsia" w:cs="Calibri"/>
                <w:sz w:val="20"/>
                <w:szCs w:val="20"/>
              </w:rPr>
            </w:pPr>
            <w:r w:rsidRPr="00E54DA6">
              <w:rPr>
                <w:rFonts w:eastAsiaTheme="minorEastAsia" w:cs="Calibri"/>
                <w:sz w:val="20"/>
                <w:szCs w:val="20"/>
              </w:rPr>
              <w:t>La charge volumique en éléments grossiers (%).</w:t>
            </w:r>
          </w:p>
        </w:tc>
      </w:tr>
    </w:tbl>
    <w:p w14:paraId="5463C8A4" w14:textId="77777777" w:rsidR="008A331C" w:rsidRDefault="008A331C" w:rsidP="00FD61F1"/>
    <w:p w14:paraId="32221B04" w14:textId="59F85F15" w:rsidR="002F01CC" w:rsidRPr="00071504" w:rsidRDefault="002F01CC" w:rsidP="00FD61F1">
      <w:r>
        <w:t xml:space="preserve">N.B. : </w:t>
      </w:r>
      <w:r w:rsidR="00EF6805">
        <w:t xml:space="preserve">En </w:t>
      </w:r>
      <w:r w:rsidR="001B49FB">
        <w:t xml:space="preserve">fonction de leur composition, les éléments grossiers contribuent, parfois significativement, à la REU </w:t>
      </w:r>
      <w:r w:rsidR="004E001A">
        <w:fldChar w:fldCharType="begin"/>
      </w:r>
      <w:r w:rsidR="004E001A">
        <w:instrText xml:space="preserve"> ADDIN ZOTERO_ITEM CSL_CITATION {"citationID":"67R0eJOt","properties":{"unsorted":false,"formattedCitation":"(Tetegan, 2011)","plainCitation":"(Tetegan, 2011)","noteIndex":0},"citationItems":[{"id":111,"uris":["http://zotero.org/groups/5684833/items/MCTKUELH"],"itemData":{"id":111,"type":"thesis","abstract":"Les sols sont définis comme étant caillouteux à partir d’une proportion supérieure à 35 % d’éléments grossiers. Les sols caillouteux - dont certains supportent des zones de grandes cultures - couvrent environ 30% de la superficie de l’Europe occidentale. Outre le fait qu’ils sont plus contraignants pour la production agricole car les opérations culturales y sont plus délicates, les sols caillouteux sont souvent des sols peu épais ; ils contribuent ainsi de façon significative à la recharge des nappes mais sont a priori très sensibles au lessivage hivernal du nitrate et des produits phytosanitaires. Malgré leur grande étendue géographique et leurs propriétés spécifiques, les sols caillouteux ont été peu étudiés. Devant ce déficit de connaissances et devant les problèmes spécifiques posés par les sols caillouteux (variabilité de la phase caillouteuse, échanges entre la phase caillouteuse et la fraction fine des sols), tant en termes de production végétale qu’en termes de protection de l’environnement, ce projet de thèse a eu pour objectifs de : i) déterminer la réserve utile des éléments grossiers de sols caillouteux d’origine sédimentaire ; ii) d’évaluer qualitativement et quantitativement la pierrosité de sols caillouteux à l’échelle parcellaire ; et iii) d’estimer la réserve utile effective de sols caillouteux et leur fonctionnement hydrique sur de grands territoires agricoles. Grâce à des analyses au laboratoire, nous avons montré que les cailloux étaient saturés en eau à -100 hPa et que les teneurs en eau à la capacité au champ et au point de flétrissement pouvaient s’exprimer simplement en fonction de la masse volumique, ce qui a permis de définir des fonctions de pédotransfert robustes et opérationnelles pour le calcul de l’humidité utile des éléments grossiers. Grâce à l’analyse du bruit du signal de la résistivité électrique, mesurée in situ par prospections géophysiques, il a été possible d’évaluer leur pierrosité volumique à l’échelle d’une parcelle. Enfin, à l’échelle régionale, nous avons montré que la non-prise en compte du volume de la phase caillouteuse et/ou de ses propriétés conduisait à des sous-estimations de 20 % de la réserve utile, ce qui avait pour conséquence une surestimation du déficit hydrique de 20 mm par an en moyenne, avec une grande variabilité spatiale. Ces travaux permettront, à terme, une meilleure gestion spatialisée des agrosystèmes, aux échelles locales et régionales. En effet, les nouvelles propriétés hydriques calculées permettront d’améliorer la compréhension du fonctionnement environnemental spatialisé des sols afin de mieux estimer certains risques (lessivage de nitrate, émissions de gaz à effet de serre par les sols, etc.).","genre":"phdthesis","language":"fr","publisher":"Université d'Orléans","source":"theses.hal.science","title":"Modélisation des propriétés de rétention en eau des sols caillouteux : application à l'estimation spatialisée de la réserve utile","title-short":"Modélisation des propriétés de rétention en eau des sols caillouteux","URL":"https://theses.hal.science/tel-00667737","author":[{"family":"Tetegan","given":"Marion"}],"accessed":{"date-parts":[["2025",9,12]]},"issued":{"date-parts":[["2011",10,4]]}}}],"schema":"https://github.com/citation-style-language/schema/raw/master/csl-citation.json"} </w:instrText>
      </w:r>
      <w:r w:rsidR="004E001A">
        <w:fldChar w:fldCharType="separate"/>
      </w:r>
      <w:r w:rsidR="004E001A" w:rsidRPr="004E001A">
        <w:rPr>
          <w:rFonts w:cs="Calibri"/>
        </w:rPr>
        <w:t>(Tetegan, 2011)</w:t>
      </w:r>
      <w:r w:rsidR="004E001A">
        <w:fldChar w:fldCharType="end"/>
      </w:r>
      <w:r w:rsidR="004E001A">
        <w:t>.</w:t>
      </w:r>
      <w:r>
        <w:t xml:space="preserve"> </w:t>
      </w:r>
      <w:r w:rsidR="00FC37FB">
        <w:t>Toutefois,</w:t>
      </w:r>
      <w:r w:rsidR="009017AB">
        <w:t xml:space="preserve"> la charge volumique en éléments grossiers </w:t>
      </w:r>
      <w:r w:rsidR="00FC37FB">
        <w:t xml:space="preserve">est ici soustraite </w:t>
      </w:r>
      <w:r w:rsidR="009017AB">
        <w:t>du volume de sol utile</w:t>
      </w:r>
      <w:r w:rsidR="00FC37FB">
        <w:t>, ce qui</w:t>
      </w:r>
      <w:r w:rsidR="009017AB">
        <w:t xml:space="preserve"> revient à négliger </w:t>
      </w:r>
      <w:r w:rsidR="001A09B7">
        <w:t>leur contribution dans la REU</w:t>
      </w:r>
      <w:r w:rsidR="009017AB">
        <w:t>.</w:t>
      </w:r>
      <w:r w:rsidR="00FB547C">
        <w:t xml:space="preserve"> Vu le manque de référentiels,</w:t>
      </w:r>
      <w:r w:rsidR="00484BE0">
        <w:t xml:space="preserve"> </w:t>
      </w:r>
      <w:r w:rsidR="007948C5">
        <w:t>cette hypothèse est acceptable</w:t>
      </w:r>
      <w:r w:rsidR="00FB547C">
        <w:t xml:space="preserve"> dans le cadre d’un indice de qualité des sols</w:t>
      </w:r>
      <w:r w:rsidR="007948C5">
        <w:t xml:space="preserve"> </w:t>
      </w:r>
      <w:r w:rsidR="00C4460B">
        <w:fldChar w:fldCharType="begin"/>
      </w:r>
      <w:r w:rsidR="00C4460B">
        <w:instrText xml:space="preserve"> ADDIN ZOTERO_ITEM CSL_CITATION {"citationID":"2TWH8uNp","properties":{"unsorted":false,"formattedCitation":"(Branchu &amp; Marseille, 2022)","plainCitation":"(Branchu &amp; Marseille, 2022)","noteIndex":0},"citationItems":[{"id":182,"uris":["http://zotero.org/groups/5684833/items/6J996SY7"],"itemData":{"id":182,"type":"report","abstract":"Rapport et Annexes","language":"fr-FR","publisher":"CEREMA, INRAe, IRSTV, BRGM, Chambre d'Agriculture 36, Université Aix Marseille","title":"MUSE - Intégrer la multifonctionnalité des sols dans les documents d'urbanisme","URL":"https://librairie.ademe.fr/urbanisme-territoires-et-sols/5415-muse-integrer-la-multifonctionnalite-des-sols-dans-les-documents-d-urbanisme.html","author":[{"family":"Branchu","given":"Philippe"},{"family":"Marseille","given":"Fabienne"}],"accessed":{"date-parts":[["2025",5,13]]},"issued":{"date-parts":[["2022"]]}}}],"schema":"https://github.com/citation-style-language/schema/raw/master/csl-citation.json"} </w:instrText>
      </w:r>
      <w:r w:rsidR="00C4460B">
        <w:fldChar w:fldCharType="separate"/>
      </w:r>
      <w:r w:rsidR="00C4460B" w:rsidRPr="00C4460B">
        <w:rPr>
          <w:rFonts w:cs="Calibri"/>
        </w:rPr>
        <w:t>(Branchu &amp; Marseille, 2022)</w:t>
      </w:r>
      <w:r w:rsidR="00C4460B">
        <w:fldChar w:fldCharType="end"/>
      </w:r>
      <w:r w:rsidR="00FB547C">
        <w:t>.</w:t>
      </w:r>
    </w:p>
    <w:p w14:paraId="6B5F535C" w14:textId="77777777" w:rsidR="00FD61F1" w:rsidRDefault="00FD61F1" w:rsidP="00876101">
      <w:pPr>
        <w:pStyle w:val="Titre3"/>
        <w:numPr>
          <w:ilvl w:val="2"/>
          <w:numId w:val="3"/>
        </w:numPr>
      </w:pPr>
      <w:bookmarkStart w:id="180" w:name="_Toc241505344"/>
      <w:r w:rsidRPr="00C23A2C">
        <w:t>Interprétation</w:t>
      </w:r>
      <w:bookmarkEnd w:id="180"/>
    </w:p>
    <w:p w14:paraId="7947719E" w14:textId="5D92952D" w:rsidR="00BF4D99" w:rsidRDefault="008430C7" w:rsidP="00F11CE4">
      <w:r>
        <w:t xml:space="preserve">Le rapport d’étude </w:t>
      </w:r>
      <w:proofErr w:type="spellStart"/>
      <w:r w:rsidR="00E541ED">
        <w:t>Infosol</w:t>
      </w:r>
      <w:proofErr w:type="spellEnd"/>
      <w:r>
        <w:t xml:space="preserve"> </w:t>
      </w:r>
      <w:r>
        <w:fldChar w:fldCharType="begin"/>
      </w:r>
      <w:r>
        <w:instrText xml:space="preserve"> ADDIN ZOTERO_ITEM CSL_CITATION {"citationID":"2kq37Z5o","properties":{"unsorted":false,"formattedCitation":"(Bielders et al., 2013)","plainCitation":"(Bielders et al., 2013)","noteIndex":0},"citationItems":[{"id":375,"uris":["http://zotero.org/groups/5684833/items/DDS2F9EX"],"itemData":{"id":375,"type":"article-journal","language":"fr","note":"number: UCL - Université Catholique de Louvain","source":"dial.uclouvain.be","title":"Vers des indicateurs de fonctionnement du sol (INFOSOL): approche méthodologique de développement d'indicateurs pédologiques pour les fonctions édaphiques de régulation hydrique et de support physique pour les plantes","title-short":"Vers des indicateurs de fonctionnement du sol (INFOSOL)","URL":"https://dial.uclouvain.be/pr/boreal/fr/object/boreal%3A127913","author":[{"family":"Bielders","given":"Charles"},{"family":"Javaux","given":"Mathieu"},{"family":"Roisin","given":"Christian"},{"family":"Vanclooster","given":"Marnik"}],"accessed":{"date-parts":[["2026",1,14]]},"issued":{"date-parts":[["2013"]]}}}],"schema":"https://github.com/citation-style-language/schema/raw/master/csl-citation.json"} </w:instrText>
      </w:r>
      <w:r>
        <w:fldChar w:fldCharType="separate"/>
      </w:r>
      <w:r w:rsidRPr="008430C7">
        <w:rPr>
          <w:rFonts w:cs="Calibri"/>
        </w:rPr>
        <w:t>(Bielders et al., 2013)</w:t>
      </w:r>
      <w:r>
        <w:fldChar w:fldCharType="end"/>
      </w:r>
      <w:r w:rsidR="007C4EA1">
        <w:t xml:space="preserve">, portant sur des sols agricoles limoneux et sablo-limoneux wallons, identifie </w:t>
      </w:r>
      <w:r w:rsidR="00521C74">
        <w:t>une valeur seuil limitante (1 mm/cm) et une valeur cible idéale (2 mm/cm)</w:t>
      </w:r>
      <w:r w:rsidR="007C4EA1">
        <w:t xml:space="preserve"> pour la REU des sols à texture fine</w:t>
      </w:r>
      <w:r w:rsidR="00040703">
        <w:t xml:space="preserve"> du point de vue de la croissance racinaire</w:t>
      </w:r>
      <w:r w:rsidR="007C4EA1">
        <w:t xml:space="preserve">. </w:t>
      </w:r>
      <w:r w:rsidR="0081683D">
        <w:t xml:space="preserve">Ce référentiel est utilisé pour le </w:t>
      </w:r>
      <w:r w:rsidR="000100FD">
        <w:t>service écosystémique</w:t>
      </w:r>
      <w:r w:rsidR="0081683D">
        <w:t xml:space="preserve"> </w:t>
      </w:r>
      <w:r w:rsidR="0081683D" w:rsidRPr="0081683D">
        <w:rPr>
          <w:i/>
          <w:iCs/>
        </w:rPr>
        <w:t>Production</w:t>
      </w:r>
      <w:r w:rsidR="0081683D">
        <w:t xml:space="preserve"> dans le cas des cultures, des prairies et des espaces verts. Concernant le </w:t>
      </w:r>
      <w:r w:rsidR="000100FD">
        <w:t xml:space="preserve">service </w:t>
      </w:r>
      <w:r w:rsidR="0081683D" w:rsidRPr="0081683D">
        <w:rPr>
          <w:i/>
          <w:iCs/>
        </w:rPr>
        <w:t>Production</w:t>
      </w:r>
      <w:r w:rsidR="0081683D">
        <w:t xml:space="preserve"> pour un sol forestier, un</w:t>
      </w:r>
      <w:r w:rsidR="006602E6">
        <w:t xml:space="preserve">e valeur cible plus permissive a été attribuée sur base </w:t>
      </w:r>
      <w:r w:rsidR="00E541ED">
        <w:t>d’avis d’experts.</w:t>
      </w:r>
      <w:r w:rsidR="006602E6">
        <w:t xml:space="preserve"> </w:t>
      </w:r>
      <w:r w:rsidR="00E541ED">
        <w:t xml:space="preserve">Ces référentiels sont utilisés pour </w:t>
      </w:r>
      <w:r w:rsidR="00BF4D99">
        <w:t xml:space="preserve">évaluer la qualité du sol. </w:t>
      </w:r>
    </w:p>
    <w:p w14:paraId="68557F94" w14:textId="2BD4D53C" w:rsidR="00F11CE4" w:rsidRDefault="00BF4D99" w:rsidP="00F11CE4">
      <w:r>
        <w:t xml:space="preserve">L’état de santé du sol, quant à lui, </w:t>
      </w:r>
      <w:r w:rsidR="48666F51">
        <w:t>est évalué</w:t>
      </w:r>
      <w:r>
        <w:t xml:space="preserve"> en optimisant les variables </w:t>
      </w:r>
      <w:r w:rsidR="76F01C65">
        <w:t>de gestion</w:t>
      </w:r>
      <w:r>
        <w:t xml:space="preserve"> du sol. En effet, la REU</w:t>
      </w:r>
      <w:r w:rsidR="00BC7CE9">
        <w:t xml:space="preserve"> d’un sol</w:t>
      </w:r>
      <w:r>
        <w:t xml:space="preserve"> </w:t>
      </w:r>
      <w:r w:rsidR="00995BB8">
        <w:t>est</w:t>
      </w:r>
      <w:r w:rsidR="00BC7CE9">
        <w:t xml:space="preserve"> principalement influencée par ses</w:t>
      </w:r>
      <w:r>
        <w:t xml:space="preserve"> </w:t>
      </w:r>
      <w:r w:rsidR="00BC7CE9">
        <w:t xml:space="preserve">propriétés intrinsèques </w:t>
      </w:r>
      <w:r w:rsidR="00AD5E29">
        <w:t xml:space="preserve">(texture, </w:t>
      </w:r>
      <w:r w:rsidR="00135E8D">
        <w:t xml:space="preserve">charge volumique </w:t>
      </w:r>
      <w:r w:rsidR="00135E8D">
        <w:lastRenderedPageBreak/>
        <w:t>en EG, épaisseur)</w:t>
      </w:r>
      <w:r w:rsidR="00BC7CE9">
        <w:t>.</w:t>
      </w:r>
      <w:r w:rsidR="00AD553F">
        <w:t xml:space="preserve"> Toutefois, comme le démontre</w:t>
      </w:r>
      <w:r w:rsidR="00135E8D">
        <w:t>nt</w:t>
      </w:r>
      <w:r w:rsidR="00AD553F">
        <w:t xml:space="preserve"> les équations (1) et (2) ci-dessus, la teneur en carbone organique impacte également </w:t>
      </w:r>
      <w:r w:rsidR="00135E8D">
        <w:t>la capacité du sol à retenir l’eau</w:t>
      </w:r>
      <w:r w:rsidR="003D32BD">
        <w:t>, et augmenter la teneur en MO du sol peut donc contribuer à augmenter la REU potentielle d’un sol donné</w:t>
      </w:r>
      <w:r w:rsidR="00135E8D">
        <w:t xml:space="preserve">. </w:t>
      </w:r>
      <w:r w:rsidR="00BB3CBB">
        <w:t xml:space="preserve">La santé d’un sol quant à sa capacité de rétention en eau </w:t>
      </w:r>
      <w:r w:rsidR="003D32BD">
        <w:t xml:space="preserve">peut donc </w:t>
      </w:r>
      <w:r w:rsidR="00BB3CBB">
        <w:t>s</w:t>
      </w:r>
      <w:r w:rsidR="00696650">
        <w:t>’évaluer</w:t>
      </w:r>
      <w:r w:rsidR="00BB3CBB">
        <w:t xml:space="preserve"> comme suit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3"/>
        <w:gridCol w:w="577"/>
      </w:tblGrid>
      <w:tr w:rsidR="003D32BD" w14:paraId="6354FD4C" w14:textId="77777777" w:rsidTr="000F7FB1">
        <w:trPr>
          <w:trHeight w:val="816"/>
        </w:trPr>
        <w:tc>
          <w:tcPr>
            <w:tcW w:w="8500" w:type="dxa"/>
          </w:tcPr>
          <w:p w14:paraId="27409754" w14:textId="7869DD8B" w:rsidR="003D32BD" w:rsidRPr="000F7FB1" w:rsidRDefault="00437C8C" w:rsidP="000F7FB1">
            <m:oMathPara>
              <m:oMath>
                <m:sSub>
                  <m:sSubPr>
                    <m:ctrlPr>
                      <w:rPr>
                        <w:rFonts w:ascii="Cambria Math" w:hAnsi="Cambria Math"/>
                      </w:rPr>
                    </m:ctrlPr>
                  </m:sSubPr>
                  <m:e>
                    <m:r>
                      <m:rPr>
                        <m:sty m:val="p"/>
                      </m:rPr>
                      <w:rPr>
                        <w:rFonts w:ascii="Cambria Math" w:hAnsi="Cambria Math"/>
                      </w:rPr>
                      <m:t>Score</m:t>
                    </m:r>
                  </m:e>
                  <m:sub>
                    <m:r>
                      <m:rPr>
                        <m:sty m:val="p"/>
                      </m:rPr>
                      <w:rPr>
                        <w:rFonts w:ascii="Cambria Math" w:hAnsi="Cambria Math"/>
                      </w:rPr>
                      <m:t>REU(santé)</m:t>
                    </m:r>
                  </m:sub>
                </m:sSub>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m:rPr>
                            <m:sty m:val="p"/>
                          </m:rPr>
                          <w:rPr>
                            <w:rFonts w:ascii="Cambria Math" w:hAnsi="Cambria Math"/>
                          </w:rPr>
                          <m:t>REU</m:t>
                        </m:r>
                      </m:e>
                      <m:sub>
                        <m:r>
                          <m:rPr>
                            <m:sty m:val="p"/>
                          </m:rPr>
                          <w:rPr>
                            <w:rFonts w:ascii="Cambria Math" w:hAnsi="Cambria Math"/>
                          </w:rPr>
                          <m:t>effective</m:t>
                        </m:r>
                      </m:sub>
                    </m:sSub>
                  </m:num>
                  <m:den>
                    <m:sSub>
                      <m:sSubPr>
                        <m:ctrlPr>
                          <w:rPr>
                            <w:rFonts w:ascii="Cambria Math" w:hAnsi="Cambria Math"/>
                          </w:rPr>
                        </m:ctrlPr>
                      </m:sSubPr>
                      <m:e>
                        <m:r>
                          <m:rPr>
                            <m:sty m:val="p"/>
                          </m:rPr>
                          <w:rPr>
                            <w:rFonts w:ascii="Cambria Math" w:hAnsi="Cambria Math"/>
                          </w:rPr>
                          <m:t>REU</m:t>
                        </m:r>
                      </m:e>
                      <m:sub>
                        <m:r>
                          <m:rPr>
                            <m:sty m:val="p"/>
                          </m:rPr>
                          <w:rPr>
                            <w:rFonts w:ascii="Cambria Math" w:hAnsi="Cambria Math"/>
                          </w:rPr>
                          <m:t>potentielle</m:t>
                        </m:r>
                      </m:sub>
                    </m:sSub>
                  </m:den>
                </m:f>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m:rPr>
                            <m:sty m:val="p"/>
                          </m:rPr>
                          <w:rPr>
                            <w:rFonts w:ascii="Cambria Math" w:hAnsi="Cambria Math"/>
                          </w:rPr>
                          <m:t>REU</m:t>
                        </m:r>
                      </m:e>
                      <m:sub>
                        <m:sSub>
                          <m:sSubPr>
                            <m:ctrlPr>
                              <w:rPr>
                                <w:rFonts w:ascii="Cambria Math" w:hAnsi="Cambria Math"/>
                              </w:rPr>
                            </m:ctrlPr>
                          </m:sSubPr>
                          <m:e>
                            <m:r>
                              <m:rPr>
                                <m:sty m:val="p"/>
                              </m:rPr>
                              <w:rPr>
                                <w:rFonts w:ascii="Cambria Math" w:hAnsi="Cambria Math"/>
                              </w:rPr>
                              <m:t>C</m:t>
                            </m:r>
                          </m:e>
                          <m:sub>
                            <m:r>
                              <m:rPr>
                                <m:sty m:val="p"/>
                              </m:rPr>
                              <w:rPr>
                                <w:rFonts w:ascii="Cambria Math" w:hAnsi="Cambria Math"/>
                              </w:rPr>
                              <m:t>org</m:t>
                            </m:r>
                          </m:sub>
                        </m:sSub>
                        <m:r>
                          <m:rPr>
                            <m:sty m:val="p"/>
                          </m:rPr>
                          <w:rPr>
                            <w:rFonts w:ascii="Cambria Math" w:hAnsi="Cambria Math"/>
                          </w:rPr>
                          <m:t>effectif</m:t>
                        </m:r>
                      </m:sub>
                    </m:sSub>
                  </m:num>
                  <m:den>
                    <m:sSub>
                      <m:sSubPr>
                        <m:ctrlPr>
                          <w:rPr>
                            <w:rFonts w:ascii="Cambria Math" w:hAnsi="Cambria Math"/>
                          </w:rPr>
                        </m:ctrlPr>
                      </m:sSubPr>
                      <m:e>
                        <m:r>
                          <m:rPr>
                            <m:sty m:val="p"/>
                          </m:rPr>
                          <w:rPr>
                            <w:rFonts w:ascii="Cambria Math" w:hAnsi="Cambria Math"/>
                          </w:rPr>
                          <m:t>REU</m:t>
                        </m:r>
                      </m:e>
                      <m:sub>
                        <m:sSub>
                          <m:sSubPr>
                            <m:ctrlPr>
                              <w:rPr>
                                <w:rFonts w:ascii="Cambria Math" w:hAnsi="Cambria Math"/>
                              </w:rPr>
                            </m:ctrlPr>
                          </m:sSubPr>
                          <m:e>
                            <m:r>
                              <m:rPr>
                                <m:sty m:val="p"/>
                              </m:rPr>
                              <w:rPr>
                                <w:rFonts w:ascii="Cambria Math" w:hAnsi="Cambria Math"/>
                              </w:rPr>
                              <m:t>C</m:t>
                            </m:r>
                          </m:e>
                          <m:sub>
                            <m:r>
                              <m:rPr>
                                <m:sty m:val="p"/>
                              </m:rPr>
                              <w:rPr>
                                <w:rFonts w:ascii="Cambria Math" w:hAnsi="Cambria Math"/>
                              </w:rPr>
                              <m:t>org</m:t>
                            </m:r>
                          </m:sub>
                        </m:sSub>
                        <m:r>
                          <m:rPr>
                            <m:sty m:val="p"/>
                          </m:rPr>
                          <w:rPr>
                            <w:rFonts w:ascii="Cambria Math" w:hAnsi="Cambria Math"/>
                          </w:rPr>
                          <m:t>optimale</m:t>
                        </m:r>
                      </m:sub>
                    </m:sSub>
                  </m:den>
                </m:f>
              </m:oMath>
            </m:oMathPara>
          </w:p>
        </w:tc>
        <w:tc>
          <w:tcPr>
            <w:tcW w:w="560" w:type="dxa"/>
            <w:vAlign w:val="center"/>
          </w:tcPr>
          <w:p w14:paraId="73FA45CF" w14:textId="177D4A3B" w:rsidR="003D32BD" w:rsidRDefault="003D32BD" w:rsidP="000F7FB1">
            <w:pPr>
              <w:jc w:val="center"/>
            </w:pPr>
            <w:r>
              <w:t>(</w:t>
            </w:r>
            <w:r w:rsidR="002934E3">
              <w:t>7</w:t>
            </w:r>
            <w:r w:rsidR="00001C66">
              <w:t>d</w:t>
            </w:r>
            <w:r>
              <w:t>)</w:t>
            </w:r>
          </w:p>
        </w:tc>
      </w:tr>
    </w:tbl>
    <w:p w14:paraId="60684FF3" w14:textId="77777777" w:rsidR="003D32BD" w:rsidRPr="00F11CE4" w:rsidRDefault="003D32BD" w:rsidP="00F11CE4"/>
    <w:p w14:paraId="2803B341" w14:textId="4CCE79FA" w:rsidR="00547A12" w:rsidRPr="0018710B" w:rsidRDefault="0012799A" w:rsidP="00547A12">
      <w:pPr>
        <w:pStyle w:val="Lgende"/>
        <w:keepNext/>
        <w:jc w:val="center"/>
      </w:pPr>
      <w:bookmarkStart w:id="181" w:name="_Toc233122671"/>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F07B4B">
        <w:rPr>
          <w:i w:val="0"/>
          <w:iCs w:val="0"/>
          <w:noProof/>
        </w:rPr>
        <w:t>15</w:t>
      </w:r>
      <w:r w:rsidRPr="00261C30">
        <w:rPr>
          <w:i w:val="0"/>
          <w:iCs w:val="0"/>
        </w:rPr>
        <w:fldChar w:fldCharType="end"/>
      </w:r>
      <w:r w:rsidRPr="00261C30">
        <w:rPr>
          <w:i w:val="0"/>
          <w:iCs w:val="0"/>
        </w:rPr>
        <w:t xml:space="preserve"> : Référentiels d’interprétation </w:t>
      </w:r>
      <w:r>
        <w:rPr>
          <w:i w:val="0"/>
          <w:iCs w:val="0"/>
        </w:rPr>
        <w:t>d</w:t>
      </w:r>
      <w:r w:rsidR="7762D414" w:rsidRPr="6CB535F6">
        <w:rPr>
          <w:i w:val="0"/>
          <w:iCs w:val="0"/>
        </w:rPr>
        <w:t>e l’</w:t>
      </w:r>
      <w:r w:rsidRPr="6CB535F6">
        <w:rPr>
          <w:i w:val="0"/>
          <w:iCs w:val="0"/>
        </w:rPr>
        <w:t>indicateur</w:t>
      </w:r>
      <w:r w:rsidRPr="00261C30">
        <w:rPr>
          <w:i w:val="0"/>
          <w:iCs w:val="0"/>
        </w:rPr>
        <w:t xml:space="preserve">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noProof/>
        </w:rPr>
        <w:drawing>
          <wp:inline distT="0" distB="0" distL="0" distR="0" wp14:anchorId="7B53AABF" wp14:editId="53CA5959">
            <wp:extent cx="91440" cy="118745"/>
            <wp:effectExtent l="0" t="0" r="3810" b="0"/>
            <wp:docPr id="140245353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14D27DD5" wp14:editId="6A320754">
            <wp:extent cx="85917" cy="88985"/>
            <wp:effectExtent l="0" t="0" r="9525" b="6350"/>
            <wp:docPr id="59860902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1C500F23" wp14:editId="46618197">
            <wp:extent cx="164432" cy="65784"/>
            <wp:effectExtent l="0" t="0" r="7620" b="0"/>
            <wp:docPr id="89730898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w:t>
      </w:r>
      <w:bookmarkEnd w:id="181"/>
    </w:p>
    <w:tbl>
      <w:tblPr>
        <w:tblStyle w:val="Grilledutableau"/>
        <w:tblW w:w="0" w:type="auto"/>
        <w:tblCellMar>
          <w:top w:w="28" w:type="dxa"/>
          <w:bottom w:w="28" w:type="dxa"/>
        </w:tblCellMar>
        <w:tblLook w:val="04A0" w:firstRow="1" w:lastRow="0" w:firstColumn="1" w:lastColumn="0" w:noHBand="0" w:noVBand="1"/>
      </w:tblPr>
      <w:tblGrid>
        <w:gridCol w:w="1182"/>
        <w:gridCol w:w="1175"/>
        <w:gridCol w:w="1107"/>
        <w:gridCol w:w="1067"/>
        <w:gridCol w:w="4529"/>
      </w:tblGrid>
      <w:tr w:rsidR="00547A12" w:rsidRPr="0000352D" w14:paraId="7A9465E2" w14:textId="77777777" w:rsidTr="004306AE">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31007BA6" w14:textId="6A8ED65F" w:rsidR="00547A12" w:rsidRPr="0000352D" w:rsidRDefault="00547A12" w:rsidP="004306AE">
            <w:pPr>
              <w:jc w:val="center"/>
              <w:rPr>
                <w:sz w:val="20"/>
                <w:szCs w:val="20"/>
              </w:rPr>
            </w:pPr>
            <w:r>
              <w:rPr>
                <w:sz w:val="20"/>
                <w:szCs w:val="20"/>
              </w:rPr>
              <w:t>Réserve en eau utile (REU)</w:t>
            </w:r>
            <w:r w:rsidRPr="0000352D">
              <w:rPr>
                <w:sz w:val="20"/>
                <w:szCs w:val="20"/>
              </w:rPr>
              <w:t xml:space="preserve"> - Référentiel</w:t>
            </w:r>
            <w:r>
              <w:rPr>
                <w:sz w:val="20"/>
                <w:szCs w:val="20"/>
              </w:rPr>
              <w:t>s</w:t>
            </w:r>
            <w:r w:rsidRPr="0000352D">
              <w:rPr>
                <w:sz w:val="20"/>
                <w:szCs w:val="20"/>
              </w:rPr>
              <w:t xml:space="preserve"> d’interprétation</w:t>
            </w:r>
          </w:p>
        </w:tc>
      </w:tr>
      <w:tr w:rsidR="00547A12" w:rsidRPr="0000352D" w14:paraId="75E2F931" w14:textId="77777777" w:rsidTr="004306AE">
        <w:tc>
          <w:tcPr>
            <w:tcW w:w="1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2A1577BE" w14:textId="389F496F" w:rsidR="00547A12" w:rsidRPr="00423C23" w:rsidRDefault="000100FD" w:rsidP="004306AE">
            <w:pPr>
              <w:jc w:val="center"/>
              <w:rPr>
                <w:sz w:val="20"/>
                <w:szCs w:val="20"/>
              </w:rPr>
            </w:pPr>
            <w:r>
              <w:rPr>
                <w:sz w:val="20"/>
                <w:szCs w:val="20"/>
              </w:rPr>
              <w:t>Service</w:t>
            </w:r>
          </w:p>
        </w:tc>
        <w:tc>
          <w:tcPr>
            <w:tcW w:w="11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149F6DCC" w14:textId="77777777" w:rsidR="00547A12" w:rsidRPr="00423C23" w:rsidRDefault="00547A12" w:rsidP="004306AE">
            <w:pPr>
              <w:jc w:val="center"/>
              <w:rPr>
                <w:sz w:val="20"/>
                <w:szCs w:val="20"/>
              </w:rPr>
            </w:pPr>
            <w:r w:rsidRPr="00423C23">
              <w:rPr>
                <w:sz w:val="20"/>
                <w:szCs w:val="20"/>
              </w:rPr>
              <w:t>Fonction</w:t>
            </w:r>
          </w:p>
        </w:tc>
        <w:tc>
          <w:tcPr>
            <w:tcW w:w="11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4343E04F" w14:textId="77777777" w:rsidR="00547A12" w:rsidRPr="00423C23" w:rsidRDefault="00547A12" w:rsidP="004306AE">
            <w:pPr>
              <w:jc w:val="center"/>
              <w:rPr>
                <w:sz w:val="20"/>
                <w:szCs w:val="20"/>
              </w:rPr>
            </w:pPr>
            <w:r>
              <w:rPr>
                <w:sz w:val="20"/>
                <w:szCs w:val="20"/>
              </w:rPr>
              <w:t>Forme</w:t>
            </w:r>
          </w:p>
        </w:tc>
        <w:tc>
          <w:tcPr>
            <w:tcW w:w="10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1E010F31" w14:textId="77777777" w:rsidR="00547A12" w:rsidRPr="00423C23" w:rsidRDefault="00547A12" w:rsidP="004306AE">
            <w:pPr>
              <w:jc w:val="center"/>
              <w:rPr>
                <w:sz w:val="20"/>
                <w:szCs w:val="20"/>
              </w:rPr>
            </w:pPr>
            <w:r w:rsidRPr="00423C23">
              <w:rPr>
                <w:sz w:val="20"/>
                <w:szCs w:val="20"/>
              </w:rPr>
              <w:t>Évaluation</w:t>
            </w:r>
          </w:p>
        </w:tc>
        <w:tc>
          <w:tcPr>
            <w:tcW w:w="45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29B09222" w14:textId="77777777" w:rsidR="00547A12" w:rsidRPr="00423C23" w:rsidRDefault="00547A12" w:rsidP="004306AE">
            <w:pPr>
              <w:jc w:val="center"/>
              <w:rPr>
                <w:sz w:val="20"/>
                <w:szCs w:val="20"/>
              </w:rPr>
            </w:pPr>
            <w:r w:rsidRPr="00423C23">
              <w:rPr>
                <w:sz w:val="20"/>
                <w:szCs w:val="20"/>
              </w:rPr>
              <w:t>Référentiel</w:t>
            </w:r>
          </w:p>
        </w:tc>
      </w:tr>
      <w:tr w:rsidR="00547A12" w:rsidRPr="0000352D" w14:paraId="7F5E2196" w14:textId="77777777" w:rsidTr="005130CB">
        <w:trPr>
          <w:trHeight w:val="355"/>
        </w:trPr>
        <w:tc>
          <w:tcPr>
            <w:tcW w:w="1182" w:type="dxa"/>
            <w:vMerge w:val="restart"/>
            <w:tcBorders>
              <w:top w:val="single" w:sz="4" w:space="0" w:color="FFFFFF" w:themeColor="background1"/>
            </w:tcBorders>
            <w:vAlign w:val="center"/>
          </w:tcPr>
          <w:p w14:paraId="1F7EBAA6" w14:textId="77777777" w:rsidR="00547A12" w:rsidRDefault="00547A12" w:rsidP="004306AE">
            <w:pPr>
              <w:jc w:val="left"/>
              <w:rPr>
                <w:sz w:val="20"/>
                <w:szCs w:val="20"/>
              </w:rPr>
            </w:pPr>
            <w:r>
              <w:rPr>
                <w:sz w:val="20"/>
                <w:szCs w:val="20"/>
              </w:rPr>
              <w:t>Production</w:t>
            </w:r>
          </w:p>
        </w:tc>
        <w:tc>
          <w:tcPr>
            <w:tcW w:w="1175" w:type="dxa"/>
            <w:vMerge w:val="restart"/>
            <w:tcBorders>
              <w:top w:val="single" w:sz="4" w:space="0" w:color="FFFFFF" w:themeColor="background1"/>
            </w:tcBorders>
            <w:vAlign w:val="center"/>
          </w:tcPr>
          <w:p w14:paraId="5BCB30DE" w14:textId="5DC7721E" w:rsidR="00547A12" w:rsidRDefault="00547A12" w:rsidP="004306AE">
            <w:pPr>
              <w:jc w:val="left"/>
              <w:rPr>
                <w:sz w:val="20"/>
                <w:szCs w:val="20"/>
              </w:rPr>
            </w:pPr>
            <w:r>
              <w:rPr>
                <w:sz w:val="20"/>
                <w:szCs w:val="20"/>
              </w:rPr>
              <w:t>Fourniture eau</w:t>
            </w:r>
          </w:p>
        </w:tc>
        <w:tc>
          <w:tcPr>
            <w:tcW w:w="1107" w:type="dxa"/>
            <w:vMerge w:val="restart"/>
            <w:tcBorders>
              <w:top w:val="single" w:sz="4" w:space="0" w:color="FFFFFF" w:themeColor="background1"/>
            </w:tcBorders>
            <w:vAlign w:val="center"/>
          </w:tcPr>
          <w:p w14:paraId="1D1EA831" w14:textId="1B6FF253" w:rsidR="00547A12" w:rsidRPr="0000352D" w:rsidRDefault="005130CB" w:rsidP="005130CB">
            <w:pPr>
              <w:jc w:val="center"/>
              <w:rPr>
                <w:sz w:val="20"/>
                <w:szCs w:val="20"/>
              </w:rPr>
            </w:pPr>
            <w:r>
              <w:rPr>
                <w:noProof/>
                <w:sz w:val="20"/>
                <w:szCs w:val="20"/>
              </w:rPr>
              <mc:AlternateContent>
                <mc:Choice Requires="wps">
                  <w:drawing>
                    <wp:inline distT="0" distB="0" distL="0" distR="0" wp14:anchorId="30B01E7D" wp14:editId="6F8E6E0F">
                      <wp:extent cx="94615" cy="153035"/>
                      <wp:effectExtent l="0" t="38100" r="57785" b="18415"/>
                      <wp:docPr id="1026311689"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A245410"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067" w:type="dxa"/>
            <w:tcBorders>
              <w:top w:val="single" w:sz="4" w:space="0" w:color="FFFFFF" w:themeColor="background1"/>
            </w:tcBorders>
            <w:shd w:val="clear" w:color="auto" w:fill="F2F9EB"/>
            <w:vAlign w:val="center"/>
          </w:tcPr>
          <w:p w14:paraId="3C2716B9" w14:textId="791F866D" w:rsidR="00547A12" w:rsidRPr="002315F4" w:rsidRDefault="00547A12" w:rsidP="004306AE">
            <w:pPr>
              <w:jc w:val="left"/>
              <w:rPr>
                <w:sz w:val="20"/>
                <w:szCs w:val="20"/>
                <w:vertAlign w:val="subscript"/>
              </w:rPr>
            </w:pPr>
            <w:proofErr w:type="spellStart"/>
            <w:r>
              <w:rPr>
                <w:sz w:val="20"/>
                <w:szCs w:val="20"/>
              </w:rPr>
              <w:t>REU</w:t>
            </w:r>
            <w:r>
              <w:rPr>
                <w:sz w:val="20"/>
                <w:szCs w:val="20"/>
                <w:vertAlign w:val="subscript"/>
              </w:rPr>
              <w:t>qualité</w:t>
            </w:r>
            <w:proofErr w:type="spellEnd"/>
          </w:p>
        </w:tc>
        <w:tc>
          <w:tcPr>
            <w:tcW w:w="4529" w:type="dxa"/>
            <w:tcBorders>
              <w:top w:val="single" w:sz="4" w:space="0" w:color="FFFFFF" w:themeColor="background1"/>
            </w:tcBorders>
            <w:vAlign w:val="center"/>
          </w:tcPr>
          <w:p w14:paraId="429F9684" w14:textId="7A8261FC" w:rsidR="00547A12" w:rsidRPr="00CF72F7" w:rsidRDefault="00CF72F7" w:rsidP="004306AE">
            <w:pPr>
              <w:jc w:val="left"/>
              <w:rPr>
                <w:sz w:val="20"/>
                <w:szCs w:val="20"/>
              </w:rPr>
            </w:pPr>
            <w:r w:rsidRPr="00CF72F7">
              <w:rPr>
                <w:sz w:val="20"/>
                <w:szCs w:val="20"/>
              </w:rPr>
              <w:t>Valeurs optimales</w:t>
            </w:r>
            <w:r w:rsidR="00EE551E">
              <w:rPr>
                <w:sz w:val="20"/>
                <w:szCs w:val="20"/>
              </w:rPr>
              <w:t xml:space="preserve"> pour croissance racinaire </w:t>
            </w:r>
            <w:r w:rsidR="00EE551E">
              <w:rPr>
                <w:sz w:val="20"/>
                <w:szCs w:val="20"/>
              </w:rPr>
              <w:fldChar w:fldCharType="begin"/>
            </w:r>
            <w:r w:rsidR="00B27716">
              <w:rPr>
                <w:sz w:val="20"/>
                <w:szCs w:val="20"/>
              </w:rPr>
              <w:instrText xml:space="preserve"> ADDIN ZOTERO_ITEM CSL_CITATION {"citationID":"7P4g3mCK","properties":{"unsorted":false,"formattedCitation":"(Bielders et al., 2013)","plainCitation":"(Bielders et al., 2013)","noteIndex":0},"citationItems":[{"id":375,"uris":["http://zotero.org/groups/5684833/items/DDS2F9EX"],"itemData":{"id":375,"type":"article-journal","language":"fr","note":"number: UCL - Université Catholique de Louvain","source":"dial.uclouvain.be","title":"Vers des indicateurs de fonctionnement du sol (INFOSOL): approche méthodologique de développement d'indicateurs pédologiques pour les fonctions édaphiques de régulation hydrique et de support physique pour les plantes","title-short":"Vers des indicateurs de fonctionnement du sol (INFOSOL)","URL":"https://dial.uclouvain.be/pr/boreal/fr/object/boreal%3A127913","author":[{"family":"Bielders","given":"Charles"},{"family":"Javaux","given":"Mathieu"},{"family":"Roisin","given":"Christian"},{"family":"Vanclooster","given":"Marnik"}],"accessed":{"date-parts":[["2026",1,14]]},"issued":{"date-parts":[["2013"]]}}}],"schema":"https://github.com/citation-style-language/schema/raw/master/csl-citation.json"} </w:instrText>
            </w:r>
            <w:r w:rsidR="00EE551E">
              <w:rPr>
                <w:sz w:val="20"/>
                <w:szCs w:val="20"/>
              </w:rPr>
              <w:fldChar w:fldCharType="separate"/>
            </w:r>
            <w:r w:rsidR="00EE551E" w:rsidRPr="00EE551E">
              <w:rPr>
                <w:rFonts w:cs="Calibri"/>
                <w:sz w:val="20"/>
              </w:rPr>
              <w:t>(Bielders et al., 2013)</w:t>
            </w:r>
            <w:r w:rsidR="00EE551E">
              <w:rPr>
                <w:sz w:val="20"/>
                <w:szCs w:val="20"/>
              </w:rPr>
              <w:fldChar w:fldCharType="end"/>
            </w:r>
          </w:p>
        </w:tc>
      </w:tr>
      <w:tr w:rsidR="00547A12" w:rsidRPr="0000352D" w14:paraId="7583C583" w14:textId="77777777" w:rsidTr="004306AE">
        <w:tc>
          <w:tcPr>
            <w:tcW w:w="1182" w:type="dxa"/>
            <w:vMerge/>
            <w:tcBorders>
              <w:bottom w:val="single" w:sz="4" w:space="0" w:color="auto"/>
            </w:tcBorders>
            <w:vAlign w:val="center"/>
          </w:tcPr>
          <w:p w14:paraId="593B7D50" w14:textId="77777777" w:rsidR="00547A12" w:rsidRDefault="00547A12" w:rsidP="004306AE">
            <w:pPr>
              <w:jc w:val="left"/>
              <w:rPr>
                <w:sz w:val="20"/>
                <w:szCs w:val="20"/>
              </w:rPr>
            </w:pPr>
          </w:p>
        </w:tc>
        <w:tc>
          <w:tcPr>
            <w:tcW w:w="1175" w:type="dxa"/>
            <w:vMerge/>
            <w:tcBorders>
              <w:bottom w:val="single" w:sz="4" w:space="0" w:color="auto"/>
            </w:tcBorders>
            <w:vAlign w:val="center"/>
          </w:tcPr>
          <w:p w14:paraId="5A434FC9" w14:textId="77777777" w:rsidR="00547A12" w:rsidRDefault="00547A12" w:rsidP="004306AE">
            <w:pPr>
              <w:jc w:val="left"/>
              <w:rPr>
                <w:sz w:val="20"/>
                <w:szCs w:val="20"/>
              </w:rPr>
            </w:pPr>
          </w:p>
        </w:tc>
        <w:tc>
          <w:tcPr>
            <w:tcW w:w="1107" w:type="dxa"/>
            <w:vMerge/>
            <w:tcBorders>
              <w:bottom w:val="single" w:sz="4" w:space="0" w:color="auto"/>
            </w:tcBorders>
            <w:vAlign w:val="center"/>
          </w:tcPr>
          <w:p w14:paraId="6358B72C" w14:textId="77777777" w:rsidR="00547A12" w:rsidRPr="0000352D" w:rsidRDefault="00547A12" w:rsidP="004306AE">
            <w:pPr>
              <w:jc w:val="left"/>
              <w:rPr>
                <w:sz w:val="20"/>
                <w:szCs w:val="20"/>
              </w:rPr>
            </w:pPr>
          </w:p>
        </w:tc>
        <w:tc>
          <w:tcPr>
            <w:tcW w:w="1067" w:type="dxa"/>
            <w:tcBorders>
              <w:bottom w:val="single" w:sz="4" w:space="0" w:color="auto"/>
            </w:tcBorders>
            <w:shd w:val="clear" w:color="auto" w:fill="EFF5FB"/>
            <w:vAlign w:val="center"/>
          </w:tcPr>
          <w:p w14:paraId="5D77F510" w14:textId="1CEB2013" w:rsidR="00547A12" w:rsidRPr="002315F4" w:rsidRDefault="00547A12" w:rsidP="004306AE">
            <w:pPr>
              <w:jc w:val="left"/>
              <w:rPr>
                <w:sz w:val="20"/>
                <w:szCs w:val="20"/>
                <w:vertAlign w:val="subscript"/>
              </w:rPr>
            </w:pPr>
            <w:proofErr w:type="spellStart"/>
            <w:r>
              <w:rPr>
                <w:sz w:val="20"/>
                <w:szCs w:val="20"/>
              </w:rPr>
              <w:t>REU</w:t>
            </w:r>
            <w:r>
              <w:rPr>
                <w:sz w:val="20"/>
                <w:szCs w:val="20"/>
                <w:vertAlign w:val="subscript"/>
              </w:rPr>
              <w:t>santé</w:t>
            </w:r>
            <w:proofErr w:type="spellEnd"/>
          </w:p>
        </w:tc>
        <w:tc>
          <w:tcPr>
            <w:tcW w:w="4529" w:type="dxa"/>
            <w:vAlign w:val="center"/>
          </w:tcPr>
          <w:p w14:paraId="5E015E19" w14:textId="24E9B7C1" w:rsidR="00547A12" w:rsidRPr="00CF72F7" w:rsidRDefault="00215645" w:rsidP="004306AE">
            <w:pPr>
              <w:jc w:val="left"/>
              <w:rPr>
                <w:sz w:val="20"/>
                <w:szCs w:val="20"/>
              </w:rPr>
            </w:pPr>
            <w:r>
              <w:rPr>
                <w:sz w:val="20"/>
                <w:szCs w:val="20"/>
              </w:rPr>
              <w:t>Comparaison à la valeur optimale (MO optimisée)</w:t>
            </w:r>
          </w:p>
        </w:tc>
      </w:tr>
    </w:tbl>
    <w:p w14:paraId="5C8F0C66" w14:textId="77777777" w:rsidR="00F1297B" w:rsidRDefault="00F1297B" w:rsidP="00882B27"/>
    <w:p w14:paraId="790DAF16" w14:textId="77777777" w:rsidR="00B90382" w:rsidRDefault="00C77F17" w:rsidP="00B90382">
      <w:pPr>
        <w:keepNext/>
        <w:jc w:val="center"/>
      </w:pPr>
      <w:r>
        <w:rPr>
          <w:noProof/>
        </w:rPr>
        <w:drawing>
          <wp:inline distT="0" distB="0" distL="0" distR="0" wp14:anchorId="2707C6E4" wp14:editId="41DC9D56">
            <wp:extent cx="3930555" cy="2803391"/>
            <wp:effectExtent l="0" t="0" r="0" b="0"/>
            <wp:docPr id="289245702"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44149" cy="2813087"/>
                    </a:xfrm>
                    <a:prstGeom prst="rect">
                      <a:avLst/>
                    </a:prstGeom>
                    <a:noFill/>
                    <a:ln>
                      <a:noFill/>
                    </a:ln>
                  </pic:spPr>
                </pic:pic>
              </a:graphicData>
            </a:graphic>
          </wp:inline>
        </w:drawing>
      </w:r>
    </w:p>
    <w:p w14:paraId="4DBA6ABE" w14:textId="68F87F63" w:rsidR="002404D6" w:rsidRPr="00B90382" w:rsidRDefault="00B90382" w:rsidP="00B90382">
      <w:pPr>
        <w:pStyle w:val="Lgende"/>
        <w:jc w:val="center"/>
        <w:rPr>
          <w:i w:val="0"/>
          <w:iCs w:val="0"/>
        </w:rPr>
      </w:pPr>
      <w:bookmarkStart w:id="182" w:name="_Toc241505127"/>
      <w:r w:rsidRPr="00B90382">
        <w:rPr>
          <w:i w:val="0"/>
          <w:iCs w:val="0"/>
        </w:rPr>
        <w:t xml:space="preserve">Figure </w:t>
      </w:r>
      <w:r w:rsidRPr="00B90382">
        <w:rPr>
          <w:i w:val="0"/>
          <w:iCs w:val="0"/>
        </w:rPr>
        <w:fldChar w:fldCharType="begin"/>
      </w:r>
      <w:r w:rsidRPr="00B90382">
        <w:rPr>
          <w:i w:val="0"/>
          <w:iCs w:val="0"/>
        </w:rPr>
        <w:instrText xml:space="preserve"> SEQ Figure \* ARABIC </w:instrText>
      </w:r>
      <w:r w:rsidRPr="00B90382">
        <w:rPr>
          <w:i w:val="0"/>
          <w:iCs w:val="0"/>
        </w:rPr>
        <w:fldChar w:fldCharType="separate"/>
      </w:r>
      <w:r>
        <w:rPr>
          <w:i w:val="0"/>
          <w:iCs w:val="0"/>
          <w:noProof/>
        </w:rPr>
        <w:t>21</w:t>
      </w:r>
      <w:r w:rsidRPr="00B90382">
        <w:rPr>
          <w:i w:val="0"/>
          <w:iCs w:val="0"/>
        </w:rPr>
        <w:fldChar w:fldCharType="end"/>
      </w:r>
      <w:r w:rsidRPr="00B90382">
        <w:rPr>
          <w:i w:val="0"/>
          <w:iCs w:val="0"/>
        </w:rPr>
        <w:t xml:space="preserve"> : Exemple de fonction d'interprétation pour l’indicateur REU (fonction Fourniture d’eau, SE Production – cultures)</w:t>
      </w:r>
      <w:r>
        <w:rPr>
          <w:rStyle w:val="Appelnotedebasdep"/>
          <w:i w:val="0"/>
          <w:iCs w:val="0"/>
        </w:rPr>
        <w:footnoteReference w:id="11"/>
      </w:r>
      <w:bookmarkEnd w:id="182"/>
    </w:p>
    <w:p w14:paraId="58581B54" w14:textId="77777777" w:rsidR="002404D6" w:rsidRPr="00FD61F1" w:rsidRDefault="002404D6" w:rsidP="00882B27"/>
    <w:p w14:paraId="673EE5D3" w14:textId="7E60CA13" w:rsidR="004C09AB" w:rsidRDefault="00FE2A49" w:rsidP="00876101">
      <w:pPr>
        <w:pStyle w:val="Titre2"/>
        <w:numPr>
          <w:ilvl w:val="1"/>
          <w:numId w:val="3"/>
        </w:numPr>
      </w:pPr>
      <w:bookmarkStart w:id="183" w:name="_Ref241243942"/>
      <w:bookmarkStart w:id="184" w:name="_Toc241505345"/>
      <w:r>
        <w:t>Capacité de rétention maximale en polluants</w:t>
      </w:r>
      <w:bookmarkEnd w:id="183"/>
      <w:bookmarkEnd w:id="184"/>
    </w:p>
    <w:p w14:paraId="05067078" w14:textId="77777777" w:rsidR="00882B27" w:rsidRDefault="00882B27" w:rsidP="00876101">
      <w:pPr>
        <w:pStyle w:val="Titre3"/>
        <w:numPr>
          <w:ilvl w:val="2"/>
          <w:numId w:val="3"/>
        </w:numPr>
      </w:pPr>
      <w:bookmarkStart w:id="185" w:name="_Toc241505346"/>
      <w:r>
        <w:t>Définition et calcul</w:t>
      </w:r>
      <w:bookmarkEnd w:id="185"/>
    </w:p>
    <w:p w14:paraId="6B960FE5" w14:textId="77777777" w:rsidR="00B11E09" w:rsidRPr="008D6D61" w:rsidRDefault="00B11E09" w:rsidP="00B11E09">
      <w:pPr>
        <w:pStyle w:val="Titre6"/>
      </w:pPr>
      <w:r>
        <w:t>Calcul des VS</w:t>
      </w:r>
      <w:r>
        <w:rPr>
          <w:vertAlign w:val="subscript"/>
        </w:rPr>
        <w:t>N</w:t>
      </w:r>
    </w:p>
    <w:p w14:paraId="76ECBB40" w14:textId="322F7592" w:rsidR="00B11E09" w:rsidRDefault="00B11E09" w:rsidP="00B11E09">
      <w:r>
        <w:t xml:space="preserve">Dans le cadre des études de risque type « Décret sols », le risque de lessivage d’un polluant donné vers les nappes souterraines est évalué en comparant la concentration mesurée dans le sol avec la « valeur </w:t>
      </w:r>
      <w:r>
        <w:lastRenderedPageBreak/>
        <w:t>seuil nappe », VS</w:t>
      </w:r>
      <w:r>
        <w:rPr>
          <w:vertAlign w:val="subscript"/>
        </w:rPr>
        <w:t>N</w:t>
      </w:r>
      <w:r>
        <w:t xml:space="preserve">. En calculant la concentration au-dessus de laquelle un polluant présent dans le sol représente un risque de contamination pour la nappe, ce modèle revient à estimer, sur base des propriétés du sol (par ailleurs mesurées dans l’IQSW-pro), la capacité </w:t>
      </w:r>
      <w:r w:rsidR="00E3122C">
        <w:t xml:space="preserve">maximale </w:t>
      </w:r>
      <w:r>
        <w:t>du sol à retenir un polluant donné sous forme d’une « concentration maximale de rétention (</w:t>
      </w:r>
      <w:proofErr w:type="spellStart"/>
      <w:r>
        <w:t>Conc</w:t>
      </w:r>
      <w:r>
        <w:rPr>
          <w:vertAlign w:val="subscript"/>
        </w:rPr>
        <w:t>rétention</w:t>
      </w:r>
      <w:proofErr w:type="spellEnd"/>
      <w:r>
        <w:t>) », qui correspond à la valeur de VS</w:t>
      </w:r>
      <w:r>
        <w:rPr>
          <w:vertAlign w:val="subscript"/>
        </w:rPr>
        <w:t>N ajustée</w:t>
      </w:r>
      <w:r>
        <w:t xml:space="preserve">. Il s’agit donc d’une </w:t>
      </w:r>
      <w:r w:rsidRPr="00D34D72">
        <w:t>estimation théorique de la capacité de rétention d’un sol.</w:t>
      </w:r>
    </w:p>
    <w:p w14:paraId="72D87837" w14:textId="584D67A6" w:rsidR="00B11E09" w:rsidRDefault="00B11E09" w:rsidP="00B11E09">
      <w:r>
        <w:t xml:space="preserve">Pour chaque type d’usage (I </w:t>
      </w:r>
      <w:r w:rsidRPr="6CB535F6">
        <w:rPr>
          <w:rFonts w:ascii="Wingdings" w:eastAsia="Wingdings" w:hAnsi="Wingdings" w:cs="Wingdings"/>
        </w:rPr>
        <w:t>à</w:t>
      </w:r>
      <w:r>
        <w:t xml:space="preserve"> V), une VS</w:t>
      </w:r>
      <w:r>
        <w:rPr>
          <w:vertAlign w:val="subscript"/>
        </w:rPr>
        <w:t xml:space="preserve">N </w:t>
      </w:r>
      <w:r>
        <w:t xml:space="preserve">« générique » est présentée dans le </w:t>
      </w:r>
      <w:r w:rsidRPr="48222D96">
        <w:rPr>
          <w:i/>
          <w:iCs/>
        </w:rPr>
        <w:t>Tableau 1-5a : Valeurs seuil de lessivage (VSN)</w:t>
      </w:r>
      <w:r>
        <w:t xml:space="preserve"> de l’annexe C1 du GRER</w:t>
      </w:r>
      <w:r w:rsidR="00F31599" w:rsidRPr="00436690">
        <w:rPr>
          <w:rStyle w:val="Appelnotedebasdep"/>
        </w:rPr>
        <w:footnoteReference w:id="12"/>
      </w:r>
      <w:r>
        <w:t>. Il s’agit d’une valeur calculée en attribuant des valeurs par défaut aux paramètres pédologiques</w:t>
      </w:r>
      <w:r w:rsidR="4B2BDF29">
        <w:t>,</w:t>
      </w:r>
      <w:r>
        <w:t xml:space="preserve"> en fonction du type d’usage (valeurs fixées de pH, teneur en MO</w:t>
      </w:r>
      <w:r w:rsidR="3D0C90CA">
        <w:t>,</w:t>
      </w:r>
      <w:r>
        <w:t xml:space="preserve"> etc. sur base d’un Modèle conceptuel de site standard et une vision simplifiée des mécanismes complexes – voir GRER partie C). </w:t>
      </w:r>
    </w:p>
    <w:p w14:paraId="7588BA75" w14:textId="7FD07E98" w:rsidR="00B11E09" w:rsidRDefault="00B11E09" w:rsidP="00B11E09">
      <w:r>
        <w:t>Cette valeur de risque peut être aussi être ajustée (VS</w:t>
      </w:r>
      <w:r>
        <w:rPr>
          <w:vertAlign w:val="subscript"/>
        </w:rPr>
        <w:t>N ajustée</w:t>
      </w:r>
      <w:r>
        <w:t xml:space="preserve">), au cas par cas, via l’outil ESR mis à disposition par la </w:t>
      </w:r>
      <w:r w:rsidR="003424A2">
        <w:t>R</w:t>
      </w:r>
      <w:r>
        <w:t xml:space="preserve">égion wallonne : </w:t>
      </w:r>
    </w:p>
    <w:p w14:paraId="19660AAD" w14:textId="77777777" w:rsidR="00B11E09" w:rsidRDefault="00B11E09" w:rsidP="00876101">
      <w:pPr>
        <w:pStyle w:val="Paragraphedeliste"/>
        <w:numPr>
          <w:ilvl w:val="0"/>
          <w:numId w:val="5"/>
        </w:numPr>
      </w:pPr>
      <w:r>
        <w:t xml:space="preserve">Soit via une estimation simplifiée sur base du type d’aquifère, du pH et de la teneur en MO du sol, </w:t>
      </w:r>
    </w:p>
    <w:p w14:paraId="7AB43F2C" w14:textId="77777777" w:rsidR="00B11E09" w:rsidRDefault="00B11E09" w:rsidP="00876101">
      <w:pPr>
        <w:pStyle w:val="Paragraphedeliste"/>
        <w:numPr>
          <w:ilvl w:val="0"/>
          <w:numId w:val="5"/>
        </w:numPr>
      </w:pPr>
      <w:r>
        <w:t>Soit en ajustant la valeur sur base des propriétés mesurées ou estimées de l’aquifère et du sol.</w:t>
      </w:r>
    </w:p>
    <w:p w14:paraId="6FE88141" w14:textId="77777777" w:rsidR="00B11E09" w:rsidRDefault="00B11E09" w:rsidP="00B11E09">
      <w:r>
        <w:t xml:space="preserve">La seconde option permet d’évaluer la capacité de rétention du sol, en s’appuyant sur ses propriétés intrinsèques. </w:t>
      </w:r>
    </w:p>
    <w:p w14:paraId="45B387A2" w14:textId="09684373" w:rsidR="00B11E09" w:rsidRDefault="00B11E09" w:rsidP="00B11E09">
      <w:r>
        <w:t xml:space="preserve">En se basant sur les équations de l’annexe C1 du GRER, il est possible de déduire, pour chaque polluant, la capacité de rétention d’un sol donné en calculant </w:t>
      </w:r>
      <w:r w:rsidR="0CD668B4">
        <w:t>la</w:t>
      </w:r>
      <w:r>
        <w:t xml:space="preserve"> VS</w:t>
      </w:r>
      <w:r>
        <w:rPr>
          <w:vertAlign w:val="subscript"/>
        </w:rPr>
        <w:t>N ajustée</w:t>
      </w:r>
      <w:r>
        <w:t xml:space="preserve"> via l’équation suivante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B11E09" w14:paraId="0BDBBFAB" w14:textId="77777777" w:rsidTr="004306AE">
        <w:trPr>
          <w:trHeight w:val="647"/>
        </w:trPr>
        <w:tc>
          <w:tcPr>
            <w:tcW w:w="8642" w:type="dxa"/>
            <w:vAlign w:val="center"/>
          </w:tcPr>
          <w:p w14:paraId="136736C8" w14:textId="77777777" w:rsidR="00B11E09" w:rsidRPr="006348F8" w:rsidRDefault="00437C8C" w:rsidP="004306AE">
            <w:pPr>
              <w:jc w:val="center"/>
              <w:rPr>
                <w:iCs/>
              </w:rPr>
            </w:pPr>
            <m:oMathPara>
              <m:oMath>
                <m:sSub>
                  <m:sSubPr>
                    <m:ctrlPr>
                      <w:rPr>
                        <w:rFonts w:ascii="Cambria Math" w:hAnsi="Cambria Math" w:cs="Cambria Math"/>
                        <w:iCs/>
                      </w:rPr>
                    </m:ctrlPr>
                  </m:sSubPr>
                  <m:e>
                    <m:r>
                      <m:rPr>
                        <m:sty m:val="p"/>
                      </m:rPr>
                      <w:rPr>
                        <w:rFonts w:ascii="Cambria Math" w:hAnsi="Cambria Math" w:cs="Cambria Math"/>
                      </w:rPr>
                      <m:t>VS</m:t>
                    </m:r>
                  </m:e>
                  <m:sub>
                    <m:r>
                      <m:rPr>
                        <m:sty m:val="p"/>
                      </m:rPr>
                      <w:rPr>
                        <w:rFonts w:ascii="Cambria Math" w:hAnsi="Cambria Math" w:cs="Cambria Math"/>
                      </w:rPr>
                      <m:t>N ajustée</m:t>
                    </m:r>
                  </m:sub>
                </m:sSub>
                <m:r>
                  <m:rPr>
                    <m:sty m:val="p"/>
                  </m:rPr>
                  <w:rPr>
                    <w:rFonts w:ascii="Cambria Math" w:hAnsi="Cambria Math" w:cs="Cambria Math"/>
                  </w:rPr>
                  <m:t>=</m:t>
                </m:r>
                <m:sSub>
                  <m:sSubPr>
                    <m:ctrlPr>
                      <w:rPr>
                        <w:rFonts w:ascii="Cambria Math" w:hAnsi="Cambria Math" w:cs="Cambria Math"/>
                        <w:iCs/>
                      </w:rPr>
                    </m:ctrlPr>
                  </m:sSubPr>
                  <m:e>
                    <m:r>
                      <m:rPr>
                        <m:sty m:val="p"/>
                      </m:rPr>
                      <w:rPr>
                        <w:rFonts w:ascii="Cambria Math" w:hAnsi="Cambria Math" w:cs="Cambria Math"/>
                      </w:rPr>
                      <m:t>VS</m:t>
                    </m:r>
                  </m:e>
                  <m:sub>
                    <m:r>
                      <m:rPr>
                        <m:sty m:val="p"/>
                      </m:rPr>
                      <w:rPr>
                        <w:rFonts w:ascii="Cambria Math" w:hAnsi="Cambria Math" w:cs="Cambria Math"/>
                      </w:rPr>
                      <m:t>nappe</m:t>
                    </m:r>
                  </m:sub>
                </m:sSub>
                <m:r>
                  <m:rPr>
                    <m:sty m:val="p"/>
                  </m:rPr>
                  <w:rPr>
                    <w:rFonts w:ascii="Cambria Math" w:hAnsi="Cambria Math" w:cs="Cambria Math"/>
                  </w:rPr>
                  <m:t>∙</m:t>
                </m:r>
                <m:r>
                  <m:rPr>
                    <m:sty m:val="p"/>
                  </m:rPr>
                  <w:rPr>
                    <w:rFonts w:ascii="Cambria Math" w:hAnsi="Cambria Math" w:cs="Cambria Math"/>
                  </w:rPr>
                  <m:t xml:space="preserve"> </m:t>
                </m:r>
                <m:f>
                  <m:fPr>
                    <m:ctrlPr>
                      <w:rPr>
                        <w:rFonts w:ascii="Cambria Math" w:hAnsi="Cambria Math" w:cs="Cambria Math"/>
                        <w:iCs/>
                      </w:rPr>
                    </m:ctrlPr>
                  </m:fPr>
                  <m:num>
                    <m:r>
                      <m:rPr>
                        <m:sty m:val="p"/>
                      </m:rPr>
                      <w:rPr>
                        <w:rFonts w:ascii="Cambria Math" w:hAnsi="Cambria Math" w:cs="Cambria Math"/>
                      </w:rPr>
                      <m:t>FAG</m:t>
                    </m:r>
                  </m:num>
                  <m:den>
                    <m:r>
                      <m:rPr>
                        <m:sty m:val="p"/>
                      </m:rPr>
                      <w:rPr>
                        <w:rFonts w:ascii="Cambria Math" w:hAnsi="Cambria Math" w:cs="Cambria Math"/>
                      </w:rPr>
                      <m:t>1000</m:t>
                    </m:r>
                  </m:den>
                </m:f>
                <m:r>
                  <m:rPr>
                    <m:sty m:val="p"/>
                  </m:rPr>
                  <w:rPr>
                    <w:rFonts w:ascii="Cambria Math" w:hAnsi="Cambria Math"/>
                  </w:rPr>
                  <m:t xml:space="preserve"> </m:t>
                </m:r>
              </m:oMath>
            </m:oMathPara>
          </w:p>
        </w:tc>
        <w:tc>
          <w:tcPr>
            <w:tcW w:w="418" w:type="dxa"/>
            <w:vAlign w:val="center"/>
          </w:tcPr>
          <w:p w14:paraId="79AD63D4" w14:textId="4BBC559A" w:rsidR="00B11E09" w:rsidRDefault="00B11E09" w:rsidP="004306AE">
            <w:pPr>
              <w:jc w:val="center"/>
            </w:pPr>
            <w:r>
              <w:t>(</w:t>
            </w:r>
            <w:r w:rsidR="002934E3">
              <w:t>8</w:t>
            </w:r>
            <w:r>
              <w:t>)</w:t>
            </w:r>
          </w:p>
        </w:tc>
      </w:tr>
    </w:tbl>
    <w:p w14:paraId="0854BC25" w14:textId="77777777" w:rsidR="00B11E09" w:rsidRPr="00E54DA6" w:rsidRDefault="00B11E09" w:rsidP="00B11E09">
      <w:pPr>
        <w:rPr>
          <w:rFonts w:cs="Calibri"/>
          <w:sz w:val="20"/>
          <w:szCs w:val="20"/>
        </w:rPr>
      </w:pPr>
      <w:r w:rsidRPr="00E54DA6">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159"/>
        <w:gridCol w:w="7911"/>
      </w:tblGrid>
      <w:tr w:rsidR="00B11E09" w:rsidRPr="00E54DA6" w14:paraId="4EA68398" w14:textId="77777777" w:rsidTr="004306AE">
        <w:trPr>
          <w:trHeight w:val="227"/>
        </w:trPr>
        <w:tc>
          <w:tcPr>
            <w:tcW w:w="1159" w:type="dxa"/>
            <w:vAlign w:val="center"/>
          </w:tcPr>
          <w:p w14:paraId="35C293AF" w14:textId="77777777" w:rsidR="00B11E09" w:rsidRPr="00E54DA6" w:rsidRDefault="00437C8C" w:rsidP="004306AE">
            <w:pPr>
              <w:jc w:val="left"/>
              <w:rPr>
                <w:rFonts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VS</m:t>
                    </m:r>
                  </m:e>
                  <m:sub>
                    <m:r>
                      <m:rPr>
                        <m:sty m:val="p"/>
                      </m:rPr>
                      <w:rPr>
                        <w:rFonts w:ascii="Cambria Math" w:hAnsi="Cambria Math" w:cs="Calibri"/>
                        <w:sz w:val="20"/>
                        <w:szCs w:val="20"/>
                      </w:rPr>
                      <m:t>N ajustée</m:t>
                    </m:r>
                  </m:sub>
                </m:sSub>
              </m:oMath>
            </m:oMathPara>
          </w:p>
        </w:tc>
        <w:tc>
          <w:tcPr>
            <w:tcW w:w="7911" w:type="dxa"/>
            <w:vAlign w:val="center"/>
          </w:tcPr>
          <w:p w14:paraId="04A87BEA" w14:textId="77777777" w:rsidR="00B11E09" w:rsidRPr="00E54DA6" w:rsidRDefault="00B11E09" w:rsidP="004306AE">
            <w:pPr>
              <w:jc w:val="left"/>
              <w:rPr>
                <w:rFonts w:cs="Calibri"/>
                <w:sz w:val="20"/>
                <w:szCs w:val="20"/>
              </w:rPr>
            </w:pPr>
            <w:r w:rsidRPr="00E54DA6">
              <w:rPr>
                <w:rFonts w:eastAsiaTheme="minorEastAsia" w:cs="Calibri"/>
                <w:sz w:val="20"/>
                <w:szCs w:val="20"/>
              </w:rPr>
              <w:t>La valeur seuil liée au risque de lessivage du polluant vers la nappe, ajustée (mg · kg</w:t>
            </w:r>
            <w:r w:rsidRPr="00E54DA6">
              <w:rPr>
                <w:rFonts w:eastAsiaTheme="minorEastAsia" w:cs="Calibri"/>
                <w:sz w:val="20"/>
                <w:szCs w:val="20"/>
                <w:vertAlign w:val="superscript"/>
              </w:rPr>
              <w:t>-1</w:t>
            </w:r>
            <w:r w:rsidRPr="00E54DA6">
              <w:rPr>
                <w:rFonts w:eastAsiaTheme="minorEastAsia" w:cs="Calibri"/>
                <w:sz w:val="20"/>
                <w:szCs w:val="20"/>
              </w:rPr>
              <w:t>) ;</w:t>
            </w:r>
          </w:p>
        </w:tc>
      </w:tr>
      <w:tr w:rsidR="00B11E09" w:rsidRPr="00E54DA6" w14:paraId="2DF1B89E" w14:textId="77777777" w:rsidTr="004306AE">
        <w:trPr>
          <w:trHeight w:val="227"/>
        </w:trPr>
        <w:tc>
          <w:tcPr>
            <w:tcW w:w="1159" w:type="dxa"/>
            <w:vAlign w:val="center"/>
          </w:tcPr>
          <w:p w14:paraId="651331E9" w14:textId="77777777" w:rsidR="00B11E09" w:rsidRPr="00E54DA6" w:rsidRDefault="00437C8C" w:rsidP="004306AE">
            <w:pPr>
              <w:jc w:val="left"/>
              <w:rPr>
                <w:rFonts w:eastAsiaTheme="minorEastAsia"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VS</m:t>
                    </m:r>
                  </m:e>
                  <m:sub>
                    <m:r>
                      <m:rPr>
                        <m:sty m:val="p"/>
                      </m:rPr>
                      <w:rPr>
                        <w:rFonts w:ascii="Cambria Math" w:hAnsi="Cambria Math" w:cs="Calibri"/>
                        <w:sz w:val="20"/>
                        <w:szCs w:val="20"/>
                      </w:rPr>
                      <m:t>nappe</m:t>
                    </m:r>
                  </m:sub>
                </m:sSub>
              </m:oMath>
            </m:oMathPara>
          </w:p>
        </w:tc>
        <w:tc>
          <w:tcPr>
            <w:tcW w:w="7911" w:type="dxa"/>
            <w:vAlign w:val="center"/>
          </w:tcPr>
          <w:p w14:paraId="2C6EB3BA" w14:textId="77777777" w:rsidR="00B11E09" w:rsidRPr="00E54DA6" w:rsidRDefault="00B11E09" w:rsidP="004306AE">
            <w:pPr>
              <w:jc w:val="left"/>
              <w:rPr>
                <w:rFonts w:eastAsiaTheme="minorEastAsia" w:cs="Calibri"/>
                <w:sz w:val="20"/>
                <w:szCs w:val="20"/>
              </w:rPr>
            </w:pPr>
            <w:r w:rsidRPr="00E54DA6">
              <w:rPr>
                <w:rFonts w:eastAsiaTheme="minorEastAsia" w:cs="Calibri"/>
                <w:sz w:val="20"/>
                <w:szCs w:val="20"/>
              </w:rPr>
              <w:t>La valeur seuil de concentration du polluant dans l’eau souterraine (µg · L</w:t>
            </w:r>
            <w:r w:rsidRPr="00E54DA6">
              <w:rPr>
                <w:rFonts w:eastAsiaTheme="minorEastAsia" w:cs="Calibri"/>
                <w:sz w:val="20"/>
                <w:szCs w:val="20"/>
                <w:vertAlign w:val="superscript"/>
              </w:rPr>
              <w:t>-1</w:t>
            </w:r>
            <w:r w:rsidRPr="00E54DA6">
              <w:rPr>
                <w:rFonts w:eastAsiaTheme="minorEastAsia" w:cs="Calibri"/>
                <w:sz w:val="20"/>
                <w:szCs w:val="20"/>
              </w:rPr>
              <w:t>) ;</w:t>
            </w:r>
          </w:p>
        </w:tc>
      </w:tr>
      <w:tr w:rsidR="00B11E09" w:rsidRPr="00E54DA6" w14:paraId="45C27090" w14:textId="77777777" w:rsidTr="004306AE">
        <w:trPr>
          <w:trHeight w:val="227"/>
        </w:trPr>
        <w:tc>
          <w:tcPr>
            <w:tcW w:w="1159" w:type="dxa"/>
            <w:vAlign w:val="center"/>
          </w:tcPr>
          <w:p w14:paraId="2D445B45" w14:textId="77777777" w:rsidR="00B11E09" w:rsidRPr="00E54DA6" w:rsidRDefault="00B11E09" w:rsidP="004306AE">
            <w:pPr>
              <w:jc w:val="left"/>
              <w:rPr>
                <w:rFonts w:eastAsiaTheme="minorEastAsia" w:cs="Calibri"/>
                <w:sz w:val="20"/>
                <w:szCs w:val="20"/>
              </w:rPr>
            </w:pPr>
            <m:oMathPara>
              <m:oMathParaPr>
                <m:jc m:val="left"/>
              </m:oMathParaPr>
              <m:oMath>
                <m:r>
                  <m:rPr>
                    <m:sty m:val="p"/>
                  </m:rPr>
                  <w:rPr>
                    <w:rFonts w:ascii="Cambria Math" w:hAnsi="Cambria Math" w:cs="Calibri"/>
                    <w:sz w:val="20"/>
                    <w:szCs w:val="20"/>
                  </w:rPr>
                  <m:t>FAG</m:t>
                </m:r>
              </m:oMath>
            </m:oMathPara>
          </w:p>
        </w:tc>
        <w:tc>
          <w:tcPr>
            <w:tcW w:w="7911" w:type="dxa"/>
            <w:vAlign w:val="center"/>
          </w:tcPr>
          <w:p w14:paraId="326E1FB0" w14:textId="77777777" w:rsidR="00B11E09" w:rsidRPr="00E54DA6" w:rsidRDefault="00B11E09" w:rsidP="004306AE">
            <w:pPr>
              <w:jc w:val="left"/>
              <w:rPr>
                <w:rFonts w:eastAsiaTheme="minorEastAsia" w:cs="Calibri"/>
                <w:sz w:val="20"/>
                <w:szCs w:val="20"/>
              </w:rPr>
            </w:pPr>
            <w:r w:rsidRPr="00E54DA6">
              <w:rPr>
                <w:rFonts w:eastAsiaTheme="minorEastAsia" w:cs="Calibri"/>
                <w:sz w:val="20"/>
                <w:szCs w:val="20"/>
              </w:rPr>
              <w:t>Le facteur d’atténuation global (L · kg</w:t>
            </w:r>
            <w:r w:rsidRPr="00E54DA6">
              <w:rPr>
                <w:rFonts w:eastAsiaTheme="minorEastAsia" w:cs="Calibri"/>
                <w:sz w:val="20"/>
                <w:szCs w:val="20"/>
                <w:vertAlign w:val="superscript"/>
              </w:rPr>
              <w:t>-1</w:t>
            </w:r>
            <w:r w:rsidRPr="00E54DA6">
              <w:rPr>
                <w:rFonts w:eastAsiaTheme="minorEastAsia" w:cs="Calibri"/>
                <w:sz w:val="20"/>
                <w:szCs w:val="20"/>
              </w:rPr>
              <w:t>).</w:t>
            </w:r>
          </w:p>
        </w:tc>
      </w:tr>
    </w:tbl>
    <w:p w14:paraId="4F65250B" w14:textId="77777777" w:rsidR="00B11E09" w:rsidRDefault="00B11E09" w:rsidP="00B11E09"/>
    <w:p w14:paraId="764B03F0" w14:textId="6235437F" w:rsidR="00B11E09" w:rsidRDefault="00B11E09" w:rsidP="00B11E09">
      <w:r>
        <w:t xml:space="preserve">Le facteur d’atténuation global </w:t>
      </w:r>
      <w:r w:rsidR="7B241677">
        <w:t>(</w:t>
      </w:r>
      <w:r>
        <w:t>FAG</w:t>
      </w:r>
      <w:r w:rsidR="1F858D42">
        <w:t>)</w:t>
      </w:r>
      <w:r>
        <w:t xml:space="preserve">, </w:t>
      </w:r>
      <w:r w:rsidR="54071A26">
        <w:t xml:space="preserve">qui </w:t>
      </w:r>
      <w:r>
        <w:t>int</w:t>
      </w:r>
      <w:r w:rsidR="355284BB">
        <w:t>è</w:t>
      </w:r>
      <w:r>
        <w:t>gr</w:t>
      </w:r>
      <w:r w:rsidR="4BB753CA">
        <w:t>e</w:t>
      </w:r>
      <w:r>
        <w:t xml:space="preserve"> des coefficients liés au polluant considéré, les caractéristiques spatiales de la zone contaminée et les propriétés du sol et de la nappe, se calcule comme suit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B11E09" w14:paraId="0333E35C" w14:textId="77777777" w:rsidTr="004306AE">
        <w:trPr>
          <w:trHeight w:val="647"/>
        </w:trPr>
        <w:tc>
          <w:tcPr>
            <w:tcW w:w="8642" w:type="dxa"/>
            <w:vAlign w:val="center"/>
          </w:tcPr>
          <w:p w14:paraId="36E31270" w14:textId="77777777" w:rsidR="00B11E09" w:rsidRPr="004D5523" w:rsidRDefault="00B11E09" w:rsidP="004306AE">
            <w:pPr>
              <w:jc w:val="center"/>
            </w:pPr>
            <m:oMathPara>
              <m:oMath>
                <m:r>
                  <m:rPr>
                    <m:sty m:val="p"/>
                  </m:rPr>
                  <w:rPr>
                    <w:rFonts w:ascii="Cambria Math" w:hAnsi="Cambria Math" w:cs="Cambria Math"/>
                  </w:rPr>
                  <m:t xml:space="preserve">FAG= </m:t>
                </m:r>
                <m:f>
                  <m:fPr>
                    <m:ctrlPr>
                      <w:rPr>
                        <w:rFonts w:ascii="Cambria Math" w:hAnsi="Cambria Math" w:cs="Cambria Math"/>
                      </w:rPr>
                    </m:ctrlPr>
                  </m:fPr>
                  <m:num>
                    <m:r>
                      <m:rPr>
                        <m:sty m:val="p"/>
                      </m:rPr>
                      <w:rPr>
                        <w:rFonts w:ascii="Cambria Math" w:hAnsi="Cambria Math" w:cs="Cambria Math"/>
                      </w:rPr>
                      <m:t>FD</m:t>
                    </m:r>
                  </m:num>
                  <m:den>
                    <m:sSub>
                      <m:sSubPr>
                        <m:ctrlPr>
                          <w:rPr>
                            <w:rFonts w:ascii="Cambria Math" w:hAnsi="Cambria Math" w:cs="Cambria Math"/>
                          </w:rPr>
                        </m:ctrlPr>
                      </m:sSubPr>
                      <m:e>
                        <m:r>
                          <m:rPr>
                            <m:sty m:val="p"/>
                          </m:rPr>
                          <w:rPr>
                            <w:rFonts w:ascii="Cambria Math" w:hAnsi="Cambria Math" w:cs="Cambria Math"/>
                          </w:rPr>
                          <m:t>F</m:t>
                        </m:r>
                      </m:e>
                      <m:sub>
                        <m:r>
                          <m:rPr>
                            <m:sty m:val="p"/>
                          </m:rPr>
                          <w:rPr>
                            <w:rFonts w:ascii="Cambria Math" w:hAnsi="Cambria Math" w:cs="Cambria Math"/>
                          </w:rPr>
                          <m:t>v</m:t>
                        </m:r>
                      </m:sub>
                    </m:sSub>
                    <m:r>
                      <m:rPr>
                        <m:sty m:val="p"/>
                      </m:rPr>
                      <w:rPr>
                        <w:rFonts w:ascii="Cambria Math" w:hAnsi="Cambria Math" w:cs="Cambria Math"/>
                      </w:rPr>
                      <m:t xml:space="preserve">∙ </m:t>
                    </m:r>
                    <m:sSub>
                      <m:sSubPr>
                        <m:ctrlPr>
                          <w:rPr>
                            <w:rFonts w:ascii="Cambria Math" w:hAnsi="Cambria Math" w:cs="Cambria Math"/>
                          </w:rPr>
                        </m:ctrlPr>
                      </m:sSubPr>
                      <m:e>
                        <m:r>
                          <m:rPr>
                            <m:sty m:val="p"/>
                          </m:rPr>
                          <w:rPr>
                            <w:rFonts w:ascii="Cambria Math" w:hAnsi="Cambria Math" w:cs="Cambria Math"/>
                          </w:rPr>
                          <m:t>K</m:t>
                        </m:r>
                      </m:e>
                      <m:sub>
                        <m:r>
                          <m:rPr>
                            <m:sty m:val="p"/>
                          </m:rPr>
                          <w:rPr>
                            <w:rFonts w:ascii="Cambria Math" w:hAnsi="Cambria Math" w:cs="Cambria Math"/>
                          </w:rPr>
                          <m:t>sw</m:t>
                        </m:r>
                      </m:sub>
                    </m:sSub>
                  </m:den>
                </m:f>
                <m:r>
                  <m:rPr>
                    <m:sty m:val="p"/>
                  </m:rPr>
                  <w:rPr>
                    <w:rFonts w:ascii="Cambria Math" w:hAnsi="Cambria Math"/>
                  </w:rPr>
                  <m:t xml:space="preserve"> </m:t>
                </m:r>
              </m:oMath>
            </m:oMathPara>
          </w:p>
        </w:tc>
        <w:tc>
          <w:tcPr>
            <w:tcW w:w="418" w:type="dxa"/>
            <w:vAlign w:val="center"/>
          </w:tcPr>
          <w:p w14:paraId="40471D17" w14:textId="29F5A2AC" w:rsidR="00B11E09" w:rsidRDefault="00B11E09" w:rsidP="004306AE">
            <w:pPr>
              <w:jc w:val="center"/>
            </w:pPr>
            <w:r>
              <w:t>(</w:t>
            </w:r>
            <w:r w:rsidR="002934E3">
              <w:t>9</w:t>
            </w:r>
            <w:r>
              <w:t>)</w:t>
            </w:r>
          </w:p>
        </w:tc>
      </w:tr>
    </w:tbl>
    <w:p w14:paraId="78A5F864" w14:textId="77777777" w:rsidR="00B11E09" w:rsidRDefault="00B11E09" w:rsidP="00B11E09"/>
    <w:p w14:paraId="12370879" w14:textId="77777777" w:rsidR="00B11E09" w:rsidRPr="00E54DA6" w:rsidRDefault="00B11E09" w:rsidP="00B11E09">
      <w:pPr>
        <w:rPr>
          <w:rFonts w:cs="Calibri"/>
          <w:sz w:val="20"/>
          <w:szCs w:val="20"/>
        </w:rPr>
      </w:pPr>
      <w:r w:rsidRPr="00E54DA6">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633"/>
        <w:gridCol w:w="8437"/>
      </w:tblGrid>
      <w:tr w:rsidR="00B11E09" w:rsidRPr="00E54DA6" w14:paraId="1F1BD7F0" w14:textId="77777777" w:rsidTr="004306AE">
        <w:trPr>
          <w:trHeight w:val="227"/>
        </w:trPr>
        <w:tc>
          <w:tcPr>
            <w:tcW w:w="633" w:type="dxa"/>
            <w:vAlign w:val="center"/>
          </w:tcPr>
          <w:p w14:paraId="644CC2FA" w14:textId="77777777" w:rsidR="00B11E09" w:rsidRPr="00E54DA6" w:rsidRDefault="00B11E09" w:rsidP="004306AE">
            <w:pPr>
              <w:jc w:val="left"/>
              <w:rPr>
                <w:rFonts w:cs="Calibri"/>
                <w:sz w:val="20"/>
                <w:szCs w:val="20"/>
              </w:rPr>
            </w:pPr>
            <m:oMathPara>
              <m:oMathParaPr>
                <m:jc m:val="left"/>
              </m:oMathParaPr>
              <m:oMath>
                <m:r>
                  <m:rPr>
                    <m:sty m:val="p"/>
                  </m:rPr>
                  <w:rPr>
                    <w:rFonts w:ascii="Cambria Math" w:hAnsi="Cambria Math" w:cs="Calibri"/>
                    <w:sz w:val="20"/>
                    <w:szCs w:val="20"/>
                  </w:rPr>
                  <w:lastRenderedPageBreak/>
                  <m:t>FD</m:t>
                </m:r>
              </m:oMath>
            </m:oMathPara>
          </w:p>
        </w:tc>
        <w:tc>
          <w:tcPr>
            <w:tcW w:w="8437" w:type="dxa"/>
            <w:vAlign w:val="center"/>
          </w:tcPr>
          <w:p w14:paraId="6FE0D36C" w14:textId="77777777" w:rsidR="00B11E09" w:rsidRPr="00E54DA6" w:rsidRDefault="00B11E09" w:rsidP="004306AE">
            <w:pPr>
              <w:jc w:val="left"/>
              <w:rPr>
                <w:rFonts w:cs="Calibri"/>
                <w:sz w:val="20"/>
                <w:szCs w:val="20"/>
              </w:rPr>
            </w:pPr>
            <w:r w:rsidRPr="00E54DA6">
              <w:rPr>
                <w:rFonts w:eastAsiaTheme="minorEastAsia" w:cs="Calibri"/>
                <w:sz w:val="20"/>
                <w:szCs w:val="20"/>
              </w:rPr>
              <w:t>Le facteur de dilution (-) ;</w:t>
            </w:r>
          </w:p>
        </w:tc>
      </w:tr>
      <w:tr w:rsidR="00B11E09" w:rsidRPr="00E54DA6" w14:paraId="5FCC99BB" w14:textId="77777777" w:rsidTr="004306AE">
        <w:trPr>
          <w:trHeight w:val="227"/>
        </w:trPr>
        <w:tc>
          <w:tcPr>
            <w:tcW w:w="633" w:type="dxa"/>
            <w:vAlign w:val="center"/>
          </w:tcPr>
          <w:p w14:paraId="0A37D5DA" w14:textId="77777777" w:rsidR="00B11E09" w:rsidRPr="00E54DA6" w:rsidRDefault="00437C8C" w:rsidP="004306AE">
            <w:pPr>
              <w:jc w:val="left"/>
              <w:rPr>
                <w:rFonts w:eastAsiaTheme="minorEastAsia" w:cs="Calibri"/>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F</m:t>
                    </m:r>
                  </m:e>
                  <m:sub>
                    <m:r>
                      <m:rPr>
                        <m:sty m:val="p"/>
                      </m:rPr>
                      <w:rPr>
                        <w:rFonts w:ascii="Cambria Math" w:hAnsi="Cambria Math" w:cs="Calibri"/>
                        <w:sz w:val="20"/>
                        <w:szCs w:val="20"/>
                      </w:rPr>
                      <m:t>v</m:t>
                    </m:r>
                  </m:sub>
                </m:sSub>
              </m:oMath>
            </m:oMathPara>
          </w:p>
        </w:tc>
        <w:tc>
          <w:tcPr>
            <w:tcW w:w="8437" w:type="dxa"/>
            <w:vAlign w:val="center"/>
          </w:tcPr>
          <w:p w14:paraId="1B13C07F" w14:textId="77777777" w:rsidR="00B11E09" w:rsidRPr="00E54DA6" w:rsidRDefault="00B11E09" w:rsidP="004306AE">
            <w:pPr>
              <w:jc w:val="left"/>
              <w:rPr>
                <w:rFonts w:eastAsiaTheme="minorEastAsia" w:cs="Calibri"/>
                <w:sz w:val="20"/>
                <w:szCs w:val="20"/>
              </w:rPr>
            </w:pPr>
            <w:r w:rsidRPr="00E54DA6">
              <w:rPr>
                <w:rFonts w:eastAsiaTheme="minorEastAsia" w:cs="Calibri"/>
                <w:sz w:val="20"/>
                <w:szCs w:val="20"/>
              </w:rPr>
              <w:t xml:space="preserve">Le facteur de redistribution massique dans la zone </w:t>
            </w:r>
            <w:proofErr w:type="spellStart"/>
            <w:r w:rsidRPr="00E54DA6">
              <w:rPr>
                <w:rFonts w:eastAsiaTheme="minorEastAsia" w:cs="Calibri"/>
                <w:sz w:val="20"/>
                <w:szCs w:val="20"/>
              </w:rPr>
              <w:t>vadose</w:t>
            </w:r>
            <w:proofErr w:type="spellEnd"/>
            <w:r w:rsidRPr="00E54DA6">
              <w:rPr>
                <w:rFonts w:eastAsiaTheme="minorEastAsia" w:cs="Calibri"/>
                <w:sz w:val="20"/>
                <w:szCs w:val="20"/>
              </w:rPr>
              <w:t xml:space="preserve"> (-) ;</w:t>
            </w:r>
          </w:p>
        </w:tc>
      </w:tr>
      <w:tr w:rsidR="00B11E09" w:rsidRPr="00E54DA6" w14:paraId="61FB3F2D" w14:textId="77777777" w:rsidTr="004306AE">
        <w:trPr>
          <w:trHeight w:val="227"/>
        </w:trPr>
        <w:tc>
          <w:tcPr>
            <w:tcW w:w="633" w:type="dxa"/>
            <w:vAlign w:val="center"/>
          </w:tcPr>
          <w:p w14:paraId="473293B8" w14:textId="77777777" w:rsidR="00B11E09" w:rsidRPr="00E54DA6" w:rsidRDefault="00437C8C" w:rsidP="004306AE">
            <w:pPr>
              <w:jc w:val="left"/>
              <w:rPr>
                <w:rFonts w:eastAsiaTheme="minorEastAsia" w:cs="Calibri"/>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K</m:t>
                    </m:r>
                  </m:e>
                  <m:sub>
                    <m:r>
                      <m:rPr>
                        <m:sty m:val="p"/>
                      </m:rPr>
                      <w:rPr>
                        <w:rFonts w:ascii="Cambria Math" w:hAnsi="Cambria Math" w:cs="Calibri"/>
                        <w:sz w:val="20"/>
                        <w:szCs w:val="20"/>
                      </w:rPr>
                      <m:t>sw</m:t>
                    </m:r>
                  </m:sub>
                </m:sSub>
              </m:oMath>
            </m:oMathPara>
          </w:p>
        </w:tc>
        <w:tc>
          <w:tcPr>
            <w:tcW w:w="8437" w:type="dxa"/>
            <w:vAlign w:val="center"/>
          </w:tcPr>
          <w:p w14:paraId="7A59CC30" w14:textId="77777777" w:rsidR="00B11E09" w:rsidRPr="00E54DA6" w:rsidRDefault="00B11E09" w:rsidP="004306AE">
            <w:pPr>
              <w:jc w:val="left"/>
              <w:rPr>
                <w:rFonts w:eastAsiaTheme="minorEastAsia" w:cs="Calibri"/>
                <w:sz w:val="20"/>
                <w:szCs w:val="20"/>
              </w:rPr>
            </w:pPr>
            <w:r w:rsidRPr="00E54DA6">
              <w:rPr>
                <w:rFonts w:eastAsiaTheme="minorEastAsia" w:cs="Calibri"/>
                <w:sz w:val="20"/>
                <w:szCs w:val="20"/>
              </w:rPr>
              <w:t>Le facteur de partition sol/eau (kg · L</w:t>
            </w:r>
            <w:r w:rsidRPr="00E54DA6">
              <w:rPr>
                <w:rFonts w:eastAsiaTheme="minorEastAsia" w:cs="Calibri"/>
                <w:sz w:val="20"/>
                <w:szCs w:val="20"/>
                <w:vertAlign w:val="superscript"/>
              </w:rPr>
              <w:t>-1</w:t>
            </w:r>
            <w:r w:rsidRPr="00E54DA6">
              <w:rPr>
                <w:rFonts w:eastAsiaTheme="minorEastAsia" w:cs="Calibri"/>
                <w:sz w:val="20"/>
                <w:szCs w:val="20"/>
              </w:rPr>
              <w:t>).</w:t>
            </w:r>
          </w:p>
        </w:tc>
      </w:tr>
    </w:tbl>
    <w:p w14:paraId="7EB3975B" w14:textId="77777777" w:rsidR="00B11E09" w:rsidRPr="004C2EDC" w:rsidRDefault="00B11E09" w:rsidP="00B11E09"/>
    <w:p w14:paraId="4AC2817C" w14:textId="77777777" w:rsidR="00B11E09" w:rsidRDefault="00B11E09" w:rsidP="00B11E09">
      <w:r>
        <w:t xml:space="preserve">Par souci de généralisation, des valeurs par défaut sont ici attribuées aux coefficients FD et </w:t>
      </w:r>
      <w:proofErr w:type="spellStart"/>
      <w:r>
        <w:t>F</w:t>
      </w:r>
      <w:r>
        <w:rPr>
          <w:vertAlign w:val="subscript"/>
        </w:rPr>
        <w:t>v</w:t>
      </w:r>
      <w:proofErr w:type="spellEnd"/>
      <w:r>
        <w:t xml:space="preserve"> (respectivement, 30 et 1, comme le suggère l’annexe C1 du GRER). En effet, FD caractérise la dilution du polluant dans la nappe, et est donc directement influencée par le type d’aquifère, alors que l’objectif est ici de caractériser la capacité du sol à retenir un polluant donné</w:t>
      </w:r>
      <w:r w:rsidRPr="00436690">
        <w:rPr>
          <w:rStyle w:val="Appelnotedebasdep"/>
        </w:rPr>
        <w:footnoteReference w:id="13"/>
      </w:r>
      <w:r>
        <w:t xml:space="preserve">. </w:t>
      </w:r>
      <w:proofErr w:type="spellStart"/>
      <w:r>
        <w:t>F</w:t>
      </w:r>
      <w:r>
        <w:rPr>
          <w:vertAlign w:val="subscript"/>
        </w:rPr>
        <w:t>v</w:t>
      </w:r>
      <w:proofErr w:type="spellEnd"/>
      <w:r>
        <w:t xml:space="preserve"> = 1 représente un cas standard.</w:t>
      </w:r>
    </w:p>
    <w:p w14:paraId="22EE3C9A" w14:textId="77777777" w:rsidR="00B11E09" w:rsidRDefault="00B11E09" w:rsidP="00B11E09">
      <w:pPr>
        <w:rPr>
          <w:rFonts w:eastAsiaTheme="minorEastAsia"/>
          <w:iCs/>
        </w:rPr>
      </w:pPr>
      <w:r>
        <w:t xml:space="preserve">La dernière étape est finalement de calculer </w:t>
      </w:r>
      <m:oMath>
        <m:sSub>
          <m:sSubPr>
            <m:ctrlPr>
              <w:rPr>
                <w:rFonts w:ascii="Cambria Math" w:hAnsi="Cambria Math"/>
                <w:iCs/>
              </w:rPr>
            </m:ctrlPr>
          </m:sSubPr>
          <m:e>
            <m:r>
              <m:rPr>
                <m:sty m:val="p"/>
              </m:rPr>
              <w:rPr>
                <w:rFonts w:ascii="Cambria Math" w:hAnsi="Cambria Math"/>
              </w:rPr>
              <m:t>K</m:t>
            </m:r>
          </m:e>
          <m:sub>
            <m:r>
              <m:rPr>
                <m:sty m:val="p"/>
              </m:rPr>
              <w:rPr>
                <w:rFonts w:ascii="Cambria Math" w:hAnsi="Cambria Math"/>
              </w:rPr>
              <m:t>sw</m:t>
            </m:r>
          </m:sub>
        </m:sSub>
        <m:r>
          <m:rPr>
            <m:sty m:val="p"/>
          </m:rPr>
          <w:rPr>
            <w:rFonts w:ascii="Cambria Math" w:hAnsi="Cambria Math"/>
          </w:rPr>
          <m:t>=f(</m:t>
        </m:r>
        <m:sSub>
          <m:sSubPr>
            <m:ctrlPr>
              <w:rPr>
                <w:rFonts w:ascii="Cambria Math" w:hAnsi="Cambria Math"/>
                <w:iCs/>
              </w:rPr>
            </m:ctrlPr>
          </m:sSubPr>
          <m:e>
            <m:r>
              <m:rPr>
                <m:sty m:val="p"/>
              </m:rPr>
              <w:rPr>
                <w:rFonts w:ascii="Cambria Math" w:hAnsi="Cambria Math"/>
              </w:rPr>
              <m:t>K</m:t>
            </m:r>
          </m:e>
          <m:sub>
            <m:r>
              <m:rPr>
                <m:sty m:val="p"/>
              </m:rPr>
              <w:rPr>
                <w:rFonts w:ascii="Cambria Math" w:hAnsi="Cambria Math"/>
              </w:rPr>
              <m:t>dcor</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θ</m:t>
            </m:r>
          </m:e>
          <m:sub>
            <m:r>
              <m:rPr>
                <m:sty m:val="p"/>
              </m:rPr>
              <w:rPr>
                <w:rFonts w:ascii="Cambria Math" w:hAnsi="Cambria Math"/>
              </w:rPr>
              <m:t>v</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θ</m:t>
            </m:r>
          </m:e>
          <m:sub>
            <m:r>
              <m:rPr>
                <m:sty m:val="p"/>
              </m:rPr>
              <w:rPr>
                <w:rFonts w:ascii="Cambria Math" w:hAnsi="Cambria Math"/>
              </w:rPr>
              <m:t>g</m:t>
            </m:r>
          </m:sub>
        </m:sSub>
        <m:r>
          <m:rPr>
            <m:sty m:val="p"/>
          </m:rPr>
          <w:rPr>
            <w:rFonts w:ascii="Cambria Math" w:hAnsi="Cambria Math"/>
          </w:rPr>
          <m:t xml:space="preserve">,  </m:t>
        </m:r>
        <m:sSup>
          <m:sSupPr>
            <m:ctrlPr>
              <w:rPr>
                <w:rFonts w:ascii="Cambria Math" w:hAnsi="Cambria Math"/>
                <w:iCs/>
              </w:rPr>
            </m:ctrlPr>
          </m:sSupPr>
          <m:e>
            <m:r>
              <m:rPr>
                <m:sty m:val="p"/>
              </m:rPr>
              <w:rPr>
                <w:rFonts w:ascii="Cambria Math" w:hAnsi="Cambria Math"/>
              </w:rPr>
              <m:t>H</m:t>
            </m:r>
          </m:e>
          <m:sup>
            <m:r>
              <m:rPr>
                <m:sty m:val="p"/>
              </m:rPr>
              <w:rPr>
                <w:rFonts w:ascii="Cambria Math" w:hAnsi="Cambria Math"/>
              </w:rPr>
              <m:t>'</m:t>
            </m:r>
          </m:sup>
        </m:sSup>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ρ</m:t>
            </m:r>
          </m:e>
          <m:sub>
            <m:r>
              <m:rPr>
                <m:sty m:val="p"/>
              </m:rPr>
              <w:rPr>
                <w:rFonts w:ascii="Cambria Math" w:hAnsi="Cambria Math"/>
              </w:rPr>
              <m:t>b</m:t>
            </m:r>
          </m:sub>
        </m:sSub>
        <m:r>
          <m:rPr>
            <m:sty m:val="p"/>
          </m:rPr>
          <w:rPr>
            <w:rFonts w:ascii="Cambria Math" w:hAnsi="Cambria Math"/>
          </w:rPr>
          <m:t>)</m:t>
        </m:r>
      </m:oMath>
      <w:r>
        <w:rPr>
          <w:rFonts w:eastAsiaTheme="minorEastAsia"/>
          <w:iCs/>
        </w:rPr>
        <w:t xml:space="preserve">, </w:t>
      </w:r>
    </w:p>
    <w:p w14:paraId="2897AF85" w14:textId="77777777" w:rsidR="00B11E09" w:rsidRPr="00E54DA6" w:rsidRDefault="00B11E09" w:rsidP="00B11E09">
      <w:pPr>
        <w:rPr>
          <w:rFonts w:cs="Calibri"/>
          <w:sz w:val="20"/>
          <w:szCs w:val="20"/>
        </w:rPr>
      </w:pPr>
      <w:r w:rsidRPr="00E54DA6">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685"/>
        <w:gridCol w:w="8385"/>
      </w:tblGrid>
      <w:tr w:rsidR="00B11E09" w:rsidRPr="00E54DA6" w14:paraId="731CF8BE" w14:textId="77777777" w:rsidTr="48222D96">
        <w:trPr>
          <w:trHeight w:val="227"/>
        </w:trPr>
        <w:tc>
          <w:tcPr>
            <w:tcW w:w="643" w:type="dxa"/>
            <w:vAlign w:val="center"/>
          </w:tcPr>
          <w:p w14:paraId="5E355768" w14:textId="77777777" w:rsidR="00B11E09" w:rsidRPr="00E54DA6" w:rsidRDefault="00437C8C" w:rsidP="004306AE">
            <w:pPr>
              <w:rPr>
                <w:rFont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θ</m:t>
                    </m:r>
                  </m:e>
                  <m:sub>
                    <m:r>
                      <m:rPr>
                        <m:sty m:val="p"/>
                      </m:rPr>
                      <w:rPr>
                        <w:rFonts w:ascii="Cambria Math" w:hAnsi="Cambria Math" w:cs="Calibri"/>
                        <w:sz w:val="20"/>
                        <w:szCs w:val="20"/>
                      </w:rPr>
                      <m:t>v</m:t>
                    </m:r>
                  </m:sub>
                </m:sSub>
                <m:r>
                  <m:rPr>
                    <m:sty m:val="p"/>
                  </m:rPr>
                  <w:rPr>
                    <w:rFonts w:ascii="Cambria Math" w:hAnsi="Cambria Math" w:cs="Calibri"/>
                    <w:sz w:val="20"/>
                    <w:szCs w:val="20"/>
                  </w:rPr>
                  <m:t xml:space="preserve">, </m:t>
                </m:r>
                <m:sSub>
                  <m:sSubPr>
                    <m:ctrlPr>
                      <w:rPr>
                        <w:rFonts w:ascii="Cambria Math" w:hAnsi="Cambria Math" w:cs="Calibri"/>
                        <w:iCs/>
                        <w:sz w:val="20"/>
                        <w:szCs w:val="20"/>
                      </w:rPr>
                    </m:ctrlPr>
                  </m:sSubPr>
                  <m:e>
                    <m:r>
                      <m:rPr>
                        <m:sty m:val="p"/>
                      </m:rPr>
                      <w:rPr>
                        <w:rFonts w:ascii="Cambria Math" w:hAnsi="Cambria Math" w:cs="Calibri"/>
                        <w:sz w:val="20"/>
                        <w:szCs w:val="20"/>
                      </w:rPr>
                      <m:t>θ</m:t>
                    </m:r>
                  </m:e>
                  <m:sub>
                    <m:r>
                      <m:rPr>
                        <m:sty m:val="p"/>
                      </m:rPr>
                      <w:rPr>
                        <w:rFonts w:ascii="Cambria Math" w:hAnsi="Cambria Math" w:cs="Calibri"/>
                        <w:sz w:val="20"/>
                        <w:szCs w:val="20"/>
                      </w:rPr>
                      <m:t>g</m:t>
                    </m:r>
                  </m:sub>
                </m:sSub>
              </m:oMath>
            </m:oMathPara>
          </w:p>
        </w:tc>
        <w:tc>
          <w:tcPr>
            <w:tcW w:w="8427" w:type="dxa"/>
            <w:vAlign w:val="center"/>
          </w:tcPr>
          <w:p w14:paraId="3F6725AB" w14:textId="77777777" w:rsidR="00B11E09" w:rsidRPr="00E54DA6" w:rsidRDefault="00B11E09" w:rsidP="004306AE">
            <w:pPr>
              <w:rPr>
                <w:rFonts w:cs="Calibri"/>
                <w:iCs/>
                <w:sz w:val="20"/>
                <w:szCs w:val="20"/>
              </w:rPr>
            </w:pPr>
            <m:oMath>
              <m:r>
                <m:rPr>
                  <m:sty m:val="p"/>
                </m:rPr>
                <w:rPr>
                  <w:rFonts w:ascii="Cambria Math" w:hAnsi="Cambria Math" w:cs="Calibri"/>
                  <w:sz w:val="20"/>
                  <w:szCs w:val="20"/>
                </w:rPr>
                <m:t>= f(</m:t>
              </m:r>
              <m:sSub>
                <m:sSubPr>
                  <m:ctrlPr>
                    <w:rPr>
                      <w:rFonts w:ascii="Cambria Math" w:hAnsi="Cambria Math" w:cs="Calibri"/>
                      <w:iCs/>
                      <w:sz w:val="20"/>
                      <w:szCs w:val="20"/>
                    </w:rPr>
                  </m:ctrlPr>
                </m:sSubPr>
                <m:e>
                  <m:r>
                    <m:rPr>
                      <m:sty m:val="p"/>
                    </m:rPr>
                    <w:rPr>
                      <w:rFonts w:ascii="Cambria Math" w:hAnsi="Cambria Math" w:cs="Calibri"/>
                      <w:sz w:val="20"/>
                      <w:szCs w:val="20"/>
                    </w:rPr>
                    <m:t>ρ</m:t>
                  </m:r>
                </m:e>
                <m:sub>
                  <m:r>
                    <m:rPr>
                      <m:sty m:val="p"/>
                    </m:rPr>
                    <w:rPr>
                      <w:rFonts w:ascii="Cambria Math" w:hAnsi="Cambria Math" w:cs="Calibri"/>
                      <w:sz w:val="20"/>
                      <w:szCs w:val="20"/>
                    </w:rPr>
                    <m:t>b</m:t>
                  </m:r>
                </m:sub>
              </m:sSub>
              <m:r>
                <m:rPr>
                  <m:sty m:val="p"/>
                </m:rPr>
                <w:rPr>
                  <w:rFonts w:ascii="Cambria Math" w:hAnsi="Cambria Math" w:cs="Calibri"/>
                  <w:sz w:val="20"/>
                  <w:szCs w:val="20"/>
                </w:rPr>
                <m:t>)</m:t>
              </m:r>
            </m:oMath>
            <w:r w:rsidRPr="00E54DA6">
              <w:rPr>
                <w:rFonts w:eastAsiaTheme="minorEastAsia" w:cs="Calibri"/>
                <w:iCs/>
                <w:sz w:val="20"/>
                <w:szCs w:val="20"/>
              </w:rPr>
              <w:t> ;</w:t>
            </w:r>
          </w:p>
        </w:tc>
      </w:tr>
      <w:tr w:rsidR="00B11E09" w:rsidRPr="00E54DA6" w14:paraId="3CEF6775" w14:textId="77777777" w:rsidTr="48222D96">
        <w:trPr>
          <w:trHeight w:val="227"/>
        </w:trPr>
        <w:tc>
          <w:tcPr>
            <w:tcW w:w="643" w:type="dxa"/>
            <w:vAlign w:val="center"/>
          </w:tcPr>
          <w:p w14:paraId="397F993E" w14:textId="77777777" w:rsidR="00B11E09" w:rsidRPr="00E54DA6" w:rsidRDefault="00437C8C" w:rsidP="004306AE">
            <w:pPr>
              <w:rPr>
                <w:rFonts w:eastAsiaTheme="minorEastAsia" w:cs="Calibri"/>
                <w:iCs/>
                <w:sz w:val="20"/>
                <w:szCs w:val="20"/>
              </w:rPr>
            </w:pPr>
            <m:oMathPara>
              <m:oMathParaPr>
                <m:jc m:val="left"/>
              </m:oMathParaPr>
              <m:oMath>
                <m:sSup>
                  <m:sSupPr>
                    <m:ctrlPr>
                      <w:rPr>
                        <w:rFonts w:ascii="Cambria Math" w:hAnsi="Cambria Math" w:cs="Calibri"/>
                        <w:iCs/>
                        <w:sz w:val="20"/>
                        <w:szCs w:val="20"/>
                      </w:rPr>
                    </m:ctrlPr>
                  </m:sSupPr>
                  <m:e>
                    <m:r>
                      <m:rPr>
                        <m:sty m:val="p"/>
                      </m:rPr>
                      <w:rPr>
                        <w:rFonts w:ascii="Cambria Math" w:hAnsi="Cambria Math" w:cs="Calibri"/>
                        <w:sz w:val="20"/>
                        <w:szCs w:val="20"/>
                      </w:rPr>
                      <m:t>H</m:t>
                    </m:r>
                  </m:e>
                  <m:sup>
                    <m:r>
                      <m:rPr>
                        <m:sty m:val="p"/>
                      </m:rPr>
                      <w:rPr>
                        <w:rFonts w:ascii="Cambria Math" w:hAnsi="Cambria Math" w:cs="Calibri"/>
                        <w:sz w:val="20"/>
                        <w:szCs w:val="20"/>
                      </w:rPr>
                      <m:t>'</m:t>
                    </m:r>
                  </m:sup>
                </m:sSup>
              </m:oMath>
            </m:oMathPara>
          </w:p>
        </w:tc>
        <w:tc>
          <w:tcPr>
            <w:tcW w:w="8427" w:type="dxa"/>
            <w:vAlign w:val="center"/>
          </w:tcPr>
          <w:p w14:paraId="6F26C20D" w14:textId="306B3E12" w:rsidR="00B11E09" w:rsidRPr="00E54DA6" w:rsidRDefault="00B11E09" w:rsidP="48222D96">
            <w:pPr>
              <w:rPr>
                <w:rFonts w:eastAsiaTheme="minorEastAsia" w:cs="Calibri"/>
                <w:sz w:val="20"/>
                <w:szCs w:val="20"/>
              </w:rPr>
            </w:pPr>
            <w:r w:rsidRPr="00E54DA6">
              <w:rPr>
                <w:rFonts w:eastAsiaTheme="minorEastAsia" w:cs="Calibri"/>
                <w:sz w:val="20"/>
                <w:szCs w:val="20"/>
              </w:rPr>
              <w:t>Constante d</w:t>
            </w:r>
            <w:r w:rsidR="23ADB1BB" w:rsidRPr="00E54DA6">
              <w:rPr>
                <w:rFonts w:eastAsiaTheme="minorEastAsia" w:cs="Calibri"/>
                <w:sz w:val="20"/>
                <w:szCs w:val="20"/>
              </w:rPr>
              <w:t xml:space="preserve">e </w:t>
            </w:r>
            <w:r w:rsidRPr="00E54DA6">
              <w:rPr>
                <w:rFonts w:eastAsiaTheme="minorEastAsia" w:cs="Calibri"/>
                <w:sz w:val="20"/>
                <w:szCs w:val="20"/>
              </w:rPr>
              <w:t>Henry spécifique au polluant ;</w:t>
            </w:r>
          </w:p>
        </w:tc>
      </w:tr>
      <w:tr w:rsidR="00B11E09" w:rsidRPr="00E54DA6" w14:paraId="63147935" w14:textId="77777777" w:rsidTr="48222D96">
        <w:trPr>
          <w:trHeight w:val="227"/>
        </w:trPr>
        <w:tc>
          <w:tcPr>
            <w:tcW w:w="643" w:type="dxa"/>
            <w:vAlign w:val="center"/>
          </w:tcPr>
          <w:p w14:paraId="4760BB5C" w14:textId="77777777" w:rsidR="00B11E09" w:rsidRPr="00E54DA6" w:rsidRDefault="00437C8C" w:rsidP="004306AE">
            <w:pPr>
              <w:rPr>
                <w:rFonts w:eastAsiaTheme="minorEastAsia"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K</m:t>
                    </m:r>
                  </m:e>
                  <m:sub>
                    <m:r>
                      <m:rPr>
                        <m:sty m:val="p"/>
                      </m:rPr>
                      <w:rPr>
                        <w:rFonts w:ascii="Cambria Math" w:hAnsi="Cambria Math" w:cs="Calibri"/>
                        <w:sz w:val="20"/>
                        <w:szCs w:val="20"/>
                      </w:rPr>
                      <m:t>dcor</m:t>
                    </m:r>
                  </m:sub>
                </m:sSub>
              </m:oMath>
            </m:oMathPara>
          </w:p>
        </w:tc>
        <w:tc>
          <w:tcPr>
            <w:tcW w:w="8427" w:type="dxa"/>
            <w:vAlign w:val="center"/>
          </w:tcPr>
          <w:p w14:paraId="650099AD" w14:textId="77777777" w:rsidR="00B11E09" w:rsidRPr="00E54DA6" w:rsidRDefault="00437C8C" w:rsidP="004306AE">
            <w:pPr>
              <w:rPr>
                <w:rFonts w:eastAsiaTheme="minorEastAsia" w:cs="Calibri"/>
                <w:iCs/>
                <w:sz w:val="20"/>
                <w:szCs w:val="20"/>
              </w:rPr>
            </w:pPr>
            <m:oMath>
              <m:sSub>
                <m:sSubPr>
                  <m:ctrlPr>
                    <w:rPr>
                      <w:rFonts w:ascii="Cambria Math" w:hAnsi="Cambria Math" w:cs="Calibri"/>
                      <w:iCs/>
                      <w:sz w:val="20"/>
                      <w:szCs w:val="20"/>
                    </w:rPr>
                  </m:ctrlPr>
                </m:sSubPr>
                <m:e>
                  <m:r>
                    <m:rPr>
                      <m:sty m:val="p"/>
                    </m:rPr>
                    <w:rPr>
                      <w:rFonts w:ascii="Cambria Math" w:hAnsi="Cambria Math" w:cs="Calibri"/>
                      <w:sz w:val="20"/>
                      <w:szCs w:val="20"/>
                    </w:rPr>
                    <m:t>= K</m:t>
                  </m:r>
                </m:e>
                <m:sub>
                  <m:r>
                    <m:rPr>
                      <m:sty m:val="p"/>
                    </m:rPr>
                    <w:rPr>
                      <w:rFonts w:ascii="Cambria Math" w:hAnsi="Cambria Math" w:cs="Calibri"/>
                      <w:sz w:val="20"/>
                      <w:szCs w:val="20"/>
                    </w:rPr>
                    <m:t>d</m:t>
                  </m:r>
                </m:sub>
              </m:sSub>
              <m:r>
                <m:rPr>
                  <m:sty m:val="p"/>
                </m:rPr>
                <w:rPr>
                  <w:rFonts w:ascii="Cambria Math" w:hAnsi="Cambria Math" w:cs="Calibri"/>
                  <w:sz w:val="20"/>
                  <w:szCs w:val="20"/>
                </w:rPr>
                <m:t>∙</m:t>
              </m:r>
              <m:r>
                <m:rPr>
                  <m:sty m:val="p"/>
                </m:rPr>
                <w:rPr>
                  <w:rFonts w:ascii="Cambria Math" w:hAnsi="Cambria Math" w:cs="Calibri"/>
                  <w:sz w:val="20"/>
                  <w:szCs w:val="20"/>
                </w:rPr>
                <m:t xml:space="preserve"> </m:t>
              </m:r>
              <m:sSub>
                <m:sSubPr>
                  <m:ctrlPr>
                    <w:rPr>
                      <w:rFonts w:ascii="Cambria Math" w:hAnsi="Cambria Math" w:cs="Calibri"/>
                      <w:iCs/>
                      <w:sz w:val="20"/>
                      <w:szCs w:val="20"/>
                    </w:rPr>
                  </m:ctrlPr>
                </m:sSubPr>
                <m:e>
                  <m:r>
                    <m:rPr>
                      <m:sty m:val="p"/>
                    </m:rPr>
                    <w:rPr>
                      <w:rFonts w:ascii="Cambria Math" w:hAnsi="Cambria Math" w:cs="Calibri"/>
                      <w:sz w:val="20"/>
                      <w:szCs w:val="20"/>
                    </w:rPr>
                    <m:t>f</m:t>
                  </m:r>
                </m:e>
                <m:sub>
                  <m:r>
                    <m:rPr>
                      <m:sty m:val="p"/>
                    </m:rPr>
                    <w:rPr>
                      <w:rFonts w:ascii="Cambria Math" w:hAnsi="Cambria Math" w:cs="Calibri"/>
                      <w:sz w:val="20"/>
                      <w:szCs w:val="20"/>
                    </w:rPr>
                    <m:t>ads</m:t>
                  </m:r>
                </m:sub>
              </m:sSub>
              <m:r>
                <m:rPr>
                  <m:sty m:val="p"/>
                </m:rPr>
                <w:rPr>
                  <w:rFonts w:ascii="Cambria Math" w:hAnsi="Cambria Math" w:cs="Calibri"/>
                  <w:sz w:val="20"/>
                  <w:szCs w:val="20"/>
                </w:rPr>
                <m:t> </m:t>
              </m:r>
            </m:oMath>
            <w:r w:rsidR="00B11E09" w:rsidRPr="00E54DA6">
              <w:rPr>
                <w:rFonts w:eastAsiaTheme="minorEastAsia" w:cs="Calibri"/>
                <w:iCs/>
                <w:sz w:val="20"/>
                <w:szCs w:val="20"/>
              </w:rPr>
              <w:t>;</w:t>
            </w:r>
          </w:p>
        </w:tc>
      </w:tr>
      <w:tr w:rsidR="00B11E09" w:rsidRPr="00E54DA6" w14:paraId="12B7F5EE" w14:textId="77777777" w:rsidTr="48222D96">
        <w:trPr>
          <w:trHeight w:val="227"/>
        </w:trPr>
        <w:tc>
          <w:tcPr>
            <w:tcW w:w="643" w:type="dxa"/>
            <w:vAlign w:val="center"/>
          </w:tcPr>
          <w:p w14:paraId="237ACDA8" w14:textId="77777777" w:rsidR="00B11E09" w:rsidRPr="00E54DA6" w:rsidRDefault="00437C8C" w:rsidP="004306AE">
            <w:pPr>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f</m:t>
                    </m:r>
                  </m:e>
                  <m:sub>
                    <m:r>
                      <m:rPr>
                        <m:sty m:val="p"/>
                      </m:rPr>
                      <w:rPr>
                        <w:rFonts w:ascii="Cambria Math" w:hAnsi="Cambria Math" w:cs="Calibri"/>
                        <w:sz w:val="20"/>
                        <w:szCs w:val="20"/>
                      </w:rPr>
                      <m:t>ads</m:t>
                    </m:r>
                  </m:sub>
                </m:sSub>
              </m:oMath>
            </m:oMathPara>
          </w:p>
        </w:tc>
        <w:tc>
          <w:tcPr>
            <w:tcW w:w="8427" w:type="dxa"/>
            <w:vAlign w:val="center"/>
          </w:tcPr>
          <w:p w14:paraId="393072FC" w14:textId="77777777" w:rsidR="00B11E09" w:rsidRPr="00E54DA6" w:rsidRDefault="00B11E09" w:rsidP="004306AE">
            <w:pPr>
              <w:rPr>
                <w:rFonts w:eastAsia="Times New Roman" w:cs="Calibri"/>
                <w:iCs/>
                <w:sz w:val="20"/>
                <w:szCs w:val="20"/>
              </w:rPr>
            </w:pPr>
            <m:oMath>
              <m:r>
                <m:rPr>
                  <m:sty m:val="p"/>
                </m:rPr>
                <w:rPr>
                  <w:rFonts w:ascii="Cambria Math" w:eastAsiaTheme="minorEastAsia" w:hAnsi="Cambria Math" w:cs="Calibri"/>
                  <w:sz w:val="20"/>
                  <w:szCs w:val="20"/>
                </w:rPr>
                <m:t xml:space="preserve">= </m:t>
              </m:r>
              <m:d>
                <m:dPr>
                  <m:ctrlPr>
                    <w:rPr>
                      <w:rFonts w:ascii="Cambria Math" w:eastAsiaTheme="minorEastAsia" w:hAnsi="Cambria Math" w:cs="Calibri"/>
                      <w:iCs/>
                      <w:sz w:val="20"/>
                      <w:szCs w:val="20"/>
                    </w:rPr>
                  </m:ctrlPr>
                </m:dPr>
                <m:e>
                  <m:r>
                    <m:rPr>
                      <m:sty m:val="p"/>
                    </m:rPr>
                    <w:rPr>
                      <w:rFonts w:ascii="Cambria Math" w:eastAsiaTheme="minorEastAsia" w:hAnsi="Cambria Math" w:cs="Calibri"/>
                      <w:sz w:val="20"/>
                      <w:szCs w:val="20"/>
                    </w:rPr>
                    <m:t>1-</m:t>
                  </m:r>
                  <m:f>
                    <m:fPr>
                      <m:type m:val="noBar"/>
                      <m:ctrlPr>
                        <w:rPr>
                          <w:rFonts w:ascii="Cambria Math" w:eastAsiaTheme="minorEastAsia" w:hAnsi="Cambria Math" w:cs="Calibri"/>
                          <w:iCs/>
                          <w:sz w:val="20"/>
                          <w:szCs w:val="20"/>
                        </w:rPr>
                      </m:ctrlPr>
                    </m:fPr>
                    <m:num>
                      <m:sSub>
                        <m:sSubPr>
                          <m:ctrlPr>
                            <w:rPr>
                              <w:rFonts w:ascii="Cambria Math" w:eastAsiaTheme="minorEastAsia" w:hAnsi="Cambria Math" w:cs="Calibri"/>
                              <w:iCs/>
                              <w:sz w:val="20"/>
                              <w:szCs w:val="20"/>
                            </w:rPr>
                          </m:ctrlPr>
                        </m:sSubPr>
                        <m:e>
                          <m:r>
                            <m:rPr>
                              <m:sty m:val="p"/>
                            </m:rPr>
                            <w:rPr>
                              <w:rFonts w:ascii="Cambria Math" w:eastAsiaTheme="minorEastAsia" w:hAnsi="Cambria Math" w:cs="Calibri"/>
                              <w:sz w:val="20"/>
                              <w:szCs w:val="20"/>
                            </w:rPr>
                            <m:t>%</m:t>
                          </m:r>
                        </m:e>
                        <m:sub>
                          <m:r>
                            <m:rPr>
                              <m:sty m:val="p"/>
                            </m:rPr>
                            <w:rPr>
                              <w:rFonts w:ascii="Cambria Math" w:eastAsiaTheme="minorEastAsia" w:hAnsi="Cambria Math" w:cs="Calibri"/>
                              <w:sz w:val="20"/>
                              <w:szCs w:val="20"/>
                            </w:rPr>
                            <m:t>EG</m:t>
                          </m:r>
                        </m:sub>
                      </m:sSub>
                    </m:num>
                    <m:den>
                      <m:r>
                        <m:rPr>
                          <m:sty m:val="p"/>
                        </m:rPr>
                        <w:rPr>
                          <w:rFonts w:ascii="Cambria Math" w:eastAsiaTheme="minorEastAsia" w:hAnsi="Cambria Math" w:cs="Calibri"/>
                          <w:sz w:val="20"/>
                          <w:szCs w:val="20"/>
                        </w:rPr>
                        <m:t>100</m:t>
                      </m:r>
                    </m:den>
                  </m:f>
                </m:e>
              </m:d>
            </m:oMath>
            <w:r w:rsidRPr="00E54DA6">
              <w:rPr>
                <w:rFonts w:eastAsia="Times New Roman" w:cs="Calibri"/>
                <w:iCs/>
                <w:sz w:val="20"/>
                <w:szCs w:val="20"/>
              </w:rPr>
              <w:t>.</w:t>
            </w:r>
          </w:p>
        </w:tc>
      </w:tr>
    </w:tbl>
    <w:p w14:paraId="366270C5" w14:textId="77777777" w:rsidR="00B11E09" w:rsidRPr="00973617" w:rsidRDefault="00B11E09" w:rsidP="00B11E09"/>
    <w:p w14:paraId="798D1014" w14:textId="0E8C40B9" w:rsidR="00B11E09" w:rsidRDefault="00B11E09" w:rsidP="00B11E09">
      <w:r>
        <w:t xml:space="preserve">Pour le calcul de </w:t>
      </w:r>
      <w:proofErr w:type="spellStart"/>
      <w:r>
        <w:t>K</w:t>
      </w:r>
      <w:r>
        <w:rPr>
          <w:vertAlign w:val="subscript"/>
        </w:rPr>
        <w:t>d</w:t>
      </w:r>
      <w:proofErr w:type="spellEnd"/>
      <w:r>
        <w:t xml:space="preserve">, trois cas de figure se distinguent, en fonction des mécanismes de rétention à l’œuvre : </w:t>
      </w:r>
    </w:p>
    <w:p w14:paraId="33AEB94A" w14:textId="77777777" w:rsidR="00B11E09" w:rsidRDefault="00B11E09" w:rsidP="00876101">
      <w:pPr>
        <w:pStyle w:val="Paragraphedeliste"/>
        <w:numPr>
          <w:ilvl w:val="0"/>
          <w:numId w:val="4"/>
        </w:numPr>
      </w:pPr>
      <w:r>
        <w:t xml:space="preserve">Les polluants inorganiques (ETM), dénommés ci-après </w:t>
      </w:r>
      <w:r w:rsidRPr="00C204D2">
        <w:rPr>
          <w:i/>
          <w:iCs/>
        </w:rPr>
        <w:t>PI</w:t>
      </w:r>
      <w:r>
        <w:t xml:space="preserve">, </w:t>
      </w:r>
    </w:p>
    <w:p w14:paraId="5107269F" w14:textId="77777777" w:rsidR="00B11E09" w:rsidRDefault="00B11E09" w:rsidP="00876101">
      <w:pPr>
        <w:pStyle w:val="Paragraphedeliste"/>
        <w:numPr>
          <w:ilvl w:val="0"/>
          <w:numId w:val="4"/>
        </w:numPr>
      </w:pPr>
      <w:r>
        <w:t xml:space="preserve">Les polluants organiques hydrophobes non-ionisants, dénommés ci-après </w:t>
      </w:r>
      <w:r w:rsidRPr="00C204D2">
        <w:rPr>
          <w:i/>
          <w:iCs/>
        </w:rPr>
        <w:t>P</w:t>
      </w:r>
      <w:r>
        <w:rPr>
          <w:i/>
          <w:iCs/>
        </w:rPr>
        <w:t>OHNI</w:t>
      </w:r>
      <w:r>
        <w:t xml:space="preserve">, </w:t>
      </w:r>
    </w:p>
    <w:p w14:paraId="1A617A54" w14:textId="77777777" w:rsidR="00B11E09" w:rsidRDefault="00B11E09" w:rsidP="00876101">
      <w:pPr>
        <w:pStyle w:val="Paragraphedeliste"/>
        <w:numPr>
          <w:ilvl w:val="0"/>
          <w:numId w:val="4"/>
        </w:numPr>
      </w:pPr>
      <w:r>
        <w:t>Les polluants organiques ionisants,</w:t>
      </w:r>
      <w:r w:rsidRPr="00C204D2">
        <w:t xml:space="preserve"> </w:t>
      </w:r>
      <w:r>
        <w:t xml:space="preserve">dénommés ci-après </w:t>
      </w:r>
      <w:r w:rsidRPr="00C204D2">
        <w:rPr>
          <w:i/>
          <w:iCs/>
        </w:rPr>
        <w:t>P</w:t>
      </w:r>
      <w:r>
        <w:rPr>
          <w:i/>
          <w:iCs/>
        </w:rPr>
        <w:t>OHI</w:t>
      </w:r>
      <w:r>
        <w:t>.</w:t>
      </w:r>
    </w:p>
    <w:p w14:paraId="6BD842A5" w14:textId="1CF99631" w:rsidR="00B11E09" w:rsidRPr="0063216B" w:rsidRDefault="557F8A43" w:rsidP="00B11E09">
      <w:r>
        <w:t>C</w:t>
      </w:r>
      <w:r w:rsidR="00B11E09">
        <w:t xml:space="preserve">es trois groupes </w:t>
      </w:r>
      <w:r w:rsidR="575D90EB">
        <w:t xml:space="preserve">de polluants </w:t>
      </w:r>
      <w:r w:rsidR="00B11E09">
        <w:t xml:space="preserve">impliquent des mécanismes </w:t>
      </w:r>
      <w:r w:rsidR="57CD7487">
        <w:t>différents</w:t>
      </w:r>
      <w:r w:rsidR="00B11E09">
        <w:t xml:space="preserve"> de rétention sur les constituants du sol, ce qui se traduit en une contribution de paramètres sol spécifiques </w:t>
      </w:r>
      <w:r w:rsidR="7DF5AB16">
        <w:t xml:space="preserve">au (groupe de) polluant considéré, </w:t>
      </w:r>
      <w:r w:rsidR="00B11E09">
        <w:t xml:space="preserve">dans le calcul de </w:t>
      </w:r>
      <w:proofErr w:type="spellStart"/>
      <w:r w:rsidR="00B11E09">
        <w:t>K</w:t>
      </w:r>
      <w:r w:rsidR="00B11E09">
        <w:rPr>
          <w:vertAlign w:val="subscript"/>
        </w:rPr>
        <w:t>d</w:t>
      </w:r>
      <w:proofErr w:type="spellEnd"/>
      <w:r w:rsidR="00B11E09">
        <w:t xml:space="preserve">. Les paramètres pris en compte sont repris dans </w:t>
      </w:r>
      <w:r w:rsidR="00B11E09" w:rsidRPr="00F07B4B">
        <w:t>le</w:t>
      </w:r>
      <w:r w:rsidR="00F07B4B" w:rsidRPr="00F07B4B">
        <w:t xml:space="preserve"> </w:t>
      </w:r>
      <w:r w:rsidR="00F07B4B" w:rsidRPr="00F07B4B">
        <w:fldChar w:fldCharType="begin"/>
      </w:r>
      <w:r w:rsidR="00F07B4B" w:rsidRPr="00F07B4B">
        <w:instrText xml:space="preserve"> REF _Ref233122049 \h  \* MERGEFORMAT </w:instrText>
      </w:r>
      <w:r w:rsidR="00F07B4B" w:rsidRPr="00F07B4B">
        <w:fldChar w:fldCharType="separate"/>
      </w:r>
      <w:r w:rsidR="00F07B4B" w:rsidRPr="00F07B4B">
        <w:t xml:space="preserve">Tableau </w:t>
      </w:r>
      <w:r w:rsidR="00F07B4B" w:rsidRPr="00F07B4B">
        <w:rPr>
          <w:noProof/>
        </w:rPr>
        <w:t>16</w:t>
      </w:r>
      <w:r w:rsidR="00F07B4B" w:rsidRPr="00F07B4B">
        <w:fldChar w:fldCharType="end"/>
      </w:r>
      <w:r w:rsidR="00B11E09" w:rsidRPr="00F07B4B">
        <w:t>.</w:t>
      </w:r>
    </w:p>
    <w:p w14:paraId="6281A229" w14:textId="0B98EFED" w:rsidR="00B11E09" w:rsidRPr="00AA37E9" w:rsidRDefault="00B11E09" w:rsidP="00B11E09">
      <w:pPr>
        <w:pStyle w:val="Lgende"/>
        <w:keepNext/>
        <w:jc w:val="center"/>
        <w:rPr>
          <w:i w:val="0"/>
          <w:iCs w:val="0"/>
        </w:rPr>
      </w:pPr>
      <w:bookmarkStart w:id="186" w:name="_Ref233122049"/>
      <w:bookmarkStart w:id="187" w:name="_Toc233122672"/>
      <w:r w:rsidRPr="00AA37E9">
        <w:rPr>
          <w:i w:val="0"/>
          <w:iCs w:val="0"/>
        </w:rPr>
        <w:t xml:space="preserve">Tableau </w:t>
      </w:r>
      <w:r w:rsidRPr="00AA37E9">
        <w:rPr>
          <w:i w:val="0"/>
          <w:iCs w:val="0"/>
        </w:rPr>
        <w:fldChar w:fldCharType="begin"/>
      </w:r>
      <w:r w:rsidRPr="00AA37E9">
        <w:rPr>
          <w:i w:val="0"/>
          <w:iCs w:val="0"/>
        </w:rPr>
        <w:instrText xml:space="preserve"> SEQ Tableau \* ARABIC </w:instrText>
      </w:r>
      <w:r w:rsidRPr="00AA37E9">
        <w:rPr>
          <w:i w:val="0"/>
          <w:iCs w:val="0"/>
        </w:rPr>
        <w:fldChar w:fldCharType="separate"/>
      </w:r>
      <w:r w:rsidR="00F07B4B">
        <w:rPr>
          <w:i w:val="0"/>
          <w:iCs w:val="0"/>
          <w:noProof/>
        </w:rPr>
        <w:t>16</w:t>
      </w:r>
      <w:r w:rsidRPr="00AA37E9">
        <w:rPr>
          <w:i w:val="0"/>
          <w:iCs w:val="0"/>
        </w:rPr>
        <w:fldChar w:fldCharType="end"/>
      </w:r>
      <w:bookmarkEnd w:id="186"/>
      <w:r w:rsidRPr="00AA37E9">
        <w:rPr>
          <w:i w:val="0"/>
          <w:iCs w:val="0"/>
        </w:rPr>
        <w:t xml:space="preserve"> : </w:t>
      </w:r>
      <w:r>
        <w:rPr>
          <w:i w:val="0"/>
          <w:iCs w:val="0"/>
        </w:rPr>
        <w:t>P</w:t>
      </w:r>
      <w:r w:rsidRPr="00AA37E9">
        <w:rPr>
          <w:i w:val="0"/>
          <w:iCs w:val="0"/>
        </w:rPr>
        <w:t xml:space="preserve">aramètres pédologiques pris en compte dans le calcul du </w:t>
      </w:r>
      <w:proofErr w:type="spellStart"/>
      <w:r w:rsidRPr="00AA37E9">
        <w:rPr>
          <w:i w:val="0"/>
          <w:iCs w:val="0"/>
        </w:rPr>
        <w:t>Kd</w:t>
      </w:r>
      <w:proofErr w:type="spellEnd"/>
      <w:r w:rsidR="009C7D7E">
        <w:rPr>
          <w:i w:val="0"/>
          <w:iCs w:val="0"/>
        </w:rPr>
        <w:t xml:space="preserve"> selon les formules présentées dans le GRER (partie C)</w:t>
      </w:r>
      <w:bookmarkEnd w:id="187"/>
    </w:p>
    <w:tbl>
      <w:tblPr>
        <w:tblStyle w:val="Grilledutableau"/>
        <w:tblW w:w="0" w:type="auto"/>
        <w:tblLook w:val="04A0" w:firstRow="1" w:lastRow="0" w:firstColumn="1" w:lastColumn="0" w:noHBand="0" w:noVBand="1"/>
      </w:tblPr>
      <w:tblGrid>
        <w:gridCol w:w="473"/>
        <w:gridCol w:w="4427"/>
        <w:gridCol w:w="692"/>
        <w:gridCol w:w="691"/>
        <w:gridCol w:w="693"/>
        <w:gridCol w:w="700"/>
        <w:gridCol w:w="689"/>
        <w:gridCol w:w="695"/>
      </w:tblGrid>
      <w:tr w:rsidR="00B11E09" w:rsidRPr="007E5430" w14:paraId="1755AB8D" w14:textId="77777777" w:rsidTr="004306AE">
        <w:tc>
          <w:tcPr>
            <w:tcW w:w="27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2236E03B" w14:textId="77777777" w:rsidR="00B11E09" w:rsidRPr="007E5430" w:rsidRDefault="00B11E09" w:rsidP="004306AE">
            <w:pPr>
              <w:jc w:val="center"/>
              <w:rPr>
                <w:rFonts w:cs="Calibri"/>
                <w:sz w:val="20"/>
                <w:szCs w:val="20"/>
              </w:rPr>
            </w:pPr>
          </w:p>
        </w:tc>
        <w:tc>
          <w:tcPr>
            <w:tcW w:w="457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2E44E90A" w14:textId="77777777" w:rsidR="00B11E09" w:rsidRPr="007E5430" w:rsidRDefault="00B11E09" w:rsidP="004306AE">
            <w:pPr>
              <w:jc w:val="center"/>
              <w:rPr>
                <w:rFonts w:cs="Calibri"/>
                <w:sz w:val="20"/>
                <w:szCs w:val="20"/>
              </w:rPr>
            </w:pPr>
            <w:r w:rsidRPr="007E5430">
              <w:rPr>
                <w:rFonts w:cs="Calibri"/>
                <w:sz w:val="20"/>
                <w:szCs w:val="20"/>
              </w:rPr>
              <w:t>Type de polluant</w:t>
            </w:r>
          </w:p>
        </w:tc>
        <w:tc>
          <w:tcPr>
            <w:tcW w:w="4209"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24ACE18D" w14:textId="77777777" w:rsidR="00B11E09" w:rsidRPr="007E5430" w:rsidRDefault="00B11E09" w:rsidP="004306AE">
            <w:pPr>
              <w:jc w:val="center"/>
              <w:rPr>
                <w:rFonts w:cs="Calibri"/>
                <w:sz w:val="20"/>
                <w:szCs w:val="20"/>
                <w:vertAlign w:val="subscript"/>
              </w:rPr>
            </w:pPr>
            <w:r w:rsidRPr="007E5430">
              <w:rPr>
                <w:rFonts w:cs="Calibri"/>
                <w:sz w:val="20"/>
                <w:szCs w:val="20"/>
              </w:rPr>
              <w:t xml:space="preserve">Paramètres intervenant dans calcul de </w:t>
            </w:r>
            <w:proofErr w:type="spellStart"/>
            <w:r w:rsidRPr="007E5430">
              <w:rPr>
                <w:rFonts w:cs="Calibri"/>
                <w:sz w:val="20"/>
                <w:szCs w:val="20"/>
              </w:rPr>
              <w:t>K</w:t>
            </w:r>
            <w:r w:rsidRPr="007E5430">
              <w:rPr>
                <w:rFonts w:cs="Calibri"/>
                <w:sz w:val="20"/>
                <w:szCs w:val="20"/>
                <w:vertAlign w:val="subscript"/>
              </w:rPr>
              <w:t>d</w:t>
            </w:r>
            <w:proofErr w:type="spellEnd"/>
          </w:p>
        </w:tc>
      </w:tr>
      <w:tr w:rsidR="00B11E09" w:rsidRPr="007E5430" w14:paraId="18905119" w14:textId="77777777" w:rsidTr="004306AE">
        <w:tc>
          <w:tcPr>
            <w:tcW w:w="279" w:type="dxa"/>
            <w:vMerge/>
            <w:tcBorders>
              <w:left w:val="single" w:sz="4" w:space="0" w:color="FFFFFF" w:themeColor="background1"/>
              <w:right w:val="single" w:sz="4" w:space="0" w:color="FFFFFF" w:themeColor="background1"/>
            </w:tcBorders>
          </w:tcPr>
          <w:p w14:paraId="4CA30515" w14:textId="77777777" w:rsidR="00B11E09" w:rsidRPr="007E5430" w:rsidRDefault="00B11E09" w:rsidP="004306AE">
            <w:pPr>
              <w:jc w:val="left"/>
              <w:rPr>
                <w:rFonts w:cs="Calibri"/>
                <w:sz w:val="20"/>
                <w:szCs w:val="20"/>
              </w:rPr>
            </w:pPr>
          </w:p>
        </w:tc>
        <w:tc>
          <w:tcPr>
            <w:tcW w:w="4572" w:type="dxa"/>
            <w:vMerge/>
            <w:tcBorders>
              <w:left w:val="single" w:sz="4" w:space="0" w:color="FFFFFF" w:themeColor="background1"/>
              <w:right w:val="single" w:sz="4" w:space="0" w:color="FFFFFF" w:themeColor="background1"/>
            </w:tcBorders>
            <w:vAlign w:val="center"/>
          </w:tcPr>
          <w:p w14:paraId="2506CDB3" w14:textId="77777777" w:rsidR="00B11E09" w:rsidRPr="007E5430" w:rsidRDefault="00B11E09" w:rsidP="004306AE">
            <w:pPr>
              <w:jc w:val="left"/>
              <w:rPr>
                <w:rFonts w:cs="Calibri"/>
                <w:sz w:val="20"/>
                <w:szCs w:val="20"/>
              </w:rPr>
            </w:pPr>
          </w:p>
        </w:tc>
        <w:tc>
          <w:tcPr>
            <w:tcW w:w="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110E020E" w14:textId="77777777" w:rsidR="00B11E09" w:rsidRPr="007E5430" w:rsidRDefault="00B11E09" w:rsidP="004306AE">
            <w:pPr>
              <w:jc w:val="center"/>
              <w:rPr>
                <w:rFonts w:cs="Calibri"/>
                <w:sz w:val="20"/>
                <w:szCs w:val="20"/>
                <w:vertAlign w:val="subscript"/>
              </w:rPr>
            </w:pPr>
            <w:proofErr w:type="spellStart"/>
            <w:r w:rsidRPr="007E5430">
              <w:rPr>
                <w:rFonts w:cs="Calibri"/>
                <w:sz w:val="20"/>
                <w:szCs w:val="20"/>
              </w:rPr>
              <w:t>C</w:t>
            </w:r>
            <w:r w:rsidRPr="007E5430">
              <w:rPr>
                <w:rFonts w:cs="Calibri"/>
                <w:sz w:val="20"/>
                <w:szCs w:val="20"/>
                <w:vertAlign w:val="subscript"/>
              </w:rPr>
              <w:t>org</w:t>
            </w:r>
            <w:proofErr w:type="spellEnd"/>
          </w:p>
        </w:tc>
        <w:tc>
          <w:tcPr>
            <w:tcW w:w="7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61718523" w14:textId="77777777" w:rsidR="00B11E09" w:rsidRPr="007E5430" w:rsidRDefault="00B11E09" w:rsidP="004306AE">
            <w:pPr>
              <w:jc w:val="center"/>
              <w:rPr>
                <w:rFonts w:cs="Calibri"/>
                <w:sz w:val="20"/>
                <w:szCs w:val="20"/>
              </w:rPr>
            </w:pPr>
            <w:proofErr w:type="gramStart"/>
            <w:r w:rsidRPr="007E5430">
              <w:rPr>
                <w:rFonts w:cs="Calibri"/>
                <w:sz w:val="20"/>
                <w:szCs w:val="20"/>
              </w:rPr>
              <w:t>pH</w:t>
            </w:r>
            <w:proofErr w:type="gramEnd"/>
          </w:p>
        </w:tc>
        <w:tc>
          <w:tcPr>
            <w:tcW w:w="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5B0D7671" w14:textId="77777777" w:rsidR="00B11E09" w:rsidRPr="007E5430" w:rsidRDefault="00B11E09" w:rsidP="004306AE">
            <w:pPr>
              <w:jc w:val="center"/>
              <w:rPr>
                <w:rFonts w:cs="Calibri"/>
                <w:sz w:val="20"/>
                <w:szCs w:val="20"/>
              </w:rPr>
            </w:pPr>
            <w:r w:rsidRPr="007E5430">
              <w:rPr>
                <w:rFonts w:cs="Calibri"/>
                <w:sz w:val="20"/>
                <w:szCs w:val="20"/>
              </w:rPr>
              <w:t>CEC</w:t>
            </w:r>
          </w:p>
        </w:tc>
        <w:tc>
          <w:tcPr>
            <w:tcW w:w="7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2E85A804" w14:textId="77777777" w:rsidR="00B11E09" w:rsidRPr="007E5430" w:rsidRDefault="00B11E09" w:rsidP="004306AE">
            <w:pPr>
              <w:jc w:val="center"/>
              <w:rPr>
                <w:rFonts w:cs="Calibri"/>
                <w:sz w:val="20"/>
                <w:szCs w:val="20"/>
              </w:rPr>
            </w:pPr>
            <w:proofErr w:type="gramStart"/>
            <w:r w:rsidRPr="007E5430">
              <w:rPr>
                <w:rFonts w:cs="Calibri"/>
                <w:sz w:val="20"/>
                <w:szCs w:val="20"/>
              </w:rPr>
              <w:t>argile</w:t>
            </w:r>
            <w:proofErr w:type="gramEnd"/>
          </w:p>
        </w:tc>
        <w:tc>
          <w:tcPr>
            <w:tcW w:w="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588B688F" w14:textId="77777777" w:rsidR="00B11E09" w:rsidRPr="007E5430" w:rsidRDefault="00B11E09" w:rsidP="004306AE">
            <w:pPr>
              <w:jc w:val="center"/>
              <w:rPr>
                <w:rFonts w:cs="Calibri"/>
                <w:sz w:val="20"/>
                <w:szCs w:val="20"/>
              </w:rPr>
            </w:pPr>
            <w:r w:rsidRPr="007E5430">
              <w:rPr>
                <w:rFonts w:cs="Calibri"/>
                <w:sz w:val="20"/>
                <w:szCs w:val="20"/>
              </w:rPr>
              <w:t>CE</w:t>
            </w:r>
          </w:p>
        </w:tc>
        <w:tc>
          <w:tcPr>
            <w:tcW w:w="7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77371E3F" w14:textId="77777777" w:rsidR="00B11E09" w:rsidRPr="007E5430" w:rsidRDefault="00B11E09" w:rsidP="004306AE">
            <w:pPr>
              <w:jc w:val="center"/>
              <w:rPr>
                <w:rFonts w:cs="Calibri"/>
                <w:sz w:val="20"/>
                <w:szCs w:val="20"/>
              </w:rPr>
            </w:pPr>
            <w:r w:rsidRPr="007E5430">
              <w:rPr>
                <w:rFonts w:cs="Calibri"/>
                <w:sz w:val="20"/>
                <w:szCs w:val="20"/>
              </w:rPr>
              <w:t>FeO</w:t>
            </w:r>
          </w:p>
        </w:tc>
      </w:tr>
      <w:tr w:rsidR="00B11E09" w:rsidRPr="007E5430" w14:paraId="686202FA" w14:textId="77777777" w:rsidTr="004306AE">
        <w:trPr>
          <w:trHeight w:val="313"/>
        </w:trPr>
        <w:tc>
          <w:tcPr>
            <w:tcW w:w="279" w:type="dxa"/>
            <w:vMerge w:val="restart"/>
            <w:textDirection w:val="btLr"/>
            <w:vAlign w:val="center"/>
          </w:tcPr>
          <w:p w14:paraId="7383E972" w14:textId="77777777" w:rsidR="00B11E09" w:rsidRPr="007E5430" w:rsidRDefault="00B11E09" w:rsidP="004306AE">
            <w:pPr>
              <w:ind w:left="113" w:right="113"/>
              <w:jc w:val="center"/>
              <w:rPr>
                <w:rFonts w:cs="Calibri"/>
                <w:sz w:val="20"/>
                <w:szCs w:val="20"/>
              </w:rPr>
            </w:pPr>
            <w:r w:rsidRPr="007E5430">
              <w:rPr>
                <w:rFonts w:cs="Calibri"/>
                <w:sz w:val="20"/>
                <w:szCs w:val="20"/>
              </w:rPr>
              <w:t xml:space="preserve">Inorganiques </w:t>
            </w:r>
            <w:r w:rsidRPr="008A2380">
              <w:rPr>
                <w:rFonts w:cs="Calibri"/>
                <w:sz w:val="20"/>
                <w:szCs w:val="20"/>
              </w:rPr>
              <w:t>(</w:t>
            </w:r>
            <w:r w:rsidRPr="008A2380">
              <w:rPr>
                <w:rFonts w:cs="Calibri"/>
                <w:i/>
                <w:iCs/>
                <w:sz w:val="20"/>
                <w:szCs w:val="20"/>
              </w:rPr>
              <w:t>PI</w:t>
            </w:r>
            <w:r w:rsidRPr="008A2380">
              <w:rPr>
                <w:rFonts w:cs="Calibri"/>
                <w:sz w:val="20"/>
                <w:szCs w:val="20"/>
              </w:rPr>
              <w:t>)</w:t>
            </w:r>
          </w:p>
        </w:tc>
        <w:tc>
          <w:tcPr>
            <w:tcW w:w="4572" w:type="dxa"/>
            <w:vAlign w:val="center"/>
          </w:tcPr>
          <w:p w14:paraId="269FB18D" w14:textId="77777777" w:rsidR="00B11E09" w:rsidRPr="007E5430" w:rsidRDefault="00B11E09" w:rsidP="004306AE">
            <w:pPr>
              <w:jc w:val="left"/>
              <w:rPr>
                <w:rFonts w:cs="Calibri"/>
                <w:sz w:val="20"/>
                <w:szCs w:val="20"/>
              </w:rPr>
            </w:pPr>
            <w:r w:rsidRPr="007E5430">
              <w:rPr>
                <w:rFonts w:cs="Calibri"/>
                <w:sz w:val="20"/>
                <w:szCs w:val="20"/>
              </w:rPr>
              <w:t>Arsenic</w:t>
            </w:r>
          </w:p>
        </w:tc>
        <w:tc>
          <w:tcPr>
            <w:tcW w:w="701" w:type="dxa"/>
            <w:tcBorders>
              <w:top w:val="single" w:sz="4" w:space="0" w:color="FFFFFF" w:themeColor="background1"/>
            </w:tcBorders>
            <w:vAlign w:val="center"/>
          </w:tcPr>
          <w:p w14:paraId="576B40DE" w14:textId="77777777" w:rsidR="00B11E09" w:rsidRPr="007E5430" w:rsidRDefault="00B11E09" w:rsidP="004306AE">
            <w:pPr>
              <w:jc w:val="center"/>
            </w:pPr>
          </w:p>
        </w:tc>
        <w:tc>
          <w:tcPr>
            <w:tcW w:w="702" w:type="dxa"/>
            <w:tcBorders>
              <w:top w:val="single" w:sz="4" w:space="0" w:color="FFFFFF" w:themeColor="background1"/>
            </w:tcBorders>
            <w:vAlign w:val="center"/>
          </w:tcPr>
          <w:p w14:paraId="48A46BE6" w14:textId="77777777" w:rsidR="00B11E09" w:rsidRPr="007E5430" w:rsidRDefault="00B11E09" w:rsidP="004306AE">
            <w:pPr>
              <w:jc w:val="center"/>
            </w:pPr>
          </w:p>
        </w:tc>
        <w:tc>
          <w:tcPr>
            <w:tcW w:w="701" w:type="dxa"/>
            <w:tcBorders>
              <w:top w:val="single" w:sz="4" w:space="0" w:color="FFFFFF" w:themeColor="background1"/>
            </w:tcBorders>
            <w:vAlign w:val="center"/>
          </w:tcPr>
          <w:p w14:paraId="66CC3BEE" w14:textId="77777777" w:rsidR="00B11E09" w:rsidRPr="007E5430" w:rsidRDefault="00B11E09" w:rsidP="004306AE">
            <w:pPr>
              <w:jc w:val="center"/>
            </w:pPr>
            <w:proofErr w:type="gramStart"/>
            <w:r>
              <w:t>x</w:t>
            </w:r>
            <w:proofErr w:type="gramEnd"/>
          </w:p>
        </w:tc>
        <w:tc>
          <w:tcPr>
            <w:tcW w:w="702" w:type="dxa"/>
            <w:tcBorders>
              <w:top w:val="single" w:sz="4" w:space="0" w:color="FFFFFF" w:themeColor="background1"/>
            </w:tcBorders>
            <w:vAlign w:val="center"/>
          </w:tcPr>
          <w:p w14:paraId="44241072" w14:textId="77777777" w:rsidR="00B11E09" w:rsidRPr="007E5430" w:rsidRDefault="00B11E09" w:rsidP="004306AE">
            <w:pPr>
              <w:jc w:val="center"/>
            </w:pPr>
          </w:p>
        </w:tc>
        <w:tc>
          <w:tcPr>
            <w:tcW w:w="701" w:type="dxa"/>
            <w:tcBorders>
              <w:top w:val="single" w:sz="4" w:space="0" w:color="FFFFFF" w:themeColor="background1"/>
            </w:tcBorders>
            <w:vAlign w:val="center"/>
          </w:tcPr>
          <w:p w14:paraId="3697D056" w14:textId="77777777" w:rsidR="00B11E09" w:rsidRPr="007E5430" w:rsidRDefault="00B11E09" w:rsidP="004306AE">
            <w:pPr>
              <w:jc w:val="center"/>
            </w:pPr>
            <w:proofErr w:type="gramStart"/>
            <w:r>
              <w:t>x</w:t>
            </w:r>
            <w:proofErr w:type="gramEnd"/>
          </w:p>
        </w:tc>
        <w:tc>
          <w:tcPr>
            <w:tcW w:w="702" w:type="dxa"/>
            <w:tcBorders>
              <w:top w:val="single" w:sz="4" w:space="0" w:color="FFFFFF" w:themeColor="background1"/>
            </w:tcBorders>
            <w:vAlign w:val="center"/>
          </w:tcPr>
          <w:p w14:paraId="792054CC" w14:textId="77777777" w:rsidR="00B11E09" w:rsidRPr="007E5430" w:rsidRDefault="00B11E09" w:rsidP="004306AE">
            <w:pPr>
              <w:jc w:val="center"/>
            </w:pPr>
            <w:proofErr w:type="gramStart"/>
            <w:r>
              <w:t>x</w:t>
            </w:r>
            <w:proofErr w:type="gramEnd"/>
          </w:p>
        </w:tc>
      </w:tr>
      <w:tr w:rsidR="00B11E09" w:rsidRPr="007E5430" w14:paraId="598B8D07" w14:textId="77777777" w:rsidTr="004306AE">
        <w:trPr>
          <w:trHeight w:val="313"/>
        </w:trPr>
        <w:tc>
          <w:tcPr>
            <w:tcW w:w="279" w:type="dxa"/>
            <w:vMerge/>
          </w:tcPr>
          <w:p w14:paraId="13192E2E" w14:textId="77777777" w:rsidR="00B11E09" w:rsidRPr="007E5430" w:rsidRDefault="00B11E09" w:rsidP="004306AE">
            <w:pPr>
              <w:jc w:val="left"/>
              <w:rPr>
                <w:rFonts w:cs="Calibri"/>
                <w:sz w:val="20"/>
                <w:szCs w:val="20"/>
              </w:rPr>
            </w:pPr>
          </w:p>
        </w:tc>
        <w:tc>
          <w:tcPr>
            <w:tcW w:w="4572" w:type="dxa"/>
            <w:vAlign w:val="center"/>
          </w:tcPr>
          <w:p w14:paraId="480D49C4" w14:textId="77777777" w:rsidR="00B11E09" w:rsidRPr="007E5430" w:rsidRDefault="00B11E09" w:rsidP="004306AE">
            <w:pPr>
              <w:jc w:val="left"/>
              <w:rPr>
                <w:rFonts w:cs="Calibri"/>
                <w:sz w:val="20"/>
                <w:szCs w:val="20"/>
              </w:rPr>
            </w:pPr>
            <w:r w:rsidRPr="007E5430">
              <w:rPr>
                <w:rFonts w:cs="Calibri"/>
                <w:sz w:val="20"/>
                <w:szCs w:val="20"/>
              </w:rPr>
              <w:t>Cadmium</w:t>
            </w:r>
          </w:p>
        </w:tc>
        <w:tc>
          <w:tcPr>
            <w:tcW w:w="701" w:type="dxa"/>
            <w:vAlign w:val="center"/>
          </w:tcPr>
          <w:p w14:paraId="40D3C0BD" w14:textId="77777777" w:rsidR="00B11E09" w:rsidRPr="00936B70" w:rsidRDefault="00B11E09" w:rsidP="004306AE">
            <w:pPr>
              <w:jc w:val="center"/>
            </w:pPr>
            <w:proofErr w:type="gramStart"/>
            <w:r>
              <w:t>x</w:t>
            </w:r>
            <w:proofErr w:type="gramEnd"/>
          </w:p>
        </w:tc>
        <w:tc>
          <w:tcPr>
            <w:tcW w:w="702" w:type="dxa"/>
            <w:vAlign w:val="center"/>
          </w:tcPr>
          <w:p w14:paraId="1695F904" w14:textId="77777777" w:rsidR="00B11E09" w:rsidRPr="00936B70" w:rsidRDefault="00B11E09" w:rsidP="004306AE">
            <w:pPr>
              <w:jc w:val="center"/>
            </w:pPr>
            <w:proofErr w:type="gramStart"/>
            <w:r w:rsidRPr="00936B70">
              <w:t>x</w:t>
            </w:r>
            <w:proofErr w:type="gramEnd"/>
          </w:p>
        </w:tc>
        <w:tc>
          <w:tcPr>
            <w:tcW w:w="701" w:type="dxa"/>
            <w:vAlign w:val="center"/>
          </w:tcPr>
          <w:p w14:paraId="127EC694" w14:textId="77777777" w:rsidR="00B11E09" w:rsidRPr="00936B70" w:rsidRDefault="00B11E09" w:rsidP="004306AE">
            <w:pPr>
              <w:jc w:val="center"/>
            </w:pPr>
          </w:p>
        </w:tc>
        <w:tc>
          <w:tcPr>
            <w:tcW w:w="702" w:type="dxa"/>
            <w:vAlign w:val="center"/>
          </w:tcPr>
          <w:p w14:paraId="2494D11E" w14:textId="77777777" w:rsidR="00B11E09" w:rsidRPr="00936B70" w:rsidRDefault="00B11E09" w:rsidP="004306AE">
            <w:pPr>
              <w:jc w:val="center"/>
            </w:pPr>
            <w:proofErr w:type="gramStart"/>
            <w:r>
              <w:t>x</w:t>
            </w:r>
            <w:proofErr w:type="gramEnd"/>
          </w:p>
        </w:tc>
        <w:tc>
          <w:tcPr>
            <w:tcW w:w="701" w:type="dxa"/>
            <w:vAlign w:val="center"/>
          </w:tcPr>
          <w:p w14:paraId="7C272BF5" w14:textId="77777777" w:rsidR="00B11E09" w:rsidRPr="00936B70" w:rsidRDefault="00B11E09" w:rsidP="004306AE">
            <w:pPr>
              <w:jc w:val="center"/>
            </w:pPr>
          </w:p>
        </w:tc>
        <w:tc>
          <w:tcPr>
            <w:tcW w:w="702" w:type="dxa"/>
            <w:vAlign w:val="center"/>
          </w:tcPr>
          <w:p w14:paraId="05CE61D3" w14:textId="77777777" w:rsidR="00B11E09" w:rsidRPr="00936B70" w:rsidRDefault="00B11E09" w:rsidP="004306AE">
            <w:pPr>
              <w:jc w:val="center"/>
            </w:pPr>
          </w:p>
        </w:tc>
      </w:tr>
      <w:tr w:rsidR="00B11E09" w:rsidRPr="007E5430" w14:paraId="1EA5E7D6" w14:textId="77777777" w:rsidTr="004306AE">
        <w:trPr>
          <w:trHeight w:val="313"/>
        </w:trPr>
        <w:tc>
          <w:tcPr>
            <w:tcW w:w="279" w:type="dxa"/>
            <w:vMerge/>
          </w:tcPr>
          <w:p w14:paraId="59AE3A48" w14:textId="77777777" w:rsidR="00B11E09" w:rsidRPr="007E5430" w:rsidRDefault="00B11E09" w:rsidP="004306AE">
            <w:pPr>
              <w:jc w:val="left"/>
              <w:rPr>
                <w:rFonts w:cs="Calibri"/>
                <w:sz w:val="20"/>
                <w:szCs w:val="20"/>
              </w:rPr>
            </w:pPr>
          </w:p>
        </w:tc>
        <w:tc>
          <w:tcPr>
            <w:tcW w:w="4572" w:type="dxa"/>
            <w:vAlign w:val="center"/>
          </w:tcPr>
          <w:p w14:paraId="0BFEB5D9" w14:textId="77777777" w:rsidR="00B11E09" w:rsidRPr="007E5430" w:rsidRDefault="00B11E09" w:rsidP="004306AE">
            <w:pPr>
              <w:jc w:val="left"/>
              <w:rPr>
                <w:rFonts w:cs="Calibri"/>
                <w:sz w:val="20"/>
                <w:szCs w:val="20"/>
              </w:rPr>
            </w:pPr>
            <w:r w:rsidRPr="007E5430">
              <w:rPr>
                <w:rFonts w:cs="Calibri"/>
                <w:sz w:val="20"/>
                <w:szCs w:val="20"/>
              </w:rPr>
              <w:t>Chrome</w:t>
            </w:r>
          </w:p>
        </w:tc>
        <w:tc>
          <w:tcPr>
            <w:tcW w:w="701" w:type="dxa"/>
            <w:vAlign w:val="center"/>
          </w:tcPr>
          <w:p w14:paraId="45930991" w14:textId="77777777" w:rsidR="00B11E09" w:rsidRPr="00936B70" w:rsidRDefault="00B11E09" w:rsidP="004306AE">
            <w:pPr>
              <w:jc w:val="center"/>
            </w:pPr>
          </w:p>
        </w:tc>
        <w:tc>
          <w:tcPr>
            <w:tcW w:w="702" w:type="dxa"/>
            <w:vAlign w:val="center"/>
          </w:tcPr>
          <w:p w14:paraId="34E2E14F" w14:textId="77777777" w:rsidR="00B11E09" w:rsidRPr="00936B70" w:rsidRDefault="00B11E09" w:rsidP="004306AE">
            <w:pPr>
              <w:jc w:val="center"/>
            </w:pPr>
            <w:proofErr w:type="gramStart"/>
            <w:r>
              <w:t>x</w:t>
            </w:r>
            <w:proofErr w:type="gramEnd"/>
          </w:p>
        </w:tc>
        <w:tc>
          <w:tcPr>
            <w:tcW w:w="701" w:type="dxa"/>
            <w:vAlign w:val="center"/>
          </w:tcPr>
          <w:p w14:paraId="7EEA612C" w14:textId="77777777" w:rsidR="00B11E09" w:rsidRPr="00936B70" w:rsidRDefault="00B11E09" w:rsidP="004306AE">
            <w:pPr>
              <w:jc w:val="center"/>
            </w:pPr>
          </w:p>
        </w:tc>
        <w:tc>
          <w:tcPr>
            <w:tcW w:w="702" w:type="dxa"/>
            <w:vAlign w:val="center"/>
          </w:tcPr>
          <w:p w14:paraId="009ECE26" w14:textId="77777777" w:rsidR="00B11E09" w:rsidRPr="00936B70" w:rsidRDefault="00B11E09" w:rsidP="004306AE">
            <w:pPr>
              <w:jc w:val="center"/>
            </w:pPr>
            <w:proofErr w:type="gramStart"/>
            <w:r>
              <w:t>x</w:t>
            </w:r>
            <w:proofErr w:type="gramEnd"/>
          </w:p>
        </w:tc>
        <w:tc>
          <w:tcPr>
            <w:tcW w:w="701" w:type="dxa"/>
            <w:vAlign w:val="center"/>
          </w:tcPr>
          <w:p w14:paraId="67573057" w14:textId="77777777" w:rsidR="00B11E09" w:rsidRPr="00936B70" w:rsidRDefault="00B11E09" w:rsidP="004306AE">
            <w:pPr>
              <w:jc w:val="center"/>
            </w:pPr>
            <w:proofErr w:type="gramStart"/>
            <w:r>
              <w:t>x</w:t>
            </w:r>
            <w:proofErr w:type="gramEnd"/>
          </w:p>
        </w:tc>
        <w:tc>
          <w:tcPr>
            <w:tcW w:w="702" w:type="dxa"/>
            <w:vAlign w:val="center"/>
          </w:tcPr>
          <w:p w14:paraId="16E65DB7" w14:textId="77777777" w:rsidR="00B11E09" w:rsidRPr="00936B70" w:rsidRDefault="00B11E09" w:rsidP="004306AE">
            <w:pPr>
              <w:jc w:val="center"/>
            </w:pPr>
          </w:p>
        </w:tc>
      </w:tr>
      <w:tr w:rsidR="00B11E09" w:rsidRPr="007E5430" w14:paraId="54D8912C" w14:textId="77777777" w:rsidTr="004306AE">
        <w:trPr>
          <w:trHeight w:val="313"/>
        </w:trPr>
        <w:tc>
          <w:tcPr>
            <w:tcW w:w="279" w:type="dxa"/>
            <w:vMerge/>
          </w:tcPr>
          <w:p w14:paraId="5DBBB29D" w14:textId="77777777" w:rsidR="00B11E09" w:rsidRPr="007E5430" w:rsidRDefault="00B11E09" w:rsidP="004306AE">
            <w:pPr>
              <w:jc w:val="left"/>
              <w:rPr>
                <w:rFonts w:cs="Calibri"/>
                <w:sz w:val="20"/>
                <w:szCs w:val="20"/>
              </w:rPr>
            </w:pPr>
          </w:p>
        </w:tc>
        <w:tc>
          <w:tcPr>
            <w:tcW w:w="4572" w:type="dxa"/>
            <w:vAlign w:val="center"/>
          </w:tcPr>
          <w:p w14:paraId="04C021E2" w14:textId="77777777" w:rsidR="00B11E09" w:rsidRPr="007E5430" w:rsidRDefault="00B11E09" w:rsidP="004306AE">
            <w:pPr>
              <w:jc w:val="left"/>
              <w:rPr>
                <w:rFonts w:cs="Calibri"/>
                <w:sz w:val="20"/>
                <w:szCs w:val="20"/>
              </w:rPr>
            </w:pPr>
            <w:r w:rsidRPr="007E5430">
              <w:rPr>
                <w:rFonts w:cs="Calibri"/>
                <w:sz w:val="20"/>
                <w:szCs w:val="20"/>
              </w:rPr>
              <w:t>Cuivre</w:t>
            </w:r>
          </w:p>
        </w:tc>
        <w:tc>
          <w:tcPr>
            <w:tcW w:w="701" w:type="dxa"/>
            <w:vAlign w:val="center"/>
          </w:tcPr>
          <w:p w14:paraId="59E07D58" w14:textId="77777777" w:rsidR="00B11E09" w:rsidRPr="00936B70" w:rsidRDefault="00B11E09" w:rsidP="004306AE">
            <w:pPr>
              <w:jc w:val="center"/>
            </w:pPr>
          </w:p>
        </w:tc>
        <w:tc>
          <w:tcPr>
            <w:tcW w:w="702" w:type="dxa"/>
            <w:vAlign w:val="center"/>
          </w:tcPr>
          <w:p w14:paraId="1435732F" w14:textId="77777777" w:rsidR="00B11E09" w:rsidRPr="00936B70" w:rsidRDefault="00B11E09" w:rsidP="004306AE">
            <w:pPr>
              <w:jc w:val="center"/>
            </w:pPr>
            <w:proofErr w:type="gramStart"/>
            <w:r>
              <w:t>x</w:t>
            </w:r>
            <w:proofErr w:type="gramEnd"/>
          </w:p>
        </w:tc>
        <w:tc>
          <w:tcPr>
            <w:tcW w:w="701" w:type="dxa"/>
            <w:vAlign w:val="center"/>
          </w:tcPr>
          <w:p w14:paraId="6190A039" w14:textId="77777777" w:rsidR="00B11E09" w:rsidRPr="00936B70" w:rsidRDefault="00B11E09" w:rsidP="004306AE">
            <w:pPr>
              <w:jc w:val="center"/>
            </w:pPr>
          </w:p>
        </w:tc>
        <w:tc>
          <w:tcPr>
            <w:tcW w:w="702" w:type="dxa"/>
            <w:vAlign w:val="center"/>
          </w:tcPr>
          <w:p w14:paraId="045F95DC" w14:textId="77777777" w:rsidR="00B11E09" w:rsidRPr="00936B70" w:rsidRDefault="00B11E09" w:rsidP="004306AE">
            <w:pPr>
              <w:jc w:val="center"/>
            </w:pPr>
          </w:p>
        </w:tc>
        <w:tc>
          <w:tcPr>
            <w:tcW w:w="701" w:type="dxa"/>
            <w:vAlign w:val="center"/>
          </w:tcPr>
          <w:p w14:paraId="6204C2A8" w14:textId="77777777" w:rsidR="00B11E09" w:rsidRPr="00936B70" w:rsidRDefault="00B11E09" w:rsidP="004306AE">
            <w:pPr>
              <w:jc w:val="center"/>
            </w:pPr>
          </w:p>
        </w:tc>
        <w:tc>
          <w:tcPr>
            <w:tcW w:w="702" w:type="dxa"/>
            <w:vAlign w:val="center"/>
          </w:tcPr>
          <w:p w14:paraId="6BAC8789" w14:textId="77777777" w:rsidR="00B11E09" w:rsidRPr="00936B70" w:rsidRDefault="00B11E09" w:rsidP="004306AE">
            <w:pPr>
              <w:jc w:val="center"/>
            </w:pPr>
            <w:proofErr w:type="gramStart"/>
            <w:r>
              <w:t>x</w:t>
            </w:r>
            <w:proofErr w:type="gramEnd"/>
          </w:p>
        </w:tc>
      </w:tr>
      <w:tr w:rsidR="00B11E09" w:rsidRPr="007E5430" w14:paraId="6B598A97" w14:textId="77777777" w:rsidTr="004306AE">
        <w:trPr>
          <w:trHeight w:val="313"/>
        </w:trPr>
        <w:tc>
          <w:tcPr>
            <w:tcW w:w="279" w:type="dxa"/>
            <w:vMerge/>
          </w:tcPr>
          <w:p w14:paraId="13462F50" w14:textId="77777777" w:rsidR="00B11E09" w:rsidRPr="007E5430" w:rsidRDefault="00B11E09" w:rsidP="004306AE">
            <w:pPr>
              <w:jc w:val="left"/>
              <w:rPr>
                <w:rFonts w:cs="Calibri"/>
                <w:sz w:val="20"/>
                <w:szCs w:val="20"/>
              </w:rPr>
            </w:pPr>
          </w:p>
        </w:tc>
        <w:tc>
          <w:tcPr>
            <w:tcW w:w="4572" w:type="dxa"/>
            <w:vAlign w:val="center"/>
          </w:tcPr>
          <w:p w14:paraId="0691B9E0" w14:textId="77777777" w:rsidR="00B11E09" w:rsidRPr="007E5430" w:rsidRDefault="00B11E09" w:rsidP="004306AE">
            <w:pPr>
              <w:jc w:val="left"/>
              <w:rPr>
                <w:rFonts w:cs="Calibri"/>
                <w:sz w:val="20"/>
                <w:szCs w:val="20"/>
              </w:rPr>
            </w:pPr>
            <w:r w:rsidRPr="007E5430">
              <w:rPr>
                <w:rFonts w:cs="Calibri"/>
                <w:sz w:val="20"/>
                <w:szCs w:val="20"/>
              </w:rPr>
              <w:t xml:space="preserve">Nickel, </w:t>
            </w:r>
            <w:r>
              <w:rPr>
                <w:rFonts w:cs="Calibri"/>
                <w:sz w:val="20"/>
                <w:szCs w:val="20"/>
              </w:rPr>
              <w:t>p</w:t>
            </w:r>
            <w:r w:rsidRPr="007E5430">
              <w:rPr>
                <w:rFonts w:cs="Calibri"/>
                <w:sz w:val="20"/>
                <w:szCs w:val="20"/>
              </w:rPr>
              <w:t xml:space="preserve">lomb, </w:t>
            </w:r>
            <w:r>
              <w:rPr>
                <w:rFonts w:cs="Calibri"/>
                <w:sz w:val="20"/>
                <w:szCs w:val="20"/>
              </w:rPr>
              <w:t>z</w:t>
            </w:r>
            <w:r w:rsidRPr="007E5430">
              <w:rPr>
                <w:rFonts w:cs="Calibri"/>
                <w:sz w:val="20"/>
                <w:szCs w:val="20"/>
              </w:rPr>
              <w:t>inc</w:t>
            </w:r>
          </w:p>
        </w:tc>
        <w:tc>
          <w:tcPr>
            <w:tcW w:w="701" w:type="dxa"/>
            <w:vAlign w:val="center"/>
          </w:tcPr>
          <w:p w14:paraId="1F94877D" w14:textId="77777777" w:rsidR="00B11E09" w:rsidRPr="00936B70" w:rsidRDefault="00B11E09" w:rsidP="004306AE">
            <w:pPr>
              <w:jc w:val="center"/>
            </w:pPr>
          </w:p>
        </w:tc>
        <w:tc>
          <w:tcPr>
            <w:tcW w:w="702" w:type="dxa"/>
            <w:vAlign w:val="center"/>
          </w:tcPr>
          <w:p w14:paraId="201E9A55" w14:textId="77777777" w:rsidR="00B11E09" w:rsidRPr="00936B70" w:rsidRDefault="00B11E09" w:rsidP="004306AE">
            <w:pPr>
              <w:jc w:val="center"/>
            </w:pPr>
            <w:proofErr w:type="gramStart"/>
            <w:r>
              <w:t>x</w:t>
            </w:r>
            <w:proofErr w:type="gramEnd"/>
          </w:p>
        </w:tc>
        <w:tc>
          <w:tcPr>
            <w:tcW w:w="701" w:type="dxa"/>
            <w:vAlign w:val="center"/>
          </w:tcPr>
          <w:p w14:paraId="51137323" w14:textId="77777777" w:rsidR="00B11E09" w:rsidRPr="00936B70" w:rsidRDefault="00B11E09" w:rsidP="004306AE">
            <w:pPr>
              <w:jc w:val="center"/>
            </w:pPr>
          </w:p>
        </w:tc>
        <w:tc>
          <w:tcPr>
            <w:tcW w:w="702" w:type="dxa"/>
            <w:vAlign w:val="center"/>
          </w:tcPr>
          <w:p w14:paraId="7234F1C2" w14:textId="77777777" w:rsidR="00B11E09" w:rsidRPr="00936B70" w:rsidRDefault="00B11E09" w:rsidP="004306AE">
            <w:pPr>
              <w:jc w:val="center"/>
            </w:pPr>
            <w:proofErr w:type="gramStart"/>
            <w:r>
              <w:t>x</w:t>
            </w:r>
            <w:proofErr w:type="gramEnd"/>
          </w:p>
        </w:tc>
        <w:tc>
          <w:tcPr>
            <w:tcW w:w="701" w:type="dxa"/>
            <w:vAlign w:val="center"/>
          </w:tcPr>
          <w:p w14:paraId="742B9CD4" w14:textId="77777777" w:rsidR="00B11E09" w:rsidRPr="00936B70" w:rsidRDefault="00B11E09" w:rsidP="004306AE">
            <w:pPr>
              <w:jc w:val="center"/>
            </w:pPr>
          </w:p>
        </w:tc>
        <w:tc>
          <w:tcPr>
            <w:tcW w:w="702" w:type="dxa"/>
            <w:vAlign w:val="center"/>
          </w:tcPr>
          <w:p w14:paraId="482C6CDF" w14:textId="77777777" w:rsidR="00B11E09" w:rsidRPr="00936B70" w:rsidRDefault="00B11E09" w:rsidP="004306AE">
            <w:pPr>
              <w:jc w:val="center"/>
            </w:pPr>
          </w:p>
        </w:tc>
      </w:tr>
      <w:tr w:rsidR="00B11E09" w:rsidRPr="007E5430" w14:paraId="30705C4B" w14:textId="77777777" w:rsidTr="004306AE">
        <w:tc>
          <w:tcPr>
            <w:tcW w:w="279" w:type="dxa"/>
            <w:vMerge w:val="restart"/>
          </w:tcPr>
          <w:p w14:paraId="6526AC0E" w14:textId="77777777" w:rsidR="00B11E09" w:rsidRPr="007E5430" w:rsidRDefault="00B11E09" w:rsidP="004306AE">
            <w:pPr>
              <w:jc w:val="left"/>
              <w:rPr>
                <w:rFonts w:cs="Calibri"/>
                <w:sz w:val="20"/>
                <w:szCs w:val="20"/>
              </w:rPr>
            </w:pPr>
          </w:p>
        </w:tc>
        <w:tc>
          <w:tcPr>
            <w:tcW w:w="4572" w:type="dxa"/>
            <w:vAlign w:val="center"/>
          </w:tcPr>
          <w:p w14:paraId="17A36FD4" w14:textId="77777777" w:rsidR="00B11E09" w:rsidRPr="007E5430" w:rsidRDefault="00B11E09" w:rsidP="004306AE">
            <w:pPr>
              <w:jc w:val="left"/>
              <w:rPr>
                <w:rFonts w:cs="Calibri"/>
                <w:sz w:val="20"/>
                <w:szCs w:val="20"/>
              </w:rPr>
            </w:pPr>
            <w:r w:rsidRPr="007E5430">
              <w:rPr>
                <w:rFonts w:cs="Calibri"/>
                <w:sz w:val="20"/>
                <w:szCs w:val="20"/>
              </w:rPr>
              <w:t>Organiques hydrophobes non-ionisants</w:t>
            </w:r>
            <w:r>
              <w:rPr>
                <w:rFonts w:cs="Calibri"/>
                <w:sz w:val="20"/>
                <w:szCs w:val="20"/>
              </w:rPr>
              <w:t xml:space="preserve"> (</w:t>
            </w:r>
            <w:r w:rsidRPr="00C204D2">
              <w:rPr>
                <w:i/>
                <w:iCs/>
              </w:rPr>
              <w:t>P</w:t>
            </w:r>
            <w:r>
              <w:rPr>
                <w:i/>
                <w:iCs/>
              </w:rPr>
              <w:t>OHNI)</w:t>
            </w:r>
          </w:p>
        </w:tc>
        <w:tc>
          <w:tcPr>
            <w:tcW w:w="701" w:type="dxa"/>
            <w:vAlign w:val="center"/>
          </w:tcPr>
          <w:p w14:paraId="7405CA37" w14:textId="77777777" w:rsidR="00B11E09" w:rsidRPr="00936B70" w:rsidRDefault="00B11E09" w:rsidP="004306AE">
            <w:pPr>
              <w:jc w:val="center"/>
            </w:pPr>
            <w:proofErr w:type="gramStart"/>
            <w:r>
              <w:t>x</w:t>
            </w:r>
            <w:proofErr w:type="gramEnd"/>
          </w:p>
        </w:tc>
        <w:tc>
          <w:tcPr>
            <w:tcW w:w="702" w:type="dxa"/>
            <w:vAlign w:val="center"/>
          </w:tcPr>
          <w:p w14:paraId="1D2B94A5" w14:textId="77777777" w:rsidR="00B11E09" w:rsidRPr="00936B70" w:rsidRDefault="00B11E09" w:rsidP="004306AE">
            <w:pPr>
              <w:jc w:val="center"/>
            </w:pPr>
          </w:p>
        </w:tc>
        <w:tc>
          <w:tcPr>
            <w:tcW w:w="701" w:type="dxa"/>
            <w:vAlign w:val="center"/>
          </w:tcPr>
          <w:p w14:paraId="2BF250BD" w14:textId="77777777" w:rsidR="00B11E09" w:rsidRPr="00936B70" w:rsidRDefault="00B11E09" w:rsidP="004306AE">
            <w:pPr>
              <w:jc w:val="center"/>
            </w:pPr>
          </w:p>
        </w:tc>
        <w:tc>
          <w:tcPr>
            <w:tcW w:w="702" w:type="dxa"/>
            <w:vAlign w:val="center"/>
          </w:tcPr>
          <w:p w14:paraId="0A10317D" w14:textId="77777777" w:rsidR="00B11E09" w:rsidRPr="00936B70" w:rsidRDefault="00B11E09" w:rsidP="004306AE">
            <w:pPr>
              <w:jc w:val="center"/>
            </w:pPr>
          </w:p>
        </w:tc>
        <w:tc>
          <w:tcPr>
            <w:tcW w:w="701" w:type="dxa"/>
            <w:vAlign w:val="center"/>
          </w:tcPr>
          <w:p w14:paraId="2A473F2F" w14:textId="77777777" w:rsidR="00B11E09" w:rsidRPr="00936B70" w:rsidRDefault="00B11E09" w:rsidP="004306AE">
            <w:pPr>
              <w:jc w:val="center"/>
            </w:pPr>
          </w:p>
        </w:tc>
        <w:tc>
          <w:tcPr>
            <w:tcW w:w="702" w:type="dxa"/>
            <w:vAlign w:val="center"/>
          </w:tcPr>
          <w:p w14:paraId="0A4FBF73" w14:textId="77777777" w:rsidR="00B11E09" w:rsidRPr="00936B70" w:rsidRDefault="00B11E09" w:rsidP="004306AE">
            <w:pPr>
              <w:jc w:val="center"/>
            </w:pPr>
          </w:p>
        </w:tc>
      </w:tr>
      <w:tr w:rsidR="00B11E09" w:rsidRPr="007E5430" w14:paraId="7F1E5A4D" w14:textId="77777777" w:rsidTr="004306AE">
        <w:tc>
          <w:tcPr>
            <w:tcW w:w="279" w:type="dxa"/>
            <w:vMerge/>
          </w:tcPr>
          <w:p w14:paraId="619187F4" w14:textId="77777777" w:rsidR="00B11E09" w:rsidRPr="007E5430" w:rsidRDefault="00B11E09" w:rsidP="004306AE">
            <w:pPr>
              <w:jc w:val="left"/>
              <w:rPr>
                <w:rFonts w:cs="Calibri"/>
                <w:sz w:val="20"/>
                <w:szCs w:val="20"/>
              </w:rPr>
            </w:pPr>
          </w:p>
        </w:tc>
        <w:tc>
          <w:tcPr>
            <w:tcW w:w="4572" w:type="dxa"/>
            <w:vAlign w:val="center"/>
          </w:tcPr>
          <w:p w14:paraId="27198C42" w14:textId="77777777" w:rsidR="00B11E09" w:rsidRPr="007E5430" w:rsidRDefault="00B11E09" w:rsidP="004306AE">
            <w:pPr>
              <w:jc w:val="left"/>
              <w:rPr>
                <w:rFonts w:cs="Calibri"/>
                <w:sz w:val="20"/>
                <w:szCs w:val="20"/>
              </w:rPr>
            </w:pPr>
            <w:r w:rsidRPr="007E5430">
              <w:rPr>
                <w:rFonts w:cs="Calibri"/>
                <w:sz w:val="20"/>
                <w:szCs w:val="20"/>
              </w:rPr>
              <w:t>Organiques hydrophobes ionisants</w:t>
            </w:r>
            <w:r>
              <w:rPr>
                <w:rFonts w:cs="Calibri"/>
                <w:sz w:val="20"/>
                <w:szCs w:val="20"/>
              </w:rPr>
              <w:t xml:space="preserve"> (</w:t>
            </w:r>
            <w:r w:rsidRPr="00C204D2">
              <w:rPr>
                <w:i/>
                <w:iCs/>
              </w:rPr>
              <w:t>P</w:t>
            </w:r>
            <w:r>
              <w:rPr>
                <w:i/>
                <w:iCs/>
              </w:rPr>
              <w:t>OHI)</w:t>
            </w:r>
          </w:p>
        </w:tc>
        <w:tc>
          <w:tcPr>
            <w:tcW w:w="701" w:type="dxa"/>
            <w:vAlign w:val="center"/>
          </w:tcPr>
          <w:p w14:paraId="1A269A0B" w14:textId="77777777" w:rsidR="00B11E09" w:rsidRPr="007E5430" w:rsidRDefault="00B11E09" w:rsidP="004306AE">
            <w:pPr>
              <w:jc w:val="center"/>
            </w:pPr>
          </w:p>
        </w:tc>
        <w:tc>
          <w:tcPr>
            <w:tcW w:w="702" w:type="dxa"/>
            <w:vAlign w:val="center"/>
          </w:tcPr>
          <w:p w14:paraId="55F05835" w14:textId="77777777" w:rsidR="00B11E09" w:rsidRPr="007E5430" w:rsidRDefault="00B11E09" w:rsidP="004306AE">
            <w:pPr>
              <w:jc w:val="center"/>
            </w:pPr>
            <w:proofErr w:type="gramStart"/>
            <w:r>
              <w:t>x</w:t>
            </w:r>
            <w:proofErr w:type="gramEnd"/>
          </w:p>
        </w:tc>
        <w:tc>
          <w:tcPr>
            <w:tcW w:w="701" w:type="dxa"/>
            <w:vAlign w:val="center"/>
          </w:tcPr>
          <w:p w14:paraId="0074DCA6" w14:textId="77777777" w:rsidR="00B11E09" w:rsidRPr="007E5430" w:rsidRDefault="00B11E09" w:rsidP="004306AE">
            <w:pPr>
              <w:jc w:val="center"/>
            </w:pPr>
          </w:p>
        </w:tc>
        <w:tc>
          <w:tcPr>
            <w:tcW w:w="702" w:type="dxa"/>
            <w:vAlign w:val="center"/>
          </w:tcPr>
          <w:p w14:paraId="1E41754B" w14:textId="77777777" w:rsidR="00B11E09" w:rsidRPr="007E5430" w:rsidRDefault="00B11E09" w:rsidP="004306AE">
            <w:pPr>
              <w:jc w:val="center"/>
            </w:pPr>
          </w:p>
        </w:tc>
        <w:tc>
          <w:tcPr>
            <w:tcW w:w="701" w:type="dxa"/>
            <w:vAlign w:val="center"/>
          </w:tcPr>
          <w:p w14:paraId="503D7F6F" w14:textId="77777777" w:rsidR="00B11E09" w:rsidRPr="007E5430" w:rsidRDefault="00B11E09" w:rsidP="004306AE">
            <w:pPr>
              <w:jc w:val="center"/>
            </w:pPr>
          </w:p>
        </w:tc>
        <w:tc>
          <w:tcPr>
            <w:tcW w:w="702" w:type="dxa"/>
            <w:vAlign w:val="center"/>
          </w:tcPr>
          <w:p w14:paraId="624EABB6" w14:textId="77777777" w:rsidR="00B11E09" w:rsidRPr="007E5430" w:rsidRDefault="00B11E09" w:rsidP="004306AE">
            <w:pPr>
              <w:jc w:val="center"/>
            </w:pPr>
          </w:p>
        </w:tc>
      </w:tr>
    </w:tbl>
    <w:p w14:paraId="4A7B3F79" w14:textId="77777777" w:rsidR="00B11E09" w:rsidRDefault="00B11E09" w:rsidP="00B11E09"/>
    <w:p w14:paraId="753ED667" w14:textId="1669FB87" w:rsidR="00B11E09" w:rsidRPr="00D06A2F" w:rsidRDefault="00B11E09" w:rsidP="00B11E09">
      <w:pPr>
        <w:rPr>
          <w:i/>
          <w:iCs/>
        </w:rPr>
      </w:pPr>
      <w:r w:rsidRPr="00D06A2F">
        <w:rPr>
          <w:i/>
          <w:iCs/>
        </w:rPr>
        <w:t xml:space="preserve">N.B. : Parmi ces paramètres, CE (la conductivité électrique) et FeO (teneur en fer extractible à l’oxalate d’ammonium) ne sont pas mesurés par l’IQSW-pro. Les valeurs génériques présentées dans le </w:t>
      </w:r>
      <w:r w:rsidR="00BF0A96" w:rsidRPr="00A250D5">
        <w:rPr>
          <w:i/>
          <w:iCs/>
        </w:rPr>
        <w:fldChar w:fldCharType="begin"/>
      </w:r>
      <w:r w:rsidR="00BF0A96" w:rsidRPr="00A250D5">
        <w:rPr>
          <w:i/>
          <w:iCs/>
        </w:rPr>
        <w:instrText xml:space="preserve"> REF _Ref233122030 \h </w:instrText>
      </w:r>
      <w:r w:rsidR="00A250D5" w:rsidRPr="00A250D5">
        <w:rPr>
          <w:i/>
          <w:iCs/>
        </w:rPr>
        <w:instrText xml:space="preserve"> \* MERGEFORMAT </w:instrText>
      </w:r>
      <w:r w:rsidR="00BF0A96" w:rsidRPr="00A250D5">
        <w:rPr>
          <w:i/>
          <w:iCs/>
        </w:rPr>
      </w:r>
      <w:r w:rsidR="00BF0A96" w:rsidRPr="00A250D5">
        <w:rPr>
          <w:i/>
          <w:iCs/>
        </w:rPr>
        <w:fldChar w:fldCharType="separate"/>
      </w:r>
      <w:r w:rsidR="00A250D5" w:rsidRPr="00A250D5">
        <w:rPr>
          <w:i/>
          <w:iCs/>
        </w:rPr>
        <w:t xml:space="preserve">Tableau </w:t>
      </w:r>
      <w:r w:rsidR="00A250D5" w:rsidRPr="00A250D5">
        <w:rPr>
          <w:i/>
          <w:iCs/>
          <w:noProof/>
        </w:rPr>
        <w:t>17</w:t>
      </w:r>
      <w:r w:rsidR="00BF0A96" w:rsidRPr="00A250D5">
        <w:rPr>
          <w:i/>
          <w:iCs/>
        </w:rPr>
        <w:fldChar w:fldCharType="end"/>
      </w:r>
      <w:r w:rsidR="00E06367" w:rsidRPr="00A250D5">
        <w:rPr>
          <w:i/>
          <w:iCs/>
        </w:rPr>
        <w:t xml:space="preserve"> </w:t>
      </w:r>
      <w:r w:rsidRPr="00A250D5">
        <w:rPr>
          <w:i/>
          <w:iCs/>
        </w:rPr>
        <w:t xml:space="preserve">pour </w:t>
      </w:r>
      <w:r w:rsidRPr="00D06A2F">
        <w:rPr>
          <w:i/>
          <w:iCs/>
        </w:rPr>
        <w:t>ces paramètres leur sont dès lors attribuées par défaut.</w:t>
      </w:r>
    </w:p>
    <w:p w14:paraId="06B41845" w14:textId="77B70992" w:rsidR="00B11E09" w:rsidRDefault="00B11E09" w:rsidP="00B11E09">
      <w:r>
        <w:t>Les autres paramètres pédologiques pris en compte dans le calcul de VS</w:t>
      </w:r>
      <w:r>
        <w:rPr>
          <w:vertAlign w:val="subscript"/>
        </w:rPr>
        <w:t>N ajustée</w:t>
      </w:r>
      <w:r>
        <w:t xml:space="preserve"> sont, en plus des paramètres listés </w:t>
      </w:r>
      <w:r w:rsidR="008D4CDF">
        <w:t xml:space="preserve">dans le </w:t>
      </w:r>
      <w:r w:rsidR="00BF0A96" w:rsidRPr="00A250D5">
        <w:fldChar w:fldCharType="begin"/>
      </w:r>
      <w:r w:rsidR="00BF0A96" w:rsidRPr="00A250D5">
        <w:instrText xml:space="preserve"> REF _Ref233122049 \h </w:instrText>
      </w:r>
      <w:r w:rsidR="00A250D5" w:rsidRPr="00A250D5">
        <w:instrText xml:space="preserve"> \* MERGEFORMAT </w:instrText>
      </w:r>
      <w:r w:rsidR="00BF0A96" w:rsidRPr="00A250D5">
        <w:fldChar w:fldCharType="separate"/>
      </w:r>
      <w:r w:rsidR="00A250D5" w:rsidRPr="00A250D5">
        <w:t xml:space="preserve">Tableau </w:t>
      </w:r>
      <w:r w:rsidR="00A250D5" w:rsidRPr="00A250D5">
        <w:rPr>
          <w:noProof/>
        </w:rPr>
        <w:t>16</w:t>
      </w:r>
      <w:r w:rsidR="00BF0A96" w:rsidRPr="00A250D5">
        <w:fldChar w:fldCharType="end"/>
      </w:r>
      <w:r w:rsidR="00BF0A96" w:rsidRPr="00A250D5">
        <w:t xml:space="preserve"> </w:t>
      </w:r>
      <w:r w:rsidRPr="00A250D5">
        <w:t>:</w:t>
      </w:r>
    </w:p>
    <w:p w14:paraId="4613C371" w14:textId="4F26E19F" w:rsidR="00B11E09" w:rsidRDefault="00B11E09" w:rsidP="00876101">
      <w:pPr>
        <w:pStyle w:val="Paragraphedeliste"/>
        <w:numPr>
          <w:ilvl w:val="0"/>
          <w:numId w:val="4"/>
        </w:numPr>
      </w:pPr>
      <w:r>
        <w:t>La masse volumique apparente de la terre</w:t>
      </w:r>
      <w:r w:rsidR="00CD79A7">
        <w:t xml:space="preserve"> fine,</w:t>
      </w:r>
    </w:p>
    <w:p w14:paraId="7F3D9E9D" w14:textId="77777777" w:rsidR="00B11E09" w:rsidRPr="007F47F3" w:rsidRDefault="00B11E09" w:rsidP="00876101">
      <w:pPr>
        <w:pStyle w:val="Paragraphedeliste"/>
        <w:numPr>
          <w:ilvl w:val="0"/>
          <w:numId w:val="4"/>
        </w:numPr>
      </w:pPr>
      <w:r>
        <w:t>La charge volumique en éléments grossiers %</w:t>
      </w:r>
      <w:r>
        <w:rPr>
          <w:vertAlign w:val="subscript"/>
        </w:rPr>
        <w:t>EG</w:t>
      </w:r>
      <w:r>
        <w:t xml:space="preserve">, prise en compte au niveau de </w:t>
      </w:r>
      <w:proofErr w:type="spellStart"/>
      <w:r>
        <w:t>f</w:t>
      </w:r>
      <w:r>
        <w:rPr>
          <w:vertAlign w:val="subscript"/>
        </w:rPr>
        <w:t>ads</w:t>
      </w:r>
      <w:proofErr w:type="spellEnd"/>
      <w:r>
        <w:t>.</w:t>
      </w:r>
    </w:p>
    <w:p w14:paraId="3D912A09" w14:textId="77777777" w:rsidR="00882B27" w:rsidRDefault="00882B27" w:rsidP="00882B27"/>
    <w:p w14:paraId="6E9ABBBA" w14:textId="77777777" w:rsidR="00882B27" w:rsidRDefault="00882B27" w:rsidP="00876101">
      <w:pPr>
        <w:pStyle w:val="Titre3"/>
        <w:numPr>
          <w:ilvl w:val="2"/>
          <w:numId w:val="3"/>
        </w:numPr>
      </w:pPr>
      <w:bookmarkStart w:id="188" w:name="_Toc241505347"/>
      <w:r>
        <w:t>Pertinence</w:t>
      </w:r>
      <w:bookmarkEnd w:id="188"/>
    </w:p>
    <w:p w14:paraId="500D07C3" w14:textId="5D2B71F4" w:rsidR="00882B27" w:rsidRDefault="004D3F7C" w:rsidP="00882B27">
      <w:r>
        <w:t>Évaluer la capacité maximale du sol à retenir les polluants permet d</w:t>
      </w:r>
      <w:r w:rsidR="00417110">
        <w:t xml:space="preserve">’estimer </w:t>
      </w:r>
      <w:r w:rsidR="00233DB8">
        <w:t xml:space="preserve">la capacité du sol à agir comme une matrice filtrante pour </w:t>
      </w:r>
      <w:r w:rsidR="00FA51EC">
        <w:t>ces composés</w:t>
      </w:r>
      <w:r w:rsidR="00233DB8">
        <w:t>, et donc son influence sur l’amélioration de la qualité des eaux souterraines.</w:t>
      </w:r>
      <w:r w:rsidR="00FA51EC">
        <w:t xml:space="preserve"> </w:t>
      </w:r>
      <w:r w:rsidR="008E7C1B">
        <w:t xml:space="preserve">L’utilisation d’un outil tiré du Décret sols permet </w:t>
      </w:r>
      <w:r w:rsidR="27E198AB">
        <w:t>d’avoir une cohérence entre les outils wallons existants</w:t>
      </w:r>
      <w:r w:rsidR="008E7C1B">
        <w:t>.</w:t>
      </w:r>
    </w:p>
    <w:p w14:paraId="7A4819C2" w14:textId="77777777" w:rsidR="00882B27" w:rsidRDefault="00882B27" w:rsidP="00876101">
      <w:pPr>
        <w:pStyle w:val="Titre3"/>
        <w:numPr>
          <w:ilvl w:val="2"/>
          <w:numId w:val="3"/>
        </w:numPr>
      </w:pPr>
      <w:bookmarkStart w:id="189" w:name="_Toc241505348"/>
      <w:r>
        <w:t>Interprétation</w:t>
      </w:r>
      <w:bookmarkEnd w:id="189"/>
    </w:p>
    <w:p w14:paraId="7F180383" w14:textId="663777F7" w:rsidR="00B11E09" w:rsidRPr="005A77EC" w:rsidRDefault="00B11E09" w:rsidP="005A77EC">
      <w:pPr>
        <w:pStyle w:val="Titre4"/>
        <w:numPr>
          <w:ilvl w:val="0"/>
          <w:numId w:val="0"/>
        </w:numPr>
        <w:rPr>
          <w:vertAlign w:val="subscript"/>
        </w:rPr>
      </w:pPr>
      <w:proofErr w:type="spellStart"/>
      <w:r w:rsidRPr="005A77EC">
        <w:rPr>
          <w:rStyle w:val="Titre6Car"/>
          <w:i w:val="0"/>
          <w:iCs/>
          <w:color w:val="000000" w:themeColor="text1"/>
        </w:rPr>
        <w:t>Rétention</w:t>
      </w:r>
      <w:r w:rsidR="005A77EC">
        <w:rPr>
          <w:rStyle w:val="Titre6Car"/>
          <w:i w:val="0"/>
          <w:iCs/>
          <w:color w:val="000000" w:themeColor="text1"/>
          <w:vertAlign w:val="subscript"/>
        </w:rPr>
        <w:t>qualité</w:t>
      </w:r>
      <w:proofErr w:type="spellEnd"/>
    </w:p>
    <w:p w14:paraId="574BC30E" w14:textId="0A60600B" w:rsidR="00B11E09" w:rsidRDefault="00B11E09" w:rsidP="00B11E09">
      <w:r>
        <w:t>Pour chaque polluant, une fonction d’interprétation est construite sur base des valeurs de risque VS</w:t>
      </w:r>
      <w:r>
        <w:rPr>
          <w:vertAlign w:val="subscript"/>
        </w:rPr>
        <w:t>N</w:t>
      </w:r>
      <w:r w:rsidR="54A391CF" w:rsidRPr="6CB535F6">
        <w:rPr>
          <w:vertAlign w:val="subscript"/>
        </w:rPr>
        <w:t>,</w:t>
      </w:r>
      <w:r>
        <w:t xml:space="preserve"> simulées dans différentes configurations :</w:t>
      </w:r>
    </w:p>
    <w:p w14:paraId="1086E3B4" w14:textId="77777777" w:rsidR="00B11E09" w:rsidRDefault="00B11E09" w:rsidP="00876101">
      <w:pPr>
        <w:pStyle w:val="Paragraphedeliste"/>
        <w:numPr>
          <w:ilvl w:val="0"/>
          <w:numId w:val="6"/>
        </w:numPr>
      </w:pPr>
      <w:r>
        <w:t>La borne minimale de la fonction (score = 0) est fixée par la VS</w:t>
      </w:r>
      <w:r w:rsidRPr="003F0EB2">
        <w:rPr>
          <w:vertAlign w:val="subscript"/>
        </w:rPr>
        <w:t xml:space="preserve">N </w:t>
      </w:r>
      <w:r>
        <w:t>« générique » (calculée en attribuant des valeurs par défaut aux paramètres pédologiques en fonction du type d’usage). La valeur minimale parmi les cinq types d’usages est sélectionnée (VS</w:t>
      </w:r>
      <w:r>
        <w:rPr>
          <w:vertAlign w:val="subscript"/>
        </w:rPr>
        <w:t xml:space="preserve">N </w:t>
      </w:r>
      <w:proofErr w:type="spellStart"/>
      <w:r>
        <w:rPr>
          <w:vertAlign w:val="subscript"/>
        </w:rPr>
        <w:t>gén</w:t>
      </w:r>
      <w:proofErr w:type="spellEnd"/>
      <w:r>
        <w:rPr>
          <w:vertAlign w:val="subscript"/>
        </w:rPr>
        <w:t xml:space="preserve"> min</w:t>
      </w:r>
      <w:r>
        <w:t>).</w:t>
      </w:r>
    </w:p>
    <w:p w14:paraId="4A2E5B58" w14:textId="4456E076" w:rsidR="00B11E09" w:rsidRDefault="00B11E09" w:rsidP="00876101">
      <w:pPr>
        <w:pStyle w:val="Paragraphedeliste"/>
        <w:numPr>
          <w:ilvl w:val="0"/>
          <w:numId w:val="6"/>
        </w:numPr>
      </w:pPr>
      <w:r>
        <w:t>La borne maximale de la fonction (score = 5) est fixée par la VS</w:t>
      </w:r>
      <w:r>
        <w:rPr>
          <w:vertAlign w:val="subscript"/>
        </w:rPr>
        <w:t>N ajustée optimale</w:t>
      </w:r>
      <w:r>
        <w:t>, c’est-à-dire une VS</w:t>
      </w:r>
      <w:r>
        <w:rPr>
          <w:vertAlign w:val="subscript"/>
        </w:rPr>
        <w:t>N ajustée</w:t>
      </w:r>
      <w:r>
        <w:t xml:space="preserve"> simulée en optimisant le principal paramètre dynamique intervenant dans son calcul, </w:t>
      </w:r>
      <w:proofErr w:type="spellStart"/>
      <w:r>
        <w:t>C</w:t>
      </w:r>
      <w:r>
        <w:rPr>
          <w:vertAlign w:val="subscript"/>
        </w:rPr>
        <w:t>org</w:t>
      </w:r>
      <w:proofErr w:type="spellEnd"/>
      <w:r>
        <w:t>, en lui attribuant une valeur considérée « optimale » de 2 %. Les autres paramètres sol se voient attribuer les valeurs génériques optimales indiquées dans le</w:t>
      </w:r>
      <w:r w:rsidR="00A250D5">
        <w:t xml:space="preserve"> </w:t>
      </w:r>
      <w:r w:rsidR="00A250D5" w:rsidRPr="00A250D5">
        <w:fldChar w:fldCharType="begin"/>
      </w:r>
      <w:r w:rsidR="00A250D5" w:rsidRPr="00A250D5">
        <w:instrText xml:space="preserve"> REF _Ref233122030 \h  \* MERGEFORMAT </w:instrText>
      </w:r>
      <w:r w:rsidR="00A250D5" w:rsidRPr="00A250D5">
        <w:fldChar w:fldCharType="separate"/>
      </w:r>
      <w:r w:rsidR="00A250D5" w:rsidRPr="00A250D5">
        <w:t xml:space="preserve">Tableau </w:t>
      </w:r>
      <w:r w:rsidR="00A250D5" w:rsidRPr="00A250D5">
        <w:rPr>
          <w:noProof/>
        </w:rPr>
        <w:t>17</w:t>
      </w:r>
      <w:r w:rsidR="00A250D5" w:rsidRPr="00A250D5">
        <w:fldChar w:fldCharType="end"/>
      </w:r>
      <w:r w:rsidRPr="00A250D5">
        <w:t>.</w:t>
      </w:r>
    </w:p>
    <w:p w14:paraId="6F731AFA" w14:textId="14A9344D" w:rsidR="00B11E09" w:rsidRPr="00D450BB" w:rsidRDefault="00B11E09" w:rsidP="00B11E09">
      <w:pPr>
        <w:pStyle w:val="Lgende"/>
        <w:keepNext/>
        <w:ind w:left="720"/>
        <w:jc w:val="center"/>
        <w:rPr>
          <w:i w:val="0"/>
          <w:iCs w:val="0"/>
        </w:rPr>
      </w:pPr>
      <w:bookmarkStart w:id="190" w:name="_Ref233122030"/>
      <w:bookmarkStart w:id="191" w:name="_Toc233122673"/>
      <w:r w:rsidRPr="00D450BB">
        <w:rPr>
          <w:i w:val="0"/>
          <w:iCs w:val="0"/>
        </w:rPr>
        <w:t xml:space="preserve">Tableau </w:t>
      </w:r>
      <w:r w:rsidRPr="00D450BB">
        <w:rPr>
          <w:i w:val="0"/>
          <w:iCs w:val="0"/>
        </w:rPr>
        <w:fldChar w:fldCharType="begin"/>
      </w:r>
      <w:r w:rsidRPr="00D450BB">
        <w:rPr>
          <w:i w:val="0"/>
          <w:iCs w:val="0"/>
        </w:rPr>
        <w:instrText xml:space="preserve"> SEQ Tableau \* ARABIC </w:instrText>
      </w:r>
      <w:r w:rsidRPr="00D450BB">
        <w:rPr>
          <w:i w:val="0"/>
          <w:iCs w:val="0"/>
        </w:rPr>
        <w:fldChar w:fldCharType="separate"/>
      </w:r>
      <w:r w:rsidR="00A250D5">
        <w:rPr>
          <w:i w:val="0"/>
          <w:iCs w:val="0"/>
          <w:noProof/>
        </w:rPr>
        <w:t>17</w:t>
      </w:r>
      <w:r w:rsidRPr="00D450BB">
        <w:rPr>
          <w:i w:val="0"/>
          <w:iCs w:val="0"/>
        </w:rPr>
        <w:fldChar w:fldCharType="end"/>
      </w:r>
      <w:bookmarkEnd w:id="190"/>
      <w:r w:rsidRPr="00D450BB">
        <w:rPr>
          <w:i w:val="0"/>
          <w:iCs w:val="0"/>
        </w:rPr>
        <w:t xml:space="preserve"> : Valeur optimale attribuée à chacun des paramètres pédologiques </w:t>
      </w:r>
      <w:r>
        <w:rPr>
          <w:i w:val="0"/>
          <w:iCs w:val="0"/>
        </w:rPr>
        <w:t>pour</w:t>
      </w:r>
      <w:r w:rsidRPr="00D450BB">
        <w:rPr>
          <w:i w:val="0"/>
          <w:iCs w:val="0"/>
        </w:rPr>
        <w:t xml:space="preserve"> le calcul de VS</w:t>
      </w:r>
      <w:r w:rsidRPr="00D450BB">
        <w:rPr>
          <w:i w:val="0"/>
          <w:iCs w:val="0"/>
          <w:vertAlign w:val="subscript"/>
        </w:rPr>
        <w:t>N ajustée optimale</w:t>
      </w:r>
      <w:bookmarkEnd w:id="191"/>
    </w:p>
    <w:tbl>
      <w:tblPr>
        <w:tblStyle w:val="Grilledutableau"/>
        <w:tblW w:w="0" w:type="auto"/>
        <w:jc w:val="center"/>
        <w:tblCellMar>
          <w:top w:w="28" w:type="dxa"/>
          <w:bottom w:w="28" w:type="dxa"/>
        </w:tblCellMar>
        <w:tblLook w:val="04A0" w:firstRow="1" w:lastRow="0" w:firstColumn="1" w:lastColumn="0" w:noHBand="0" w:noVBand="1"/>
      </w:tblPr>
      <w:tblGrid>
        <w:gridCol w:w="988"/>
        <w:gridCol w:w="1275"/>
        <w:gridCol w:w="1701"/>
        <w:gridCol w:w="993"/>
        <w:gridCol w:w="4103"/>
      </w:tblGrid>
      <w:tr w:rsidR="00B11E09" w:rsidRPr="00A75F28" w14:paraId="33B5D535" w14:textId="77777777" w:rsidTr="004306AE">
        <w:trPr>
          <w:trHeight w:val="498"/>
          <w:jc w:val="center"/>
        </w:trPr>
        <w:tc>
          <w:tcPr>
            <w:tcW w:w="2263" w:type="dxa"/>
            <w:gridSpan w:val="2"/>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2DDEEB1F" w14:textId="77777777" w:rsidR="00B11E09" w:rsidRPr="00A75F28" w:rsidRDefault="00B11E09" w:rsidP="004306AE">
            <w:pPr>
              <w:jc w:val="center"/>
              <w:rPr>
                <w:rFonts w:cs="Calibri"/>
                <w:sz w:val="20"/>
                <w:szCs w:val="20"/>
              </w:rPr>
            </w:pPr>
            <w:r w:rsidRPr="00A75F28">
              <w:rPr>
                <w:rFonts w:cs="Calibri"/>
                <w:sz w:val="20"/>
                <w:szCs w:val="20"/>
              </w:rPr>
              <w:t>Utilisation</w:t>
            </w:r>
          </w:p>
        </w:tc>
        <w:tc>
          <w:tcPr>
            <w:tcW w:w="1701" w:type="dxa"/>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5BEED94E" w14:textId="77777777" w:rsidR="00B11E09" w:rsidRPr="00A75F28" w:rsidRDefault="00B11E09" w:rsidP="004306AE">
            <w:pPr>
              <w:jc w:val="center"/>
              <w:rPr>
                <w:rFonts w:cs="Calibri"/>
                <w:sz w:val="20"/>
                <w:szCs w:val="20"/>
              </w:rPr>
            </w:pPr>
            <w:r w:rsidRPr="00A75F28">
              <w:rPr>
                <w:rFonts w:cs="Calibri"/>
                <w:sz w:val="20"/>
                <w:szCs w:val="20"/>
              </w:rPr>
              <w:t>Paramètre</w:t>
            </w:r>
          </w:p>
        </w:tc>
        <w:tc>
          <w:tcPr>
            <w:tcW w:w="993" w:type="dxa"/>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75136564" w14:textId="77777777" w:rsidR="00B11E09" w:rsidRPr="00A75F28" w:rsidRDefault="00B11E09" w:rsidP="004306AE">
            <w:pPr>
              <w:jc w:val="center"/>
              <w:rPr>
                <w:rFonts w:cs="Calibri"/>
                <w:sz w:val="20"/>
                <w:szCs w:val="20"/>
                <w:vertAlign w:val="subscript"/>
              </w:rPr>
            </w:pPr>
            <w:r w:rsidRPr="00A75F28">
              <w:rPr>
                <w:rFonts w:cs="Calibri"/>
                <w:sz w:val="20"/>
                <w:szCs w:val="20"/>
              </w:rPr>
              <w:t>Valeur attribuée</w:t>
            </w:r>
          </w:p>
        </w:tc>
        <w:tc>
          <w:tcPr>
            <w:tcW w:w="4103" w:type="dxa"/>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0425A84A" w14:textId="77777777" w:rsidR="00B11E09" w:rsidRPr="00A75F28" w:rsidRDefault="00B11E09" w:rsidP="004306AE">
            <w:pPr>
              <w:jc w:val="center"/>
              <w:rPr>
                <w:rFonts w:cs="Calibri"/>
                <w:sz w:val="20"/>
                <w:szCs w:val="20"/>
              </w:rPr>
            </w:pPr>
            <w:r w:rsidRPr="00A75F28">
              <w:rPr>
                <w:rFonts w:cs="Calibri"/>
                <w:sz w:val="20"/>
                <w:szCs w:val="20"/>
              </w:rPr>
              <w:t>Justification</w:t>
            </w:r>
          </w:p>
        </w:tc>
      </w:tr>
      <w:tr w:rsidR="00B11E09" w:rsidRPr="00A75F28" w14:paraId="525FD919" w14:textId="77777777" w:rsidTr="004306AE">
        <w:trPr>
          <w:jc w:val="center"/>
        </w:trPr>
        <w:tc>
          <w:tcPr>
            <w:tcW w:w="988" w:type="dxa"/>
            <w:vMerge w:val="restart"/>
            <w:vAlign w:val="center"/>
          </w:tcPr>
          <w:p w14:paraId="61C1202D" w14:textId="77777777" w:rsidR="00B11E09" w:rsidRPr="00A75F28" w:rsidRDefault="00B11E09" w:rsidP="004306AE">
            <w:pPr>
              <w:jc w:val="left"/>
              <w:rPr>
                <w:rFonts w:cs="Calibri"/>
                <w:sz w:val="20"/>
                <w:szCs w:val="20"/>
              </w:rPr>
            </w:pPr>
            <w:r w:rsidRPr="00A75F28">
              <w:rPr>
                <w:rFonts w:cs="Calibri"/>
                <w:sz w:val="20"/>
                <w:szCs w:val="20"/>
              </w:rPr>
              <w:t xml:space="preserve">Calcul </w:t>
            </w:r>
            <w:proofErr w:type="spellStart"/>
            <w:r w:rsidRPr="00A75F28">
              <w:rPr>
                <w:rFonts w:cs="Calibri"/>
                <w:sz w:val="20"/>
                <w:szCs w:val="20"/>
              </w:rPr>
              <w:t>K</w:t>
            </w:r>
            <w:r w:rsidRPr="00A75F28">
              <w:rPr>
                <w:rFonts w:cs="Calibri"/>
                <w:sz w:val="20"/>
                <w:szCs w:val="20"/>
                <w:vertAlign w:val="subscript"/>
              </w:rPr>
              <w:t>d</w:t>
            </w:r>
            <w:proofErr w:type="spellEnd"/>
            <w:r w:rsidRPr="00A75F28">
              <w:rPr>
                <w:rFonts w:cs="Calibri"/>
                <w:sz w:val="20"/>
                <w:szCs w:val="20"/>
              </w:rPr>
              <w:t xml:space="preserve"> </w:t>
            </w:r>
          </w:p>
        </w:tc>
        <w:tc>
          <w:tcPr>
            <w:tcW w:w="1275" w:type="dxa"/>
          </w:tcPr>
          <w:p w14:paraId="48FC5AF4" w14:textId="77777777" w:rsidR="00B11E09" w:rsidRPr="00A75F28" w:rsidRDefault="00B11E09" w:rsidP="004306AE">
            <w:pPr>
              <w:jc w:val="left"/>
              <w:rPr>
                <w:rFonts w:cs="Calibri"/>
                <w:sz w:val="20"/>
                <w:szCs w:val="20"/>
              </w:rPr>
            </w:pPr>
            <w:r w:rsidRPr="00A75F28">
              <w:rPr>
                <w:rFonts w:cs="Calibri"/>
                <w:i/>
                <w:iCs/>
                <w:sz w:val="20"/>
                <w:szCs w:val="20"/>
              </w:rPr>
              <w:t>PI</w:t>
            </w:r>
            <w:r w:rsidRPr="00A75F28">
              <w:rPr>
                <w:rFonts w:cs="Calibri"/>
                <w:sz w:val="20"/>
                <w:szCs w:val="20"/>
              </w:rPr>
              <w:t xml:space="preserve"> et </w:t>
            </w:r>
            <w:r w:rsidRPr="00A75F28">
              <w:rPr>
                <w:rFonts w:cs="Calibri"/>
                <w:i/>
                <w:iCs/>
                <w:sz w:val="20"/>
                <w:szCs w:val="20"/>
              </w:rPr>
              <w:t>POHNI</w:t>
            </w:r>
          </w:p>
        </w:tc>
        <w:tc>
          <w:tcPr>
            <w:tcW w:w="1701" w:type="dxa"/>
            <w:vAlign w:val="center"/>
          </w:tcPr>
          <w:p w14:paraId="143A1F1B" w14:textId="77777777" w:rsidR="00B11E09" w:rsidRPr="00A75F28" w:rsidRDefault="00B11E09" w:rsidP="004306AE">
            <w:pPr>
              <w:jc w:val="left"/>
              <w:rPr>
                <w:rFonts w:cs="Calibri"/>
                <w:sz w:val="20"/>
                <w:szCs w:val="20"/>
              </w:rPr>
            </w:pPr>
            <w:proofErr w:type="spellStart"/>
            <w:r w:rsidRPr="00A75F28">
              <w:rPr>
                <w:rFonts w:cs="Calibri"/>
                <w:sz w:val="20"/>
                <w:szCs w:val="20"/>
              </w:rPr>
              <w:t>C</w:t>
            </w:r>
            <w:r w:rsidRPr="00A75F28">
              <w:rPr>
                <w:rFonts w:cs="Calibri"/>
                <w:sz w:val="20"/>
                <w:szCs w:val="20"/>
                <w:vertAlign w:val="subscript"/>
              </w:rPr>
              <w:t>org</w:t>
            </w:r>
            <w:proofErr w:type="spellEnd"/>
            <w:r w:rsidRPr="00A75F28">
              <w:rPr>
                <w:rFonts w:cs="Calibri"/>
                <w:sz w:val="20"/>
                <w:szCs w:val="20"/>
              </w:rPr>
              <w:t xml:space="preserve"> (%)</w:t>
            </w:r>
          </w:p>
        </w:tc>
        <w:tc>
          <w:tcPr>
            <w:tcW w:w="993" w:type="dxa"/>
            <w:tcBorders>
              <w:top w:val="single" w:sz="4" w:space="0" w:color="FFFFFF" w:themeColor="background1"/>
            </w:tcBorders>
            <w:vAlign w:val="center"/>
          </w:tcPr>
          <w:p w14:paraId="14C807D5" w14:textId="77777777" w:rsidR="00B11E09" w:rsidRPr="00A75F28" w:rsidRDefault="00B11E09" w:rsidP="004306AE">
            <w:pPr>
              <w:jc w:val="center"/>
              <w:rPr>
                <w:rFonts w:cs="Calibri"/>
                <w:sz w:val="20"/>
                <w:szCs w:val="20"/>
              </w:rPr>
            </w:pPr>
            <w:r w:rsidRPr="00A75F28">
              <w:rPr>
                <w:rFonts w:cs="Calibri"/>
                <w:sz w:val="20"/>
                <w:szCs w:val="20"/>
              </w:rPr>
              <w:t>2</w:t>
            </w:r>
          </w:p>
        </w:tc>
        <w:tc>
          <w:tcPr>
            <w:tcW w:w="4103" w:type="dxa"/>
            <w:tcBorders>
              <w:top w:val="single" w:sz="4" w:space="0" w:color="FFFFFF" w:themeColor="background1"/>
            </w:tcBorders>
          </w:tcPr>
          <w:p w14:paraId="58E1329F" w14:textId="1A591584" w:rsidR="00B11E09" w:rsidRPr="00A75F28" w:rsidRDefault="00306EC8" w:rsidP="004306AE">
            <w:pPr>
              <w:jc w:val="left"/>
              <w:rPr>
                <w:rFonts w:cs="Calibri"/>
                <w:sz w:val="20"/>
                <w:szCs w:val="20"/>
              </w:rPr>
            </w:pPr>
            <w:r w:rsidRPr="00306EC8">
              <w:rPr>
                <w:rFonts w:cs="Calibri"/>
                <w:sz w:val="20"/>
                <w:szCs w:val="20"/>
              </w:rPr>
              <w:t xml:space="preserve">Valeur cible </w:t>
            </w:r>
            <w:r w:rsidR="009B3EB5">
              <w:rPr>
                <w:rFonts w:cs="Calibri"/>
                <w:sz w:val="20"/>
                <w:szCs w:val="20"/>
              </w:rPr>
              <w:fldChar w:fldCharType="begin"/>
            </w:r>
            <w:r w:rsidR="009B3EB5">
              <w:rPr>
                <w:rFonts w:cs="Calibri"/>
                <w:sz w:val="20"/>
                <w:szCs w:val="20"/>
              </w:rPr>
              <w:instrText xml:space="preserve"> ADDIN ZOTERO_ITEM CSL_CITATION {"citationID":"TQEEudU0","properties":{"unsorted":false,"formattedCitation":"(Baritz et al., 2023)","plainCitation":"(Baritz et al., 2023)","noteIndex":0},"citationItems":[{"id":82,"uris":["http://zotero.org/groups/5684833/items/2R2SZSKQ"],"itemData":{"id":82,"type":"report","abstract":"This report describes the rationale for a series of common and broadly accepted soil health indicators to support policy. The focus is on soil threats, and indicators were selected in view of their appropriateness for assessing the condition of soil, its degradation, its resilience and its valuable services. For each indicator, a rationale is provided for using thresholds as critical limits to indicate that soil is in good condition, i.e. healthy soil, in respect of of specific soil functions and local conditions.","call-number":"TH-AL-22-018-EN-N","ISBN":"978-92-9480-538-6","language":"eng","number":"08/2022","publisher":"European Environment Agency","source":"Publications Office of the European Union","title":"Soil monitoring in Europe: indicators and thresholds for soil quality assessments","title-short":"Soil monitoring in Europe","URL":"https://data.europa.eu/doi/10.2800/956606","author":[{"family":"Baritz","given":"Rainer"},{"family":"Amelung","given":"Wulf"},{"family":"Trombetti","given":"Marco"},{"family":"Hijbeek","given":"Renske"},{"family":"Romkens","given":"Paul"},{"family":"Vries","given":"Wim","non-dropping-particle":"de"}],"accessed":{"date-parts":[["2024",9,27]]},"issued":{"date-parts":[["2023"]]}}}],"schema":"https://github.com/citation-style-language/schema/raw/master/csl-citation.json"} </w:instrText>
            </w:r>
            <w:r w:rsidR="009B3EB5">
              <w:rPr>
                <w:rFonts w:cs="Calibri"/>
                <w:sz w:val="20"/>
                <w:szCs w:val="20"/>
              </w:rPr>
              <w:fldChar w:fldCharType="separate"/>
            </w:r>
            <w:r w:rsidR="009B3EB5" w:rsidRPr="009B3EB5">
              <w:rPr>
                <w:rFonts w:cs="Calibri"/>
                <w:sz w:val="20"/>
              </w:rPr>
              <w:t>(Baritz et al., 2023)</w:t>
            </w:r>
            <w:r w:rsidR="009B3EB5">
              <w:rPr>
                <w:rFonts w:cs="Calibri"/>
                <w:sz w:val="20"/>
                <w:szCs w:val="20"/>
              </w:rPr>
              <w:fldChar w:fldCharType="end"/>
            </w:r>
          </w:p>
        </w:tc>
      </w:tr>
      <w:tr w:rsidR="00B11E09" w:rsidRPr="00A75F28" w14:paraId="6EFD47C2" w14:textId="77777777" w:rsidTr="004306AE">
        <w:trPr>
          <w:jc w:val="center"/>
        </w:trPr>
        <w:tc>
          <w:tcPr>
            <w:tcW w:w="988" w:type="dxa"/>
            <w:vMerge/>
          </w:tcPr>
          <w:p w14:paraId="42187E08" w14:textId="77777777" w:rsidR="00B11E09" w:rsidRPr="00A75F28" w:rsidRDefault="00B11E09" w:rsidP="004306AE">
            <w:pPr>
              <w:jc w:val="left"/>
              <w:rPr>
                <w:rFonts w:cs="Calibri"/>
                <w:sz w:val="20"/>
                <w:szCs w:val="20"/>
              </w:rPr>
            </w:pPr>
          </w:p>
        </w:tc>
        <w:tc>
          <w:tcPr>
            <w:tcW w:w="1275" w:type="dxa"/>
          </w:tcPr>
          <w:p w14:paraId="40A7CC9A" w14:textId="77777777" w:rsidR="00B11E09" w:rsidRPr="00A75F28" w:rsidRDefault="00B11E09" w:rsidP="004306AE">
            <w:pPr>
              <w:jc w:val="left"/>
              <w:rPr>
                <w:rFonts w:cs="Calibri"/>
                <w:sz w:val="20"/>
                <w:szCs w:val="20"/>
              </w:rPr>
            </w:pPr>
            <w:r w:rsidRPr="00A75F28">
              <w:rPr>
                <w:rFonts w:cs="Calibri"/>
                <w:i/>
                <w:iCs/>
                <w:sz w:val="20"/>
                <w:szCs w:val="20"/>
              </w:rPr>
              <w:t>PI</w:t>
            </w:r>
            <w:r w:rsidRPr="00A75F28">
              <w:rPr>
                <w:rFonts w:cs="Calibri"/>
                <w:sz w:val="20"/>
                <w:szCs w:val="20"/>
              </w:rPr>
              <w:t xml:space="preserve"> et </w:t>
            </w:r>
            <w:r w:rsidRPr="00A75F28">
              <w:rPr>
                <w:rFonts w:cs="Calibri"/>
                <w:i/>
                <w:iCs/>
                <w:sz w:val="20"/>
                <w:szCs w:val="20"/>
              </w:rPr>
              <w:t>POHI</w:t>
            </w:r>
          </w:p>
        </w:tc>
        <w:tc>
          <w:tcPr>
            <w:tcW w:w="1701" w:type="dxa"/>
            <w:vAlign w:val="center"/>
          </w:tcPr>
          <w:p w14:paraId="006105AB" w14:textId="77777777" w:rsidR="00B11E09" w:rsidRPr="00A75F28" w:rsidRDefault="00B11E09" w:rsidP="004306AE">
            <w:pPr>
              <w:jc w:val="left"/>
              <w:rPr>
                <w:rFonts w:cs="Calibri"/>
                <w:sz w:val="20"/>
                <w:szCs w:val="20"/>
              </w:rPr>
            </w:pPr>
            <w:proofErr w:type="gramStart"/>
            <w:r w:rsidRPr="00A75F28">
              <w:rPr>
                <w:rFonts w:cs="Calibri"/>
                <w:sz w:val="20"/>
                <w:szCs w:val="20"/>
              </w:rPr>
              <w:t>pH</w:t>
            </w:r>
            <w:proofErr w:type="gramEnd"/>
            <w:r w:rsidRPr="00A75F28">
              <w:rPr>
                <w:rFonts w:cs="Calibri"/>
                <w:sz w:val="20"/>
                <w:szCs w:val="20"/>
              </w:rPr>
              <w:t xml:space="preserve"> (-)</w:t>
            </w:r>
          </w:p>
        </w:tc>
        <w:tc>
          <w:tcPr>
            <w:tcW w:w="993" w:type="dxa"/>
            <w:vAlign w:val="center"/>
          </w:tcPr>
          <w:p w14:paraId="25231CCE" w14:textId="77777777" w:rsidR="00B11E09" w:rsidRPr="00A75F28" w:rsidRDefault="00B11E09" w:rsidP="004306AE">
            <w:pPr>
              <w:jc w:val="center"/>
              <w:rPr>
                <w:rFonts w:cs="Calibri"/>
                <w:sz w:val="20"/>
                <w:szCs w:val="20"/>
              </w:rPr>
            </w:pPr>
            <w:r w:rsidRPr="00A75F28">
              <w:rPr>
                <w:rFonts w:cs="Calibri"/>
                <w:sz w:val="20"/>
                <w:szCs w:val="20"/>
              </w:rPr>
              <w:t>6,1</w:t>
            </w:r>
          </w:p>
        </w:tc>
        <w:tc>
          <w:tcPr>
            <w:tcW w:w="4103" w:type="dxa"/>
            <w:vMerge w:val="restart"/>
            <w:vAlign w:val="center"/>
          </w:tcPr>
          <w:p w14:paraId="4F14E0B4" w14:textId="77777777" w:rsidR="00B11E09" w:rsidRPr="00A75F28" w:rsidRDefault="00B11E09" w:rsidP="004306AE">
            <w:pPr>
              <w:jc w:val="left"/>
              <w:rPr>
                <w:rFonts w:cs="Calibri"/>
                <w:sz w:val="20"/>
                <w:szCs w:val="20"/>
              </w:rPr>
            </w:pPr>
            <w:r w:rsidRPr="00A75F28">
              <w:rPr>
                <w:rFonts w:cs="Calibri"/>
                <w:sz w:val="20"/>
                <w:szCs w:val="20"/>
              </w:rPr>
              <w:t>Valeurs par défaut attribuées aux types d’usage II, III et IV (</w:t>
            </w:r>
            <w:r w:rsidRPr="002D03F1">
              <w:rPr>
                <w:rFonts w:cs="Calibri"/>
                <w:sz w:val="20"/>
                <w:szCs w:val="20"/>
              </w:rPr>
              <w:t>Tableau 1-2</w:t>
            </w:r>
            <w:r>
              <w:rPr>
                <w:rFonts w:cs="Calibri"/>
                <w:sz w:val="20"/>
                <w:szCs w:val="20"/>
              </w:rPr>
              <w:t xml:space="preserve">, </w:t>
            </w:r>
            <w:r w:rsidRPr="00A75F28">
              <w:rPr>
                <w:rFonts w:cs="Calibri"/>
                <w:sz w:val="20"/>
                <w:szCs w:val="20"/>
              </w:rPr>
              <w:t>Annexe C1 GRER)</w:t>
            </w:r>
          </w:p>
        </w:tc>
      </w:tr>
      <w:tr w:rsidR="00B11E09" w:rsidRPr="00A75F28" w14:paraId="1A09A355" w14:textId="77777777" w:rsidTr="004306AE">
        <w:trPr>
          <w:jc w:val="center"/>
        </w:trPr>
        <w:tc>
          <w:tcPr>
            <w:tcW w:w="988" w:type="dxa"/>
            <w:vMerge/>
            <w:vAlign w:val="center"/>
          </w:tcPr>
          <w:p w14:paraId="05B6CCAD" w14:textId="77777777" w:rsidR="00B11E09" w:rsidRPr="00A75F28" w:rsidRDefault="00B11E09" w:rsidP="004306AE">
            <w:pPr>
              <w:jc w:val="left"/>
              <w:rPr>
                <w:rFonts w:cs="Calibri"/>
                <w:sz w:val="20"/>
                <w:szCs w:val="20"/>
              </w:rPr>
            </w:pPr>
          </w:p>
        </w:tc>
        <w:tc>
          <w:tcPr>
            <w:tcW w:w="1275" w:type="dxa"/>
            <w:vMerge w:val="restart"/>
            <w:vAlign w:val="center"/>
          </w:tcPr>
          <w:p w14:paraId="50D6AB3D" w14:textId="77777777" w:rsidR="00B11E09" w:rsidRPr="00A75F28" w:rsidRDefault="00B11E09" w:rsidP="004306AE">
            <w:pPr>
              <w:jc w:val="left"/>
              <w:rPr>
                <w:rFonts w:cs="Calibri"/>
                <w:sz w:val="20"/>
                <w:szCs w:val="20"/>
              </w:rPr>
            </w:pPr>
            <w:r w:rsidRPr="00A75F28">
              <w:rPr>
                <w:rFonts w:cs="Calibri"/>
                <w:i/>
                <w:iCs/>
                <w:sz w:val="20"/>
                <w:szCs w:val="20"/>
              </w:rPr>
              <w:t>PI</w:t>
            </w:r>
          </w:p>
        </w:tc>
        <w:tc>
          <w:tcPr>
            <w:tcW w:w="1701" w:type="dxa"/>
            <w:vAlign w:val="center"/>
          </w:tcPr>
          <w:p w14:paraId="56742B4F" w14:textId="77777777" w:rsidR="00B11E09" w:rsidRPr="00A75F28" w:rsidRDefault="00B11E09" w:rsidP="004306AE">
            <w:pPr>
              <w:jc w:val="left"/>
              <w:rPr>
                <w:rFonts w:cs="Calibri"/>
                <w:sz w:val="20"/>
                <w:szCs w:val="20"/>
              </w:rPr>
            </w:pPr>
            <w:r w:rsidRPr="00A75F28">
              <w:rPr>
                <w:rFonts w:cs="Calibri"/>
                <w:sz w:val="20"/>
                <w:szCs w:val="20"/>
              </w:rPr>
              <w:t>CEC (</w:t>
            </w:r>
            <w:proofErr w:type="spellStart"/>
            <w:r w:rsidRPr="00A75F28">
              <w:rPr>
                <w:rFonts w:cs="Calibri"/>
                <w:sz w:val="20"/>
                <w:szCs w:val="20"/>
              </w:rPr>
              <w:t>meq</w:t>
            </w:r>
            <w:proofErr w:type="spellEnd"/>
            <w:r w:rsidRPr="00A75F28">
              <w:rPr>
                <w:rFonts w:cs="Calibri"/>
                <w:sz w:val="20"/>
                <w:szCs w:val="20"/>
              </w:rPr>
              <w:t>/100g)</w:t>
            </w:r>
          </w:p>
        </w:tc>
        <w:tc>
          <w:tcPr>
            <w:tcW w:w="993" w:type="dxa"/>
            <w:vAlign w:val="center"/>
          </w:tcPr>
          <w:p w14:paraId="41AE61F9" w14:textId="77777777" w:rsidR="00B11E09" w:rsidRPr="00A75F28" w:rsidRDefault="00B11E09" w:rsidP="004306AE">
            <w:pPr>
              <w:jc w:val="center"/>
              <w:rPr>
                <w:rFonts w:cs="Calibri"/>
                <w:sz w:val="20"/>
                <w:szCs w:val="20"/>
              </w:rPr>
            </w:pPr>
            <w:r w:rsidRPr="00A75F28">
              <w:rPr>
                <w:rFonts w:cs="Calibri"/>
                <w:sz w:val="20"/>
                <w:szCs w:val="20"/>
              </w:rPr>
              <w:t>8,8</w:t>
            </w:r>
          </w:p>
        </w:tc>
        <w:tc>
          <w:tcPr>
            <w:tcW w:w="4103" w:type="dxa"/>
            <w:vMerge/>
          </w:tcPr>
          <w:p w14:paraId="59F152FD" w14:textId="77777777" w:rsidR="00B11E09" w:rsidRPr="00A75F28" w:rsidRDefault="00B11E09" w:rsidP="004306AE">
            <w:pPr>
              <w:jc w:val="left"/>
              <w:rPr>
                <w:rFonts w:cs="Calibri"/>
                <w:sz w:val="20"/>
                <w:szCs w:val="20"/>
              </w:rPr>
            </w:pPr>
          </w:p>
        </w:tc>
      </w:tr>
      <w:tr w:rsidR="00B11E09" w:rsidRPr="00A75F28" w14:paraId="19525CAF" w14:textId="77777777" w:rsidTr="004306AE">
        <w:trPr>
          <w:jc w:val="center"/>
        </w:trPr>
        <w:tc>
          <w:tcPr>
            <w:tcW w:w="988" w:type="dxa"/>
            <w:vMerge/>
          </w:tcPr>
          <w:p w14:paraId="7ECBAB2C" w14:textId="77777777" w:rsidR="00B11E09" w:rsidRPr="00A75F28" w:rsidRDefault="00B11E09" w:rsidP="004306AE">
            <w:pPr>
              <w:jc w:val="left"/>
              <w:rPr>
                <w:rFonts w:cs="Calibri"/>
                <w:sz w:val="20"/>
                <w:szCs w:val="20"/>
              </w:rPr>
            </w:pPr>
          </w:p>
        </w:tc>
        <w:tc>
          <w:tcPr>
            <w:tcW w:w="1275" w:type="dxa"/>
            <w:vMerge/>
          </w:tcPr>
          <w:p w14:paraId="6672B922" w14:textId="77777777" w:rsidR="00B11E09" w:rsidRPr="00A75F28" w:rsidRDefault="00B11E09" w:rsidP="004306AE">
            <w:pPr>
              <w:jc w:val="left"/>
              <w:rPr>
                <w:rFonts w:cs="Calibri"/>
                <w:sz w:val="20"/>
                <w:szCs w:val="20"/>
              </w:rPr>
            </w:pPr>
          </w:p>
        </w:tc>
        <w:tc>
          <w:tcPr>
            <w:tcW w:w="1701" w:type="dxa"/>
            <w:vAlign w:val="center"/>
          </w:tcPr>
          <w:p w14:paraId="5A353AD2" w14:textId="77777777" w:rsidR="00B11E09" w:rsidRPr="00A75F28" w:rsidRDefault="00B11E09" w:rsidP="004306AE">
            <w:pPr>
              <w:jc w:val="left"/>
              <w:rPr>
                <w:rFonts w:cs="Calibri"/>
                <w:sz w:val="20"/>
                <w:szCs w:val="20"/>
              </w:rPr>
            </w:pPr>
            <w:r w:rsidRPr="00A75F28">
              <w:rPr>
                <w:rFonts w:cs="Calibri"/>
                <w:sz w:val="20"/>
                <w:szCs w:val="20"/>
              </w:rPr>
              <w:t>Argile (%)</w:t>
            </w:r>
          </w:p>
        </w:tc>
        <w:tc>
          <w:tcPr>
            <w:tcW w:w="993" w:type="dxa"/>
            <w:vAlign w:val="center"/>
          </w:tcPr>
          <w:p w14:paraId="471E7297" w14:textId="77777777" w:rsidR="00B11E09" w:rsidRPr="00A75F28" w:rsidRDefault="00B11E09" w:rsidP="004306AE">
            <w:pPr>
              <w:jc w:val="center"/>
              <w:rPr>
                <w:rFonts w:cs="Calibri"/>
                <w:sz w:val="20"/>
                <w:szCs w:val="20"/>
              </w:rPr>
            </w:pPr>
            <w:r w:rsidRPr="00A75F28">
              <w:rPr>
                <w:rFonts w:cs="Calibri"/>
                <w:sz w:val="20"/>
                <w:szCs w:val="20"/>
              </w:rPr>
              <w:t>15</w:t>
            </w:r>
          </w:p>
        </w:tc>
        <w:tc>
          <w:tcPr>
            <w:tcW w:w="4103" w:type="dxa"/>
            <w:vMerge/>
          </w:tcPr>
          <w:p w14:paraId="761EDEB2" w14:textId="77777777" w:rsidR="00B11E09" w:rsidRPr="00A75F28" w:rsidRDefault="00B11E09" w:rsidP="004306AE">
            <w:pPr>
              <w:jc w:val="left"/>
              <w:rPr>
                <w:rFonts w:cs="Calibri"/>
                <w:sz w:val="20"/>
                <w:szCs w:val="20"/>
              </w:rPr>
            </w:pPr>
          </w:p>
        </w:tc>
      </w:tr>
      <w:tr w:rsidR="00B11E09" w:rsidRPr="00A75F28" w14:paraId="09F25A0D" w14:textId="77777777" w:rsidTr="004306AE">
        <w:trPr>
          <w:jc w:val="center"/>
        </w:trPr>
        <w:tc>
          <w:tcPr>
            <w:tcW w:w="988" w:type="dxa"/>
            <w:vMerge/>
          </w:tcPr>
          <w:p w14:paraId="07BA6F88" w14:textId="77777777" w:rsidR="00B11E09" w:rsidRPr="00A75F28" w:rsidRDefault="00B11E09" w:rsidP="004306AE">
            <w:pPr>
              <w:jc w:val="left"/>
              <w:rPr>
                <w:rFonts w:cs="Calibri"/>
                <w:sz w:val="20"/>
                <w:szCs w:val="20"/>
              </w:rPr>
            </w:pPr>
          </w:p>
        </w:tc>
        <w:tc>
          <w:tcPr>
            <w:tcW w:w="1275" w:type="dxa"/>
            <w:vMerge/>
          </w:tcPr>
          <w:p w14:paraId="16557299" w14:textId="77777777" w:rsidR="00B11E09" w:rsidRPr="00A75F28" w:rsidRDefault="00B11E09" w:rsidP="004306AE">
            <w:pPr>
              <w:jc w:val="left"/>
              <w:rPr>
                <w:rFonts w:cs="Calibri"/>
                <w:sz w:val="20"/>
                <w:szCs w:val="20"/>
              </w:rPr>
            </w:pPr>
          </w:p>
        </w:tc>
        <w:tc>
          <w:tcPr>
            <w:tcW w:w="1701" w:type="dxa"/>
            <w:vAlign w:val="center"/>
          </w:tcPr>
          <w:p w14:paraId="671A2847" w14:textId="77777777" w:rsidR="00B11E09" w:rsidRPr="00A75F28" w:rsidRDefault="00B11E09" w:rsidP="004306AE">
            <w:pPr>
              <w:jc w:val="left"/>
              <w:rPr>
                <w:rFonts w:cs="Calibri"/>
                <w:sz w:val="20"/>
                <w:szCs w:val="20"/>
              </w:rPr>
            </w:pPr>
            <w:r w:rsidRPr="00A75F28">
              <w:rPr>
                <w:rFonts w:cs="Calibri"/>
                <w:sz w:val="20"/>
                <w:szCs w:val="20"/>
              </w:rPr>
              <w:t>CE (</w:t>
            </w:r>
            <w:proofErr w:type="spellStart"/>
            <w:r w:rsidRPr="00A75F28">
              <w:rPr>
                <w:rFonts w:cs="Calibri"/>
                <w:sz w:val="20"/>
                <w:szCs w:val="20"/>
              </w:rPr>
              <w:t>μS</w:t>
            </w:r>
            <w:proofErr w:type="spellEnd"/>
            <w:r w:rsidRPr="00A75F28">
              <w:rPr>
                <w:rFonts w:cs="Calibri"/>
                <w:sz w:val="20"/>
                <w:szCs w:val="20"/>
              </w:rPr>
              <w:t xml:space="preserve">/cm) </w:t>
            </w:r>
          </w:p>
        </w:tc>
        <w:tc>
          <w:tcPr>
            <w:tcW w:w="993" w:type="dxa"/>
            <w:vAlign w:val="center"/>
          </w:tcPr>
          <w:p w14:paraId="71881DAE" w14:textId="77777777" w:rsidR="00B11E09" w:rsidRPr="00A75F28" w:rsidRDefault="00B11E09" w:rsidP="004306AE">
            <w:pPr>
              <w:jc w:val="center"/>
              <w:rPr>
                <w:rFonts w:cs="Calibri"/>
                <w:sz w:val="20"/>
                <w:szCs w:val="20"/>
              </w:rPr>
            </w:pPr>
            <w:r w:rsidRPr="00A75F28">
              <w:rPr>
                <w:rFonts w:cs="Calibri"/>
                <w:sz w:val="20"/>
                <w:szCs w:val="20"/>
              </w:rPr>
              <w:t>1028</w:t>
            </w:r>
          </w:p>
        </w:tc>
        <w:tc>
          <w:tcPr>
            <w:tcW w:w="4103" w:type="dxa"/>
            <w:vMerge/>
          </w:tcPr>
          <w:p w14:paraId="0DE7A003" w14:textId="77777777" w:rsidR="00B11E09" w:rsidRPr="00A75F28" w:rsidRDefault="00B11E09" w:rsidP="004306AE">
            <w:pPr>
              <w:jc w:val="left"/>
              <w:rPr>
                <w:rFonts w:cs="Calibri"/>
                <w:sz w:val="20"/>
                <w:szCs w:val="20"/>
              </w:rPr>
            </w:pPr>
          </w:p>
        </w:tc>
      </w:tr>
      <w:tr w:rsidR="00B11E09" w:rsidRPr="00A75F28" w14:paraId="3439E491" w14:textId="77777777" w:rsidTr="6CB535F6">
        <w:trPr>
          <w:jc w:val="center"/>
        </w:trPr>
        <w:tc>
          <w:tcPr>
            <w:tcW w:w="988" w:type="dxa"/>
            <w:vMerge/>
          </w:tcPr>
          <w:p w14:paraId="317558B9" w14:textId="77777777" w:rsidR="00B11E09" w:rsidRPr="00A75F28" w:rsidRDefault="00B11E09" w:rsidP="004306AE">
            <w:pPr>
              <w:jc w:val="left"/>
              <w:rPr>
                <w:rFonts w:cs="Calibri"/>
                <w:sz w:val="20"/>
                <w:szCs w:val="20"/>
              </w:rPr>
            </w:pPr>
          </w:p>
        </w:tc>
        <w:tc>
          <w:tcPr>
            <w:tcW w:w="1275" w:type="dxa"/>
            <w:vMerge/>
          </w:tcPr>
          <w:p w14:paraId="7DD98D4A" w14:textId="77777777" w:rsidR="00B11E09" w:rsidRPr="00A75F28" w:rsidRDefault="00B11E09" w:rsidP="004306AE">
            <w:pPr>
              <w:jc w:val="left"/>
              <w:rPr>
                <w:rFonts w:cs="Calibri"/>
                <w:sz w:val="20"/>
                <w:szCs w:val="20"/>
              </w:rPr>
            </w:pPr>
          </w:p>
        </w:tc>
        <w:tc>
          <w:tcPr>
            <w:tcW w:w="1701" w:type="dxa"/>
            <w:tcBorders>
              <w:bottom w:val="single" w:sz="12" w:space="0" w:color="auto"/>
            </w:tcBorders>
            <w:vAlign w:val="center"/>
          </w:tcPr>
          <w:p w14:paraId="1E0E5927" w14:textId="77777777" w:rsidR="00B11E09" w:rsidRPr="00A75F28" w:rsidRDefault="00B11E09" w:rsidP="004306AE">
            <w:pPr>
              <w:jc w:val="left"/>
              <w:rPr>
                <w:rFonts w:cs="Calibri"/>
                <w:sz w:val="20"/>
                <w:szCs w:val="20"/>
              </w:rPr>
            </w:pPr>
            <w:r w:rsidRPr="00A75F28">
              <w:rPr>
                <w:rFonts w:cs="Calibri"/>
                <w:sz w:val="20"/>
                <w:szCs w:val="20"/>
              </w:rPr>
              <w:t>FeO (</w:t>
            </w:r>
            <w:proofErr w:type="spellStart"/>
            <w:r w:rsidRPr="00A75F28">
              <w:rPr>
                <w:rFonts w:cs="Calibri"/>
                <w:sz w:val="20"/>
                <w:szCs w:val="20"/>
              </w:rPr>
              <w:t>mmole</w:t>
            </w:r>
            <w:proofErr w:type="spellEnd"/>
            <w:r w:rsidRPr="00A75F28">
              <w:rPr>
                <w:rFonts w:cs="Calibri"/>
                <w:sz w:val="20"/>
                <w:szCs w:val="20"/>
              </w:rPr>
              <w:t xml:space="preserve">/kg) </w:t>
            </w:r>
          </w:p>
        </w:tc>
        <w:tc>
          <w:tcPr>
            <w:tcW w:w="993" w:type="dxa"/>
            <w:tcBorders>
              <w:bottom w:val="single" w:sz="12" w:space="0" w:color="auto"/>
            </w:tcBorders>
            <w:vAlign w:val="center"/>
          </w:tcPr>
          <w:p w14:paraId="277EFE04" w14:textId="77777777" w:rsidR="00B11E09" w:rsidRPr="00A75F28" w:rsidRDefault="00B11E09" w:rsidP="004306AE">
            <w:pPr>
              <w:jc w:val="center"/>
              <w:rPr>
                <w:rFonts w:cs="Calibri"/>
                <w:sz w:val="20"/>
                <w:szCs w:val="20"/>
              </w:rPr>
            </w:pPr>
            <w:r w:rsidRPr="00A75F28">
              <w:rPr>
                <w:rFonts w:cs="Calibri"/>
                <w:sz w:val="20"/>
                <w:szCs w:val="20"/>
              </w:rPr>
              <w:t>56,4</w:t>
            </w:r>
          </w:p>
        </w:tc>
        <w:tc>
          <w:tcPr>
            <w:tcW w:w="4103" w:type="dxa"/>
            <w:vMerge/>
          </w:tcPr>
          <w:p w14:paraId="4DE3B8EB" w14:textId="77777777" w:rsidR="00B11E09" w:rsidRPr="00A75F28" w:rsidRDefault="00B11E09" w:rsidP="004306AE">
            <w:pPr>
              <w:jc w:val="left"/>
              <w:rPr>
                <w:rFonts w:cs="Calibri"/>
                <w:sz w:val="20"/>
                <w:szCs w:val="20"/>
              </w:rPr>
            </w:pPr>
          </w:p>
        </w:tc>
      </w:tr>
      <w:tr w:rsidR="00B11E09" w:rsidRPr="00A75F28" w14:paraId="6E320F89" w14:textId="77777777" w:rsidTr="004306AE">
        <w:trPr>
          <w:jc w:val="center"/>
        </w:trPr>
        <w:tc>
          <w:tcPr>
            <w:tcW w:w="2263" w:type="dxa"/>
            <w:gridSpan w:val="2"/>
            <w:tcBorders>
              <w:top w:val="single" w:sz="12" w:space="0" w:color="auto"/>
            </w:tcBorders>
          </w:tcPr>
          <w:p w14:paraId="2C02564F" w14:textId="77777777" w:rsidR="00B11E09" w:rsidRPr="00A75F28" w:rsidRDefault="00B11E09" w:rsidP="004306AE">
            <w:pPr>
              <w:jc w:val="left"/>
              <w:rPr>
                <w:rFonts w:cs="Calibri"/>
                <w:sz w:val="20"/>
                <w:szCs w:val="20"/>
              </w:rPr>
            </w:pPr>
            <w:r w:rsidRPr="00A75F28">
              <w:rPr>
                <w:rFonts w:cs="Calibri"/>
                <w:sz w:val="20"/>
                <w:szCs w:val="20"/>
              </w:rPr>
              <w:t xml:space="preserve">Calcul de </w:t>
            </w:r>
            <w:proofErr w:type="spellStart"/>
            <w:r w:rsidRPr="00A75F28">
              <w:rPr>
                <w:rFonts w:cs="Calibri"/>
                <w:sz w:val="20"/>
                <w:szCs w:val="20"/>
              </w:rPr>
              <w:t>θ</w:t>
            </w:r>
            <w:r w:rsidRPr="00A75F28">
              <w:rPr>
                <w:rFonts w:cs="Calibri"/>
                <w:sz w:val="20"/>
                <w:szCs w:val="20"/>
                <w:vertAlign w:val="subscript"/>
              </w:rPr>
              <w:t>v</w:t>
            </w:r>
            <w:proofErr w:type="spellEnd"/>
            <w:r w:rsidRPr="00A75F28">
              <w:rPr>
                <w:rFonts w:cs="Calibri"/>
                <w:sz w:val="20"/>
                <w:szCs w:val="20"/>
              </w:rPr>
              <w:t xml:space="preserve">, </w:t>
            </w:r>
            <w:proofErr w:type="spellStart"/>
            <w:r w:rsidRPr="00A75F28">
              <w:rPr>
                <w:rFonts w:cs="Calibri"/>
                <w:sz w:val="20"/>
                <w:szCs w:val="20"/>
              </w:rPr>
              <w:t>θ</w:t>
            </w:r>
            <w:r w:rsidRPr="00A75F28">
              <w:rPr>
                <w:rFonts w:cs="Calibri"/>
                <w:sz w:val="20"/>
                <w:szCs w:val="20"/>
                <w:vertAlign w:val="subscript"/>
              </w:rPr>
              <w:t>g</w:t>
            </w:r>
            <w:proofErr w:type="spellEnd"/>
          </w:p>
        </w:tc>
        <w:tc>
          <w:tcPr>
            <w:tcW w:w="1701" w:type="dxa"/>
            <w:tcBorders>
              <w:top w:val="single" w:sz="12" w:space="0" w:color="auto"/>
            </w:tcBorders>
            <w:vAlign w:val="center"/>
          </w:tcPr>
          <w:p w14:paraId="70B5E10C" w14:textId="2201E508" w:rsidR="00B11E09" w:rsidRPr="00A75F28" w:rsidRDefault="00CD79A7" w:rsidP="004306AE">
            <w:pPr>
              <w:jc w:val="left"/>
              <w:rPr>
                <w:rFonts w:cs="Calibri"/>
                <w:sz w:val="20"/>
                <w:szCs w:val="20"/>
                <w:vertAlign w:val="subscript"/>
              </w:rPr>
            </w:pPr>
            <w:proofErr w:type="spellStart"/>
            <w:proofErr w:type="gramStart"/>
            <w:r>
              <w:rPr>
                <w:rFonts w:cs="Calibri"/>
              </w:rPr>
              <w:t>ρ</w:t>
            </w:r>
            <w:proofErr w:type="gramEnd"/>
            <w:r>
              <w:rPr>
                <w:rFonts w:cs="Calibri"/>
                <w:vertAlign w:val="subscript"/>
              </w:rPr>
              <w:t>b</w:t>
            </w:r>
            <w:proofErr w:type="spellEnd"/>
          </w:p>
        </w:tc>
        <w:tc>
          <w:tcPr>
            <w:tcW w:w="993" w:type="dxa"/>
            <w:tcBorders>
              <w:top w:val="single" w:sz="12" w:space="0" w:color="auto"/>
            </w:tcBorders>
            <w:vAlign w:val="center"/>
          </w:tcPr>
          <w:p w14:paraId="0C878D16" w14:textId="77777777" w:rsidR="00B11E09" w:rsidRPr="00A75F28" w:rsidRDefault="00B11E09" w:rsidP="004306AE">
            <w:pPr>
              <w:jc w:val="center"/>
              <w:rPr>
                <w:rFonts w:cs="Calibri"/>
                <w:sz w:val="20"/>
                <w:szCs w:val="20"/>
              </w:rPr>
            </w:pPr>
            <w:r>
              <w:rPr>
                <w:rFonts w:cs="Calibri"/>
                <w:sz w:val="20"/>
                <w:szCs w:val="20"/>
              </w:rPr>
              <w:t>1,45</w:t>
            </w:r>
          </w:p>
        </w:tc>
        <w:tc>
          <w:tcPr>
            <w:tcW w:w="4103" w:type="dxa"/>
            <w:tcBorders>
              <w:top w:val="single" w:sz="12" w:space="0" w:color="auto"/>
            </w:tcBorders>
          </w:tcPr>
          <w:p w14:paraId="473C450E" w14:textId="77777777" w:rsidR="00B11E09" w:rsidRPr="00A75F28" w:rsidRDefault="00B11E09" w:rsidP="004306AE">
            <w:pPr>
              <w:jc w:val="left"/>
              <w:rPr>
                <w:rFonts w:cs="Calibri"/>
                <w:sz w:val="20"/>
                <w:szCs w:val="20"/>
              </w:rPr>
            </w:pPr>
            <w:r>
              <w:rPr>
                <w:rFonts w:cs="Calibri"/>
                <w:sz w:val="20"/>
                <w:szCs w:val="20"/>
              </w:rPr>
              <w:t xml:space="preserve">Valeur par défaut générique </w:t>
            </w:r>
            <w:r w:rsidRPr="00A75F28">
              <w:rPr>
                <w:rFonts w:cs="Calibri"/>
                <w:sz w:val="20"/>
                <w:szCs w:val="20"/>
              </w:rPr>
              <w:t>(</w:t>
            </w:r>
            <w:r w:rsidRPr="002D03F1">
              <w:rPr>
                <w:rFonts w:cs="Calibri"/>
                <w:sz w:val="20"/>
                <w:szCs w:val="20"/>
              </w:rPr>
              <w:t>Tableau 1-2</w:t>
            </w:r>
            <w:r>
              <w:rPr>
                <w:rFonts w:cs="Calibri"/>
                <w:sz w:val="20"/>
                <w:szCs w:val="20"/>
              </w:rPr>
              <w:t xml:space="preserve">, </w:t>
            </w:r>
            <w:r w:rsidRPr="00A75F28">
              <w:rPr>
                <w:rFonts w:cs="Calibri"/>
                <w:sz w:val="20"/>
                <w:szCs w:val="20"/>
              </w:rPr>
              <w:t>Annexe C1 GRER)</w:t>
            </w:r>
          </w:p>
        </w:tc>
      </w:tr>
      <w:tr w:rsidR="00B11E09" w:rsidRPr="00A75F28" w14:paraId="4DD8761E" w14:textId="77777777" w:rsidTr="004306AE">
        <w:trPr>
          <w:jc w:val="center"/>
        </w:trPr>
        <w:tc>
          <w:tcPr>
            <w:tcW w:w="2263" w:type="dxa"/>
            <w:gridSpan w:val="2"/>
          </w:tcPr>
          <w:p w14:paraId="118AF8BA" w14:textId="77777777" w:rsidR="00B11E09" w:rsidRPr="00A75F28" w:rsidRDefault="00B11E09" w:rsidP="004306AE">
            <w:pPr>
              <w:jc w:val="left"/>
              <w:rPr>
                <w:rFonts w:cs="Calibri"/>
                <w:sz w:val="20"/>
                <w:szCs w:val="20"/>
              </w:rPr>
            </w:pPr>
            <w:r w:rsidRPr="00A75F28">
              <w:rPr>
                <w:rFonts w:cs="Calibri"/>
                <w:sz w:val="20"/>
                <w:szCs w:val="20"/>
              </w:rPr>
              <w:t xml:space="preserve">Calcul de </w:t>
            </w:r>
            <w:proofErr w:type="spellStart"/>
            <w:r w:rsidRPr="00A75F28">
              <w:rPr>
                <w:rFonts w:cs="Calibri"/>
                <w:sz w:val="20"/>
                <w:szCs w:val="20"/>
              </w:rPr>
              <w:t>f</w:t>
            </w:r>
            <w:r w:rsidRPr="00A75F28">
              <w:rPr>
                <w:rFonts w:cs="Calibri"/>
                <w:sz w:val="20"/>
                <w:szCs w:val="20"/>
                <w:vertAlign w:val="subscript"/>
              </w:rPr>
              <w:t>ads</w:t>
            </w:r>
            <w:proofErr w:type="spellEnd"/>
          </w:p>
        </w:tc>
        <w:tc>
          <w:tcPr>
            <w:tcW w:w="1701" w:type="dxa"/>
            <w:vAlign w:val="center"/>
          </w:tcPr>
          <w:p w14:paraId="1B74B816" w14:textId="77777777" w:rsidR="00B11E09" w:rsidRPr="00A75F28" w:rsidRDefault="00B11E09" w:rsidP="004306AE">
            <w:pPr>
              <w:jc w:val="left"/>
              <w:rPr>
                <w:rFonts w:cs="Calibri"/>
                <w:sz w:val="20"/>
                <w:szCs w:val="20"/>
              </w:rPr>
            </w:pPr>
            <w:r w:rsidRPr="00A75F28">
              <w:rPr>
                <w:rFonts w:cs="Calibri"/>
                <w:sz w:val="20"/>
                <w:szCs w:val="20"/>
              </w:rPr>
              <w:t>%</w:t>
            </w:r>
            <w:r w:rsidRPr="00A75F28">
              <w:rPr>
                <w:rFonts w:cs="Calibri"/>
                <w:sz w:val="20"/>
                <w:szCs w:val="20"/>
                <w:vertAlign w:val="subscript"/>
              </w:rPr>
              <w:t>EG</w:t>
            </w:r>
          </w:p>
        </w:tc>
        <w:tc>
          <w:tcPr>
            <w:tcW w:w="993" w:type="dxa"/>
            <w:vAlign w:val="center"/>
          </w:tcPr>
          <w:p w14:paraId="67C6E687" w14:textId="77777777" w:rsidR="00B11E09" w:rsidRPr="00A75F28" w:rsidRDefault="00B11E09" w:rsidP="004306AE">
            <w:pPr>
              <w:jc w:val="center"/>
              <w:rPr>
                <w:rFonts w:cs="Calibri"/>
                <w:sz w:val="20"/>
                <w:szCs w:val="20"/>
              </w:rPr>
            </w:pPr>
            <w:r w:rsidRPr="00A75F28">
              <w:rPr>
                <w:rFonts w:cs="Calibri"/>
                <w:sz w:val="20"/>
                <w:szCs w:val="20"/>
              </w:rPr>
              <w:t>0 %</w:t>
            </w:r>
          </w:p>
        </w:tc>
        <w:tc>
          <w:tcPr>
            <w:tcW w:w="4103" w:type="dxa"/>
          </w:tcPr>
          <w:p w14:paraId="5486AE45" w14:textId="77777777" w:rsidR="00B11E09" w:rsidRPr="00A75F28" w:rsidRDefault="00B11E09" w:rsidP="004306AE">
            <w:pPr>
              <w:jc w:val="left"/>
              <w:rPr>
                <w:rFonts w:cs="Calibri"/>
                <w:sz w:val="20"/>
                <w:szCs w:val="20"/>
              </w:rPr>
            </w:pPr>
            <w:r w:rsidRPr="00A75F28">
              <w:rPr>
                <w:rFonts w:cs="Calibri"/>
                <w:sz w:val="20"/>
                <w:szCs w:val="20"/>
              </w:rPr>
              <w:t>Charge EG nulle = maximum de rétention</w:t>
            </w:r>
          </w:p>
        </w:tc>
      </w:tr>
    </w:tbl>
    <w:p w14:paraId="043829B4" w14:textId="77777777" w:rsidR="00B11E09" w:rsidRDefault="00B11E09" w:rsidP="00B11E09"/>
    <w:p w14:paraId="79A498D5" w14:textId="57241C97" w:rsidR="00B11E09" w:rsidRDefault="003A378E" w:rsidP="00B11E09">
      <w:r>
        <w:lastRenderedPageBreak/>
        <w:t xml:space="preserve">Au regard du </w:t>
      </w:r>
      <w:r w:rsidR="000100FD">
        <w:t>service écosystémique</w:t>
      </w:r>
      <w:r>
        <w:t xml:space="preserve"> </w:t>
      </w:r>
      <w:r w:rsidRPr="003A378E">
        <w:rPr>
          <w:i/>
          <w:iCs/>
        </w:rPr>
        <w:t>Protection des nappes</w:t>
      </w:r>
      <w:r>
        <w:t>, l</w:t>
      </w:r>
      <w:r w:rsidR="00B11E09">
        <w:t xml:space="preserve">a qualité du sol est donc évaluée, pour chaque polluant, sur base de </w:t>
      </w:r>
      <w:r w:rsidR="1012EF9C">
        <w:t>la</w:t>
      </w:r>
      <w:r w:rsidR="00B11E09">
        <w:t xml:space="preserve"> capacité de rétention du </w:t>
      </w:r>
      <w:r w:rsidR="6A249ECB">
        <w:t>sol pour le polluant considéré,</w:t>
      </w:r>
      <w:r w:rsidR="00B11E09">
        <w:t xml:space="preserve"> modélisée par </w:t>
      </w:r>
      <w:r w:rsidR="3F3C8BBB">
        <w:t>l</w:t>
      </w:r>
      <w:r w:rsidR="00B11E09">
        <w:t>a VS</w:t>
      </w:r>
      <w:r w:rsidR="00B11E09">
        <w:rPr>
          <w:vertAlign w:val="subscript"/>
        </w:rPr>
        <w:t>N ajustée</w:t>
      </w:r>
      <w:r w:rsidR="00B11E09">
        <w:t xml:space="preserve"> « réelle » (sur base des paramètres pédologiques qui lui sont propres)</w:t>
      </w:r>
      <w:r w:rsidR="3EC073F7">
        <w:t>. Cette valeur</w:t>
      </w:r>
      <w:r w:rsidR="00B11E09">
        <w:t xml:space="preserve"> correspond à la concentration maximale que peut retenir le sol, </w:t>
      </w:r>
      <w:proofErr w:type="spellStart"/>
      <w:r w:rsidR="00B11E09">
        <w:t>Conc</w:t>
      </w:r>
      <w:r w:rsidR="00B11E09">
        <w:rPr>
          <w:vertAlign w:val="subscript"/>
        </w:rPr>
        <w:t>rétention</w:t>
      </w:r>
      <w:proofErr w:type="spellEnd"/>
      <w:r w:rsidR="00B11E09">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497"/>
        <w:gridCol w:w="573"/>
      </w:tblGrid>
      <w:tr w:rsidR="00B11E09" w14:paraId="1D0F87AB" w14:textId="77777777" w:rsidTr="004306AE">
        <w:trPr>
          <w:trHeight w:val="647"/>
        </w:trPr>
        <w:tc>
          <w:tcPr>
            <w:tcW w:w="8609" w:type="dxa"/>
            <w:vAlign w:val="center"/>
          </w:tcPr>
          <w:p w14:paraId="3A88174B" w14:textId="557AEE92" w:rsidR="00B11E09" w:rsidRPr="004D5523" w:rsidRDefault="00437C8C" w:rsidP="004306AE">
            <w:pPr>
              <w:jc w:val="center"/>
            </w:pPr>
            <m:oMathPara>
              <m:oMath>
                <m:sSub>
                  <m:sSubPr>
                    <m:ctrlPr>
                      <w:rPr>
                        <w:rFonts w:ascii="Cambria Math" w:hAnsi="Cambria Math"/>
                      </w:rPr>
                    </m:ctrlPr>
                  </m:sSubPr>
                  <m:e>
                    <m:r>
                      <m:rPr>
                        <m:sty m:val="p"/>
                      </m:rPr>
                      <w:rPr>
                        <w:rFonts w:ascii="Cambria Math" w:hAnsi="Cambria Math"/>
                      </w:rPr>
                      <m:t>Conc</m:t>
                    </m:r>
                  </m:e>
                  <m:sub>
                    <m:r>
                      <m:rPr>
                        <m:sty m:val="p"/>
                      </m:rPr>
                      <w:rPr>
                        <w:rFonts w:ascii="Cambria Math" w:hAnsi="Cambria Math"/>
                      </w:rPr>
                      <m:t>rétention qualité</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Conc</m:t>
                    </m:r>
                  </m:e>
                  <m:sub>
                    <m:r>
                      <m:rPr>
                        <m:sty m:val="p"/>
                      </m:rPr>
                      <w:rPr>
                        <w:rFonts w:ascii="Cambria Math" w:hAnsi="Cambria Math"/>
                      </w:rPr>
                      <m:t>rétention</m:t>
                    </m:r>
                  </m:sub>
                </m:sSub>
                <m:r>
                  <w:rPr>
                    <w:rFonts w:ascii="Cambria Math" w:hAnsi="Cambria Math"/>
                  </w:rPr>
                  <m:t>=</m:t>
                </m:r>
                <m:sSub>
                  <m:sSubPr>
                    <m:ctrlPr>
                      <w:rPr>
                        <w:rFonts w:ascii="Cambria Math" w:hAnsi="Cambria Math"/>
                      </w:rPr>
                    </m:ctrlPr>
                  </m:sSubPr>
                  <m:e>
                    <m:r>
                      <m:rPr>
                        <m:sty m:val="p"/>
                      </m:rPr>
                      <w:rPr>
                        <w:rFonts w:ascii="Cambria Math" w:hAnsi="Cambria Math"/>
                      </w:rPr>
                      <m:t>VS</m:t>
                    </m:r>
                  </m:e>
                  <m:sub>
                    <m:r>
                      <m:rPr>
                        <m:sty m:val="p"/>
                      </m:rPr>
                      <w:rPr>
                        <w:rFonts w:ascii="Cambria Math" w:hAnsi="Cambria Math"/>
                      </w:rPr>
                      <m:t>N ajustée</m:t>
                    </m:r>
                  </m:sub>
                </m:sSub>
              </m:oMath>
            </m:oMathPara>
          </w:p>
        </w:tc>
        <w:tc>
          <w:tcPr>
            <w:tcW w:w="461" w:type="dxa"/>
            <w:vAlign w:val="center"/>
          </w:tcPr>
          <w:p w14:paraId="11F27217" w14:textId="5C9732E7" w:rsidR="00B11E09" w:rsidRDefault="00B11E09" w:rsidP="004306AE">
            <w:pPr>
              <w:jc w:val="center"/>
            </w:pPr>
            <w:r>
              <w:t>(</w:t>
            </w:r>
            <w:r w:rsidR="002934E3">
              <w:t>10</w:t>
            </w:r>
            <w:r>
              <w:t>)</w:t>
            </w:r>
          </w:p>
        </w:tc>
      </w:tr>
    </w:tbl>
    <w:p w14:paraId="30EA4CA9" w14:textId="202315C8" w:rsidR="00B11E09" w:rsidRPr="005A77EC" w:rsidRDefault="00B11E09" w:rsidP="005A77EC">
      <w:pPr>
        <w:pStyle w:val="Titre4"/>
        <w:numPr>
          <w:ilvl w:val="0"/>
          <w:numId w:val="0"/>
        </w:numPr>
        <w:rPr>
          <w:vertAlign w:val="subscript"/>
        </w:rPr>
      </w:pPr>
      <w:proofErr w:type="spellStart"/>
      <w:r w:rsidRPr="005A77EC">
        <w:rPr>
          <w:rStyle w:val="Titre6Car"/>
          <w:i w:val="0"/>
          <w:iCs/>
          <w:color w:val="000000" w:themeColor="text1"/>
        </w:rPr>
        <w:t>Rétention</w:t>
      </w:r>
      <w:r w:rsidR="005A77EC" w:rsidRPr="005A77EC">
        <w:rPr>
          <w:rStyle w:val="Titre6Car"/>
          <w:i w:val="0"/>
          <w:iCs/>
          <w:color w:val="000000" w:themeColor="text1"/>
          <w:vertAlign w:val="subscript"/>
        </w:rPr>
        <w:t>santé</w:t>
      </w:r>
      <w:proofErr w:type="spellEnd"/>
    </w:p>
    <w:p w14:paraId="278BBB60" w14:textId="522AC09F" w:rsidR="00B11E09" w:rsidRPr="00B769DF" w:rsidRDefault="00B11E09" w:rsidP="00B11E09">
      <w:r>
        <w:t xml:space="preserve">Le score de </w:t>
      </w:r>
      <w:proofErr w:type="spellStart"/>
      <w:r w:rsidRPr="00E66C45">
        <w:t>Rétention</w:t>
      </w:r>
      <w:r w:rsidRPr="00E66C45">
        <w:rPr>
          <w:vertAlign w:val="subscript"/>
        </w:rPr>
        <w:t>santé</w:t>
      </w:r>
      <w:proofErr w:type="spellEnd"/>
      <w:r>
        <w:t xml:space="preserve"> se calcule</w:t>
      </w:r>
      <w:r w:rsidR="2784A689">
        <w:t>,</w:t>
      </w:r>
      <w:r>
        <w:t xml:space="preserve"> quant à lui</w:t>
      </w:r>
      <w:r w:rsidR="4385AB03">
        <w:t>,</w:t>
      </w:r>
      <w:r>
        <w:t xml:space="preserve"> en rapportant la valeur VS</w:t>
      </w:r>
      <w:r>
        <w:rPr>
          <w:vertAlign w:val="subscript"/>
        </w:rPr>
        <w:t>N ajustée</w:t>
      </w:r>
      <w:r>
        <w:t xml:space="preserve"> à une valeur VS</w:t>
      </w:r>
      <w:r>
        <w:rPr>
          <w:vertAlign w:val="subscript"/>
        </w:rPr>
        <w:t>N ajustée potentielle</w:t>
      </w:r>
      <w:r w:rsidR="7DE6A448" w:rsidRPr="6CB535F6">
        <w:rPr>
          <w:vertAlign w:val="subscript"/>
        </w:rPr>
        <w:t>,</w:t>
      </w:r>
      <w:r>
        <w:t xml:space="preserve"> calculée (voir équation suivante),</w:t>
      </w:r>
      <w:r w:rsidR="543815CD">
        <w:t xml:space="preserve"> sur base</w:t>
      </w:r>
      <w:r>
        <w:t xml:space="preserve"> du type de sol, en considérant une teneur en </w:t>
      </w:r>
      <w:proofErr w:type="spellStart"/>
      <w:r>
        <w:t>C</w:t>
      </w:r>
      <w:r>
        <w:rPr>
          <w:vertAlign w:val="subscript"/>
        </w:rPr>
        <w:t>org</w:t>
      </w:r>
      <w:proofErr w:type="spellEnd"/>
      <w:r>
        <w:t xml:space="preserve"> </w:t>
      </w:r>
      <w:r w:rsidRPr="001302AF">
        <w:t xml:space="preserve">« satisfaisante » par classe texturale </w:t>
      </w:r>
      <w:r>
        <w:fldChar w:fldCharType="begin"/>
      </w:r>
      <w:r w:rsidR="009B3EB5">
        <w:instrText xml:space="preserve"> ADDIN ZOTERO_ITEM CSL_CITATION {"citationID":"aOxoEM3A","properties":{"unsorted":false,"formattedCitation":"(Mariage, 2019)","plainCitation":"(Mariage, 2019)","noteIndex":0},"citationItems":[{"id":118,"uris":["http://zotero.org/groups/5684833/items/WR8HRSK5"],"itemData":{"id":118,"type":"document","publisher":"REQUASUD","title":"Les matières organiques et la fertilité du sol","URL":"https://www.requasud.be/assets/pdf/publications/presentations/fiche_explicative_carbone_v01.pdf","author":[{"family":"Mariage","given":"Clémence"}],"issued":{"date-parts":[["2019"]]}}}],"schema":"https://github.com/citation-style-language/schema/raw/master/csl-citation.json"} </w:instrText>
      </w:r>
      <w:r>
        <w:fldChar w:fldCharType="separate"/>
      </w:r>
      <w:r w:rsidR="009B3EB5" w:rsidRPr="009B3EB5">
        <w:rPr>
          <w:rFonts w:cs="Calibri"/>
        </w:rPr>
        <w:t>(Mariage, 2019)</w:t>
      </w:r>
      <w:r>
        <w:fldChar w:fldCharType="end"/>
      </w:r>
      <w:r>
        <w:t xml:space="preserve">. Pour tous les autres paramètres, les valeurs mesurées des paramètres pédologiques sont intégrées telles quelles dans le calcul, car celles-ci fixent le potentiel de rétention du sol (pH, CEC, argile, </w:t>
      </w:r>
      <w:r w:rsidRPr="00A75F28">
        <w:rPr>
          <w:rFonts w:cs="Calibri"/>
          <w:sz w:val="20"/>
          <w:szCs w:val="20"/>
        </w:rPr>
        <w:t>%</w:t>
      </w:r>
      <w:r w:rsidRPr="00A75F28">
        <w:rPr>
          <w:rFonts w:cs="Calibri"/>
          <w:sz w:val="20"/>
          <w:szCs w:val="20"/>
          <w:vertAlign w:val="subscript"/>
        </w:rPr>
        <w:t>EG</w:t>
      </w:r>
      <w:r>
        <w:rPr>
          <w:rFonts w:cs="Calibri"/>
          <w:sz w:val="20"/>
          <w:szCs w:val="20"/>
        </w:rPr>
        <w:t xml:space="preserve">). </w:t>
      </w:r>
      <w:r w:rsidRPr="00BB033F">
        <w:t xml:space="preserve">Par souci de simplification, la valeur de </w:t>
      </w:r>
      <w:proofErr w:type="spellStart"/>
      <w:r w:rsidR="00CD79A7">
        <w:rPr>
          <w:rFonts w:cs="Calibri"/>
        </w:rPr>
        <w:t>ρ</w:t>
      </w:r>
      <w:r w:rsidR="00CD79A7">
        <w:rPr>
          <w:rFonts w:cs="Calibri"/>
          <w:vertAlign w:val="subscript"/>
        </w:rPr>
        <w:t>b</w:t>
      </w:r>
      <w:proofErr w:type="spellEnd"/>
      <w:r w:rsidRPr="00BB033F">
        <w:t xml:space="preserve"> est également reprise telle quelle.</w:t>
      </w:r>
      <w:r>
        <w:t xml:space="preserve"> Cela revient donc à comparer, selon l’équation 2, la concentration maximale que peut retenir le sol </w:t>
      </w:r>
      <w:r w:rsidR="5269B8EB">
        <w:t>en l’état</w:t>
      </w:r>
      <w:r>
        <w:t xml:space="preserve"> (</w:t>
      </w:r>
      <w:proofErr w:type="spellStart"/>
      <w:r>
        <w:t>Conc</w:t>
      </w:r>
      <w:r>
        <w:rPr>
          <w:vertAlign w:val="subscript"/>
        </w:rPr>
        <w:t>rétention</w:t>
      </w:r>
      <w:proofErr w:type="spellEnd"/>
      <w:r>
        <w:t xml:space="preserve">) avec la concentration maximale qu’un sol d’une même classe texturale </w:t>
      </w:r>
      <w:r w:rsidR="6F967A26">
        <w:t>pourrait</w:t>
      </w:r>
      <w:r>
        <w:t xml:space="preserve"> retenir (</w:t>
      </w:r>
      <w:proofErr w:type="spellStart"/>
      <w:r>
        <w:t>Conc</w:t>
      </w:r>
      <w:r>
        <w:rPr>
          <w:vertAlign w:val="subscript"/>
        </w:rPr>
        <w:t>rétention</w:t>
      </w:r>
      <w:proofErr w:type="spellEnd"/>
      <w:r>
        <w:rPr>
          <w:vertAlign w:val="subscript"/>
        </w:rPr>
        <w:t xml:space="preserve"> potentielle</w:t>
      </w:r>
      <w:r>
        <w:t>)</w:t>
      </w:r>
      <w:r w:rsidR="012A55C5">
        <w:t xml:space="preserve"> </w:t>
      </w:r>
      <w:r w:rsidR="384F4FD9">
        <w:t xml:space="preserve">sur base </w:t>
      </w:r>
      <w:r>
        <w:t xml:space="preserve">de la quantité de carbone </w:t>
      </w:r>
      <w:r w:rsidR="088CF299">
        <w:t>optimale atteignable pour la classe texturale donnée</w:t>
      </w:r>
      <w: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497"/>
        <w:gridCol w:w="573"/>
      </w:tblGrid>
      <w:tr w:rsidR="00B11E09" w14:paraId="1B6D1443" w14:textId="77777777" w:rsidTr="004306AE">
        <w:trPr>
          <w:trHeight w:val="647"/>
        </w:trPr>
        <w:tc>
          <w:tcPr>
            <w:tcW w:w="8642" w:type="dxa"/>
            <w:vAlign w:val="center"/>
          </w:tcPr>
          <w:p w14:paraId="36A00C65" w14:textId="206C649A" w:rsidR="00B11E09" w:rsidRPr="00B769DF" w:rsidRDefault="00437C8C" w:rsidP="004306AE">
            <w:pPr>
              <w:jc w:val="center"/>
              <w:rPr>
                <w:iCs/>
              </w:rPr>
            </w:pPr>
            <m:oMathPara>
              <m:oMath>
                <m:sSub>
                  <m:sSubPr>
                    <m:ctrlPr>
                      <w:rPr>
                        <w:rFonts w:ascii="Cambria Math" w:hAnsi="Cambria Math"/>
                        <w:iCs/>
                      </w:rPr>
                    </m:ctrlPr>
                  </m:sSubPr>
                  <m:e>
                    <m:r>
                      <m:rPr>
                        <m:sty m:val="p"/>
                      </m:rPr>
                      <w:rPr>
                        <w:rFonts w:ascii="Cambria Math" w:hAnsi="Cambria Math"/>
                      </w:rPr>
                      <m:t>Conc</m:t>
                    </m:r>
                  </m:e>
                  <m:sub>
                    <m:r>
                      <m:rPr>
                        <m:sty m:val="p"/>
                      </m:rPr>
                      <w:rPr>
                        <w:rFonts w:ascii="Cambria Math" w:hAnsi="Cambria Math"/>
                      </w:rPr>
                      <m:t>rétention santé</m:t>
                    </m:r>
                  </m:sub>
                </m:sSub>
                <m:r>
                  <m:rPr>
                    <m:sty m:val="p"/>
                  </m:rPr>
                  <w:rPr>
                    <w:rFonts w:ascii="Cambria Math" w:hAnsi="Cambria Math"/>
                  </w:rPr>
                  <m:t xml:space="preserve">= </m:t>
                </m:r>
                <m:f>
                  <m:fPr>
                    <m:ctrlPr>
                      <w:rPr>
                        <w:rFonts w:ascii="Cambria Math" w:hAnsi="Cambria Math"/>
                        <w:iCs/>
                      </w:rPr>
                    </m:ctrlPr>
                  </m:fPr>
                  <m:num>
                    <m:sSub>
                      <m:sSubPr>
                        <m:ctrlPr>
                          <w:rPr>
                            <w:rFonts w:ascii="Cambria Math" w:hAnsi="Cambria Math"/>
                            <w:iCs/>
                          </w:rPr>
                        </m:ctrlPr>
                      </m:sSubPr>
                      <m:e>
                        <m:r>
                          <m:rPr>
                            <m:sty m:val="p"/>
                          </m:rPr>
                          <w:rPr>
                            <w:rFonts w:ascii="Cambria Math" w:hAnsi="Cambria Math"/>
                          </w:rPr>
                          <m:t>VS</m:t>
                        </m:r>
                      </m:e>
                      <m:sub>
                        <m:r>
                          <m:rPr>
                            <m:sty m:val="p"/>
                          </m:rPr>
                          <w:rPr>
                            <w:rFonts w:ascii="Cambria Math" w:hAnsi="Cambria Math"/>
                          </w:rPr>
                          <m:t>N ajustée</m:t>
                        </m:r>
                      </m:sub>
                    </m:sSub>
                  </m:num>
                  <m:den>
                    <m:sSub>
                      <m:sSubPr>
                        <m:ctrlPr>
                          <w:rPr>
                            <w:rFonts w:ascii="Cambria Math" w:hAnsi="Cambria Math"/>
                            <w:iCs/>
                          </w:rPr>
                        </m:ctrlPr>
                      </m:sSubPr>
                      <m:e>
                        <m:r>
                          <m:rPr>
                            <m:sty m:val="p"/>
                          </m:rPr>
                          <w:rPr>
                            <w:rFonts w:ascii="Cambria Math" w:hAnsi="Cambria Math"/>
                          </w:rPr>
                          <m:t>VS</m:t>
                        </m:r>
                      </m:e>
                      <m:sub>
                        <m:r>
                          <m:rPr>
                            <m:sty m:val="p"/>
                          </m:rPr>
                          <w:rPr>
                            <w:rFonts w:ascii="Cambria Math" w:hAnsi="Cambria Math"/>
                          </w:rPr>
                          <m:t>N ajustée potentielle</m:t>
                        </m:r>
                      </m:sub>
                    </m:sSub>
                  </m:den>
                </m:f>
                <m:r>
                  <m:rPr>
                    <m:sty m:val="p"/>
                  </m:rPr>
                  <w:rPr>
                    <w:rFonts w:ascii="Cambria Math" w:hAnsi="Cambria Math"/>
                  </w:rPr>
                  <m:t xml:space="preserve">= </m:t>
                </m:r>
                <m:f>
                  <m:fPr>
                    <m:ctrlPr>
                      <w:rPr>
                        <w:rFonts w:ascii="Cambria Math" w:hAnsi="Cambria Math"/>
                        <w:iCs/>
                      </w:rPr>
                    </m:ctrlPr>
                  </m:fPr>
                  <m:num>
                    <m:sSub>
                      <m:sSubPr>
                        <m:ctrlPr>
                          <w:rPr>
                            <w:rFonts w:ascii="Cambria Math" w:hAnsi="Cambria Math"/>
                            <w:iCs/>
                          </w:rPr>
                        </m:ctrlPr>
                      </m:sSubPr>
                      <m:e>
                        <m:r>
                          <m:rPr>
                            <m:sty m:val="p"/>
                          </m:rPr>
                          <w:rPr>
                            <w:rFonts w:ascii="Cambria Math" w:hAnsi="Cambria Math"/>
                          </w:rPr>
                          <m:t>Conc</m:t>
                        </m:r>
                      </m:e>
                      <m:sub>
                        <m:r>
                          <m:rPr>
                            <m:sty m:val="p"/>
                          </m:rPr>
                          <w:rPr>
                            <w:rFonts w:ascii="Cambria Math" w:hAnsi="Cambria Math"/>
                          </w:rPr>
                          <m:t>rétention</m:t>
                        </m:r>
                      </m:sub>
                    </m:sSub>
                  </m:num>
                  <m:den>
                    <m:sSub>
                      <m:sSubPr>
                        <m:ctrlPr>
                          <w:rPr>
                            <w:rFonts w:ascii="Cambria Math" w:hAnsi="Cambria Math"/>
                            <w:iCs/>
                          </w:rPr>
                        </m:ctrlPr>
                      </m:sSubPr>
                      <m:e>
                        <m:r>
                          <m:rPr>
                            <m:sty m:val="p"/>
                          </m:rPr>
                          <w:rPr>
                            <w:rFonts w:ascii="Cambria Math" w:hAnsi="Cambria Math"/>
                          </w:rPr>
                          <m:t>Conc</m:t>
                        </m:r>
                      </m:e>
                      <m:sub>
                        <m:r>
                          <m:rPr>
                            <m:sty m:val="p"/>
                          </m:rPr>
                          <w:rPr>
                            <w:rFonts w:ascii="Cambria Math" w:hAnsi="Cambria Math"/>
                          </w:rPr>
                          <m:t>rétention potentielle</m:t>
                        </m:r>
                      </m:sub>
                    </m:sSub>
                  </m:den>
                </m:f>
              </m:oMath>
            </m:oMathPara>
          </w:p>
        </w:tc>
        <w:tc>
          <w:tcPr>
            <w:tcW w:w="418" w:type="dxa"/>
            <w:vAlign w:val="center"/>
          </w:tcPr>
          <w:p w14:paraId="35085336" w14:textId="7CDC6E87" w:rsidR="00B11E09" w:rsidRDefault="00B11E09" w:rsidP="004306AE">
            <w:pPr>
              <w:jc w:val="center"/>
            </w:pPr>
            <w:r>
              <w:t>(</w:t>
            </w:r>
            <w:r w:rsidR="002934E3">
              <w:t>11</w:t>
            </w:r>
            <w:r>
              <w:t>)</w:t>
            </w:r>
          </w:p>
        </w:tc>
      </w:tr>
    </w:tbl>
    <w:p w14:paraId="42AF196B" w14:textId="77777777" w:rsidR="00B11E09" w:rsidRDefault="00B11E09" w:rsidP="00B11E09"/>
    <w:p w14:paraId="1BCCCEB8" w14:textId="54E7BB5D" w:rsidR="00D27032" w:rsidRPr="0018710B" w:rsidRDefault="00084FC0" w:rsidP="00D27032">
      <w:pPr>
        <w:pStyle w:val="Lgende"/>
        <w:keepNext/>
        <w:jc w:val="center"/>
      </w:pPr>
      <w:bookmarkStart w:id="192" w:name="_Toc233122674"/>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A250D5">
        <w:rPr>
          <w:i w:val="0"/>
          <w:iCs w:val="0"/>
          <w:noProof/>
        </w:rPr>
        <w:t>18</w:t>
      </w:r>
      <w:r w:rsidRPr="00261C30">
        <w:rPr>
          <w:i w:val="0"/>
          <w:iCs w:val="0"/>
        </w:rPr>
        <w:fldChar w:fldCharType="end"/>
      </w:r>
      <w:r w:rsidRPr="00261C30">
        <w:rPr>
          <w:i w:val="0"/>
          <w:iCs w:val="0"/>
        </w:rPr>
        <w:t xml:space="preserve"> : Référentiels d’interprétation </w:t>
      </w:r>
      <w:r>
        <w:rPr>
          <w:i w:val="0"/>
          <w:iCs w:val="0"/>
        </w:rPr>
        <w:t>d</w:t>
      </w:r>
      <w:r w:rsidR="5B02BB42" w:rsidRPr="6CB535F6">
        <w:rPr>
          <w:i w:val="0"/>
          <w:iCs w:val="0"/>
        </w:rPr>
        <w:t>e l’</w:t>
      </w:r>
      <w:r w:rsidRPr="6CB535F6">
        <w:rPr>
          <w:i w:val="0"/>
          <w:iCs w:val="0"/>
        </w:rPr>
        <w:t>indicateur</w:t>
      </w:r>
      <w:r w:rsidRPr="00261C30">
        <w:rPr>
          <w:i w:val="0"/>
          <w:iCs w:val="0"/>
        </w:rPr>
        <w:t xml:space="preserve"> pour chaque combinaison service – fonction</w:t>
      </w:r>
      <w:r>
        <w:rPr>
          <w:i w:val="0"/>
          <w:iCs w:val="0"/>
        </w:rPr>
        <w:t xml:space="preserve"> dans lequel il intervient. </w:t>
      </w:r>
      <w:r w:rsidR="00A250D5">
        <w:rPr>
          <w:i w:val="0"/>
          <w:iCs w:val="0"/>
        </w:rPr>
        <w:t xml:space="preserve">La forme de la fonction d’interprétation est spécifiée </w:t>
      </w:r>
      <w:r>
        <w:rPr>
          <w:i w:val="0"/>
          <w:iCs w:val="0"/>
        </w:rPr>
        <w:t>(</w:t>
      </w:r>
      <w:r>
        <w:rPr>
          <w:noProof/>
        </w:rPr>
        <w:drawing>
          <wp:inline distT="0" distB="0" distL="0" distR="0" wp14:anchorId="163BA168" wp14:editId="08ABDD7D">
            <wp:extent cx="91440" cy="118745"/>
            <wp:effectExtent l="0" t="0" r="3810" b="0"/>
            <wp:docPr id="41448003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Pr>
          <w:i w:val="0"/>
          <w:iCs w:val="0"/>
        </w:rPr>
        <w:t xml:space="preserve">: </w:t>
      </w:r>
      <w:r w:rsidRPr="00ED36B6">
        <w:t xml:space="preserve">more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445CBB8F" wp14:editId="34942ACD">
            <wp:extent cx="85917" cy="88985"/>
            <wp:effectExtent l="0" t="0" r="9525" b="6350"/>
            <wp:docPr id="48808948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proofErr w:type="spellStart"/>
      <w:r w:rsidRPr="00ED36B6">
        <w:t>less</w:t>
      </w:r>
      <w:proofErr w:type="spellEnd"/>
      <w:r w:rsidRPr="00ED36B6">
        <w:t xml:space="preserve"> </w:t>
      </w:r>
      <w:proofErr w:type="spellStart"/>
      <w:r w:rsidRPr="00ED36B6">
        <w:t>is</w:t>
      </w:r>
      <w:proofErr w:type="spellEnd"/>
      <w:r w:rsidRPr="00ED36B6">
        <w:t xml:space="preserve"> </w:t>
      </w:r>
      <w:proofErr w:type="spellStart"/>
      <w:r w:rsidRPr="00ED36B6">
        <w:t>better</w:t>
      </w:r>
      <w:proofErr w:type="spellEnd"/>
      <w:r>
        <w:rPr>
          <w:i w:val="0"/>
          <w:iCs w:val="0"/>
        </w:rPr>
        <w:t> ; </w:t>
      </w:r>
      <w:r>
        <w:rPr>
          <w:noProof/>
        </w:rPr>
        <w:drawing>
          <wp:inline distT="0" distB="0" distL="0" distR="0" wp14:anchorId="333AC9BF" wp14:editId="715A84F7">
            <wp:extent cx="164432" cy="65784"/>
            <wp:effectExtent l="0" t="0" r="7620" b="0"/>
            <wp:docPr id="128176708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Pr>
          <w:i w:val="0"/>
          <w:iCs w:val="0"/>
        </w:rPr>
        <w:t xml:space="preserve">: </w:t>
      </w:r>
      <w:r w:rsidRPr="00ED36B6">
        <w:t>optimum</w:t>
      </w:r>
      <w:r>
        <w:rPr>
          <w:i w:val="0"/>
          <w:iCs w:val="0"/>
        </w:rPr>
        <w:t>).</w:t>
      </w:r>
      <w:bookmarkEnd w:id="192"/>
    </w:p>
    <w:tbl>
      <w:tblPr>
        <w:tblStyle w:val="Grilledutableau"/>
        <w:tblW w:w="0" w:type="auto"/>
        <w:tblCellMar>
          <w:top w:w="28" w:type="dxa"/>
          <w:bottom w:w="28" w:type="dxa"/>
        </w:tblCellMar>
        <w:tblLook w:val="04A0" w:firstRow="1" w:lastRow="0" w:firstColumn="1" w:lastColumn="0" w:noHBand="0" w:noVBand="1"/>
      </w:tblPr>
      <w:tblGrid>
        <w:gridCol w:w="1172"/>
        <w:gridCol w:w="1091"/>
        <w:gridCol w:w="851"/>
        <w:gridCol w:w="1559"/>
        <w:gridCol w:w="4387"/>
      </w:tblGrid>
      <w:tr w:rsidR="00D27032" w:rsidRPr="0000352D" w14:paraId="2D080734" w14:textId="77777777" w:rsidTr="004306AE">
        <w:trPr>
          <w:trHeight w:val="373"/>
        </w:trPr>
        <w:tc>
          <w:tcPr>
            <w:tcW w:w="90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1B231C79" w14:textId="6CEA5AE1" w:rsidR="00D27032" w:rsidRPr="0000352D" w:rsidRDefault="00D27032" w:rsidP="004306AE">
            <w:pPr>
              <w:jc w:val="center"/>
              <w:rPr>
                <w:sz w:val="20"/>
                <w:szCs w:val="20"/>
              </w:rPr>
            </w:pPr>
            <w:proofErr w:type="spellStart"/>
            <w:r>
              <w:rPr>
                <w:sz w:val="20"/>
                <w:szCs w:val="20"/>
              </w:rPr>
              <w:t>Conc</w:t>
            </w:r>
            <w:r>
              <w:rPr>
                <w:sz w:val="20"/>
                <w:szCs w:val="20"/>
                <w:vertAlign w:val="subscript"/>
              </w:rPr>
              <w:t>rétention</w:t>
            </w:r>
            <w:proofErr w:type="spellEnd"/>
            <w:r>
              <w:rPr>
                <w:sz w:val="20"/>
                <w:szCs w:val="20"/>
                <w:vertAlign w:val="subscript"/>
              </w:rPr>
              <w:t xml:space="preserve"> qualité</w:t>
            </w:r>
            <w:r>
              <w:rPr>
                <w:sz w:val="20"/>
                <w:szCs w:val="20"/>
              </w:rPr>
              <w:t xml:space="preserve"> </w:t>
            </w:r>
            <w:r w:rsidRPr="0000352D">
              <w:rPr>
                <w:sz w:val="20"/>
                <w:szCs w:val="20"/>
              </w:rPr>
              <w:t>- Référentiel</w:t>
            </w:r>
            <w:r>
              <w:rPr>
                <w:sz w:val="20"/>
                <w:szCs w:val="20"/>
              </w:rPr>
              <w:t>s</w:t>
            </w:r>
            <w:r w:rsidRPr="0000352D">
              <w:rPr>
                <w:sz w:val="20"/>
                <w:szCs w:val="20"/>
              </w:rPr>
              <w:t xml:space="preserve"> d’interprétation</w:t>
            </w:r>
          </w:p>
        </w:tc>
      </w:tr>
      <w:tr w:rsidR="00D27032" w:rsidRPr="0000352D" w14:paraId="4E20A046" w14:textId="77777777" w:rsidTr="00A6102C">
        <w:tc>
          <w:tcPr>
            <w:tcW w:w="11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2809270A" w14:textId="7610C6C5" w:rsidR="00D27032" w:rsidRPr="00423C23" w:rsidRDefault="000100FD" w:rsidP="004306AE">
            <w:pPr>
              <w:jc w:val="center"/>
              <w:rPr>
                <w:sz w:val="20"/>
                <w:szCs w:val="20"/>
              </w:rPr>
            </w:pPr>
            <w:r>
              <w:rPr>
                <w:sz w:val="20"/>
                <w:szCs w:val="20"/>
              </w:rPr>
              <w:t>Service</w:t>
            </w:r>
          </w:p>
        </w:tc>
        <w:tc>
          <w:tcPr>
            <w:tcW w:w="10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022B799D" w14:textId="77777777" w:rsidR="00D27032" w:rsidRPr="00423C23" w:rsidRDefault="00D27032" w:rsidP="004306AE">
            <w:pPr>
              <w:jc w:val="center"/>
              <w:rPr>
                <w:sz w:val="20"/>
                <w:szCs w:val="20"/>
              </w:rPr>
            </w:pPr>
            <w:r w:rsidRPr="00423C23">
              <w:rPr>
                <w:sz w:val="20"/>
                <w:szCs w:val="20"/>
              </w:rPr>
              <w:t>Fonction</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58E51A61" w14:textId="77777777" w:rsidR="00D27032" w:rsidRPr="00423C23" w:rsidRDefault="00D27032" w:rsidP="004306AE">
            <w:pPr>
              <w:jc w:val="center"/>
              <w:rPr>
                <w:sz w:val="20"/>
                <w:szCs w:val="20"/>
              </w:rPr>
            </w:pPr>
            <w:r>
              <w:rPr>
                <w:sz w:val="20"/>
                <w:szCs w:val="20"/>
              </w:rPr>
              <w:t>Forme</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6831EABB" w14:textId="77777777" w:rsidR="00D27032" w:rsidRPr="00423C23" w:rsidRDefault="00D27032" w:rsidP="004306AE">
            <w:pPr>
              <w:jc w:val="center"/>
              <w:rPr>
                <w:sz w:val="20"/>
                <w:szCs w:val="20"/>
              </w:rPr>
            </w:pPr>
            <w:r w:rsidRPr="00423C23">
              <w:rPr>
                <w:sz w:val="20"/>
                <w:szCs w:val="20"/>
              </w:rPr>
              <w:t>Évaluation</w:t>
            </w:r>
          </w:p>
        </w:tc>
        <w:tc>
          <w:tcPr>
            <w:tcW w:w="43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5E070390" w14:textId="77777777" w:rsidR="00D27032" w:rsidRPr="00423C23" w:rsidRDefault="00D27032" w:rsidP="004306AE">
            <w:pPr>
              <w:jc w:val="center"/>
              <w:rPr>
                <w:sz w:val="20"/>
                <w:szCs w:val="20"/>
              </w:rPr>
            </w:pPr>
            <w:r w:rsidRPr="00423C23">
              <w:rPr>
                <w:sz w:val="20"/>
                <w:szCs w:val="20"/>
              </w:rPr>
              <w:t>Référentiel</w:t>
            </w:r>
          </w:p>
        </w:tc>
      </w:tr>
      <w:tr w:rsidR="00D27032" w:rsidRPr="0000352D" w14:paraId="05CA87F9" w14:textId="77777777" w:rsidTr="00A6102C">
        <w:trPr>
          <w:trHeight w:val="355"/>
        </w:trPr>
        <w:tc>
          <w:tcPr>
            <w:tcW w:w="1172" w:type="dxa"/>
            <w:vMerge w:val="restart"/>
            <w:tcBorders>
              <w:top w:val="single" w:sz="4" w:space="0" w:color="FFFFFF" w:themeColor="background1"/>
            </w:tcBorders>
            <w:vAlign w:val="center"/>
          </w:tcPr>
          <w:p w14:paraId="54B18C06" w14:textId="4F1BAB5A" w:rsidR="00D27032" w:rsidRDefault="003A378E" w:rsidP="004306AE">
            <w:pPr>
              <w:jc w:val="left"/>
              <w:rPr>
                <w:sz w:val="20"/>
                <w:szCs w:val="20"/>
              </w:rPr>
            </w:pPr>
            <w:r>
              <w:rPr>
                <w:sz w:val="20"/>
                <w:szCs w:val="20"/>
              </w:rPr>
              <w:t>Protection des nappes</w:t>
            </w:r>
          </w:p>
        </w:tc>
        <w:tc>
          <w:tcPr>
            <w:tcW w:w="1091" w:type="dxa"/>
            <w:vMerge w:val="restart"/>
            <w:tcBorders>
              <w:top w:val="single" w:sz="4" w:space="0" w:color="FFFFFF" w:themeColor="background1"/>
            </w:tcBorders>
            <w:vAlign w:val="center"/>
          </w:tcPr>
          <w:p w14:paraId="3A559FEA" w14:textId="6F207B34" w:rsidR="00D27032" w:rsidRDefault="003A378E" w:rsidP="004306AE">
            <w:pPr>
              <w:jc w:val="left"/>
              <w:rPr>
                <w:sz w:val="20"/>
                <w:szCs w:val="20"/>
              </w:rPr>
            </w:pPr>
            <w:r>
              <w:rPr>
                <w:sz w:val="20"/>
                <w:szCs w:val="20"/>
              </w:rPr>
              <w:t>Rétention</w:t>
            </w:r>
          </w:p>
        </w:tc>
        <w:tc>
          <w:tcPr>
            <w:tcW w:w="851" w:type="dxa"/>
            <w:vMerge w:val="restart"/>
            <w:tcBorders>
              <w:top w:val="single" w:sz="4" w:space="0" w:color="FFFFFF" w:themeColor="background1"/>
            </w:tcBorders>
            <w:vAlign w:val="center"/>
          </w:tcPr>
          <w:p w14:paraId="01E4B6C4" w14:textId="0DFB772E" w:rsidR="00D27032" w:rsidRPr="0000352D" w:rsidRDefault="00A6102C" w:rsidP="00A6102C">
            <w:pPr>
              <w:jc w:val="center"/>
              <w:rPr>
                <w:sz w:val="20"/>
                <w:szCs w:val="20"/>
              </w:rPr>
            </w:pPr>
            <w:r>
              <w:rPr>
                <w:noProof/>
                <w:sz w:val="20"/>
                <w:szCs w:val="20"/>
              </w:rPr>
              <mc:AlternateContent>
                <mc:Choice Requires="wps">
                  <w:drawing>
                    <wp:inline distT="0" distB="0" distL="0" distR="0" wp14:anchorId="0317D211" wp14:editId="43E28C0D">
                      <wp:extent cx="94615" cy="153035"/>
                      <wp:effectExtent l="0" t="38100" r="57785" b="18415"/>
                      <wp:docPr id="1204541510"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743378B4"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559" w:type="dxa"/>
            <w:tcBorders>
              <w:top w:val="single" w:sz="4" w:space="0" w:color="FFFFFF" w:themeColor="background1"/>
            </w:tcBorders>
            <w:shd w:val="clear" w:color="auto" w:fill="F2F9EB"/>
            <w:vAlign w:val="center"/>
          </w:tcPr>
          <w:p w14:paraId="3E44401D" w14:textId="19AF24B0" w:rsidR="00D27032" w:rsidRPr="00BC089F" w:rsidRDefault="00D27032" w:rsidP="004306AE">
            <w:pPr>
              <w:jc w:val="left"/>
              <w:rPr>
                <w:sz w:val="20"/>
                <w:szCs w:val="20"/>
                <w:vertAlign w:val="subscript"/>
              </w:rPr>
            </w:pPr>
            <w:proofErr w:type="spellStart"/>
            <w:r>
              <w:rPr>
                <w:sz w:val="20"/>
                <w:szCs w:val="20"/>
              </w:rPr>
              <w:t>Conc</w:t>
            </w:r>
            <w:r>
              <w:rPr>
                <w:sz w:val="20"/>
                <w:szCs w:val="20"/>
                <w:vertAlign w:val="subscript"/>
              </w:rPr>
              <w:t>rétention</w:t>
            </w:r>
            <w:proofErr w:type="spellEnd"/>
            <w:r>
              <w:rPr>
                <w:sz w:val="20"/>
                <w:szCs w:val="20"/>
                <w:vertAlign w:val="subscript"/>
              </w:rPr>
              <w:t xml:space="preserve"> qualité</w:t>
            </w:r>
          </w:p>
        </w:tc>
        <w:tc>
          <w:tcPr>
            <w:tcW w:w="4387" w:type="dxa"/>
            <w:tcBorders>
              <w:top w:val="single" w:sz="4" w:space="0" w:color="FFFFFF" w:themeColor="background1"/>
            </w:tcBorders>
            <w:shd w:val="clear" w:color="auto" w:fill="F2F9EB"/>
            <w:vAlign w:val="center"/>
          </w:tcPr>
          <w:p w14:paraId="5B5C7A3E" w14:textId="2621EF0C" w:rsidR="00D27032" w:rsidRPr="00CF72F7" w:rsidRDefault="003E56C7" w:rsidP="004306AE">
            <w:pPr>
              <w:jc w:val="left"/>
              <w:rPr>
                <w:sz w:val="20"/>
                <w:szCs w:val="20"/>
              </w:rPr>
            </w:pPr>
            <w:r>
              <w:rPr>
                <w:sz w:val="20"/>
                <w:szCs w:val="20"/>
              </w:rPr>
              <w:t xml:space="preserve">Comparaison à la valeur cible </w:t>
            </w:r>
            <w:r w:rsidR="0030740A">
              <w:rPr>
                <w:sz w:val="20"/>
                <w:szCs w:val="20"/>
              </w:rPr>
              <w:t>modélisée avec paramètres standards et MO optimale</w:t>
            </w:r>
          </w:p>
        </w:tc>
      </w:tr>
      <w:tr w:rsidR="00D27032" w:rsidRPr="0000352D" w14:paraId="53218BA0" w14:textId="77777777" w:rsidTr="00A6102C">
        <w:tc>
          <w:tcPr>
            <w:tcW w:w="1172" w:type="dxa"/>
            <w:vMerge/>
            <w:tcBorders>
              <w:bottom w:val="single" w:sz="4" w:space="0" w:color="auto"/>
            </w:tcBorders>
            <w:vAlign w:val="center"/>
          </w:tcPr>
          <w:p w14:paraId="45CF2111" w14:textId="77777777" w:rsidR="00D27032" w:rsidRDefault="00D27032" w:rsidP="004306AE">
            <w:pPr>
              <w:jc w:val="left"/>
              <w:rPr>
                <w:sz w:val="20"/>
                <w:szCs w:val="20"/>
              </w:rPr>
            </w:pPr>
          </w:p>
        </w:tc>
        <w:tc>
          <w:tcPr>
            <w:tcW w:w="1091" w:type="dxa"/>
            <w:vMerge/>
            <w:tcBorders>
              <w:bottom w:val="single" w:sz="4" w:space="0" w:color="auto"/>
            </w:tcBorders>
            <w:vAlign w:val="center"/>
          </w:tcPr>
          <w:p w14:paraId="36345933" w14:textId="77777777" w:rsidR="00D27032" w:rsidRDefault="00D27032" w:rsidP="004306AE">
            <w:pPr>
              <w:jc w:val="left"/>
              <w:rPr>
                <w:sz w:val="20"/>
                <w:szCs w:val="20"/>
              </w:rPr>
            </w:pPr>
          </w:p>
        </w:tc>
        <w:tc>
          <w:tcPr>
            <w:tcW w:w="851" w:type="dxa"/>
            <w:vMerge/>
            <w:tcBorders>
              <w:bottom w:val="single" w:sz="4" w:space="0" w:color="auto"/>
            </w:tcBorders>
            <w:vAlign w:val="center"/>
          </w:tcPr>
          <w:p w14:paraId="114ED312" w14:textId="77777777" w:rsidR="00D27032" w:rsidRPr="0000352D" w:rsidRDefault="00D27032" w:rsidP="004306AE">
            <w:pPr>
              <w:jc w:val="left"/>
              <w:rPr>
                <w:sz w:val="20"/>
                <w:szCs w:val="20"/>
              </w:rPr>
            </w:pPr>
          </w:p>
        </w:tc>
        <w:tc>
          <w:tcPr>
            <w:tcW w:w="1559" w:type="dxa"/>
            <w:tcBorders>
              <w:bottom w:val="single" w:sz="4" w:space="0" w:color="auto"/>
            </w:tcBorders>
            <w:shd w:val="clear" w:color="auto" w:fill="EFF5FB"/>
            <w:vAlign w:val="center"/>
          </w:tcPr>
          <w:p w14:paraId="18040F57" w14:textId="4591AB3F" w:rsidR="00D27032" w:rsidRPr="002315F4" w:rsidRDefault="00D27032" w:rsidP="004306AE">
            <w:pPr>
              <w:jc w:val="left"/>
              <w:rPr>
                <w:sz w:val="20"/>
                <w:szCs w:val="20"/>
                <w:vertAlign w:val="subscript"/>
              </w:rPr>
            </w:pPr>
            <w:proofErr w:type="spellStart"/>
            <w:r>
              <w:rPr>
                <w:sz w:val="20"/>
                <w:szCs w:val="20"/>
              </w:rPr>
              <w:t>Conc</w:t>
            </w:r>
            <w:r>
              <w:rPr>
                <w:sz w:val="20"/>
                <w:szCs w:val="20"/>
                <w:vertAlign w:val="subscript"/>
              </w:rPr>
              <w:t>rétention</w:t>
            </w:r>
            <w:proofErr w:type="spellEnd"/>
            <w:r>
              <w:rPr>
                <w:sz w:val="20"/>
                <w:szCs w:val="20"/>
                <w:vertAlign w:val="subscript"/>
              </w:rPr>
              <w:t xml:space="preserve"> santé</w:t>
            </w:r>
          </w:p>
        </w:tc>
        <w:tc>
          <w:tcPr>
            <w:tcW w:w="4387" w:type="dxa"/>
            <w:shd w:val="clear" w:color="auto" w:fill="EFF5FB"/>
            <w:vAlign w:val="center"/>
          </w:tcPr>
          <w:p w14:paraId="6ECD401D" w14:textId="64320D0B" w:rsidR="00D27032" w:rsidRPr="00CF72F7" w:rsidRDefault="00D27032" w:rsidP="004306AE">
            <w:pPr>
              <w:jc w:val="left"/>
              <w:rPr>
                <w:sz w:val="20"/>
                <w:szCs w:val="20"/>
              </w:rPr>
            </w:pPr>
            <w:r>
              <w:rPr>
                <w:sz w:val="20"/>
                <w:szCs w:val="20"/>
              </w:rPr>
              <w:t>Comparaison à la valeur</w:t>
            </w:r>
            <w:r w:rsidR="0030740A">
              <w:rPr>
                <w:sz w:val="20"/>
                <w:szCs w:val="20"/>
              </w:rPr>
              <w:t xml:space="preserve"> potentielle</w:t>
            </w:r>
            <w:r>
              <w:rPr>
                <w:sz w:val="20"/>
                <w:szCs w:val="20"/>
              </w:rPr>
              <w:t xml:space="preserve"> </w:t>
            </w:r>
            <w:r w:rsidR="0030740A">
              <w:rPr>
                <w:sz w:val="20"/>
                <w:szCs w:val="20"/>
              </w:rPr>
              <w:t>atteignable en fonction de la classe texturale</w:t>
            </w:r>
            <w:r w:rsidR="00411C89">
              <w:rPr>
                <w:sz w:val="20"/>
                <w:szCs w:val="20"/>
              </w:rPr>
              <w:t xml:space="preserve"> (sur base de MO potentielle)</w:t>
            </w:r>
          </w:p>
        </w:tc>
      </w:tr>
    </w:tbl>
    <w:p w14:paraId="0A4405AF" w14:textId="77777777" w:rsidR="00882B27" w:rsidRPr="00882B27" w:rsidRDefault="00882B27" w:rsidP="00882B27"/>
    <w:p w14:paraId="27E32F0B" w14:textId="139DB7E1" w:rsidR="00F1297B" w:rsidRPr="00F1297B" w:rsidRDefault="00F1297B" w:rsidP="00876101">
      <w:pPr>
        <w:pStyle w:val="Titre2"/>
        <w:numPr>
          <w:ilvl w:val="1"/>
          <w:numId w:val="3"/>
        </w:numPr>
      </w:pPr>
      <w:bookmarkStart w:id="193" w:name="_Toc241505349"/>
      <w:r>
        <w:t>Indice de battance</w:t>
      </w:r>
      <w:r w:rsidR="00713734">
        <w:t xml:space="preserve"> (complément indicatif)</w:t>
      </w:r>
      <w:bookmarkEnd w:id="193"/>
    </w:p>
    <w:p w14:paraId="4C639FF8" w14:textId="6472A8E7" w:rsidR="00FA026A" w:rsidRDefault="00FA026A" w:rsidP="00876101">
      <w:pPr>
        <w:pStyle w:val="Titre3"/>
        <w:numPr>
          <w:ilvl w:val="2"/>
          <w:numId w:val="3"/>
        </w:numPr>
      </w:pPr>
      <w:bookmarkStart w:id="194" w:name="_Toc241505350"/>
      <w:r>
        <w:t>Définition et calcul</w:t>
      </w:r>
      <w:bookmarkEnd w:id="194"/>
    </w:p>
    <w:p w14:paraId="63ACF7D0" w14:textId="379FD40E" w:rsidR="00FA026A" w:rsidRDefault="00FA026A" w:rsidP="00FA026A">
      <w:r>
        <w:t xml:space="preserve">L’indice de battance permet d’estimer </w:t>
      </w:r>
      <w:r w:rsidR="00360B0E">
        <w:t>la sensibilité du sol à la battance</w:t>
      </w:r>
      <w:r w:rsidR="00896B63">
        <w:t xml:space="preserve"> sur base de l’équation suivante</w:t>
      </w:r>
      <w:r w:rsidR="00E438BA">
        <w:t>, utilisée par REQUASUD et adaptée de</w:t>
      </w:r>
      <w:r w:rsidR="00C454E3">
        <w:t xml:space="preserve"> </w:t>
      </w:r>
      <w:r w:rsidR="00C454E3" w:rsidRPr="00C454E3">
        <w:t>Remy &amp; Marin Laflèche</w:t>
      </w:r>
      <w:r w:rsidR="00E438BA">
        <w:t xml:space="preserve"> </w:t>
      </w:r>
      <w:r w:rsidR="00C454E3">
        <w:fldChar w:fldCharType="begin"/>
      </w:r>
      <w:r w:rsidR="00C454E3">
        <w:instrText xml:space="preserve"> ADDIN ZOTERO_ITEM CSL_CITATION {"citationID":"dhF4PWt1","properties":{"unsorted":false,"formattedCitation":"(1974)","plainCitation":"(1974)","noteIndex":0},"citationItems":[{"id":586,"uris":["http://zotero.org/groups/5684833/items/TUM8IRBX"],"itemData":{"id":586,"type":"article-journal","container-title":"ANN. AGRON.; FR.; DA. 1974; VOL. 25; NO 4; PP. 607-632; ABS. ANGL. ALLEM. RUSSE; BIBL. 27 REF.","source":"COinS","title":"L'analyse de terre: réalisation d'un programme d'interprétation automatique","title-short":"L'analyse de terre","URL":"https://pascal-francis.inist.fr/vibad/index.php?action=getRecordDetail&amp;idt=PASCAL7538003865","author":[{"family":"Remy","given":"Jc"},{"family":"Marin Laflèche","given":"A"}],"issued":{"date-parts":[["1974"]]}},"suppress-author":true}],"schema":"https://github.com/citation-style-language/schema/raw/master/csl-citation.json"} </w:instrText>
      </w:r>
      <w:r w:rsidR="00C454E3">
        <w:fldChar w:fldCharType="separate"/>
      </w:r>
      <w:r w:rsidR="00C454E3" w:rsidRPr="00C454E3">
        <w:rPr>
          <w:rFonts w:cs="Calibri"/>
        </w:rPr>
        <w:t>(1974)</w:t>
      </w:r>
      <w:r w:rsidR="00C454E3">
        <w:fldChar w:fldCharType="end"/>
      </w:r>
      <w:r w:rsidR="00896B63">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7"/>
        <w:gridCol w:w="573"/>
      </w:tblGrid>
      <w:tr w:rsidR="00BF7199" w14:paraId="5644167D" w14:textId="77777777" w:rsidTr="008F554D">
        <w:trPr>
          <w:trHeight w:val="1056"/>
        </w:trPr>
        <w:tc>
          <w:tcPr>
            <w:tcW w:w="8500" w:type="dxa"/>
          </w:tcPr>
          <w:p w14:paraId="77F71FD2" w14:textId="525563D6" w:rsidR="00BF7199" w:rsidRPr="00D203A1" w:rsidRDefault="00D203A1" w:rsidP="004306AE">
            <w:pPr>
              <w:rPr>
                <w:iCs/>
              </w:rPr>
            </w:pPr>
            <m:oMathPara>
              <m:oMath>
                <m:r>
                  <m:rPr>
                    <m:sty m:val="p"/>
                  </m:rPr>
                  <w:rPr>
                    <w:rFonts w:ascii="Cambria Math" w:hAnsi="Cambria Math"/>
                  </w:rPr>
                  <m:t xml:space="preserve">Indice de battance= </m:t>
                </m:r>
                <m:f>
                  <m:fPr>
                    <m:ctrlPr>
                      <w:rPr>
                        <w:rFonts w:ascii="Cambria Math" w:hAnsi="Cambria Math"/>
                        <w:iCs/>
                      </w:rPr>
                    </m:ctrlPr>
                  </m:fPr>
                  <m:num>
                    <m:r>
                      <m:rPr>
                        <m:sty m:val="p"/>
                      </m:rPr>
                      <w:rPr>
                        <w:rFonts w:ascii="Cambria Math" w:hAnsi="Cambria Math"/>
                      </w:rPr>
                      <m:t xml:space="preserve">1,5∙ </m:t>
                    </m:r>
                    <m:sSub>
                      <m:sSubPr>
                        <m:ctrlPr>
                          <w:rPr>
                            <w:rFonts w:ascii="Cambria Math" w:hAnsi="Cambria Math"/>
                            <w:iCs/>
                          </w:rPr>
                        </m:ctrlPr>
                      </m:sSubPr>
                      <m:e>
                        <m:r>
                          <m:rPr>
                            <m:sty m:val="p"/>
                          </m:rPr>
                          <w:rPr>
                            <w:rFonts w:ascii="Cambria Math" w:hAnsi="Cambria Math"/>
                          </w:rPr>
                          <m:t>limon</m:t>
                        </m:r>
                      </m:e>
                      <m:sub>
                        <m:r>
                          <m:rPr>
                            <m:sty m:val="p"/>
                          </m:rPr>
                          <w:rPr>
                            <w:rFonts w:ascii="Cambria Math" w:hAnsi="Cambria Math"/>
                          </w:rPr>
                          <m:t>fin</m:t>
                        </m:r>
                      </m:sub>
                    </m:sSub>
                    <m:r>
                      <m:rPr>
                        <m:sty m:val="p"/>
                      </m:rPr>
                      <w:rPr>
                        <w:rFonts w:ascii="Cambria Math" w:hAnsi="Cambria Math"/>
                      </w:rPr>
                      <m:t>+0,75∙</m:t>
                    </m:r>
                    <m:sSub>
                      <m:sSubPr>
                        <m:ctrlPr>
                          <w:rPr>
                            <w:rFonts w:ascii="Cambria Math" w:hAnsi="Cambria Math"/>
                            <w:iCs/>
                          </w:rPr>
                        </m:ctrlPr>
                      </m:sSubPr>
                      <m:e>
                        <m:r>
                          <m:rPr>
                            <m:sty m:val="p"/>
                          </m:rPr>
                          <w:rPr>
                            <w:rFonts w:ascii="Cambria Math" w:hAnsi="Cambria Math"/>
                          </w:rPr>
                          <m:t>limon</m:t>
                        </m:r>
                      </m:e>
                      <m:sub>
                        <m:r>
                          <m:rPr>
                            <m:sty m:val="p"/>
                          </m:rPr>
                          <w:rPr>
                            <w:rFonts w:ascii="Cambria Math" w:hAnsi="Cambria Math"/>
                          </w:rPr>
                          <m:t>grossier</m:t>
                        </m:r>
                      </m:sub>
                    </m:sSub>
                    <m:r>
                      <m:rPr>
                        <m:sty m:val="p"/>
                      </m:rPr>
                      <w:rPr>
                        <w:rFonts w:ascii="Cambria Math" w:hAnsi="Cambria Math"/>
                      </w:rPr>
                      <m:t xml:space="preserve"> </m:t>
                    </m:r>
                  </m:num>
                  <m:den>
                    <m:r>
                      <m:rPr>
                        <m:sty m:val="p"/>
                      </m:rPr>
                      <w:rPr>
                        <w:rFonts w:ascii="Cambria Math" w:hAnsi="Cambria Math"/>
                      </w:rPr>
                      <m:t>argile+ 10∙MO</m:t>
                    </m:r>
                  </m:den>
                </m:f>
                <m:r>
                  <m:rPr>
                    <m:sty m:val="p"/>
                  </m:rPr>
                  <w:rPr>
                    <w:rFonts w:ascii="Cambria Math" w:hAnsi="Cambria Math"/>
                  </w:rPr>
                  <m:t>-C∙(</m:t>
                </m:r>
                <m:sSub>
                  <m:sSubPr>
                    <m:ctrlPr>
                      <w:rPr>
                        <w:rFonts w:ascii="Cambria Math" w:hAnsi="Cambria Math"/>
                        <w:iCs/>
                      </w:rPr>
                    </m:ctrlPr>
                  </m:sSubPr>
                  <m:e>
                    <m:r>
                      <m:rPr>
                        <m:sty m:val="p"/>
                      </m:rPr>
                      <w:rPr>
                        <w:rFonts w:ascii="Cambria Math" w:hAnsi="Cambria Math"/>
                      </w:rPr>
                      <m:t>pH</m:t>
                    </m:r>
                  </m:e>
                  <m:sub>
                    <m:r>
                      <m:rPr>
                        <m:sty m:val="p"/>
                      </m:rPr>
                      <w:rPr>
                        <w:rFonts w:ascii="Cambria Math" w:hAnsi="Cambria Math"/>
                      </w:rPr>
                      <m:t>eau</m:t>
                    </m:r>
                  </m:sub>
                </m:sSub>
                <m:r>
                  <m:rPr>
                    <m:sty m:val="p"/>
                  </m:rPr>
                  <w:rPr>
                    <w:rFonts w:ascii="Cambria Math" w:hAnsi="Cambria Math"/>
                  </w:rPr>
                  <m:t>-7)</m:t>
                </m:r>
              </m:oMath>
            </m:oMathPara>
          </w:p>
        </w:tc>
        <w:tc>
          <w:tcPr>
            <w:tcW w:w="560" w:type="dxa"/>
            <w:vAlign w:val="center"/>
          </w:tcPr>
          <w:p w14:paraId="5E8CAFE0" w14:textId="655118CF" w:rsidR="00BF7199" w:rsidRDefault="00BF7199" w:rsidP="004306AE">
            <w:pPr>
              <w:jc w:val="center"/>
            </w:pPr>
            <w:r>
              <w:t>(</w:t>
            </w:r>
            <w:r w:rsidR="00001C66">
              <w:t>12</w:t>
            </w:r>
            <w:r>
              <w:t>)</w:t>
            </w:r>
          </w:p>
        </w:tc>
      </w:tr>
    </w:tbl>
    <w:p w14:paraId="24988CCB" w14:textId="77777777" w:rsidR="003A71FC" w:rsidRPr="00E54DA6" w:rsidRDefault="003A71FC" w:rsidP="003A71FC">
      <w:pPr>
        <w:rPr>
          <w:rFonts w:cs="Calibri"/>
          <w:sz w:val="20"/>
          <w:szCs w:val="20"/>
        </w:rPr>
      </w:pPr>
      <w:r w:rsidRPr="00E54DA6">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272"/>
        <w:gridCol w:w="7798"/>
      </w:tblGrid>
      <w:tr w:rsidR="003A71FC" w:rsidRPr="00E54DA6" w14:paraId="178F0CA0" w14:textId="77777777" w:rsidTr="004306AE">
        <w:trPr>
          <w:trHeight w:val="227"/>
        </w:trPr>
        <w:tc>
          <w:tcPr>
            <w:tcW w:w="567" w:type="dxa"/>
            <w:vAlign w:val="center"/>
          </w:tcPr>
          <w:p w14:paraId="0B5E0DBC" w14:textId="26E7B80E" w:rsidR="003A71FC" w:rsidRPr="00E54DA6" w:rsidRDefault="00437C8C" w:rsidP="004306AE">
            <w:pPr>
              <w:jc w:val="left"/>
              <w:rPr>
                <w:rFonts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limon</m:t>
                    </m:r>
                  </m:e>
                  <m:sub>
                    <m:r>
                      <m:rPr>
                        <m:sty m:val="p"/>
                      </m:rPr>
                      <w:rPr>
                        <w:rFonts w:ascii="Cambria Math" w:hAnsi="Cambria Math" w:cs="Calibri"/>
                        <w:sz w:val="20"/>
                        <w:szCs w:val="20"/>
                      </w:rPr>
                      <m:t>fin</m:t>
                    </m:r>
                  </m:sub>
                </m:sSub>
              </m:oMath>
            </m:oMathPara>
          </w:p>
        </w:tc>
        <w:tc>
          <w:tcPr>
            <w:tcW w:w="8503" w:type="dxa"/>
            <w:vAlign w:val="center"/>
          </w:tcPr>
          <w:p w14:paraId="32418B70" w14:textId="19B669C2" w:rsidR="003A71FC" w:rsidRPr="00E54DA6" w:rsidRDefault="003A71FC" w:rsidP="004306AE">
            <w:pPr>
              <w:jc w:val="left"/>
              <w:rPr>
                <w:rFonts w:cs="Calibri"/>
                <w:sz w:val="20"/>
                <w:szCs w:val="20"/>
              </w:rPr>
            </w:pPr>
            <w:r w:rsidRPr="00E54DA6">
              <w:rPr>
                <w:rFonts w:eastAsiaTheme="minorEastAsia" w:cs="Calibri"/>
                <w:sz w:val="20"/>
                <w:szCs w:val="20"/>
              </w:rPr>
              <w:t xml:space="preserve">La </w:t>
            </w:r>
            <w:r w:rsidR="003C6FF8" w:rsidRPr="00E54DA6">
              <w:rPr>
                <w:rFonts w:eastAsiaTheme="minorEastAsia" w:cs="Calibri"/>
                <w:sz w:val="20"/>
                <w:szCs w:val="20"/>
              </w:rPr>
              <w:t>teneur en limon fin (%)</w:t>
            </w:r>
            <w:r w:rsidRPr="00E54DA6">
              <w:rPr>
                <w:rFonts w:eastAsiaTheme="minorEastAsia" w:cs="Calibri"/>
                <w:sz w:val="20"/>
                <w:szCs w:val="20"/>
              </w:rPr>
              <w:t> ;</w:t>
            </w:r>
          </w:p>
        </w:tc>
      </w:tr>
      <w:tr w:rsidR="003A71FC" w:rsidRPr="00E54DA6" w14:paraId="7C43F2A9" w14:textId="77777777" w:rsidTr="004306AE">
        <w:trPr>
          <w:trHeight w:val="227"/>
        </w:trPr>
        <w:tc>
          <w:tcPr>
            <w:tcW w:w="567" w:type="dxa"/>
            <w:vAlign w:val="center"/>
          </w:tcPr>
          <w:p w14:paraId="65E40DCB" w14:textId="70EAA242" w:rsidR="003A71FC" w:rsidRPr="00E54DA6" w:rsidRDefault="00437C8C" w:rsidP="004306AE">
            <w:pPr>
              <w:jc w:val="left"/>
              <w:rPr>
                <w:rFonts w:eastAsiaTheme="minorEastAsia"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limon</m:t>
                    </m:r>
                  </m:e>
                  <m:sub>
                    <m:r>
                      <m:rPr>
                        <m:sty m:val="p"/>
                      </m:rPr>
                      <w:rPr>
                        <w:rFonts w:ascii="Cambria Math" w:hAnsi="Cambria Math" w:cs="Calibri"/>
                        <w:sz w:val="20"/>
                        <w:szCs w:val="20"/>
                      </w:rPr>
                      <m:t>grossier</m:t>
                    </m:r>
                  </m:sub>
                </m:sSub>
              </m:oMath>
            </m:oMathPara>
          </w:p>
        </w:tc>
        <w:tc>
          <w:tcPr>
            <w:tcW w:w="8503" w:type="dxa"/>
            <w:vAlign w:val="center"/>
          </w:tcPr>
          <w:p w14:paraId="78F2235F" w14:textId="3EE15740" w:rsidR="003A71FC" w:rsidRPr="00E54DA6" w:rsidRDefault="003C6FF8" w:rsidP="004306AE">
            <w:pPr>
              <w:jc w:val="left"/>
              <w:rPr>
                <w:rFonts w:eastAsiaTheme="minorEastAsia" w:cs="Calibri"/>
                <w:sz w:val="20"/>
                <w:szCs w:val="20"/>
              </w:rPr>
            </w:pPr>
            <w:r w:rsidRPr="00E54DA6">
              <w:rPr>
                <w:rFonts w:eastAsiaTheme="minorEastAsia" w:cs="Calibri"/>
                <w:sz w:val="20"/>
                <w:szCs w:val="20"/>
              </w:rPr>
              <w:t>La teneur en limon grossier (%) </w:t>
            </w:r>
            <w:r w:rsidR="003A71FC" w:rsidRPr="00E54DA6">
              <w:rPr>
                <w:rFonts w:eastAsiaTheme="minorEastAsia" w:cs="Calibri"/>
                <w:sz w:val="20"/>
                <w:szCs w:val="20"/>
              </w:rPr>
              <w:t>;</w:t>
            </w:r>
          </w:p>
        </w:tc>
      </w:tr>
      <w:tr w:rsidR="003A71FC" w:rsidRPr="00E54DA6" w14:paraId="0DD9DD1A" w14:textId="77777777" w:rsidTr="004306AE">
        <w:trPr>
          <w:trHeight w:val="227"/>
        </w:trPr>
        <w:tc>
          <w:tcPr>
            <w:tcW w:w="567" w:type="dxa"/>
            <w:vAlign w:val="center"/>
          </w:tcPr>
          <w:p w14:paraId="55C14709" w14:textId="7D37C440" w:rsidR="003A71FC" w:rsidRPr="00E54DA6" w:rsidRDefault="003431CD" w:rsidP="004306AE">
            <w:pPr>
              <w:jc w:val="left"/>
              <w:rPr>
                <w:rFonts w:eastAsiaTheme="minorEastAsia" w:cs="Calibri"/>
                <w:sz w:val="20"/>
                <w:szCs w:val="20"/>
              </w:rPr>
            </w:pPr>
            <m:oMathPara>
              <m:oMathParaPr>
                <m:jc m:val="left"/>
              </m:oMathParaPr>
              <m:oMath>
                <m:r>
                  <m:rPr>
                    <m:sty m:val="p"/>
                  </m:rPr>
                  <w:rPr>
                    <w:rFonts w:ascii="Cambria Math" w:hAnsi="Cambria Math" w:cs="Calibri"/>
                    <w:sz w:val="20"/>
                    <w:szCs w:val="20"/>
                  </w:rPr>
                  <m:t>argile</m:t>
                </m:r>
              </m:oMath>
            </m:oMathPara>
          </w:p>
        </w:tc>
        <w:tc>
          <w:tcPr>
            <w:tcW w:w="8503" w:type="dxa"/>
            <w:vAlign w:val="center"/>
          </w:tcPr>
          <w:p w14:paraId="72CF1808" w14:textId="778448DB" w:rsidR="003A71FC" w:rsidRPr="00E54DA6" w:rsidRDefault="003C6FF8" w:rsidP="004306AE">
            <w:pPr>
              <w:jc w:val="left"/>
              <w:rPr>
                <w:rFonts w:eastAsiaTheme="minorEastAsia" w:cs="Calibri"/>
                <w:sz w:val="20"/>
                <w:szCs w:val="20"/>
              </w:rPr>
            </w:pPr>
            <w:r w:rsidRPr="00E54DA6">
              <w:rPr>
                <w:rFonts w:eastAsiaTheme="minorEastAsia" w:cs="Calibri"/>
                <w:sz w:val="20"/>
                <w:szCs w:val="20"/>
              </w:rPr>
              <w:t>La teneur en argile (%) ;</w:t>
            </w:r>
          </w:p>
        </w:tc>
      </w:tr>
      <w:tr w:rsidR="003A71FC" w:rsidRPr="00E54DA6" w14:paraId="0A721D62" w14:textId="77777777" w:rsidTr="004306AE">
        <w:trPr>
          <w:trHeight w:val="227"/>
        </w:trPr>
        <w:tc>
          <w:tcPr>
            <w:tcW w:w="567" w:type="dxa"/>
            <w:vAlign w:val="center"/>
          </w:tcPr>
          <w:p w14:paraId="7A03DB06" w14:textId="486A9E47" w:rsidR="003A71FC" w:rsidRPr="00E54DA6" w:rsidRDefault="003431CD" w:rsidP="004306AE">
            <w:pPr>
              <w:jc w:val="left"/>
              <w:rPr>
                <w:rFonts w:eastAsia="Times New Roman" w:cs="Calibri"/>
                <w:sz w:val="20"/>
                <w:szCs w:val="20"/>
              </w:rPr>
            </w:pPr>
            <m:oMathPara>
              <m:oMathParaPr>
                <m:jc m:val="left"/>
              </m:oMathParaPr>
              <m:oMath>
                <m:r>
                  <m:rPr>
                    <m:sty m:val="p"/>
                  </m:rPr>
                  <w:rPr>
                    <w:rFonts w:ascii="Cambria Math" w:hAnsi="Cambria Math" w:cs="Calibri"/>
                    <w:sz w:val="20"/>
                    <w:szCs w:val="20"/>
                  </w:rPr>
                  <m:t>MO</m:t>
                </m:r>
              </m:oMath>
            </m:oMathPara>
          </w:p>
        </w:tc>
        <w:tc>
          <w:tcPr>
            <w:tcW w:w="8503" w:type="dxa"/>
            <w:vAlign w:val="center"/>
          </w:tcPr>
          <w:p w14:paraId="00F6784F" w14:textId="0D2279A1" w:rsidR="003A71FC" w:rsidRPr="00E54DA6" w:rsidRDefault="003C6FF8" w:rsidP="004306AE">
            <w:pPr>
              <w:jc w:val="left"/>
              <w:rPr>
                <w:rFonts w:eastAsiaTheme="minorEastAsia" w:cs="Calibri"/>
                <w:sz w:val="20"/>
                <w:szCs w:val="20"/>
              </w:rPr>
            </w:pPr>
            <w:r w:rsidRPr="00E54DA6">
              <w:rPr>
                <w:rFonts w:eastAsiaTheme="minorEastAsia" w:cs="Calibri"/>
                <w:sz w:val="20"/>
                <w:szCs w:val="20"/>
              </w:rPr>
              <w:t xml:space="preserve">La teneur en matière organique, avec MO = 2 · </w:t>
            </w:r>
            <w:proofErr w:type="spellStart"/>
            <w:r w:rsidRPr="00E54DA6">
              <w:rPr>
                <w:rFonts w:eastAsiaTheme="minorEastAsia" w:cs="Calibri"/>
                <w:sz w:val="20"/>
                <w:szCs w:val="20"/>
              </w:rPr>
              <w:t>C</w:t>
            </w:r>
            <w:r w:rsidRPr="00E54DA6">
              <w:rPr>
                <w:rFonts w:eastAsiaTheme="minorEastAsia" w:cs="Calibri"/>
                <w:sz w:val="20"/>
                <w:szCs w:val="20"/>
                <w:vertAlign w:val="subscript"/>
              </w:rPr>
              <w:t>org</w:t>
            </w:r>
            <w:proofErr w:type="spellEnd"/>
            <w:r w:rsidR="003A71FC" w:rsidRPr="00E54DA6">
              <w:rPr>
                <w:rFonts w:eastAsiaTheme="minorEastAsia" w:cs="Calibri"/>
                <w:sz w:val="20"/>
                <w:szCs w:val="20"/>
              </w:rPr>
              <w:t xml:space="preserve"> ;</w:t>
            </w:r>
          </w:p>
        </w:tc>
      </w:tr>
      <w:tr w:rsidR="003A71FC" w:rsidRPr="00E54DA6" w14:paraId="2AD73DB1" w14:textId="77777777" w:rsidTr="004306AE">
        <w:trPr>
          <w:trHeight w:val="227"/>
        </w:trPr>
        <w:tc>
          <w:tcPr>
            <w:tcW w:w="567" w:type="dxa"/>
            <w:vAlign w:val="center"/>
          </w:tcPr>
          <w:p w14:paraId="56DDF24C" w14:textId="0BB47EB6" w:rsidR="003A71FC" w:rsidRPr="00E54DA6" w:rsidRDefault="003431CD" w:rsidP="004306AE">
            <w:pPr>
              <w:jc w:val="left"/>
              <w:rPr>
                <w:rFonts w:eastAsiaTheme="minorEastAsia" w:cs="Calibri"/>
                <w:sz w:val="20"/>
                <w:szCs w:val="20"/>
              </w:rPr>
            </w:pPr>
            <w:r w:rsidRPr="00E54DA6">
              <w:rPr>
                <w:rFonts w:cs="Calibri"/>
                <w:sz w:val="20"/>
                <w:szCs w:val="20"/>
              </w:rPr>
              <w:t>C</w:t>
            </w:r>
          </w:p>
        </w:tc>
        <w:tc>
          <w:tcPr>
            <w:tcW w:w="8503" w:type="dxa"/>
            <w:vAlign w:val="center"/>
          </w:tcPr>
          <w:p w14:paraId="1BA52DB5" w14:textId="3A20F140" w:rsidR="003A71FC" w:rsidRPr="00E54DA6" w:rsidRDefault="003C6FF8" w:rsidP="004306AE">
            <w:pPr>
              <w:jc w:val="left"/>
              <w:rPr>
                <w:rFonts w:eastAsiaTheme="minorEastAsia" w:cs="Calibri"/>
                <w:sz w:val="20"/>
                <w:szCs w:val="20"/>
              </w:rPr>
            </w:pPr>
            <w:r w:rsidRPr="00E54DA6">
              <w:rPr>
                <w:rFonts w:eastAsiaTheme="minorEastAsia" w:cs="Calibri"/>
                <w:sz w:val="20"/>
                <w:szCs w:val="20"/>
              </w:rPr>
              <w:t>Constante</w:t>
            </w:r>
            <w:r w:rsidR="00630426" w:rsidRPr="00E54DA6">
              <w:rPr>
                <w:rFonts w:eastAsiaTheme="minorEastAsia" w:cs="Calibri"/>
                <w:sz w:val="20"/>
                <w:szCs w:val="20"/>
              </w:rPr>
              <w:t xml:space="preserve"> (/) à</w:t>
            </w:r>
            <w:r w:rsidRPr="00E54DA6">
              <w:rPr>
                <w:rFonts w:eastAsiaTheme="minorEastAsia" w:cs="Calibri"/>
                <w:sz w:val="20"/>
                <w:szCs w:val="20"/>
              </w:rPr>
              <w:t xml:space="preserve"> C = 0,2 si </w:t>
            </w:r>
            <w:proofErr w:type="spellStart"/>
            <w:r w:rsidRPr="00E54DA6">
              <w:rPr>
                <w:rFonts w:eastAsiaTheme="minorEastAsia" w:cs="Calibri"/>
                <w:sz w:val="20"/>
                <w:szCs w:val="20"/>
              </w:rPr>
              <w:t>pHeau</w:t>
            </w:r>
            <w:proofErr w:type="spellEnd"/>
            <w:r w:rsidRPr="00E54DA6">
              <w:rPr>
                <w:rFonts w:eastAsiaTheme="minorEastAsia" w:cs="Calibri"/>
                <w:sz w:val="20"/>
                <w:szCs w:val="20"/>
              </w:rPr>
              <w:t xml:space="preserve"> ≥ 7 ; C = 0 si </w:t>
            </w:r>
            <w:proofErr w:type="spellStart"/>
            <w:r w:rsidRPr="00E54DA6">
              <w:rPr>
                <w:rFonts w:eastAsiaTheme="minorEastAsia" w:cs="Calibri"/>
                <w:sz w:val="20"/>
                <w:szCs w:val="20"/>
              </w:rPr>
              <w:t>pHeau</w:t>
            </w:r>
            <w:proofErr w:type="spellEnd"/>
            <w:r w:rsidRPr="00E54DA6">
              <w:rPr>
                <w:rFonts w:eastAsiaTheme="minorEastAsia" w:cs="Calibri"/>
                <w:sz w:val="20"/>
                <w:szCs w:val="20"/>
              </w:rPr>
              <w:t xml:space="preserve"> &lt; 7</w:t>
            </w:r>
            <w:r w:rsidR="003A71FC" w:rsidRPr="00E54DA6">
              <w:rPr>
                <w:rFonts w:eastAsiaTheme="minorEastAsia" w:cs="Calibri"/>
                <w:sz w:val="20"/>
                <w:szCs w:val="20"/>
              </w:rPr>
              <w:t> ;</w:t>
            </w:r>
          </w:p>
        </w:tc>
      </w:tr>
      <w:tr w:rsidR="003A71FC" w:rsidRPr="00E54DA6" w14:paraId="00053000" w14:textId="77777777" w:rsidTr="004306AE">
        <w:trPr>
          <w:trHeight w:val="227"/>
        </w:trPr>
        <w:tc>
          <w:tcPr>
            <w:tcW w:w="567" w:type="dxa"/>
            <w:vAlign w:val="center"/>
          </w:tcPr>
          <w:p w14:paraId="1E6666FA" w14:textId="54B02243" w:rsidR="003A71FC" w:rsidRPr="00E54DA6" w:rsidRDefault="00437C8C" w:rsidP="004306AE">
            <w:pPr>
              <w:jc w:val="left"/>
              <w:rPr>
                <w:rFonts w:eastAsia="Aptos" w:cs="Calibri"/>
                <w:iCs/>
                <w:sz w:val="20"/>
                <w:szCs w:val="20"/>
                <w:lang w:val="fr-FR"/>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pH</m:t>
                    </m:r>
                  </m:e>
                  <m:sub>
                    <m:r>
                      <m:rPr>
                        <m:sty m:val="p"/>
                      </m:rPr>
                      <w:rPr>
                        <w:rFonts w:ascii="Cambria Math" w:hAnsi="Cambria Math" w:cs="Calibri"/>
                        <w:sz w:val="20"/>
                        <w:szCs w:val="20"/>
                      </w:rPr>
                      <m:t>eau</m:t>
                    </m:r>
                  </m:sub>
                </m:sSub>
              </m:oMath>
            </m:oMathPara>
          </w:p>
        </w:tc>
        <w:tc>
          <w:tcPr>
            <w:tcW w:w="8503" w:type="dxa"/>
            <w:vAlign w:val="center"/>
          </w:tcPr>
          <w:p w14:paraId="598936B9" w14:textId="282B82BF" w:rsidR="003A71FC" w:rsidRPr="00E54DA6" w:rsidRDefault="003C6FF8" w:rsidP="004306AE">
            <w:pPr>
              <w:jc w:val="left"/>
              <w:rPr>
                <w:rFonts w:eastAsiaTheme="minorEastAsia" w:cs="Calibri"/>
                <w:sz w:val="20"/>
                <w:szCs w:val="20"/>
              </w:rPr>
            </w:pPr>
            <w:r w:rsidRPr="00E54DA6">
              <w:rPr>
                <w:rFonts w:eastAsiaTheme="minorEastAsia" w:cs="Calibri"/>
                <w:sz w:val="20"/>
                <w:szCs w:val="20"/>
              </w:rPr>
              <w:t>Le pH</w:t>
            </w:r>
            <w:r w:rsidR="00630426" w:rsidRPr="00E54DA6">
              <w:rPr>
                <w:rFonts w:eastAsiaTheme="minorEastAsia" w:cs="Calibri"/>
                <w:sz w:val="20"/>
                <w:szCs w:val="20"/>
              </w:rPr>
              <w:t xml:space="preserve"> mesuré dans l’eau (/).</w:t>
            </w:r>
          </w:p>
        </w:tc>
      </w:tr>
    </w:tbl>
    <w:p w14:paraId="67D43EB2" w14:textId="77777777" w:rsidR="005E534E" w:rsidRDefault="005E534E" w:rsidP="00FA026A"/>
    <w:p w14:paraId="43CFA0C2" w14:textId="6F689226" w:rsidR="00FA026A" w:rsidRDefault="00FA026A" w:rsidP="00876101">
      <w:pPr>
        <w:pStyle w:val="Titre3"/>
        <w:numPr>
          <w:ilvl w:val="2"/>
          <w:numId w:val="3"/>
        </w:numPr>
      </w:pPr>
      <w:bookmarkStart w:id="195" w:name="_Toc241505351"/>
      <w:r>
        <w:t>Pertinence</w:t>
      </w:r>
      <w:bookmarkEnd w:id="195"/>
    </w:p>
    <w:p w14:paraId="6330FA63" w14:textId="5DF6E94D" w:rsidR="00DE5512" w:rsidRPr="00DE5512" w:rsidRDefault="7DA03E86" w:rsidP="00DE5512">
      <w:r>
        <w:t>L</w:t>
      </w:r>
      <w:r w:rsidR="008F554D">
        <w:t>a présence d’une croûte de battance impacte négativement la perméabilité du sol, ce qui engendre une stagnation d’eau ou du ruissellement.</w:t>
      </w:r>
      <w:r w:rsidR="00DC1403">
        <w:t xml:space="preserve"> </w:t>
      </w:r>
      <w:r w:rsidR="0C0756B5">
        <w:t xml:space="preserve">La formation de la croûte est un phénomène extrêmement dynamique et localisé et son identification n’est pas aisée en pratique, ce qui rend la mesure directe de la croûte très subjective. </w:t>
      </w:r>
      <w:r w:rsidR="24A4C22B">
        <w:t>L’</w:t>
      </w:r>
      <w:r w:rsidR="00DC1403">
        <w:t xml:space="preserve">indice de battance </w:t>
      </w:r>
      <w:r w:rsidR="004C4500">
        <w:t xml:space="preserve">(potentiel de battance) </w:t>
      </w:r>
      <w:r w:rsidR="44293CD4">
        <w:t>donne une bonne indication du risque de formation d’une croûte de battance</w:t>
      </w:r>
      <w:r w:rsidR="004C4500">
        <w:t>.</w:t>
      </w:r>
    </w:p>
    <w:p w14:paraId="4A481C0B" w14:textId="0FB1B906" w:rsidR="00FA026A" w:rsidRDefault="00FA026A" w:rsidP="00876101">
      <w:pPr>
        <w:pStyle w:val="Titre3"/>
        <w:numPr>
          <w:ilvl w:val="2"/>
          <w:numId w:val="3"/>
        </w:numPr>
      </w:pPr>
      <w:bookmarkStart w:id="196" w:name="_Toc241505352"/>
      <w:r>
        <w:t>Interprétation</w:t>
      </w:r>
      <w:bookmarkEnd w:id="196"/>
    </w:p>
    <w:p w14:paraId="0D3829A1" w14:textId="1D3917B3" w:rsidR="00DE5512" w:rsidRDefault="00F305F9" w:rsidP="00F305F9">
      <w:r>
        <w:t xml:space="preserve">L’indice de battance repose sur un modèle qui permet d’évaluer le </w:t>
      </w:r>
      <w:r w:rsidRPr="00FE19EF">
        <w:t>potentiel</w:t>
      </w:r>
      <w:r>
        <w:t xml:space="preserve"> de battance d’un sol sur base de ses propriétés pédologiques. Son utilisation n’a de sens que si les conditions de surface sont réunies pour mener à la formation d’une croûte de battance (ex</w:t>
      </w:r>
      <w:r w:rsidR="2F4E45DC">
        <w:t>.</w:t>
      </w:r>
      <w:r>
        <w:t xml:space="preserve"> sol nu). </w:t>
      </w:r>
      <w:r w:rsidR="235BC1FD">
        <w:t>S</w:t>
      </w:r>
      <w:r>
        <w:t>i l’indice de battance est élevé mais que l’état de surface est bon (présence d’un couvert permanent</w:t>
      </w:r>
      <w:r w:rsidR="4666B1E8">
        <w:t>,</w:t>
      </w:r>
      <w:r>
        <w:t xml:space="preserve"> etc.), la probabilité d’occurrence d’une croûte de battance est très faible.</w:t>
      </w:r>
    </w:p>
    <w:p w14:paraId="01E64BFA" w14:textId="18F35B79" w:rsidR="00FA026A" w:rsidRDefault="00DE5512" w:rsidP="00FA026A">
      <w:r>
        <w:t>Pour cette raison, l</w:t>
      </w:r>
      <w:r w:rsidR="00F305F9">
        <w:t xml:space="preserve">’indice de battance </w:t>
      </w:r>
      <w:r w:rsidR="00FA0446">
        <w:t xml:space="preserve">n’est pas intégré directement dans le calcul du score du </w:t>
      </w:r>
      <w:r w:rsidR="000100FD">
        <w:t>service écosystémique</w:t>
      </w:r>
      <w:r w:rsidR="006F5855">
        <w:t>, mais uniquement utilisé comme</w:t>
      </w:r>
      <w:r w:rsidR="00607CF0">
        <w:t xml:space="preserve"> </w:t>
      </w:r>
      <w:r w:rsidR="2E0E172C">
        <w:t>complément indicatif</w:t>
      </w:r>
      <w:r w:rsidR="00FA0446">
        <w:t xml:space="preserve">. </w:t>
      </w:r>
    </w:p>
    <w:p w14:paraId="5165BC6C" w14:textId="77777777" w:rsidR="00B909BE" w:rsidRPr="00FA026A" w:rsidRDefault="00B909BE" w:rsidP="00FA026A"/>
    <w:p w14:paraId="7303CF67" w14:textId="010F854E" w:rsidR="004C09AB" w:rsidRDefault="00313899" w:rsidP="00876101">
      <w:pPr>
        <w:pStyle w:val="Titre2"/>
        <w:numPr>
          <w:ilvl w:val="1"/>
          <w:numId w:val="3"/>
        </w:numPr>
      </w:pPr>
      <w:bookmarkStart w:id="197" w:name="_Ref232413025"/>
      <w:bookmarkStart w:id="198" w:name="_Toc241505353"/>
      <w:r>
        <w:t>Érodibilité du sol</w:t>
      </w:r>
      <w:bookmarkEnd w:id="197"/>
      <w:r w:rsidR="00167C2B">
        <w:t xml:space="preserve"> (complément indicatif)</w:t>
      </w:r>
      <w:bookmarkEnd w:id="198"/>
    </w:p>
    <w:p w14:paraId="1F2ADEBA" w14:textId="6BAD9DD7" w:rsidR="00313899" w:rsidRDefault="00A1578F" w:rsidP="00876101">
      <w:pPr>
        <w:pStyle w:val="Titre3"/>
        <w:numPr>
          <w:ilvl w:val="2"/>
          <w:numId w:val="3"/>
        </w:numPr>
      </w:pPr>
      <w:bookmarkStart w:id="199" w:name="_Toc241505354"/>
      <w:r>
        <w:t>Définition et calcul</w:t>
      </w:r>
      <w:bookmarkEnd w:id="199"/>
    </w:p>
    <w:p w14:paraId="1F9892BE" w14:textId="77777777" w:rsidR="00A1578F" w:rsidRDefault="00A1578F" w:rsidP="00A1578F">
      <w:r>
        <w:t>Le modèle R.U.S.L.E., version révisée de</w:t>
      </w:r>
      <w:r w:rsidRPr="00382EE5">
        <w:t xml:space="preserve"> </w:t>
      </w:r>
      <w:r>
        <w:t>« </w:t>
      </w:r>
      <w:r w:rsidRPr="00382EE5">
        <w:t>Universal Soil Loss Equation</w:t>
      </w:r>
      <w:r>
        <w:t xml:space="preserve"> », initialement développée par </w:t>
      </w:r>
      <w:r w:rsidRPr="002830D7">
        <w:t xml:space="preserve">Wischmeier </w:t>
      </w:r>
      <w:r>
        <w:t>et</w:t>
      </w:r>
      <w:r w:rsidRPr="002830D7">
        <w:t xml:space="preserve"> Smith</w:t>
      </w:r>
      <w:r>
        <w:t xml:space="preserve"> </w:t>
      </w:r>
      <w:r>
        <w:fldChar w:fldCharType="begin"/>
      </w:r>
      <w:r>
        <w:instrText xml:space="preserve"> ADDIN ZOTERO_ITEM CSL_CITATION {"citationID":"ILrSdKQI","properties":{"unsorted":false,"formattedCitation":"(1978)","plainCitation":"(1978)","noteIndex":0},"citationItems":[{"id":599,"uris":["http://zotero.org/groups/5684833/items/ZBWITVPV"],"itemData":{"id":599,"type":"book","collection-number":"No. 537","collection-title":"Agricultural Handbook","original-publisher":"U.S. Department of Agriculture, Washington DC, USA","title":"Predicting Rainfall Erosion Losses: A Guide to Conservation Planning","URL":"https://books.google.be/books?hl=fr&amp;lr=&amp;id=rRAUAAAAYAAJ&amp;oi=fnd&amp;pg=PA5&amp;ots=cwsorPnvZZ&amp;sig=AhOY39ZA_etFwsP8DmDHSZYqHyk&amp;redir_esc=y#v=onepage&amp;q&amp;f=false","author":[{"family":"Wischmeier","given":"Walter H."},{"family":"Smith","given":"Dwight David"}],"accessed":{"date-parts":[["2026",6,14]]},"issued":{"date-parts":[["1978"]]}},"suppress-author":true}],"schema":"https://github.com/citation-style-language/schema/raw/master/csl-citation.json"} </w:instrText>
      </w:r>
      <w:r>
        <w:fldChar w:fldCharType="separate"/>
      </w:r>
      <w:r w:rsidRPr="00A1578F">
        <w:rPr>
          <w:rFonts w:cs="Calibri"/>
        </w:rPr>
        <w:t>(1978)</w:t>
      </w:r>
      <w:r>
        <w:fldChar w:fldCharType="end"/>
      </w:r>
      <w:r>
        <w:t xml:space="preserve"> permet d’évaluer la perte en sol par érosion hydrique d’une parcelle selon l’équation suivante </w:t>
      </w:r>
      <w:r>
        <w:fldChar w:fldCharType="begin"/>
      </w:r>
      <w:r>
        <w:instrText xml:space="preserve"> ADDIN ZOTERO_ITEM CSL_CITATION {"citationID":"xnKXM8Nq","properties":{"unsorted":false,"formattedCitation":"(Panagos et al., 2015)","plainCitation":"(Panagos et al., 2015)","noteIndex":0},"citationItems":[{"id":519,"uris":["http://zotero.org/groups/5684833/items/JSU3P4RR"],"itemData":{"id":519,"type":"article-journal","abstract":"Soil erosion by water is one of the major threats to soils in the European Union, with a negative impact on ecosystem services, crop production, drinking water and carbon stocks. The European Commission's Soil Thematic Strategy has identified soil erosion as a relevant issue for the European Union, and has proposed an approach to monitor soil erosion. This paper presents the application of a modified version of the Revised Universal Soil Loss Equation (RUSLE) model (RUSLE2015) to estimate soil loss in Europe for the reference year 2010, within which the input factors (Rainfall erosivity, Soil erodibility, Cover-Management, Topography, Support practices) are modelled with the most recently available pan-European datasets. While RUSLE has been used before in Europe, RUSLE2015 improves the quality of estimation by introducing updated (2010), high-resolution (100m), peer-reviewed input layers. The mean soil loss rate in the European Union's erosion-prone lands (agricultural, forests and semi-natural areas) was found to be 2.46 t ha−1 yr−1, resulting in a total soil loss of 970 Mt annually. A major benefit of RUSLE2015 is that it can incorporate the effects of policy scenarios based on land-use changes and support practices. The impact of the Good Agricultural and Environmental Condition (GAEC) requirements of the Common Agricultural Policy (CAP) and the EU's guidelines for soil protection can be grouped under land management (reduced/no till, plant residues, cover crops) and support practices (contour farming, maintenance of stone walls and grass margins). The policy interventions (GAEC, Soil Thematic Strategy) over the past decade have reduced the soil loss rate by 9.5% on average in Europe, and by 20% for arable lands. Special attention is given to the 4 million ha of croplands which currently have unsustainable soil loss rates of more than 5 t ha−1 yr−1, and to which policy measures should be targeted.","container-title":"Environmental Science &amp; Policy","DOI":"10.1016/j.envsci.2015.08.012","ISSN":"1462-9011","journalAbbreviation":"Environmental Science &amp; Policy","page":"438-447","source":"ScienceDirect","title":"The new assessment of soil loss by water erosion in Europe","volume":"54","author":[{"family":"Panagos","given":"Panos"},{"family":"Borrelli","given":"Pasquale"},{"family":"Poesen","given":"Jean"},{"family":"Ballabio","given":"Cristiano"},{"family":"Lugato","given":"Emanuele"},{"family":"Meusburger","given":"Katrin"},{"family":"Montanarella","given":"Luca"},{"family":"Alewell","given":"Christine"}],"issued":{"date-parts":[["2015",12,1]]}}}],"schema":"https://github.com/citation-style-language/schema/raw/master/csl-citation.json"} </w:instrText>
      </w:r>
      <w:r>
        <w:fldChar w:fldCharType="separate"/>
      </w:r>
      <w:r w:rsidRPr="00A1578F">
        <w:rPr>
          <w:rFonts w:cs="Calibri"/>
        </w:rPr>
        <w:t>(Panagos et al., 2015)</w:t>
      </w:r>
      <w:r>
        <w:fldChar w:fldCharType="end"/>
      </w:r>
      <w: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497"/>
        <w:gridCol w:w="573"/>
      </w:tblGrid>
      <w:tr w:rsidR="00A1578F" w14:paraId="6094EFCC" w14:textId="77777777" w:rsidTr="004306AE">
        <w:trPr>
          <w:trHeight w:val="647"/>
        </w:trPr>
        <w:tc>
          <w:tcPr>
            <w:tcW w:w="8642" w:type="dxa"/>
            <w:vAlign w:val="center"/>
          </w:tcPr>
          <w:p w14:paraId="3B423A52" w14:textId="77777777" w:rsidR="00A1578F" w:rsidRPr="00933ADA" w:rsidRDefault="00A1578F" w:rsidP="004306AE">
            <w:pPr>
              <w:jc w:val="center"/>
            </w:pPr>
            <m:oMathPara>
              <m:oMath>
                <m:r>
                  <m:rPr>
                    <m:sty m:val="p"/>
                  </m:rPr>
                  <w:rPr>
                    <w:rFonts w:ascii="Cambria Math" w:hAnsi="Cambria Math" w:cs="Cambria Math"/>
                  </w:rPr>
                  <m:t>A=</m:t>
                </m:r>
                <m:r>
                  <m:rPr>
                    <m:sty m:val="p"/>
                  </m:rPr>
                  <w:rPr>
                    <w:rFonts w:ascii="Cambria Math" w:hAnsi="Cambria Math"/>
                  </w:rPr>
                  <m:t xml:space="preserve">R∙K∙L ∙S ∙C ∙P  </m:t>
                </m:r>
              </m:oMath>
            </m:oMathPara>
          </w:p>
        </w:tc>
        <w:tc>
          <w:tcPr>
            <w:tcW w:w="418" w:type="dxa"/>
            <w:vAlign w:val="center"/>
          </w:tcPr>
          <w:p w14:paraId="76C43793" w14:textId="7331B1EF" w:rsidR="00A1578F" w:rsidRDefault="00A1578F" w:rsidP="004306AE">
            <w:pPr>
              <w:jc w:val="center"/>
            </w:pPr>
            <w:r>
              <w:t>(1</w:t>
            </w:r>
            <w:r w:rsidR="00001C66">
              <w:t>3</w:t>
            </w:r>
            <w:r>
              <w:t>)</w:t>
            </w:r>
          </w:p>
        </w:tc>
      </w:tr>
    </w:tbl>
    <w:p w14:paraId="4CC04671" w14:textId="77777777" w:rsidR="00A1578F" w:rsidRPr="00E54DA6" w:rsidRDefault="00A1578F" w:rsidP="00A1578F">
      <w:pPr>
        <w:rPr>
          <w:rFonts w:cs="Calibri"/>
          <w:sz w:val="20"/>
          <w:szCs w:val="20"/>
        </w:rPr>
      </w:pPr>
      <w:r w:rsidRPr="00E54DA6">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799"/>
        <w:gridCol w:w="8271"/>
      </w:tblGrid>
      <w:tr w:rsidR="00A1578F" w:rsidRPr="00E54DA6" w14:paraId="1734A2A0" w14:textId="77777777" w:rsidTr="004306AE">
        <w:trPr>
          <w:trHeight w:val="227"/>
        </w:trPr>
        <w:tc>
          <w:tcPr>
            <w:tcW w:w="799" w:type="dxa"/>
            <w:vAlign w:val="center"/>
          </w:tcPr>
          <w:p w14:paraId="075B3505" w14:textId="77777777" w:rsidR="00A1578F" w:rsidRPr="00E54DA6" w:rsidRDefault="00A1578F" w:rsidP="004306AE">
            <w:pPr>
              <w:jc w:val="left"/>
              <w:rPr>
                <w:rFonts w:cs="Calibri"/>
                <w:sz w:val="20"/>
                <w:szCs w:val="20"/>
              </w:rPr>
            </w:pPr>
            <m:oMathPara>
              <m:oMathParaPr>
                <m:jc m:val="left"/>
              </m:oMathParaPr>
              <m:oMath>
                <m:r>
                  <m:rPr>
                    <m:sty m:val="p"/>
                  </m:rPr>
                  <w:rPr>
                    <w:rFonts w:ascii="Cambria Math" w:hAnsi="Cambria Math" w:cs="Calibri"/>
                    <w:sz w:val="20"/>
                    <w:szCs w:val="20"/>
                  </w:rPr>
                  <m:t>A</m:t>
                </m:r>
              </m:oMath>
            </m:oMathPara>
          </w:p>
        </w:tc>
        <w:tc>
          <w:tcPr>
            <w:tcW w:w="8271" w:type="dxa"/>
            <w:vAlign w:val="center"/>
          </w:tcPr>
          <w:p w14:paraId="510DBDBB" w14:textId="77777777" w:rsidR="00A1578F" w:rsidRPr="00E54DA6" w:rsidRDefault="00A1578F" w:rsidP="004306AE">
            <w:pPr>
              <w:jc w:val="left"/>
              <w:rPr>
                <w:rFonts w:cs="Calibri"/>
                <w:sz w:val="20"/>
                <w:szCs w:val="20"/>
              </w:rPr>
            </w:pPr>
            <w:r w:rsidRPr="00E54DA6">
              <w:rPr>
                <w:rFonts w:eastAsiaTheme="minorEastAsia" w:cs="Calibri"/>
                <w:sz w:val="20"/>
                <w:szCs w:val="20"/>
              </w:rPr>
              <w:t xml:space="preserve">La perte en terre annuelle moyenne (t · (ha · </w:t>
            </w:r>
            <w:proofErr w:type="gramStart"/>
            <w:r w:rsidRPr="00E54DA6">
              <w:rPr>
                <w:rFonts w:eastAsiaTheme="minorEastAsia" w:cs="Calibri"/>
                <w:sz w:val="20"/>
                <w:szCs w:val="20"/>
              </w:rPr>
              <w:t>an)</w:t>
            </w:r>
            <w:r w:rsidRPr="00E54DA6">
              <w:rPr>
                <w:rFonts w:eastAsiaTheme="minorEastAsia" w:cs="Calibri"/>
                <w:sz w:val="20"/>
                <w:szCs w:val="20"/>
                <w:vertAlign w:val="superscript"/>
              </w:rPr>
              <w:t>-</w:t>
            </w:r>
            <w:proofErr w:type="gramEnd"/>
            <w:r w:rsidRPr="00E54DA6">
              <w:rPr>
                <w:rFonts w:eastAsiaTheme="minorEastAsia" w:cs="Calibri"/>
                <w:sz w:val="20"/>
                <w:szCs w:val="20"/>
                <w:vertAlign w:val="superscript"/>
              </w:rPr>
              <w:t>1</w:t>
            </w:r>
            <w:r w:rsidRPr="00E54DA6">
              <w:rPr>
                <w:rFonts w:eastAsiaTheme="minorEastAsia" w:cs="Calibri"/>
                <w:sz w:val="20"/>
                <w:szCs w:val="20"/>
              </w:rPr>
              <w:t>) ;</w:t>
            </w:r>
          </w:p>
        </w:tc>
      </w:tr>
      <w:tr w:rsidR="00A1578F" w:rsidRPr="00E54DA6" w14:paraId="4A18AD6C" w14:textId="77777777" w:rsidTr="004306AE">
        <w:trPr>
          <w:trHeight w:val="227"/>
        </w:trPr>
        <w:tc>
          <w:tcPr>
            <w:tcW w:w="799" w:type="dxa"/>
            <w:vAlign w:val="center"/>
          </w:tcPr>
          <w:p w14:paraId="594F98FC" w14:textId="77777777" w:rsidR="00A1578F" w:rsidRPr="00E54DA6" w:rsidRDefault="00A1578F" w:rsidP="004306AE">
            <w:pPr>
              <w:jc w:val="left"/>
              <w:rPr>
                <w:rFonts w:eastAsiaTheme="minorEastAsia" w:cs="Calibri"/>
                <w:sz w:val="20"/>
                <w:szCs w:val="20"/>
              </w:rPr>
            </w:pPr>
            <m:oMathPara>
              <m:oMathParaPr>
                <m:jc m:val="left"/>
              </m:oMathParaPr>
              <m:oMath>
                <m:r>
                  <m:rPr>
                    <m:sty m:val="p"/>
                  </m:rPr>
                  <w:rPr>
                    <w:rFonts w:ascii="Cambria Math" w:hAnsi="Cambria Math" w:cs="Calibri"/>
                    <w:sz w:val="20"/>
                    <w:szCs w:val="20"/>
                  </w:rPr>
                  <m:t xml:space="preserve">R </m:t>
                </m:r>
              </m:oMath>
            </m:oMathPara>
          </w:p>
        </w:tc>
        <w:tc>
          <w:tcPr>
            <w:tcW w:w="8271" w:type="dxa"/>
            <w:vAlign w:val="center"/>
          </w:tcPr>
          <w:p w14:paraId="5DACD29D" w14:textId="77777777" w:rsidR="00A1578F" w:rsidRPr="00E54DA6" w:rsidRDefault="00A1578F" w:rsidP="004306AE">
            <w:pPr>
              <w:jc w:val="left"/>
              <w:rPr>
                <w:rFonts w:eastAsiaTheme="minorEastAsia" w:cs="Calibri"/>
                <w:sz w:val="20"/>
                <w:szCs w:val="20"/>
              </w:rPr>
            </w:pPr>
            <w:r w:rsidRPr="00E54DA6">
              <w:rPr>
                <w:rFonts w:eastAsiaTheme="minorEastAsia" w:cs="Calibri"/>
                <w:sz w:val="20"/>
                <w:szCs w:val="20"/>
              </w:rPr>
              <w:t xml:space="preserve">L’érosivité de la pluie (MJ · (ha </w:t>
            </w:r>
            <w:r w:rsidRPr="00E54DA6">
              <w:rPr>
                <w:rFonts w:ascii="Segoe UI Symbol" w:eastAsiaTheme="minorEastAsia" w:hAnsi="Segoe UI Symbol" w:cs="Segoe UI Symbol"/>
                <w:sz w:val="20"/>
                <w:szCs w:val="20"/>
              </w:rPr>
              <w:t>⸱</w:t>
            </w:r>
            <w:r w:rsidRPr="00E54DA6">
              <w:rPr>
                <w:rFonts w:eastAsiaTheme="minorEastAsia" w:cs="Calibri"/>
                <w:sz w:val="20"/>
                <w:szCs w:val="20"/>
              </w:rPr>
              <w:t xml:space="preserve"> </w:t>
            </w:r>
            <w:proofErr w:type="gramStart"/>
            <w:r w:rsidRPr="00E54DA6">
              <w:rPr>
                <w:rFonts w:eastAsiaTheme="minorEastAsia" w:cs="Calibri"/>
                <w:sz w:val="20"/>
                <w:szCs w:val="20"/>
              </w:rPr>
              <w:t>an)</w:t>
            </w:r>
            <w:r w:rsidRPr="00E54DA6">
              <w:rPr>
                <w:rFonts w:eastAsiaTheme="minorEastAsia" w:cs="Calibri"/>
                <w:sz w:val="20"/>
                <w:szCs w:val="20"/>
                <w:vertAlign w:val="superscript"/>
              </w:rPr>
              <w:t>-</w:t>
            </w:r>
            <w:proofErr w:type="gramEnd"/>
            <w:r w:rsidRPr="00E54DA6">
              <w:rPr>
                <w:rFonts w:eastAsiaTheme="minorEastAsia" w:cs="Calibri"/>
                <w:sz w:val="20"/>
                <w:szCs w:val="20"/>
                <w:vertAlign w:val="superscript"/>
              </w:rPr>
              <w:t>1</w:t>
            </w:r>
            <w:r w:rsidRPr="00E54DA6">
              <w:rPr>
                <w:rFonts w:eastAsiaTheme="minorEastAsia" w:cs="Calibri"/>
                <w:sz w:val="20"/>
                <w:szCs w:val="20"/>
              </w:rPr>
              <w:t xml:space="preserve"> </w:t>
            </w:r>
            <w:r w:rsidRPr="00E54DA6">
              <w:rPr>
                <w:rFonts w:ascii="Segoe UI Symbol" w:eastAsiaTheme="minorEastAsia" w:hAnsi="Segoe UI Symbol" w:cs="Segoe UI Symbol"/>
                <w:sz w:val="20"/>
                <w:szCs w:val="20"/>
              </w:rPr>
              <w:t>⸱</w:t>
            </w:r>
            <w:r w:rsidRPr="00E54DA6">
              <w:rPr>
                <w:rFonts w:eastAsiaTheme="minorEastAsia" w:cs="Calibri"/>
                <w:sz w:val="20"/>
                <w:szCs w:val="20"/>
              </w:rPr>
              <w:t xml:space="preserve"> mm · h</w:t>
            </w:r>
            <w:r w:rsidRPr="00E54DA6">
              <w:rPr>
                <w:rFonts w:eastAsiaTheme="minorEastAsia" w:cs="Calibri"/>
                <w:sz w:val="20"/>
                <w:szCs w:val="20"/>
                <w:vertAlign w:val="superscript"/>
              </w:rPr>
              <w:t>-1</w:t>
            </w:r>
            <w:r w:rsidRPr="00E54DA6">
              <w:rPr>
                <w:rFonts w:eastAsiaTheme="minorEastAsia" w:cs="Calibri"/>
                <w:sz w:val="20"/>
                <w:szCs w:val="20"/>
              </w:rPr>
              <w:t>)) ;</w:t>
            </w:r>
          </w:p>
        </w:tc>
      </w:tr>
      <w:tr w:rsidR="00A1578F" w:rsidRPr="00E54DA6" w14:paraId="54EA38DE" w14:textId="77777777" w:rsidTr="004306AE">
        <w:trPr>
          <w:trHeight w:val="227"/>
        </w:trPr>
        <w:tc>
          <w:tcPr>
            <w:tcW w:w="799" w:type="dxa"/>
            <w:vAlign w:val="center"/>
          </w:tcPr>
          <w:p w14:paraId="2FC1E0A7" w14:textId="77777777" w:rsidR="00A1578F" w:rsidRPr="00E54DA6" w:rsidRDefault="00A1578F" w:rsidP="004306AE">
            <w:pPr>
              <w:jc w:val="left"/>
              <w:rPr>
                <w:rFonts w:eastAsia="Aptos" w:cs="Calibri"/>
                <w:sz w:val="20"/>
                <w:szCs w:val="20"/>
              </w:rPr>
            </w:pPr>
            <m:oMathPara>
              <m:oMathParaPr>
                <m:jc m:val="left"/>
              </m:oMathParaPr>
              <m:oMath>
                <m:r>
                  <m:rPr>
                    <m:sty m:val="p"/>
                  </m:rPr>
                  <w:rPr>
                    <w:rFonts w:ascii="Cambria Math" w:hAnsi="Cambria Math" w:cs="Calibri"/>
                    <w:sz w:val="20"/>
                    <w:szCs w:val="20"/>
                  </w:rPr>
                  <m:t>K</m:t>
                </m:r>
              </m:oMath>
            </m:oMathPara>
          </w:p>
        </w:tc>
        <w:tc>
          <w:tcPr>
            <w:tcW w:w="8271" w:type="dxa"/>
            <w:vAlign w:val="center"/>
          </w:tcPr>
          <w:p w14:paraId="3BD42708" w14:textId="77777777" w:rsidR="00A1578F" w:rsidRPr="00E54DA6" w:rsidRDefault="00A1578F" w:rsidP="004306AE">
            <w:pPr>
              <w:jc w:val="left"/>
              <w:rPr>
                <w:rFonts w:eastAsiaTheme="minorEastAsia" w:cs="Calibri"/>
                <w:sz w:val="20"/>
                <w:szCs w:val="20"/>
              </w:rPr>
            </w:pPr>
            <w:r w:rsidRPr="00E54DA6">
              <w:rPr>
                <w:rFonts w:eastAsiaTheme="minorEastAsia" w:cs="Calibri"/>
                <w:sz w:val="20"/>
                <w:szCs w:val="20"/>
              </w:rPr>
              <w:t xml:space="preserve">L’érodibilité des sols (t </w:t>
            </w:r>
            <w:r w:rsidRPr="00E54DA6">
              <w:rPr>
                <w:rFonts w:ascii="Segoe UI Symbol" w:eastAsiaTheme="minorEastAsia" w:hAnsi="Segoe UI Symbol" w:cs="Segoe UI Symbol"/>
                <w:sz w:val="20"/>
                <w:szCs w:val="20"/>
              </w:rPr>
              <w:t>⸱</w:t>
            </w:r>
            <w:r w:rsidRPr="00E54DA6">
              <w:rPr>
                <w:rFonts w:eastAsiaTheme="minorEastAsia" w:cs="Calibri"/>
                <w:sz w:val="20"/>
                <w:szCs w:val="20"/>
              </w:rPr>
              <w:t xml:space="preserve"> h </w:t>
            </w:r>
            <w:r w:rsidRPr="00E54DA6">
              <w:rPr>
                <w:rFonts w:ascii="Segoe UI Symbol" w:eastAsiaTheme="minorEastAsia" w:hAnsi="Segoe UI Symbol" w:cs="Segoe UI Symbol"/>
                <w:sz w:val="20"/>
                <w:szCs w:val="20"/>
              </w:rPr>
              <w:t>⸱</w:t>
            </w:r>
            <w:r w:rsidRPr="00E54DA6">
              <w:rPr>
                <w:rFonts w:eastAsiaTheme="minorEastAsia" w:cs="Calibri"/>
                <w:sz w:val="20"/>
                <w:szCs w:val="20"/>
              </w:rPr>
              <w:t xml:space="preserve"> (MJ</w:t>
            </w:r>
            <w:r w:rsidRPr="00E54DA6">
              <w:rPr>
                <w:rFonts w:ascii="Segoe UI Symbol" w:eastAsiaTheme="minorEastAsia" w:hAnsi="Segoe UI Symbol" w:cs="Segoe UI Symbol"/>
                <w:sz w:val="20"/>
                <w:szCs w:val="20"/>
              </w:rPr>
              <w:t>⸱</w:t>
            </w:r>
            <w:r w:rsidRPr="00E54DA6">
              <w:rPr>
                <w:rFonts w:eastAsiaTheme="minorEastAsia" w:cs="Calibri"/>
                <w:sz w:val="20"/>
                <w:szCs w:val="20"/>
              </w:rPr>
              <w:t xml:space="preserve"> </w:t>
            </w:r>
            <w:proofErr w:type="gramStart"/>
            <w:r w:rsidRPr="00E54DA6">
              <w:rPr>
                <w:rFonts w:eastAsiaTheme="minorEastAsia" w:cs="Calibri"/>
                <w:sz w:val="20"/>
                <w:szCs w:val="20"/>
              </w:rPr>
              <w:t>mm)</w:t>
            </w:r>
            <w:r w:rsidRPr="00E54DA6">
              <w:rPr>
                <w:rFonts w:eastAsiaTheme="minorEastAsia" w:cs="Calibri"/>
                <w:sz w:val="20"/>
                <w:szCs w:val="20"/>
                <w:vertAlign w:val="superscript"/>
              </w:rPr>
              <w:t>-</w:t>
            </w:r>
            <w:proofErr w:type="gramEnd"/>
            <w:r w:rsidRPr="00E54DA6">
              <w:rPr>
                <w:rFonts w:eastAsiaTheme="minorEastAsia" w:cs="Calibri"/>
                <w:sz w:val="20"/>
                <w:szCs w:val="20"/>
                <w:vertAlign w:val="superscript"/>
              </w:rPr>
              <w:t>1</w:t>
            </w:r>
            <w:r w:rsidRPr="00E54DA6">
              <w:rPr>
                <w:rFonts w:eastAsiaTheme="minorEastAsia" w:cs="Calibri"/>
                <w:sz w:val="20"/>
                <w:szCs w:val="20"/>
              </w:rPr>
              <w:t>) ;</w:t>
            </w:r>
          </w:p>
        </w:tc>
      </w:tr>
      <w:tr w:rsidR="00A1578F" w:rsidRPr="00E54DA6" w14:paraId="12333D60" w14:textId="77777777" w:rsidTr="004306AE">
        <w:trPr>
          <w:trHeight w:val="227"/>
        </w:trPr>
        <w:tc>
          <w:tcPr>
            <w:tcW w:w="799" w:type="dxa"/>
            <w:vAlign w:val="center"/>
          </w:tcPr>
          <w:p w14:paraId="38948A1F" w14:textId="77777777" w:rsidR="00A1578F" w:rsidRPr="00E54DA6" w:rsidRDefault="00A1578F" w:rsidP="004306AE">
            <w:pPr>
              <w:jc w:val="left"/>
              <w:rPr>
                <w:rFonts w:eastAsia="Aptos" w:cs="Calibri"/>
                <w:sz w:val="20"/>
                <w:szCs w:val="20"/>
              </w:rPr>
            </w:pPr>
            <m:oMathPara>
              <m:oMathParaPr>
                <m:jc m:val="left"/>
              </m:oMathParaPr>
              <m:oMath>
                <m:r>
                  <m:rPr>
                    <m:sty m:val="p"/>
                  </m:rPr>
                  <w:rPr>
                    <w:rFonts w:ascii="Cambria Math" w:hAnsi="Cambria Math" w:cs="Calibri"/>
                    <w:sz w:val="20"/>
                    <w:szCs w:val="20"/>
                  </w:rPr>
                  <m:t xml:space="preserve">L ∙S </m:t>
                </m:r>
              </m:oMath>
            </m:oMathPara>
          </w:p>
        </w:tc>
        <w:tc>
          <w:tcPr>
            <w:tcW w:w="8271" w:type="dxa"/>
            <w:vAlign w:val="center"/>
          </w:tcPr>
          <w:p w14:paraId="35838933" w14:textId="77777777" w:rsidR="00A1578F" w:rsidRPr="00E54DA6" w:rsidRDefault="00A1578F" w:rsidP="004306AE">
            <w:pPr>
              <w:jc w:val="left"/>
              <w:rPr>
                <w:rFonts w:eastAsiaTheme="minorEastAsia" w:cs="Calibri"/>
                <w:sz w:val="20"/>
                <w:szCs w:val="20"/>
              </w:rPr>
            </w:pPr>
            <w:r w:rsidRPr="00E54DA6">
              <w:rPr>
                <w:rFonts w:eastAsiaTheme="minorEastAsia" w:cs="Calibri"/>
                <w:sz w:val="20"/>
                <w:szCs w:val="20"/>
              </w:rPr>
              <w:t>Un facteur topographique (-) ;</w:t>
            </w:r>
          </w:p>
        </w:tc>
      </w:tr>
      <w:tr w:rsidR="00A1578F" w:rsidRPr="00E54DA6" w14:paraId="246FEC37" w14:textId="77777777" w:rsidTr="004306AE">
        <w:trPr>
          <w:trHeight w:val="227"/>
        </w:trPr>
        <w:tc>
          <w:tcPr>
            <w:tcW w:w="799" w:type="dxa"/>
            <w:vAlign w:val="center"/>
          </w:tcPr>
          <w:p w14:paraId="52C6492A" w14:textId="77777777" w:rsidR="00A1578F" w:rsidRPr="00E54DA6" w:rsidRDefault="00A1578F" w:rsidP="004306AE">
            <w:pPr>
              <w:jc w:val="left"/>
              <w:rPr>
                <w:rFonts w:eastAsia="Aptos" w:cs="Calibri"/>
                <w:sz w:val="20"/>
                <w:szCs w:val="20"/>
              </w:rPr>
            </w:pPr>
            <m:oMathPara>
              <m:oMathParaPr>
                <m:jc m:val="left"/>
              </m:oMathParaPr>
              <m:oMath>
                <m:r>
                  <m:rPr>
                    <m:sty m:val="p"/>
                  </m:rPr>
                  <w:rPr>
                    <w:rFonts w:ascii="Cambria Math" w:hAnsi="Cambria Math" w:cs="Calibri"/>
                    <w:sz w:val="20"/>
                    <w:szCs w:val="20"/>
                  </w:rPr>
                  <m:t>C</m:t>
                </m:r>
              </m:oMath>
            </m:oMathPara>
          </w:p>
        </w:tc>
        <w:tc>
          <w:tcPr>
            <w:tcW w:w="8271" w:type="dxa"/>
            <w:vAlign w:val="center"/>
          </w:tcPr>
          <w:p w14:paraId="1BF1C06E" w14:textId="77777777" w:rsidR="00A1578F" w:rsidRPr="00E54DA6" w:rsidRDefault="00A1578F" w:rsidP="004306AE">
            <w:pPr>
              <w:jc w:val="left"/>
              <w:rPr>
                <w:rFonts w:eastAsiaTheme="minorEastAsia" w:cs="Calibri"/>
                <w:sz w:val="20"/>
                <w:szCs w:val="20"/>
              </w:rPr>
            </w:pPr>
            <w:r w:rsidRPr="00E54DA6">
              <w:rPr>
                <w:rFonts w:eastAsiaTheme="minorEastAsia" w:cs="Calibri"/>
                <w:sz w:val="20"/>
                <w:szCs w:val="20"/>
              </w:rPr>
              <w:t>Un facteur de couverture et gestion du sol (-) ;</w:t>
            </w:r>
          </w:p>
        </w:tc>
      </w:tr>
      <w:tr w:rsidR="00A1578F" w:rsidRPr="00E54DA6" w14:paraId="0AEAF039" w14:textId="77777777" w:rsidTr="004306AE">
        <w:trPr>
          <w:trHeight w:val="227"/>
        </w:trPr>
        <w:tc>
          <w:tcPr>
            <w:tcW w:w="799" w:type="dxa"/>
            <w:vAlign w:val="center"/>
          </w:tcPr>
          <w:p w14:paraId="74C5D2EB" w14:textId="77777777" w:rsidR="00A1578F" w:rsidRPr="00E54DA6" w:rsidRDefault="00A1578F" w:rsidP="004306AE">
            <w:pPr>
              <w:jc w:val="left"/>
              <w:rPr>
                <w:rFonts w:eastAsia="Aptos" w:cs="Calibri"/>
                <w:sz w:val="20"/>
                <w:szCs w:val="20"/>
              </w:rPr>
            </w:pPr>
            <m:oMathPara>
              <m:oMathParaPr>
                <m:jc m:val="left"/>
              </m:oMathParaPr>
              <m:oMath>
                <m:r>
                  <m:rPr>
                    <m:sty m:val="p"/>
                  </m:rPr>
                  <w:rPr>
                    <w:rFonts w:ascii="Cambria Math" w:hAnsi="Cambria Math" w:cs="Calibri"/>
                    <w:sz w:val="20"/>
                    <w:szCs w:val="20"/>
                  </w:rPr>
                  <m:t>P</m:t>
                </m:r>
              </m:oMath>
            </m:oMathPara>
          </w:p>
        </w:tc>
        <w:tc>
          <w:tcPr>
            <w:tcW w:w="8271" w:type="dxa"/>
            <w:vAlign w:val="center"/>
          </w:tcPr>
          <w:p w14:paraId="64397283" w14:textId="77777777" w:rsidR="00A1578F" w:rsidRPr="00E54DA6" w:rsidRDefault="00A1578F" w:rsidP="004306AE">
            <w:pPr>
              <w:jc w:val="left"/>
              <w:rPr>
                <w:rFonts w:eastAsiaTheme="minorEastAsia" w:cs="Calibri"/>
                <w:sz w:val="20"/>
                <w:szCs w:val="20"/>
              </w:rPr>
            </w:pPr>
            <w:r w:rsidRPr="00E54DA6">
              <w:rPr>
                <w:rFonts w:eastAsiaTheme="minorEastAsia" w:cs="Calibri"/>
                <w:sz w:val="20"/>
                <w:szCs w:val="20"/>
              </w:rPr>
              <w:t>Un facteur de mesures de conservation (-).</w:t>
            </w:r>
          </w:p>
        </w:tc>
      </w:tr>
    </w:tbl>
    <w:p w14:paraId="78BA3891" w14:textId="77777777" w:rsidR="00A1578F" w:rsidRDefault="00A1578F" w:rsidP="00A1578F"/>
    <w:p w14:paraId="2E52767F" w14:textId="305469C6" w:rsidR="00A1578F" w:rsidRDefault="00A1578F" w:rsidP="00A1578F">
      <w:r>
        <w:lastRenderedPageBreak/>
        <w:t>La carte de sensibilité à l’érosion</w:t>
      </w:r>
      <w:r w:rsidR="00311503">
        <w:t>,</w:t>
      </w:r>
      <w:r>
        <w:t xml:space="preserve"> disponible sur </w:t>
      </w:r>
      <w:r w:rsidR="00064448">
        <w:t>le Géoportail de la Wallonie</w:t>
      </w:r>
      <w:r w:rsidR="00A8587E" w:rsidRPr="00436690">
        <w:rPr>
          <w:rStyle w:val="Appelnotedebasdep"/>
        </w:rPr>
        <w:footnoteReference w:id="14"/>
      </w:r>
      <w:r>
        <w:t xml:space="preserve">, basée sur le même modèle, permet de prédire cartographiquement une sensibilité à l’érosion théorique, en omettant les termes liés aux pratiques de gestion (C et P) et en prédisant K sur base des propriétés du sol déduites par extrapolation des bases de données régionales, selon la présentation de l’approche de calcul </w:t>
      </w:r>
      <w:r>
        <w:fldChar w:fldCharType="begin"/>
      </w:r>
      <w:r>
        <w:instrText xml:space="preserve"> ADDIN ZOTERO_ITEM CSL_CITATION {"citationID":"gN1Y5xYf","properties":{"unsorted":false,"formattedCitation":"(SPW et al., 2023)","plainCitation":"(SPW et al., 2023)","noteIndex":0},"citationItems":[{"id":596,"uris":["http://zotero.org/groups/5684833/items/CZZT3ZNY"],"itemData":{"id":596,"type":"speech","title":"Approche de calcul du risque d’érosion hydrique","URL":"https://agriculture.wallonie.be/files/accueil/ruralit%c3%a9/Protection_Sols_Agricoles/Pr%c3%a9sentation%20Carte%20Erosion.pdf","author":[{"family":"SPW","given":""},{"family":"UCLouvain","given":""},{"family":"Gembloux Agro-Bio Tech","given":""},{"family":"Sher","given":""}],"issued":{"date-parts":[["2023"]]}}}],"schema":"https://github.com/citation-style-language/schema/raw/master/csl-citation.json"} </w:instrText>
      </w:r>
      <w:r>
        <w:fldChar w:fldCharType="separate"/>
      </w:r>
      <w:r w:rsidRPr="00A1578F">
        <w:rPr>
          <w:rFonts w:cs="Calibri"/>
        </w:rPr>
        <w:t>(SPW et al., 2023)</w:t>
      </w:r>
      <w:r>
        <w:fldChar w:fldCharType="end"/>
      </w:r>
      <w:r>
        <w:t xml:space="preserve">. </w:t>
      </w:r>
    </w:p>
    <w:p w14:paraId="2C98C406" w14:textId="2FE3BDC6" w:rsidR="00A1578F" w:rsidRDefault="00A1578F" w:rsidP="00A1578F">
      <w:r>
        <w:t xml:space="preserve">À la différence des autres facteurs, de nature climatique, topographique ou liés à l’exploitation, l’érodibilité est un facteur qui dépend uniquement de propriétés du sol, dont certaines sont améliorables </w:t>
      </w:r>
      <w:r w:rsidR="69995274">
        <w:t>au-</w:t>
      </w:r>
      <w:r>
        <w:t xml:space="preserve">travers de bonnes pratiques. L’équation suivante, reprise par Panagos et al. </w:t>
      </w:r>
      <w:r>
        <w:fldChar w:fldCharType="begin"/>
      </w:r>
      <w:r>
        <w:instrText xml:space="preserve"> ADDIN ZOTERO_ITEM CSL_CITATION {"citationID":"CkqoSEPp","properties":{"unsorted":false,"formattedCitation":"(2014)","plainCitation":"(2014)","noteIndex":0},"citationItems":[{"id":522,"uris":["http://zotero.org/groups/5684833/items/PJ676ZBC"],"itemData":{"id":522,"type":"article-journal","abstract":"The greatest obstacle to soil erosion modelling at larger spatial scales is the lack of data on soil characteristics. One key parameter for modelling soil erosion is the soil erodibility, expressed as the K-factor in the widely used soil erosion model, the Universal Soil Loss Equation (USLE) and its revised version (RUSLE). The K-factor, which expresses the susceptibility of a soil to erode, is related to soil properties such as organic matter content, soil texture, soil structure and permeability. With the Land Use/Cover Area frame Survey (LUCAS) soil survey in 2009 a pan-European soil dataset is available for the first time, consisting of around 20,000 points across 25 Member States of the European Union. The aim of this study is the generation of a harmonised high-resolution soil erodibility map (with a grid cell size of 500m) for the 25 EU Member States. Soil erodibility was calculated for the LUCAS survey points using the nomograph of Wischmeier and Smith (1978). A Cubist regression model was applied to correlate spatial data such as latitude, longitude, remotely sensed and terrain features in order to develop a high-resolution soil erodibility map. The mean K-factor for Europe was estimated at 0.032thahha−1MJ−1mm−1 with a standard deviation of 0.009thahha−1MJ−1mm−1. The yielded soil erodibility dataset compared well with the published local and regional soil erodibility data. However, the incorporation of the protective effect of surface stone cover, which is usually not considered for the soil erodibility calculations, resulted in an average 15% decrease of the K-factor. The exclusion of this effect in K-factor calculations is likely to result in an overestimation of soil erosion, particularly for the Mediterranean countries, where highest percentages of surface stone cover were observed.","container-title":"Science of The Total Environment","DOI":"10.1016/j.scitotenv.2014.02.010","ISSN":"0048-9697","journalAbbreviation":"Science of The Total Environment","page":"189-200","source":"ScienceDirect","title":"Soil erodibility in Europe: A high-resolution dataset based on LUCAS","title-short":"Soil erodibility in Europe","volume":"479-480","author":[{"family":"Panagos","given":"Panos"},{"family":"Meusburger","given":"Katrin"},{"family":"Ballabio","given":"Cristiano"},{"family":"Borrelli","given":"Pasqualle"},{"family":"Alewell","given":"Christine"}],"issued":{"date-parts":[["2014",5,1]]}},"suppress-author":true}],"schema":"https://github.com/citation-style-language/schema/raw/master/csl-citation.json"} </w:instrText>
      </w:r>
      <w:r>
        <w:fldChar w:fldCharType="separate"/>
      </w:r>
      <w:r w:rsidRPr="00A1578F">
        <w:rPr>
          <w:rFonts w:cs="Calibri"/>
        </w:rPr>
        <w:t>(2014)</w:t>
      </w:r>
      <w:r>
        <w:fldChar w:fldCharType="end"/>
      </w:r>
      <w:r>
        <w:t xml:space="preserve"> permet d’estimer l’érodibilité du sol sur base plusieurs variables toutes mesurées dans le cadre de l’IQSW-pro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497"/>
        <w:gridCol w:w="573"/>
      </w:tblGrid>
      <w:tr w:rsidR="00A1578F" w14:paraId="304B3682" w14:textId="77777777" w:rsidTr="004306AE">
        <w:trPr>
          <w:trHeight w:val="647"/>
        </w:trPr>
        <w:tc>
          <w:tcPr>
            <w:tcW w:w="8642" w:type="dxa"/>
            <w:vAlign w:val="center"/>
          </w:tcPr>
          <w:p w14:paraId="7BA4E481" w14:textId="77777777" w:rsidR="00A1578F" w:rsidRPr="00933ADA" w:rsidRDefault="00A1578F" w:rsidP="004306AE">
            <w:pPr>
              <w:jc w:val="center"/>
            </w:pPr>
            <m:oMathPara>
              <m:oMath>
                <m:r>
                  <m:rPr>
                    <m:sty m:val="p"/>
                  </m:rPr>
                  <w:rPr>
                    <w:rFonts w:ascii="Cambria Math" w:hAnsi="Cambria Math" w:cs="Cambria Math"/>
                  </w:rPr>
                  <m:t>K=</m:t>
                </m:r>
                <m:f>
                  <m:fPr>
                    <m:ctrlPr>
                      <w:rPr>
                        <w:rFonts w:ascii="Cambria Math" w:hAnsi="Cambria Math"/>
                      </w:rPr>
                    </m:ctrlPr>
                  </m:fPr>
                  <m:num>
                    <m:r>
                      <m:rPr>
                        <m:sty m:val="p"/>
                      </m:rPr>
                      <w:rPr>
                        <w:rFonts w:ascii="Cambria Math" w:hAnsi="Cambria Math"/>
                      </w:rPr>
                      <m:t>2,1∙</m:t>
                    </m:r>
                    <m:sSup>
                      <m:sSupPr>
                        <m:ctrlPr>
                          <w:rPr>
                            <w:rFonts w:ascii="Cambria Math" w:hAnsi="Cambria Math"/>
                          </w:rPr>
                        </m:ctrlPr>
                      </m:sSupPr>
                      <m:e>
                        <m:r>
                          <m:rPr>
                            <m:sty m:val="p"/>
                          </m:rPr>
                          <w:rPr>
                            <w:rFonts w:ascii="Cambria Math" w:hAnsi="Cambria Math"/>
                          </w:rPr>
                          <m:t>10</m:t>
                        </m:r>
                      </m:e>
                      <m:sup>
                        <m:r>
                          <w:rPr>
                            <w:rFonts w:ascii="Cambria Math" w:hAnsi="Cambria Math"/>
                          </w:rPr>
                          <m:t>-4</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m:t>
                        </m:r>
                      </m:e>
                      <m:sup>
                        <m:r>
                          <w:rPr>
                            <w:rFonts w:ascii="Cambria Math" w:hAnsi="Cambria Math"/>
                          </w:rPr>
                          <m:t>1,14</m:t>
                        </m:r>
                      </m:sup>
                    </m:sSup>
                    <m:r>
                      <m:rPr>
                        <m:sty m:val="p"/>
                      </m:rPr>
                      <w:rPr>
                        <w:rFonts w:ascii="Cambria Math" w:hAnsi="Cambria Math"/>
                      </w:rPr>
                      <m:t>∙</m:t>
                    </m:r>
                    <m:d>
                      <m:dPr>
                        <m:ctrlPr>
                          <w:rPr>
                            <w:rFonts w:ascii="Cambria Math" w:hAnsi="Cambria Math"/>
                          </w:rPr>
                        </m:ctrlPr>
                      </m:dPr>
                      <m:e>
                        <m:r>
                          <m:rPr>
                            <m:sty m:val="p"/>
                          </m:rPr>
                          <w:rPr>
                            <w:rFonts w:ascii="Cambria Math" w:hAnsi="Cambria Math"/>
                          </w:rPr>
                          <m:t>12-MO</m:t>
                        </m:r>
                      </m:e>
                    </m:d>
                    <m:r>
                      <m:rPr>
                        <m:sty m:val="p"/>
                      </m:rPr>
                      <w:rPr>
                        <w:rFonts w:ascii="Cambria Math" w:hAnsi="Cambria Math"/>
                      </w:rPr>
                      <m:t>+3,25∙</m:t>
                    </m:r>
                    <m:d>
                      <m:dPr>
                        <m:ctrlPr>
                          <w:rPr>
                            <w:rFonts w:ascii="Cambria Math" w:hAnsi="Cambria Math"/>
                          </w:rPr>
                        </m:ctrlPr>
                      </m:dPr>
                      <m:e>
                        <m:r>
                          <m:rPr>
                            <m:sty m:val="p"/>
                          </m:rPr>
                          <w:rPr>
                            <w:rFonts w:ascii="Cambria Math" w:hAnsi="Cambria Math"/>
                          </w:rPr>
                          <m:t>s-2</m:t>
                        </m:r>
                      </m:e>
                    </m:d>
                    <m:r>
                      <m:rPr>
                        <m:sty m:val="p"/>
                      </m:rPr>
                      <w:rPr>
                        <w:rFonts w:ascii="Cambria Math" w:hAnsi="Cambria Math"/>
                      </w:rPr>
                      <m:t>+2,5∙</m:t>
                    </m:r>
                    <m:d>
                      <m:dPr>
                        <m:ctrlPr>
                          <w:rPr>
                            <w:rFonts w:ascii="Cambria Math" w:hAnsi="Cambria Math"/>
                          </w:rPr>
                        </m:ctrlPr>
                      </m:dPr>
                      <m:e>
                        <m:r>
                          <m:rPr>
                            <m:sty m:val="p"/>
                          </m:rPr>
                          <w:rPr>
                            <w:rFonts w:ascii="Cambria Math" w:hAnsi="Cambria Math"/>
                          </w:rPr>
                          <m:t>p-3</m:t>
                        </m:r>
                      </m:e>
                    </m:d>
                  </m:num>
                  <m:den>
                    <m:r>
                      <w:rPr>
                        <w:rFonts w:ascii="Cambria Math" w:hAnsi="Cambria Math"/>
                      </w:rPr>
                      <m:t>100</m:t>
                    </m:r>
                  </m:den>
                </m:f>
                <m:r>
                  <m:rPr>
                    <m:sty m:val="p"/>
                  </m:rPr>
                  <w:rPr>
                    <w:rFonts w:ascii="Cambria Math" w:hAnsi="Cambria Math"/>
                  </w:rPr>
                  <m:t xml:space="preserve">∙ 0,1317 </m:t>
                </m:r>
              </m:oMath>
            </m:oMathPara>
          </w:p>
        </w:tc>
        <w:tc>
          <w:tcPr>
            <w:tcW w:w="418" w:type="dxa"/>
            <w:vAlign w:val="center"/>
          </w:tcPr>
          <w:p w14:paraId="7FDF3041" w14:textId="54841DE0" w:rsidR="00A1578F" w:rsidRDefault="00A1578F" w:rsidP="004306AE">
            <w:pPr>
              <w:jc w:val="center"/>
            </w:pPr>
            <w:r>
              <w:t>(1</w:t>
            </w:r>
            <w:r w:rsidR="00001C66">
              <w:t>4</w:t>
            </w:r>
            <w:r>
              <w:t>)</w:t>
            </w:r>
          </w:p>
        </w:tc>
      </w:tr>
    </w:tbl>
    <w:p w14:paraId="5076EDAC" w14:textId="77777777" w:rsidR="00A1578F" w:rsidRPr="00E54DA6" w:rsidRDefault="00A1578F" w:rsidP="00A1578F">
      <w:pPr>
        <w:rPr>
          <w:rFonts w:cs="Calibri"/>
          <w:sz w:val="20"/>
          <w:szCs w:val="20"/>
        </w:rPr>
      </w:pPr>
      <w:r w:rsidRPr="00E54DA6">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799"/>
        <w:gridCol w:w="8271"/>
      </w:tblGrid>
      <w:tr w:rsidR="00A1578F" w:rsidRPr="00E54DA6" w14:paraId="0BF1B469" w14:textId="77777777" w:rsidTr="004306AE">
        <w:trPr>
          <w:trHeight w:val="227"/>
        </w:trPr>
        <w:tc>
          <w:tcPr>
            <w:tcW w:w="799" w:type="dxa"/>
            <w:vAlign w:val="center"/>
          </w:tcPr>
          <w:p w14:paraId="7D88AE28" w14:textId="77777777" w:rsidR="00A1578F" w:rsidRPr="00E54DA6" w:rsidRDefault="00A1578F" w:rsidP="004306AE">
            <w:pPr>
              <w:jc w:val="left"/>
              <w:rPr>
                <w:rFonts w:cs="Calibri"/>
                <w:iCs/>
                <w:sz w:val="20"/>
                <w:szCs w:val="20"/>
              </w:rPr>
            </w:pPr>
            <m:oMathPara>
              <m:oMathParaPr>
                <m:jc m:val="left"/>
              </m:oMathParaPr>
              <m:oMath>
                <m:r>
                  <m:rPr>
                    <m:sty m:val="p"/>
                  </m:rPr>
                  <w:rPr>
                    <w:rFonts w:ascii="Cambria Math" w:hAnsi="Cambria Math" w:cs="Calibri"/>
                    <w:sz w:val="20"/>
                    <w:szCs w:val="20"/>
                  </w:rPr>
                  <m:t>K</m:t>
                </m:r>
              </m:oMath>
            </m:oMathPara>
          </w:p>
        </w:tc>
        <w:tc>
          <w:tcPr>
            <w:tcW w:w="8271" w:type="dxa"/>
            <w:vAlign w:val="center"/>
          </w:tcPr>
          <w:p w14:paraId="7F8E2A17" w14:textId="77777777" w:rsidR="00A1578F" w:rsidRPr="00E54DA6" w:rsidRDefault="00A1578F" w:rsidP="004306AE">
            <w:pPr>
              <w:jc w:val="left"/>
              <w:rPr>
                <w:rFonts w:cs="Calibri"/>
                <w:iCs/>
                <w:sz w:val="20"/>
                <w:szCs w:val="20"/>
              </w:rPr>
            </w:pPr>
            <w:r w:rsidRPr="00E54DA6">
              <w:rPr>
                <w:rFonts w:eastAsiaTheme="minorEastAsia" w:cs="Calibri"/>
                <w:iCs/>
                <w:sz w:val="20"/>
                <w:szCs w:val="20"/>
              </w:rPr>
              <w:t xml:space="preserve">L’érodibilité des sols (t </w:t>
            </w:r>
            <w:r w:rsidRPr="00E54DA6">
              <w:rPr>
                <w:rFonts w:ascii="Segoe UI Symbol" w:eastAsiaTheme="minorEastAsia" w:hAnsi="Segoe UI Symbol" w:cs="Segoe UI Symbol"/>
                <w:iCs/>
                <w:sz w:val="20"/>
                <w:szCs w:val="20"/>
              </w:rPr>
              <w:t>⸱</w:t>
            </w:r>
            <w:r w:rsidRPr="00E54DA6">
              <w:rPr>
                <w:rFonts w:eastAsiaTheme="minorEastAsia" w:cs="Calibri"/>
                <w:iCs/>
                <w:sz w:val="20"/>
                <w:szCs w:val="20"/>
              </w:rPr>
              <w:t xml:space="preserve"> h </w:t>
            </w:r>
            <w:r w:rsidRPr="00E54DA6">
              <w:rPr>
                <w:rFonts w:ascii="Segoe UI Symbol" w:eastAsiaTheme="minorEastAsia" w:hAnsi="Segoe UI Symbol" w:cs="Segoe UI Symbol"/>
                <w:iCs/>
                <w:sz w:val="20"/>
                <w:szCs w:val="20"/>
              </w:rPr>
              <w:t>⸱</w:t>
            </w:r>
            <w:r w:rsidRPr="00E54DA6">
              <w:rPr>
                <w:rFonts w:eastAsiaTheme="minorEastAsia" w:cs="Calibri"/>
                <w:iCs/>
                <w:sz w:val="20"/>
                <w:szCs w:val="20"/>
              </w:rPr>
              <w:t xml:space="preserve"> (MJ</w:t>
            </w:r>
            <w:r w:rsidRPr="00E54DA6">
              <w:rPr>
                <w:rFonts w:ascii="Segoe UI Symbol" w:eastAsiaTheme="minorEastAsia" w:hAnsi="Segoe UI Symbol" w:cs="Segoe UI Symbol"/>
                <w:iCs/>
                <w:sz w:val="20"/>
                <w:szCs w:val="20"/>
              </w:rPr>
              <w:t>⸱</w:t>
            </w:r>
            <w:r w:rsidRPr="00E54DA6">
              <w:rPr>
                <w:rFonts w:eastAsiaTheme="minorEastAsia" w:cs="Calibri"/>
                <w:iCs/>
                <w:sz w:val="20"/>
                <w:szCs w:val="20"/>
              </w:rPr>
              <w:t xml:space="preserve"> </w:t>
            </w:r>
            <w:proofErr w:type="gramStart"/>
            <w:r w:rsidRPr="00E54DA6">
              <w:rPr>
                <w:rFonts w:eastAsiaTheme="minorEastAsia" w:cs="Calibri"/>
                <w:iCs/>
                <w:sz w:val="20"/>
                <w:szCs w:val="20"/>
              </w:rPr>
              <w:t>mm)</w:t>
            </w:r>
            <w:r w:rsidRPr="00E54DA6">
              <w:rPr>
                <w:rFonts w:eastAsiaTheme="minorEastAsia" w:cs="Calibri"/>
                <w:iCs/>
                <w:sz w:val="20"/>
                <w:szCs w:val="20"/>
                <w:vertAlign w:val="superscript"/>
              </w:rPr>
              <w:t>-</w:t>
            </w:r>
            <w:proofErr w:type="gramEnd"/>
            <w:r w:rsidRPr="00E54DA6">
              <w:rPr>
                <w:rFonts w:eastAsiaTheme="minorEastAsia" w:cs="Calibri"/>
                <w:iCs/>
                <w:sz w:val="20"/>
                <w:szCs w:val="20"/>
                <w:vertAlign w:val="superscript"/>
              </w:rPr>
              <w:t>1</w:t>
            </w:r>
            <w:r w:rsidRPr="00E54DA6">
              <w:rPr>
                <w:rFonts w:eastAsiaTheme="minorEastAsia" w:cs="Calibri"/>
                <w:iCs/>
                <w:sz w:val="20"/>
                <w:szCs w:val="20"/>
              </w:rPr>
              <w:t>) ;</w:t>
            </w:r>
          </w:p>
        </w:tc>
      </w:tr>
      <w:tr w:rsidR="00A1578F" w:rsidRPr="00E54DA6" w14:paraId="548043E1" w14:textId="77777777" w:rsidTr="004306AE">
        <w:trPr>
          <w:trHeight w:val="227"/>
        </w:trPr>
        <w:tc>
          <w:tcPr>
            <w:tcW w:w="799" w:type="dxa"/>
            <w:vAlign w:val="center"/>
          </w:tcPr>
          <w:p w14:paraId="52A2E3F4" w14:textId="77777777" w:rsidR="00A1578F" w:rsidRPr="00E54DA6" w:rsidRDefault="00A1578F" w:rsidP="004306AE">
            <w:pPr>
              <w:jc w:val="left"/>
              <w:rPr>
                <w:rFonts w:eastAsiaTheme="minorEastAsia" w:cs="Calibri"/>
                <w:iCs/>
                <w:sz w:val="20"/>
                <w:szCs w:val="20"/>
              </w:rPr>
            </w:pPr>
            <m:oMathPara>
              <m:oMathParaPr>
                <m:jc m:val="left"/>
              </m:oMathParaPr>
              <m:oMath>
                <m:r>
                  <m:rPr>
                    <m:sty m:val="p"/>
                  </m:rPr>
                  <w:rPr>
                    <w:rFonts w:ascii="Cambria Math" w:hAnsi="Cambria Math" w:cs="Calibri"/>
                    <w:sz w:val="20"/>
                    <w:szCs w:val="20"/>
                  </w:rPr>
                  <m:t xml:space="preserve">M </m:t>
                </m:r>
              </m:oMath>
            </m:oMathPara>
          </w:p>
        </w:tc>
        <w:tc>
          <w:tcPr>
            <w:tcW w:w="8271" w:type="dxa"/>
            <w:vAlign w:val="center"/>
          </w:tcPr>
          <w:p w14:paraId="4E0FF03D" w14:textId="77777777" w:rsidR="00A1578F" w:rsidRPr="00E54DA6" w:rsidRDefault="00A1578F" w:rsidP="004306AE">
            <w:pPr>
              <w:jc w:val="left"/>
              <w:rPr>
                <w:rFonts w:eastAsiaTheme="minorEastAsia" w:cs="Calibri"/>
                <w:iCs/>
                <w:sz w:val="20"/>
                <w:szCs w:val="20"/>
              </w:rPr>
            </w:pPr>
            <w:r w:rsidRPr="00E54DA6">
              <w:rPr>
                <w:rFonts w:eastAsiaTheme="minorEastAsia" w:cs="Calibri"/>
                <w:iCs/>
                <w:sz w:val="20"/>
                <w:szCs w:val="20"/>
              </w:rPr>
              <w:t xml:space="preserve">Le facteur textural </w:t>
            </w:r>
            <m:oMath>
              <m:r>
                <m:rPr>
                  <m:sty m:val="p"/>
                </m:rPr>
                <w:rPr>
                  <w:rFonts w:ascii="Cambria Math" w:eastAsiaTheme="minorEastAsia" w:hAnsi="Cambria Math" w:cs="Calibri"/>
                  <w:sz w:val="20"/>
                  <w:szCs w:val="20"/>
                </w:rPr>
                <m:t>M=</m:t>
              </m:r>
              <m:d>
                <m:dPr>
                  <m:ctrlPr>
                    <w:rPr>
                      <w:rFonts w:ascii="Cambria Math" w:eastAsiaTheme="minorEastAsia" w:hAnsi="Cambria Math" w:cs="Calibri"/>
                      <w:iCs/>
                      <w:sz w:val="20"/>
                      <w:szCs w:val="20"/>
                    </w:rPr>
                  </m:ctrlPr>
                </m:dPr>
                <m:e>
                  <m:sSub>
                    <m:sSubPr>
                      <m:ctrlPr>
                        <w:rPr>
                          <w:rFonts w:ascii="Cambria Math" w:eastAsiaTheme="minorEastAsia" w:hAnsi="Cambria Math" w:cs="Calibri"/>
                          <w:iCs/>
                          <w:sz w:val="20"/>
                          <w:szCs w:val="20"/>
                        </w:rPr>
                      </m:ctrlPr>
                    </m:sSubPr>
                    <m:e>
                      <m:r>
                        <m:rPr>
                          <m:sty m:val="p"/>
                        </m:rPr>
                        <w:rPr>
                          <w:rFonts w:ascii="Cambria Math" w:eastAsiaTheme="minorEastAsia" w:hAnsi="Cambria Math" w:cs="Calibri"/>
                          <w:sz w:val="20"/>
                          <w:szCs w:val="20"/>
                        </w:rPr>
                        <m:t>%</m:t>
                      </m:r>
                    </m:e>
                    <m:sub>
                      <m:r>
                        <m:rPr>
                          <m:sty m:val="p"/>
                        </m:rPr>
                        <w:rPr>
                          <w:rFonts w:ascii="Cambria Math" w:eastAsiaTheme="minorEastAsia" w:hAnsi="Cambria Math" w:cs="Calibri"/>
                          <w:sz w:val="20"/>
                          <w:szCs w:val="20"/>
                        </w:rPr>
                        <m:t>limon</m:t>
                      </m:r>
                    </m:sub>
                  </m:sSub>
                  <m:r>
                    <m:rPr>
                      <m:sty m:val="p"/>
                    </m:rPr>
                    <w:rPr>
                      <w:rFonts w:ascii="Cambria Math" w:eastAsiaTheme="minorEastAsia" w:hAnsi="Cambria Math" w:cs="Calibri"/>
                      <w:sz w:val="20"/>
                      <w:szCs w:val="20"/>
                    </w:rPr>
                    <m:t xml:space="preserve">+ </m:t>
                  </m:r>
                  <m:sSub>
                    <m:sSubPr>
                      <m:ctrlPr>
                        <w:rPr>
                          <w:rFonts w:ascii="Cambria Math" w:eastAsiaTheme="minorEastAsia" w:hAnsi="Cambria Math" w:cs="Calibri"/>
                          <w:iCs/>
                          <w:sz w:val="20"/>
                          <w:szCs w:val="20"/>
                        </w:rPr>
                      </m:ctrlPr>
                    </m:sSubPr>
                    <m:e>
                      <m:r>
                        <m:rPr>
                          <m:sty m:val="p"/>
                        </m:rPr>
                        <w:rPr>
                          <w:rFonts w:ascii="Cambria Math" w:eastAsiaTheme="minorEastAsia" w:hAnsi="Cambria Math" w:cs="Calibri"/>
                          <w:sz w:val="20"/>
                          <w:szCs w:val="20"/>
                        </w:rPr>
                        <m:t>%</m:t>
                      </m:r>
                    </m:e>
                    <m:sub>
                      <m:r>
                        <m:rPr>
                          <m:sty m:val="p"/>
                        </m:rPr>
                        <w:rPr>
                          <w:rFonts w:ascii="Cambria Math" w:eastAsiaTheme="minorEastAsia" w:hAnsi="Cambria Math" w:cs="Calibri"/>
                          <w:sz w:val="20"/>
                          <w:szCs w:val="20"/>
                        </w:rPr>
                        <m:t>sable très fin</m:t>
                      </m:r>
                    </m:sub>
                  </m:sSub>
                </m:e>
              </m:d>
              <m:r>
                <m:rPr>
                  <m:sty m:val="p"/>
                </m:rPr>
                <w:rPr>
                  <w:rFonts w:ascii="Cambria Math" w:hAnsi="Cambria Math" w:cs="Calibri"/>
                  <w:sz w:val="20"/>
                  <w:szCs w:val="20"/>
                </w:rPr>
                <m:t>∙(100-</m:t>
              </m:r>
              <m:sSub>
                <m:sSubPr>
                  <m:ctrlPr>
                    <w:rPr>
                      <w:rFonts w:ascii="Cambria Math" w:hAnsi="Cambria Math" w:cs="Calibri"/>
                      <w:iCs/>
                      <w:sz w:val="20"/>
                      <w:szCs w:val="20"/>
                    </w:rPr>
                  </m:ctrlPr>
                </m:sSubPr>
                <m:e>
                  <m:r>
                    <m:rPr>
                      <m:sty m:val="p"/>
                    </m:rPr>
                    <w:rPr>
                      <w:rFonts w:ascii="Cambria Math" w:hAnsi="Cambria Math" w:cs="Calibri"/>
                      <w:sz w:val="20"/>
                      <w:szCs w:val="20"/>
                    </w:rPr>
                    <m:t>%</m:t>
                  </m:r>
                </m:e>
                <m:sub>
                  <m:r>
                    <m:rPr>
                      <m:sty m:val="p"/>
                    </m:rPr>
                    <w:rPr>
                      <w:rFonts w:ascii="Cambria Math" w:hAnsi="Cambria Math" w:cs="Calibri"/>
                      <w:sz w:val="20"/>
                      <w:szCs w:val="20"/>
                    </w:rPr>
                    <m:t>argile</m:t>
                  </m:r>
                </m:sub>
              </m:sSub>
              <m:r>
                <m:rPr>
                  <m:sty m:val="p"/>
                </m:rPr>
                <w:rPr>
                  <w:rFonts w:ascii="Cambria Math" w:hAnsi="Cambria Math" w:cs="Calibri"/>
                  <w:sz w:val="20"/>
                  <w:szCs w:val="20"/>
                </w:rPr>
                <m:t>)</m:t>
              </m:r>
            </m:oMath>
          </w:p>
        </w:tc>
      </w:tr>
      <w:tr w:rsidR="00A1578F" w:rsidRPr="00E54DA6" w14:paraId="4DA99CCF" w14:textId="77777777" w:rsidTr="004306AE">
        <w:trPr>
          <w:trHeight w:val="227"/>
        </w:trPr>
        <w:tc>
          <w:tcPr>
            <w:tcW w:w="799" w:type="dxa"/>
            <w:vAlign w:val="center"/>
          </w:tcPr>
          <w:p w14:paraId="57B8E1E8" w14:textId="77777777" w:rsidR="00A1578F" w:rsidRPr="00E54DA6" w:rsidRDefault="00A1578F" w:rsidP="004306AE">
            <w:pPr>
              <w:jc w:val="left"/>
              <w:rPr>
                <w:rFonts w:eastAsia="Aptos" w:cs="Calibri"/>
                <w:iCs/>
                <w:sz w:val="20"/>
                <w:szCs w:val="20"/>
              </w:rPr>
            </w:pPr>
            <m:oMathPara>
              <m:oMathParaPr>
                <m:jc m:val="left"/>
              </m:oMathParaPr>
              <m:oMath>
                <m:r>
                  <m:rPr>
                    <m:sty m:val="p"/>
                  </m:rPr>
                  <w:rPr>
                    <w:rFonts w:ascii="Cambria Math" w:hAnsi="Cambria Math" w:cs="Calibri"/>
                    <w:sz w:val="20"/>
                    <w:szCs w:val="20"/>
                  </w:rPr>
                  <m:t>MO</m:t>
                </m:r>
              </m:oMath>
            </m:oMathPara>
          </w:p>
        </w:tc>
        <w:tc>
          <w:tcPr>
            <w:tcW w:w="8271" w:type="dxa"/>
            <w:vAlign w:val="center"/>
          </w:tcPr>
          <w:p w14:paraId="6ABF72F2" w14:textId="77777777" w:rsidR="00A1578F" w:rsidRPr="00E54DA6" w:rsidRDefault="00A1578F" w:rsidP="004306AE">
            <w:pPr>
              <w:jc w:val="left"/>
              <w:rPr>
                <w:rFonts w:eastAsiaTheme="minorEastAsia" w:cs="Calibri"/>
                <w:iCs/>
                <w:sz w:val="20"/>
                <w:szCs w:val="20"/>
              </w:rPr>
            </w:pPr>
            <w:r w:rsidRPr="00E54DA6">
              <w:rPr>
                <w:rFonts w:eastAsiaTheme="minorEastAsia" w:cs="Calibri"/>
                <w:iCs/>
                <w:sz w:val="20"/>
                <w:szCs w:val="20"/>
              </w:rPr>
              <w:t>La teneur en matière organique (%) ;</w:t>
            </w:r>
          </w:p>
        </w:tc>
      </w:tr>
      <w:tr w:rsidR="00A1578F" w:rsidRPr="00E54DA6" w14:paraId="5B62B37F" w14:textId="77777777" w:rsidTr="004306AE">
        <w:trPr>
          <w:trHeight w:val="227"/>
        </w:trPr>
        <w:tc>
          <w:tcPr>
            <w:tcW w:w="799" w:type="dxa"/>
            <w:vAlign w:val="center"/>
          </w:tcPr>
          <w:p w14:paraId="7EF18471" w14:textId="77777777" w:rsidR="00A1578F" w:rsidRPr="00E54DA6" w:rsidRDefault="00A1578F" w:rsidP="004306AE">
            <w:pPr>
              <w:jc w:val="left"/>
              <w:rPr>
                <w:rFonts w:eastAsia="Aptos" w:cs="Calibri"/>
                <w:iCs/>
                <w:sz w:val="20"/>
                <w:szCs w:val="20"/>
              </w:rPr>
            </w:pPr>
            <m:oMathPara>
              <m:oMathParaPr>
                <m:jc m:val="left"/>
              </m:oMathParaPr>
              <m:oMath>
                <m:r>
                  <m:rPr>
                    <m:sty m:val="p"/>
                  </m:rPr>
                  <w:rPr>
                    <w:rFonts w:ascii="Cambria Math" w:hAnsi="Cambria Math" w:cs="Calibri"/>
                    <w:sz w:val="20"/>
                    <w:szCs w:val="20"/>
                  </w:rPr>
                  <m:t xml:space="preserve">s </m:t>
                </m:r>
              </m:oMath>
            </m:oMathPara>
          </w:p>
        </w:tc>
        <w:tc>
          <w:tcPr>
            <w:tcW w:w="8271" w:type="dxa"/>
            <w:vAlign w:val="center"/>
          </w:tcPr>
          <w:p w14:paraId="1272DBB0" w14:textId="77777777" w:rsidR="00A1578F" w:rsidRPr="00E54DA6" w:rsidRDefault="00A1578F" w:rsidP="004306AE">
            <w:pPr>
              <w:jc w:val="left"/>
              <w:rPr>
                <w:rFonts w:eastAsiaTheme="minorEastAsia" w:cs="Calibri"/>
                <w:iCs/>
                <w:sz w:val="20"/>
                <w:szCs w:val="20"/>
              </w:rPr>
            </w:pPr>
            <w:r w:rsidRPr="00E54DA6">
              <w:rPr>
                <w:rFonts w:eastAsiaTheme="minorEastAsia" w:cs="Calibri"/>
                <w:iCs/>
                <w:sz w:val="20"/>
                <w:szCs w:val="20"/>
              </w:rPr>
              <w:t xml:space="preserve">La classe de structure du sol, sur base de la classification </w:t>
            </w:r>
            <w:proofErr w:type="spellStart"/>
            <w:r w:rsidRPr="00E54DA6">
              <w:rPr>
                <w:rFonts w:eastAsiaTheme="minorEastAsia" w:cs="Calibri"/>
                <w:iCs/>
                <w:sz w:val="20"/>
                <w:szCs w:val="20"/>
              </w:rPr>
              <w:t>European</w:t>
            </w:r>
            <w:proofErr w:type="spellEnd"/>
            <w:r w:rsidRPr="00E54DA6">
              <w:rPr>
                <w:rFonts w:eastAsiaTheme="minorEastAsia" w:cs="Calibri"/>
                <w:iCs/>
                <w:sz w:val="20"/>
                <w:szCs w:val="20"/>
              </w:rPr>
              <w:t xml:space="preserve"> Soil </w:t>
            </w:r>
            <w:proofErr w:type="spellStart"/>
            <w:r w:rsidRPr="00E54DA6">
              <w:rPr>
                <w:rFonts w:eastAsiaTheme="minorEastAsia" w:cs="Calibri"/>
                <w:iCs/>
                <w:sz w:val="20"/>
                <w:szCs w:val="20"/>
              </w:rPr>
              <w:t>Database</w:t>
            </w:r>
            <w:proofErr w:type="spellEnd"/>
            <w:r w:rsidRPr="00E54DA6">
              <w:rPr>
                <w:rFonts w:eastAsiaTheme="minorEastAsia" w:cs="Calibri"/>
                <w:iCs/>
                <w:sz w:val="20"/>
                <w:szCs w:val="20"/>
              </w:rPr>
              <w:t xml:space="preserve"> (transposable au résultat du test VESS) ;</w:t>
            </w:r>
          </w:p>
        </w:tc>
      </w:tr>
      <w:tr w:rsidR="00A1578F" w:rsidRPr="00E54DA6" w14:paraId="7352A5F9" w14:textId="77777777" w:rsidTr="004306AE">
        <w:trPr>
          <w:trHeight w:val="227"/>
        </w:trPr>
        <w:tc>
          <w:tcPr>
            <w:tcW w:w="799" w:type="dxa"/>
            <w:vAlign w:val="center"/>
          </w:tcPr>
          <w:p w14:paraId="748CF0B1" w14:textId="77777777" w:rsidR="00A1578F" w:rsidRPr="00E54DA6" w:rsidRDefault="00A1578F" w:rsidP="004306AE">
            <w:pPr>
              <w:jc w:val="left"/>
              <w:rPr>
                <w:rFonts w:eastAsia="Aptos" w:cs="Calibri"/>
                <w:iCs/>
                <w:sz w:val="20"/>
                <w:szCs w:val="20"/>
              </w:rPr>
            </w:pPr>
            <m:oMathPara>
              <m:oMathParaPr>
                <m:jc m:val="left"/>
              </m:oMathParaPr>
              <m:oMath>
                <m:r>
                  <m:rPr>
                    <m:sty m:val="p"/>
                  </m:rPr>
                  <w:rPr>
                    <w:rFonts w:ascii="Cambria Math" w:eastAsia="Aptos" w:hAnsi="Cambria Math" w:cs="Calibri"/>
                    <w:sz w:val="20"/>
                    <w:szCs w:val="20"/>
                  </w:rPr>
                  <m:t>p</m:t>
                </m:r>
              </m:oMath>
            </m:oMathPara>
          </w:p>
        </w:tc>
        <w:tc>
          <w:tcPr>
            <w:tcW w:w="8271" w:type="dxa"/>
            <w:vAlign w:val="center"/>
          </w:tcPr>
          <w:p w14:paraId="5DFAA32C" w14:textId="77777777" w:rsidR="00A1578F" w:rsidRPr="00E54DA6" w:rsidRDefault="00A1578F" w:rsidP="004306AE">
            <w:pPr>
              <w:jc w:val="left"/>
              <w:rPr>
                <w:rFonts w:eastAsiaTheme="minorEastAsia" w:cs="Calibri"/>
                <w:iCs/>
                <w:sz w:val="20"/>
                <w:szCs w:val="20"/>
              </w:rPr>
            </w:pPr>
            <w:r w:rsidRPr="00E54DA6">
              <w:rPr>
                <w:rFonts w:eastAsiaTheme="minorEastAsia" w:cs="Calibri"/>
                <w:iCs/>
                <w:sz w:val="20"/>
                <w:szCs w:val="20"/>
              </w:rPr>
              <w:t>La classe de perméabilité, sur base de la valeur mesurée de conductivité hydraulique à saturation (</w:t>
            </w:r>
            <w:proofErr w:type="spellStart"/>
            <w:r w:rsidRPr="00E54DA6">
              <w:rPr>
                <w:rFonts w:eastAsiaTheme="minorEastAsia" w:cs="Calibri"/>
                <w:iCs/>
                <w:sz w:val="20"/>
                <w:szCs w:val="20"/>
              </w:rPr>
              <w:t>K</w:t>
            </w:r>
            <w:r w:rsidRPr="00E54DA6">
              <w:rPr>
                <w:rFonts w:eastAsiaTheme="minorEastAsia" w:cs="Calibri"/>
                <w:iCs/>
                <w:sz w:val="20"/>
                <w:szCs w:val="20"/>
                <w:vertAlign w:val="subscript"/>
              </w:rPr>
              <w:t>sat</w:t>
            </w:r>
            <w:proofErr w:type="spellEnd"/>
            <w:r w:rsidRPr="00E54DA6">
              <w:rPr>
                <w:rFonts w:eastAsiaTheme="minorEastAsia" w:cs="Calibri"/>
                <w:iCs/>
                <w:sz w:val="20"/>
                <w:szCs w:val="20"/>
                <w:vertAlign w:val="subscript"/>
              </w:rPr>
              <w:t>)</w:t>
            </w:r>
            <w:r w:rsidRPr="00E54DA6">
              <w:rPr>
                <w:rFonts w:eastAsiaTheme="minorEastAsia" w:cs="Calibri"/>
                <w:iCs/>
                <w:sz w:val="20"/>
                <w:szCs w:val="20"/>
              </w:rPr>
              <w:t>.</w:t>
            </w:r>
          </w:p>
        </w:tc>
      </w:tr>
    </w:tbl>
    <w:p w14:paraId="0AAAD57C" w14:textId="77777777" w:rsidR="00A1578F" w:rsidRDefault="00A1578F" w:rsidP="00A1578F"/>
    <w:p w14:paraId="69790555" w14:textId="1157D673" w:rsidR="005A77EC" w:rsidRDefault="005A77EC" w:rsidP="00876101">
      <w:pPr>
        <w:pStyle w:val="Titre3"/>
        <w:numPr>
          <w:ilvl w:val="2"/>
          <w:numId w:val="3"/>
        </w:numPr>
      </w:pPr>
      <w:bookmarkStart w:id="200" w:name="_Toc241505355"/>
      <w:r>
        <w:t>Pertinence</w:t>
      </w:r>
      <w:bookmarkEnd w:id="200"/>
    </w:p>
    <w:p w14:paraId="1CE8B23E" w14:textId="3387529C" w:rsidR="00A1578F" w:rsidRDefault="00647F71" w:rsidP="00A1578F">
      <w:r>
        <w:t>Cette estimation permet d’aller plus loin que la carte de sensibilité des sols à l’érosion</w:t>
      </w:r>
      <w:r w:rsidR="1DEE9A5D">
        <w:t>,</w:t>
      </w:r>
      <w:r>
        <w:t xml:space="preserve"> en intégrant les propriétés du sol. </w:t>
      </w:r>
      <w:r w:rsidR="008347B6">
        <w:t xml:space="preserve">Elle permet </w:t>
      </w:r>
      <w:r w:rsidR="442CB069">
        <w:t xml:space="preserve">la prise en compte </w:t>
      </w:r>
      <w:r w:rsidR="008347B6">
        <w:t>de</w:t>
      </w:r>
      <w:r w:rsidR="6277097D">
        <w:t>s</w:t>
      </w:r>
      <w:r w:rsidR="008347B6">
        <w:t xml:space="preserve"> pratiques de gestion.</w:t>
      </w:r>
    </w:p>
    <w:p w14:paraId="05797008" w14:textId="7B6E8F53" w:rsidR="00A1578F" w:rsidRDefault="00A1578F" w:rsidP="00876101">
      <w:pPr>
        <w:pStyle w:val="Titre3"/>
        <w:numPr>
          <w:ilvl w:val="2"/>
          <w:numId w:val="3"/>
        </w:numPr>
      </w:pPr>
      <w:bookmarkStart w:id="201" w:name="_Toc241505356"/>
      <w:r>
        <w:t>Interprétation</w:t>
      </w:r>
      <w:bookmarkEnd w:id="201"/>
    </w:p>
    <w:p w14:paraId="69139B7B" w14:textId="41D7ED80" w:rsidR="006B28E5" w:rsidRPr="006B28E5" w:rsidRDefault="006B28E5" w:rsidP="006B28E5">
      <w:r>
        <w:t xml:space="preserve">L’érodibilité peut être utilisé en tant que complément indicatif </w:t>
      </w:r>
      <w:r w:rsidR="0055030B">
        <w:t xml:space="preserve">dans le cadre du service </w:t>
      </w:r>
      <w:r w:rsidR="0055030B" w:rsidRPr="0055030B">
        <w:rPr>
          <w:i/>
          <w:iCs/>
        </w:rPr>
        <w:t>Production de biomasse</w:t>
      </w:r>
      <w:r w:rsidR="0055030B">
        <w:t>.</w:t>
      </w:r>
    </w:p>
    <w:p w14:paraId="46A1105A" w14:textId="77777777" w:rsidR="00313899" w:rsidRDefault="00313899" w:rsidP="00876101">
      <w:pPr>
        <w:pStyle w:val="Titre2"/>
        <w:numPr>
          <w:ilvl w:val="1"/>
          <w:numId w:val="3"/>
        </w:numPr>
      </w:pPr>
      <w:bookmarkStart w:id="202" w:name="_Toc241505357"/>
      <w:r>
        <w:t>Coefficient de sol utile</w:t>
      </w:r>
      <w:bookmarkEnd w:id="202"/>
    </w:p>
    <w:p w14:paraId="74389701" w14:textId="77777777" w:rsidR="004C09AB" w:rsidRDefault="004C09AB" w:rsidP="00876101">
      <w:pPr>
        <w:pStyle w:val="Titre3"/>
        <w:numPr>
          <w:ilvl w:val="2"/>
          <w:numId w:val="3"/>
        </w:numPr>
      </w:pPr>
      <w:bookmarkStart w:id="203" w:name="_Toc241505358"/>
      <w:r>
        <w:t>Définition</w:t>
      </w:r>
      <w:bookmarkEnd w:id="203"/>
    </w:p>
    <w:p w14:paraId="3A05F37B" w14:textId="0E251D6B" w:rsidR="004C09AB" w:rsidRPr="00A74117" w:rsidRDefault="004C09AB" w:rsidP="004C09AB">
      <w:r>
        <w:t xml:space="preserve">Le coefficient de sol utile vise à caractériser le volume de sol qui peut réellement être exploité par les racines pour puiser l’eau, les nutriments, et dans lequel le carbone est stocké. Il exprime le rapport entre le volume de sol utile d’une </w:t>
      </w:r>
      <w:r w:rsidR="00C36BC7">
        <w:t>couche</w:t>
      </w:r>
      <w:r>
        <w:t xml:space="preserve"> donnée et le volume maximal théorique de cette </w:t>
      </w:r>
      <w:r w:rsidR="00C36BC7">
        <w:t>couche</w:t>
      </w:r>
      <w:r>
        <w:t>.</w:t>
      </w:r>
    </w:p>
    <w:p w14:paraId="115A81BD" w14:textId="77777777" w:rsidR="004C09AB" w:rsidRPr="00A74117" w:rsidRDefault="004C09AB" w:rsidP="00876101">
      <w:pPr>
        <w:pStyle w:val="Titre3"/>
        <w:numPr>
          <w:ilvl w:val="2"/>
          <w:numId w:val="3"/>
        </w:numPr>
        <w:rPr>
          <w:b w:val="0"/>
        </w:rPr>
      </w:pPr>
      <w:bookmarkStart w:id="204" w:name="_Toc241505359"/>
      <w:r w:rsidRPr="005B28D9">
        <w:t>Pertinence</w:t>
      </w:r>
      <w:bookmarkEnd w:id="204"/>
    </w:p>
    <w:p w14:paraId="582FF125" w14:textId="7EBC1F75" w:rsidR="004C09AB" w:rsidRPr="002625F9" w:rsidRDefault="4CCA8823" w:rsidP="004C09AB">
      <w:r>
        <w:t>L</w:t>
      </w:r>
      <w:r w:rsidR="004C09AB">
        <w:t>e coefficient de sol utile intervient dans l’évaluation du stock de nutriments (et de la résilience associée à ce stock), de la réserve utile en eau, de la capacité de rétention des polluants</w:t>
      </w:r>
      <w:r w:rsidR="0055030B">
        <w:t xml:space="preserve"> ou </w:t>
      </w:r>
      <w:r w:rsidR="004C09AB">
        <w:t xml:space="preserve">du stock de carbone du </w:t>
      </w:r>
      <w:r w:rsidR="004C09AB" w:rsidRPr="0055030B">
        <w:t>sol. Il</w:t>
      </w:r>
      <w:r w:rsidR="004C09AB">
        <w:t xml:space="preserve"> est utile pour distinguer, par exemple, une teneur en phosphore mesurée sur un sol profond </w:t>
      </w:r>
      <w:r w:rsidR="004C09AB">
        <w:lastRenderedPageBreak/>
        <w:t>non-caillouteux par rapport à celle mesurée sur un sol superficiel très caillouteux, en convertissant ces teneurs en stock.</w:t>
      </w:r>
    </w:p>
    <w:p w14:paraId="42430F34" w14:textId="77777777" w:rsidR="004C09AB" w:rsidRDefault="004C09AB" w:rsidP="00876101">
      <w:pPr>
        <w:pStyle w:val="Titre3"/>
        <w:numPr>
          <w:ilvl w:val="2"/>
          <w:numId w:val="3"/>
        </w:numPr>
      </w:pPr>
      <w:bookmarkStart w:id="205" w:name="_Toc241505360"/>
      <w:r>
        <w:t>Calcul de l’indicateur</w:t>
      </w:r>
      <w:bookmarkEnd w:id="205"/>
    </w:p>
    <w:p w14:paraId="21AB13E9" w14:textId="32495933" w:rsidR="004C09AB" w:rsidRDefault="004C09AB" w:rsidP="004C09AB">
      <w:r>
        <w:t xml:space="preserve">Le coefficient de sol utile [0 ;1] </w:t>
      </w:r>
      <w:r w:rsidR="00BE3D51">
        <w:t>se calcule selon l’équation</w:t>
      </w:r>
      <w:r w:rsidR="00E15523">
        <w:t xml:space="preserve"> (1)</w:t>
      </w:r>
      <w:r>
        <w:t>.</w:t>
      </w:r>
    </w:p>
    <w:p w14:paraId="3B279934" w14:textId="77777777" w:rsidR="004C09AB" w:rsidRPr="00296208" w:rsidRDefault="004C09AB" w:rsidP="004C09AB"/>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7"/>
        <w:gridCol w:w="573"/>
      </w:tblGrid>
      <w:tr w:rsidR="004C09AB" w14:paraId="7E64039E" w14:textId="77777777" w:rsidTr="004306AE">
        <w:tc>
          <w:tcPr>
            <w:tcW w:w="8500" w:type="dxa"/>
          </w:tcPr>
          <w:p w14:paraId="792D2545" w14:textId="6224918A" w:rsidR="004C09AB" w:rsidRPr="000E0A9C" w:rsidRDefault="00437C8C" w:rsidP="004306AE">
            <w:pPr>
              <w:rPr>
                <w:iCs/>
              </w:rPr>
            </w:pPr>
            <m:oMathPara>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sol utile</m:t>
                    </m:r>
                  </m:sub>
                </m:sSub>
                <m:r>
                  <m:rPr>
                    <m:sty m:val="p"/>
                  </m:rPr>
                  <w:rPr>
                    <w:rFonts w:ascii="Cambria Math" w:hAnsi="Cambria Math"/>
                  </w:rPr>
                  <m:t xml:space="preserve">= </m:t>
                </m:r>
                <m:f>
                  <m:fPr>
                    <m:ctrlPr>
                      <w:rPr>
                        <w:rFonts w:ascii="Cambria Math" w:hAnsi="Cambria Math"/>
                        <w:iCs/>
                      </w:rPr>
                    </m:ctrlPr>
                  </m:fPr>
                  <m:num>
                    <m:sSub>
                      <m:sSubPr>
                        <m:ctrlPr>
                          <w:rPr>
                            <w:rFonts w:ascii="Cambria Math" w:hAnsi="Cambria Math"/>
                            <w:iCs/>
                          </w:rPr>
                        </m:ctrlPr>
                      </m:sSubPr>
                      <m:e>
                        <m:r>
                          <m:rPr>
                            <m:sty m:val="p"/>
                          </m:rPr>
                          <w:rPr>
                            <w:rFonts w:ascii="Cambria Math" w:hAnsi="Cambria Math"/>
                          </w:rPr>
                          <m:t>d</m:t>
                        </m:r>
                      </m:e>
                      <m:sub>
                        <m:r>
                          <m:rPr>
                            <m:sty m:val="p"/>
                          </m:rPr>
                          <w:rPr>
                            <w:rFonts w:ascii="Cambria Math" w:hAnsi="Cambria Math"/>
                          </w:rPr>
                          <m:t>couche</m:t>
                        </m:r>
                      </m:sub>
                    </m:sSub>
                  </m:num>
                  <m:den>
                    <m:sSub>
                      <m:sSubPr>
                        <m:ctrlPr>
                          <w:rPr>
                            <w:rFonts w:ascii="Cambria Math" w:hAnsi="Cambria Math"/>
                            <w:iCs/>
                          </w:rPr>
                        </m:ctrlPr>
                      </m:sSubPr>
                      <m:e>
                        <m:r>
                          <m:rPr>
                            <m:sty m:val="p"/>
                          </m:rPr>
                          <w:rPr>
                            <w:rFonts w:ascii="Cambria Math" w:hAnsi="Cambria Math"/>
                          </w:rPr>
                          <m:t>d</m:t>
                        </m:r>
                      </m:e>
                      <m:sub>
                        <m:sSub>
                          <m:sSubPr>
                            <m:ctrlPr>
                              <w:rPr>
                                <w:rFonts w:ascii="Cambria Math" w:hAnsi="Cambria Math"/>
                                <w:iCs/>
                              </w:rPr>
                            </m:ctrlPr>
                          </m:sSubPr>
                          <m:e>
                            <m:r>
                              <m:rPr>
                                <m:sty m:val="p"/>
                              </m:rPr>
                              <w:rPr>
                                <w:rFonts w:ascii="Cambria Math" w:hAnsi="Cambria Math"/>
                              </w:rPr>
                              <m:t>max</m:t>
                            </m:r>
                          </m:e>
                          <m:sub>
                            <m:r>
                              <m:rPr>
                                <m:sty m:val="p"/>
                              </m:rPr>
                              <w:rPr>
                                <w:rFonts w:ascii="Cambria Math" w:hAnsi="Cambria Math"/>
                              </w:rPr>
                              <m:t>couche</m:t>
                            </m:r>
                          </m:sub>
                        </m:sSub>
                      </m:sub>
                    </m:sSub>
                  </m:den>
                </m:f>
                <m:r>
                  <m:rPr>
                    <m:sty m:val="p"/>
                  </m:rPr>
                  <w:rPr>
                    <w:rFonts w:ascii="Cambria Math" w:hAnsi="Cambria Math"/>
                  </w:rPr>
                  <m:t>∙</m:t>
                </m:r>
                <m:r>
                  <m:rPr>
                    <m:sty m:val="p"/>
                  </m:rPr>
                  <w:rPr>
                    <w:rFonts w:ascii="Cambria Math" w:hAnsi="Cambria Math"/>
                  </w:rPr>
                  <m:t xml:space="preserve"> </m:t>
                </m:r>
                <m:d>
                  <m:dPr>
                    <m:ctrlPr>
                      <w:rPr>
                        <w:rFonts w:ascii="Cambria Math" w:hAnsi="Cambria Math"/>
                        <w:iCs/>
                      </w:rPr>
                    </m:ctrlPr>
                  </m:dPr>
                  <m:e>
                    <m:r>
                      <m:rPr>
                        <m:sty m:val="p"/>
                      </m:rPr>
                      <w:rPr>
                        <w:rFonts w:ascii="Cambria Math" w:hAnsi="Cambria Math"/>
                      </w:rPr>
                      <m:t xml:space="preserve">1- </m:t>
                    </m:r>
                    <m:f>
                      <m:fPr>
                        <m:ctrlPr>
                          <w:rPr>
                            <w:rFonts w:ascii="Cambria Math" w:hAnsi="Cambria Math"/>
                            <w:iCs/>
                          </w:rPr>
                        </m:ctrlPr>
                      </m:fPr>
                      <m:num>
                        <m:sSub>
                          <m:sSubPr>
                            <m:ctrlPr>
                              <w:rPr>
                                <w:rFonts w:ascii="Cambria Math" w:hAnsi="Cambria Math"/>
                                <w:iCs/>
                              </w:rPr>
                            </m:ctrlPr>
                          </m:sSubPr>
                          <m:e>
                            <m:r>
                              <m:rPr>
                                <m:sty m:val="p"/>
                              </m:rPr>
                              <w:rPr>
                                <w:rFonts w:ascii="Cambria Math" w:hAnsi="Cambria Math"/>
                              </w:rPr>
                              <m:t>%</m:t>
                            </m:r>
                          </m:e>
                          <m:sub>
                            <m:r>
                              <m:rPr>
                                <m:sty m:val="p"/>
                              </m:rPr>
                              <w:rPr>
                                <w:rFonts w:ascii="Cambria Math" w:hAnsi="Cambria Math"/>
                              </w:rPr>
                              <m:t>EG</m:t>
                            </m:r>
                          </m:sub>
                        </m:sSub>
                      </m:num>
                      <m:den>
                        <m:r>
                          <w:rPr>
                            <w:rFonts w:ascii="Cambria Math" w:hAnsi="Cambria Math"/>
                          </w:rPr>
                          <m:t>100</m:t>
                        </m:r>
                      </m:den>
                    </m:f>
                  </m:e>
                </m:d>
              </m:oMath>
            </m:oMathPara>
          </w:p>
        </w:tc>
        <w:tc>
          <w:tcPr>
            <w:tcW w:w="560" w:type="dxa"/>
            <w:vAlign w:val="center"/>
          </w:tcPr>
          <w:p w14:paraId="53FBCFE9" w14:textId="6B7B048C" w:rsidR="004C09AB" w:rsidRDefault="004C09AB" w:rsidP="004306AE">
            <w:pPr>
              <w:jc w:val="center"/>
            </w:pPr>
            <w:r>
              <w:t>(1</w:t>
            </w:r>
            <w:r w:rsidR="00001C66">
              <w:t>5</w:t>
            </w:r>
            <w:r>
              <w:t>)</w:t>
            </w:r>
          </w:p>
        </w:tc>
      </w:tr>
    </w:tbl>
    <w:p w14:paraId="5DEBCCC4" w14:textId="77777777" w:rsidR="004C09AB" w:rsidRDefault="004C09AB" w:rsidP="004C09AB"/>
    <w:p w14:paraId="33503BDC" w14:textId="77777777" w:rsidR="003A71FC" w:rsidRPr="00E54DA6" w:rsidRDefault="003A71FC" w:rsidP="003A71FC">
      <w:pPr>
        <w:rPr>
          <w:rFonts w:cs="Calibri"/>
          <w:sz w:val="20"/>
          <w:szCs w:val="20"/>
        </w:rPr>
      </w:pPr>
      <w:r w:rsidRPr="00E54DA6">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159"/>
        <w:gridCol w:w="7911"/>
      </w:tblGrid>
      <w:tr w:rsidR="003A71FC" w:rsidRPr="00E54DA6" w14:paraId="04B46FA9" w14:textId="77777777" w:rsidTr="00FD4AB0">
        <w:trPr>
          <w:trHeight w:val="227"/>
        </w:trPr>
        <w:tc>
          <w:tcPr>
            <w:tcW w:w="1159" w:type="dxa"/>
            <w:vAlign w:val="center"/>
          </w:tcPr>
          <w:p w14:paraId="28152E7B" w14:textId="5820C5AF" w:rsidR="003A71FC" w:rsidRPr="00E54DA6" w:rsidRDefault="00437C8C" w:rsidP="004306AE">
            <w:pPr>
              <w:jc w:val="left"/>
              <w:rPr>
                <w:rFonts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d</m:t>
                    </m:r>
                  </m:e>
                  <m:sub>
                    <m:r>
                      <m:rPr>
                        <m:sty m:val="p"/>
                      </m:rPr>
                      <w:rPr>
                        <w:rFonts w:ascii="Cambria Math" w:hAnsi="Cambria Math" w:cs="Calibri"/>
                        <w:sz w:val="20"/>
                        <w:szCs w:val="20"/>
                      </w:rPr>
                      <m:t>couche</m:t>
                    </m:r>
                  </m:sub>
                </m:sSub>
              </m:oMath>
            </m:oMathPara>
          </w:p>
        </w:tc>
        <w:tc>
          <w:tcPr>
            <w:tcW w:w="7911" w:type="dxa"/>
            <w:vAlign w:val="center"/>
          </w:tcPr>
          <w:p w14:paraId="4FA4EA11" w14:textId="3486CFDF" w:rsidR="003A71FC" w:rsidRPr="00E54DA6" w:rsidRDefault="00FD4AB0" w:rsidP="004306AE">
            <w:pPr>
              <w:jc w:val="left"/>
              <w:rPr>
                <w:rFonts w:cs="Calibri"/>
                <w:sz w:val="20"/>
                <w:szCs w:val="20"/>
              </w:rPr>
            </w:pPr>
            <w:r w:rsidRPr="00E54DA6">
              <w:rPr>
                <w:rFonts w:eastAsiaTheme="minorEastAsia" w:cs="Calibri"/>
                <w:sz w:val="20"/>
                <w:szCs w:val="20"/>
              </w:rPr>
              <w:t>L’épaisseur effective de la couche (cm)</w:t>
            </w:r>
            <w:r w:rsidR="003A71FC" w:rsidRPr="00E54DA6">
              <w:rPr>
                <w:rFonts w:eastAsiaTheme="minorEastAsia" w:cs="Calibri"/>
                <w:sz w:val="20"/>
                <w:szCs w:val="20"/>
              </w:rPr>
              <w:t> ;</w:t>
            </w:r>
          </w:p>
        </w:tc>
      </w:tr>
      <w:tr w:rsidR="003A71FC" w:rsidRPr="00E54DA6" w14:paraId="1AAA585D" w14:textId="77777777" w:rsidTr="00FD4AB0">
        <w:trPr>
          <w:trHeight w:val="227"/>
        </w:trPr>
        <w:tc>
          <w:tcPr>
            <w:tcW w:w="1159" w:type="dxa"/>
            <w:vAlign w:val="center"/>
          </w:tcPr>
          <w:p w14:paraId="192C65F0" w14:textId="74B831D4" w:rsidR="003A71FC" w:rsidRPr="00E54DA6" w:rsidRDefault="00437C8C" w:rsidP="004306AE">
            <w:pPr>
              <w:jc w:val="left"/>
              <w:rPr>
                <w:rFonts w:eastAsiaTheme="minorEastAsia"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d</m:t>
                    </m:r>
                  </m:e>
                  <m:sub>
                    <m:sSub>
                      <m:sSubPr>
                        <m:ctrlPr>
                          <w:rPr>
                            <w:rFonts w:ascii="Cambria Math" w:hAnsi="Cambria Math" w:cs="Calibri"/>
                            <w:iCs/>
                            <w:sz w:val="20"/>
                            <w:szCs w:val="20"/>
                          </w:rPr>
                        </m:ctrlPr>
                      </m:sSubPr>
                      <m:e>
                        <m:r>
                          <m:rPr>
                            <m:sty m:val="p"/>
                          </m:rPr>
                          <w:rPr>
                            <w:rFonts w:ascii="Cambria Math" w:hAnsi="Cambria Math" w:cs="Calibri"/>
                            <w:sz w:val="20"/>
                            <w:szCs w:val="20"/>
                          </w:rPr>
                          <m:t>max</m:t>
                        </m:r>
                      </m:e>
                      <m:sub>
                        <m:r>
                          <m:rPr>
                            <m:sty m:val="p"/>
                          </m:rPr>
                          <w:rPr>
                            <w:rFonts w:ascii="Cambria Math" w:hAnsi="Cambria Math" w:cs="Calibri"/>
                            <w:sz w:val="20"/>
                            <w:szCs w:val="20"/>
                          </w:rPr>
                          <m:t>couche</m:t>
                        </m:r>
                      </m:sub>
                    </m:sSub>
                  </m:sub>
                </m:sSub>
              </m:oMath>
            </m:oMathPara>
          </w:p>
        </w:tc>
        <w:tc>
          <w:tcPr>
            <w:tcW w:w="7911" w:type="dxa"/>
            <w:vAlign w:val="center"/>
          </w:tcPr>
          <w:p w14:paraId="574F5CDC" w14:textId="36E6D718" w:rsidR="003A71FC" w:rsidRPr="00E54DA6" w:rsidRDefault="003A71FC" w:rsidP="004306AE">
            <w:pPr>
              <w:jc w:val="left"/>
              <w:rPr>
                <w:rFonts w:eastAsiaTheme="minorEastAsia" w:cs="Calibri"/>
                <w:sz w:val="20"/>
                <w:szCs w:val="20"/>
              </w:rPr>
            </w:pPr>
            <w:r w:rsidRPr="00E54DA6">
              <w:rPr>
                <w:rFonts w:eastAsiaTheme="minorEastAsia" w:cs="Calibri"/>
                <w:sz w:val="20"/>
                <w:szCs w:val="20"/>
              </w:rPr>
              <w:t>L</w:t>
            </w:r>
            <w:r w:rsidR="00FD4AB0" w:rsidRPr="00E54DA6">
              <w:rPr>
                <w:rFonts w:eastAsiaTheme="minorEastAsia" w:cs="Calibri"/>
                <w:sz w:val="20"/>
                <w:szCs w:val="20"/>
              </w:rPr>
              <w:t xml:space="preserve">’épaisseur maximale théorique de la couche (cm) </w:t>
            </w:r>
            <w:r w:rsidRPr="00E54DA6">
              <w:rPr>
                <w:rFonts w:eastAsiaTheme="minorEastAsia" w:cs="Calibri"/>
                <w:sz w:val="20"/>
                <w:szCs w:val="20"/>
              </w:rPr>
              <w:t>;</w:t>
            </w:r>
          </w:p>
        </w:tc>
      </w:tr>
      <w:tr w:rsidR="003A71FC" w:rsidRPr="00E54DA6" w14:paraId="7A4D0063" w14:textId="77777777" w:rsidTr="00FD4AB0">
        <w:trPr>
          <w:trHeight w:val="227"/>
        </w:trPr>
        <w:tc>
          <w:tcPr>
            <w:tcW w:w="1159" w:type="dxa"/>
            <w:vAlign w:val="center"/>
          </w:tcPr>
          <w:p w14:paraId="140CA59B" w14:textId="7BCDF689" w:rsidR="003A71FC" w:rsidRPr="00E54DA6" w:rsidRDefault="00437C8C" w:rsidP="004306AE">
            <w:pPr>
              <w:jc w:val="left"/>
              <w:rPr>
                <w:rFonts w:eastAsiaTheme="minorEastAsia" w:cs="Calibri"/>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m:t>
                    </m:r>
                  </m:e>
                  <m:sub>
                    <m:r>
                      <m:rPr>
                        <m:sty m:val="p"/>
                      </m:rPr>
                      <w:rPr>
                        <w:rFonts w:ascii="Cambria Math" w:hAnsi="Cambria Math" w:cs="Calibri"/>
                        <w:sz w:val="20"/>
                        <w:szCs w:val="20"/>
                      </w:rPr>
                      <m:t>EG</m:t>
                    </m:r>
                  </m:sub>
                </m:sSub>
              </m:oMath>
            </m:oMathPara>
          </w:p>
        </w:tc>
        <w:tc>
          <w:tcPr>
            <w:tcW w:w="7911" w:type="dxa"/>
            <w:vAlign w:val="center"/>
          </w:tcPr>
          <w:p w14:paraId="4439D92A" w14:textId="70BD4377" w:rsidR="003A71FC" w:rsidRPr="00E54DA6" w:rsidRDefault="00FD4AB0" w:rsidP="004306AE">
            <w:pPr>
              <w:jc w:val="left"/>
              <w:rPr>
                <w:rFonts w:eastAsiaTheme="minorEastAsia" w:cs="Calibri"/>
                <w:sz w:val="20"/>
                <w:szCs w:val="20"/>
              </w:rPr>
            </w:pPr>
            <w:r w:rsidRPr="00E54DA6">
              <w:rPr>
                <w:rFonts w:eastAsiaTheme="minorEastAsia" w:cs="Calibri"/>
                <w:sz w:val="20"/>
                <w:szCs w:val="20"/>
              </w:rPr>
              <w:t>La charge volumique en éléments grossiers.</w:t>
            </w:r>
          </w:p>
        </w:tc>
      </w:tr>
    </w:tbl>
    <w:p w14:paraId="7B3820D3" w14:textId="77777777" w:rsidR="003A71FC" w:rsidRDefault="003A71FC" w:rsidP="004C09AB"/>
    <w:p w14:paraId="48F8B1DF" w14:textId="5FF4ADD8" w:rsidR="004C09AB" w:rsidRPr="00296208" w:rsidRDefault="004C09AB" w:rsidP="004C09AB">
      <w:r>
        <w:t xml:space="preserve">Ce concept est donc utile pour pouvoir </w:t>
      </w:r>
      <w:r w:rsidR="5C7BAAD6">
        <w:t>prendre en compte la</w:t>
      </w:r>
      <w:r>
        <w:t xml:space="preserve"> profondeur </w:t>
      </w:r>
      <w:r w:rsidR="50D1252D">
        <w:t>du sol</w:t>
      </w:r>
      <w:r>
        <w:t xml:space="preserve"> et </w:t>
      </w:r>
      <w:r w:rsidR="4BB95AFC">
        <w:t>sa</w:t>
      </w:r>
      <w:r>
        <w:t xml:space="preserve"> charge caillouteuse </w:t>
      </w:r>
      <w:r w:rsidR="4DEDF207">
        <w:t xml:space="preserve">dans la capacité du sol </w:t>
      </w:r>
      <w:r>
        <w:t>à remplir des fonctions.</w:t>
      </w:r>
    </w:p>
    <w:p w14:paraId="07CC88B7" w14:textId="77777777" w:rsidR="004C09AB" w:rsidRDefault="004C09AB" w:rsidP="00876101">
      <w:pPr>
        <w:pStyle w:val="Titre3"/>
        <w:numPr>
          <w:ilvl w:val="2"/>
          <w:numId w:val="3"/>
        </w:numPr>
      </w:pPr>
      <w:bookmarkStart w:id="206" w:name="_Toc241505361"/>
      <w:r w:rsidRPr="00C23A2C">
        <w:t>Interprétation</w:t>
      </w:r>
      <w:bookmarkEnd w:id="206"/>
    </w:p>
    <w:p w14:paraId="4CA579A5" w14:textId="48BE1355" w:rsidR="004C09AB" w:rsidRPr="00296208" w:rsidRDefault="004C09AB" w:rsidP="004C09AB">
      <w:r>
        <w:t xml:space="preserve">Le coefficient de sol utile n’est pas scoré en tant que tel, mais il intervient dans le calcul de divers scores </w:t>
      </w:r>
      <w:r w:rsidR="0E7BEC9B">
        <w:t>de fonctions</w:t>
      </w:r>
      <w:r>
        <w:t>.</w:t>
      </w:r>
    </w:p>
    <w:p w14:paraId="41AE970C" w14:textId="3A5F2BDC" w:rsidR="00BE3DBF" w:rsidRDefault="00A84189" w:rsidP="00A84189">
      <w:pPr>
        <w:jc w:val="left"/>
      </w:pPr>
      <w:r>
        <w:br w:type="page"/>
      </w:r>
    </w:p>
    <w:p w14:paraId="64957988" w14:textId="369213EC" w:rsidR="006146F4" w:rsidRDefault="00F07B4B" w:rsidP="00876101">
      <w:pPr>
        <w:pStyle w:val="Titre1"/>
        <w:numPr>
          <w:ilvl w:val="0"/>
          <w:numId w:val="3"/>
        </w:numPr>
      </w:pPr>
      <w:bookmarkStart w:id="207" w:name="_Toc241505362"/>
      <w:r>
        <w:lastRenderedPageBreak/>
        <w:t>Synthèse des indicateurs</w:t>
      </w:r>
      <w:bookmarkEnd w:id="207"/>
    </w:p>
    <w:p w14:paraId="3D8813CF" w14:textId="397A0D0B" w:rsidR="00261C30" w:rsidRPr="00261C30" w:rsidRDefault="00261C30" w:rsidP="00261C30">
      <w:pPr>
        <w:pStyle w:val="Lgende"/>
        <w:keepNext/>
        <w:jc w:val="center"/>
        <w:rPr>
          <w:i w:val="0"/>
          <w:iCs w:val="0"/>
        </w:rPr>
      </w:pPr>
      <w:bookmarkStart w:id="208" w:name="_Toc233122675"/>
      <w:r w:rsidRPr="00261C30">
        <w:rPr>
          <w:i w:val="0"/>
          <w:iCs w:val="0"/>
        </w:rPr>
        <w:t xml:space="preserve">Tableau </w:t>
      </w:r>
      <w:r w:rsidRPr="00261C30">
        <w:rPr>
          <w:i w:val="0"/>
          <w:iCs w:val="0"/>
        </w:rPr>
        <w:fldChar w:fldCharType="begin"/>
      </w:r>
      <w:r w:rsidRPr="00261C30">
        <w:rPr>
          <w:i w:val="0"/>
          <w:iCs w:val="0"/>
        </w:rPr>
        <w:instrText xml:space="preserve"> SEQ Tableau \* ARABIC </w:instrText>
      </w:r>
      <w:r w:rsidRPr="00261C30">
        <w:rPr>
          <w:i w:val="0"/>
          <w:iCs w:val="0"/>
        </w:rPr>
        <w:fldChar w:fldCharType="separate"/>
      </w:r>
      <w:r w:rsidR="00A250D5">
        <w:rPr>
          <w:i w:val="0"/>
          <w:iCs w:val="0"/>
          <w:noProof/>
        </w:rPr>
        <w:t>19</w:t>
      </w:r>
      <w:r w:rsidRPr="00261C30">
        <w:rPr>
          <w:i w:val="0"/>
          <w:iCs w:val="0"/>
        </w:rPr>
        <w:fldChar w:fldCharType="end"/>
      </w:r>
      <w:r w:rsidRPr="00261C30">
        <w:rPr>
          <w:i w:val="0"/>
          <w:iCs w:val="0"/>
        </w:rPr>
        <w:t xml:space="preserve"> : Référentiels d’interprétation des indicateurs pour chaque combinaison service – fonction</w:t>
      </w:r>
      <w:r w:rsidR="00DF19CC">
        <w:rPr>
          <w:i w:val="0"/>
          <w:iCs w:val="0"/>
        </w:rPr>
        <w:t xml:space="preserve">. </w:t>
      </w:r>
      <w:r w:rsidR="00A250D5">
        <w:rPr>
          <w:i w:val="0"/>
          <w:iCs w:val="0"/>
        </w:rPr>
        <w:t xml:space="preserve">La forme de la fonction d’interprétation est spécifiée </w:t>
      </w:r>
      <w:r w:rsidR="00ED36B6">
        <w:rPr>
          <w:i w:val="0"/>
          <w:iCs w:val="0"/>
        </w:rPr>
        <w:t>(</w:t>
      </w:r>
      <w:r w:rsidR="00ED36B6">
        <w:rPr>
          <w:noProof/>
        </w:rPr>
        <w:drawing>
          <wp:inline distT="0" distB="0" distL="0" distR="0" wp14:anchorId="27C18CF4" wp14:editId="6E5B159B">
            <wp:extent cx="91440" cy="118745"/>
            <wp:effectExtent l="0" t="0" r="3810" b="0"/>
            <wp:docPr id="21289833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sidR="00ED36B6">
        <w:rPr>
          <w:i w:val="0"/>
          <w:iCs w:val="0"/>
        </w:rPr>
        <w:t xml:space="preserve">: </w:t>
      </w:r>
      <w:r w:rsidR="00ED36B6" w:rsidRPr="00ED36B6">
        <w:t xml:space="preserve">more </w:t>
      </w:r>
      <w:proofErr w:type="spellStart"/>
      <w:r w:rsidR="00ED36B6" w:rsidRPr="00ED36B6">
        <w:t>is</w:t>
      </w:r>
      <w:proofErr w:type="spellEnd"/>
      <w:r w:rsidR="00ED36B6" w:rsidRPr="00ED36B6">
        <w:t xml:space="preserve"> </w:t>
      </w:r>
      <w:proofErr w:type="spellStart"/>
      <w:r w:rsidR="00ED36B6" w:rsidRPr="00ED36B6">
        <w:t>better</w:t>
      </w:r>
      <w:proofErr w:type="spellEnd"/>
      <w:r w:rsidR="00ED36B6">
        <w:rPr>
          <w:i w:val="0"/>
          <w:iCs w:val="0"/>
        </w:rPr>
        <w:t> ; </w:t>
      </w:r>
      <w:r w:rsidR="00ED36B6">
        <w:rPr>
          <w:noProof/>
        </w:rPr>
        <w:drawing>
          <wp:inline distT="0" distB="0" distL="0" distR="0" wp14:anchorId="38D0C90B" wp14:editId="721D02E0">
            <wp:extent cx="85917" cy="88985"/>
            <wp:effectExtent l="0" t="0" r="9525" b="6350"/>
            <wp:docPr id="156157338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sidR="00ED36B6">
        <w:rPr>
          <w:i w:val="0"/>
          <w:iCs w:val="0"/>
        </w:rPr>
        <w:t xml:space="preserve">: </w:t>
      </w:r>
      <w:proofErr w:type="spellStart"/>
      <w:r w:rsidR="00ED36B6" w:rsidRPr="00ED36B6">
        <w:t>less</w:t>
      </w:r>
      <w:proofErr w:type="spellEnd"/>
      <w:r w:rsidR="00ED36B6" w:rsidRPr="00ED36B6">
        <w:t xml:space="preserve"> </w:t>
      </w:r>
      <w:proofErr w:type="spellStart"/>
      <w:r w:rsidR="00ED36B6" w:rsidRPr="00ED36B6">
        <w:t>is</w:t>
      </w:r>
      <w:proofErr w:type="spellEnd"/>
      <w:r w:rsidR="00ED36B6" w:rsidRPr="00ED36B6">
        <w:t xml:space="preserve"> </w:t>
      </w:r>
      <w:proofErr w:type="spellStart"/>
      <w:r w:rsidR="00ED36B6" w:rsidRPr="00ED36B6">
        <w:t>better</w:t>
      </w:r>
      <w:proofErr w:type="spellEnd"/>
      <w:r w:rsidR="00ED36B6">
        <w:rPr>
          <w:i w:val="0"/>
          <w:iCs w:val="0"/>
        </w:rPr>
        <w:t> ; </w:t>
      </w:r>
      <w:r w:rsidR="00F0790F">
        <w:rPr>
          <w:noProof/>
        </w:rPr>
        <w:drawing>
          <wp:inline distT="0" distB="0" distL="0" distR="0" wp14:anchorId="6E42AE00" wp14:editId="5EEB5A7C">
            <wp:extent cx="164432" cy="65784"/>
            <wp:effectExtent l="0" t="0" r="7620" b="0"/>
            <wp:docPr id="23544987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sidR="00ED36B6">
        <w:rPr>
          <w:i w:val="0"/>
          <w:iCs w:val="0"/>
        </w:rPr>
        <w:t xml:space="preserve">: </w:t>
      </w:r>
      <w:r w:rsidR="00ED36B6" w:rsidRPr="00ED36B6">
        <w:t>optimum</w:t>
      </w:r>
      <w:r w:rsidR="00ED36B6">
        <w:rPr>
          <w:i w:val="0"/>
          <w:iCs w:val="0"/>
        </w:rPr>
        <w:t>)</w:t>
      </w:r>
      <w:r w:rsidR="00011C3C">
        <w:rPr>
          <w:i w:val="0"/>
          <w:iCs w:val="0"/>
        </w:rPr>
        <w:t>.</w:t>
      </w:r>
      <w:r w:rsidR="00025CCE">
        <w:rPr>
          <w:i w:val="0"/>
          <w:iCs w:val="0"/>
        </w:rPr>
        <w:t xml:space="preserve"> </w:t>
      </w:r>
      <w:r w:rsidR="006E054E">
        <w:rPr>
          <w:i w:val="0"/>
          <w:iCs w:val="0"/>
        </w:rPr>
        <w:t xml:space="preserve">Dans le </w:t>
      </w:r>
      <w:r w:rsidR="000100FD">
        <w:rPr>
          <w:i w:val="0"/>
          <w:iCs w:val="0"/>
        </w:rPr>
        <w:t>service</w:t>
      </w:r>
      <w:r w:rsidR="006E054E">
        <w:rPr>
          <w:i w:val="0"/>
          <w:iCs w:val="0"/>
        </w:rPr>
        <w:t xml:space="preserve"> </w:t>
      </w:r>
      <w:r w:rsidR="006E054E" w:rsidRPr="008E326C">
        <w:t>Production</w:t>
      </w:r>
      <w:r w:rsidR="00100DB9">
        <w:rPr>
          <w:i w:val="0"/>
          <w:iCs w:val="0"/>
        </w:rPr>
        <w:t>, pour certains</w:t>
      </w:r>
      <w:r w:rsidR="000100FD">
        <w:rPr>
          <w:i w:val="0"/>
          <w:iCs w:val="0"/>
        </w:rPr>
        <w:t xml:space="preserve"> </w:t>
      </w:r>
      <w:r w:rsidR="00100DB9">
        <w:rPr>
          <w:i w:val="0"/>
          <w:iCs w:val="0"/>
        </w:rPr>
        <w:t xml:space="preserve">indicateurs, une distinction est faite </w:t>
      </w:r>
      <w:r w:rsidR="002E1C3B">
        <w:rPr>
          <w:i w:val="0"/>
          <w:iCs w:val="0"/>
        </w:rPr>
        <w:t xml:space="preserve">dans le choix des bornes </w:t>
      </w:r>
      <w:r w:rsidR="00100DB9">
        <w:rPr>
          <w:i w:val="0"/>
          <w:iCs w:val="0"/>
        </w:rPr>
        <w:t xml:space="preserve">entre les catégories d’usage </w:t>
      </w:r>
      <w:r w:rsidR="002E1C3B">
        <w:rPr>
          <w:i w:val="0"/>
          <w:iCs w:val="0"/>
        </w:rPr>
        <w:t>(C : cultures</w:t>
      </w:r>
      <w:r w:rsidR="008E326C">
        <w:rPr>
          <w:i w:val="0"/>
          <w:iCs w:val="0"/>
        </w:rPr>
        <w:t> ;</w:t>
      </w:r>
      <w:r w:rsidR="002E1C3B">
        <w:rPr>
          <w:i w:val="0"/>
          <w:iCs w:val="0"/>
        </w:rPr>
        <w:t xml:space="preserve"> P : prairies</w:t>
      </w:r>
      <w:r w:rsidR="008E326C">
        <w:rPr>
          <w:i w:val="0"/>
          <w:iCs w:val="0"/>
        </w:rPr>
        <w:t> ;</w:t>
      </w:r>
      <w:r w:rsidR="002E1C3B">
        <w:rPr>
          <w:i w:val="0"/>
          <w:iCs w:val="0"/>
        </w:rPr>
        <w:t xml:space="preserve"> EV : espaces verts</w:t>
      </w:r>
      <w:r w:rsidR="008E326C">
        <w:rPr>
          <w:i w:val="0"/>
          <w:iCs w:val="0"/>
        </w:rPr>
        <w:t> ; F : forêts).</w:t>
      </w:r>
      <w:bookmarkEnd w:id="208"/>
    </w:p>
    <w:tbl>
      <w:tblPr>
        <w:tblStyle w:val="Grilledutableau"/>
        <w:tblW w:w="9067" w:type="dxa"/>
        <w:tblCellMar>
          <w:top w:w="28" w:type="dxa"/>
          <w:bottom w:w="28" w:type="dxa"/>
        </w:tblCellMar>
        <w:tblLook w:val="04A0" w:firstRow="1" w:lastRow="0" w:firstColumn="1" w:lastColumn="0" w:noHBand="0" w:noVBand="1"/>
      </w:tblPr>
      <w:tblGrid>
        <w:gridCol w:w="1200"/>
        <w:gridCol w:w="1239"/>
        <w:gridCol w:w="748"/>
        <w:gridCol w:w="1628"/>
        <w:gridCol w:w="4252"/>
      </w:tblGrid>
      <w:tr w:rsidR="003E098A" w:rsidRPr="00D378BC" w14:paraId="335D1973" w14:textId="77777777" w:rsidTr="00627BB2">
        <w:tc>
          <w:tcPr>
            <w:tcW w:w="1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1208FEB6" w14:textId="664C9264" w:rsidR="003E098A" w:rsidRPr="00A37F87" w:rsidRDefault="000100FD" w:rsidP="004306AE">
            <w:pPr>
              <w:jc w:val="center"/>
              <w:rPr>
                <w:b/>
                <w:bCs/>
                <w:sz w:val="20"/>
                <w:szCs w:val="20"/>
              </w:rPr>
            </w:pPr>
            <w:r>
              <w:rPr>
                <w:b/>
                <w:bCs/>
                <w:sz w:val="20"/>
                <w:szCs w:val="20"/>
              </w:rPr>
              <w:t>Service</w:t>
            </w:r>
          </w:p>
        </w:tc>
        <w:tc>
          <w:tcPr>
            <w:tcW w:w="12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7E204A4E" w14:textId="77777777" w:rsidR="003E098A" w:rsidRPr="00A37F87" w:rsidRDefault="003E098A" w:rsidP="004306AE">
            <w:pPr>
              <w:jc w:val="center"/>
              <w:rPr>
                <w:b/>
                <w:bCs/>
                <w:sz w:val="20"/>
                <w:szCs w:val="20"/>
              </w:rPr>
            </w:pPr>
            <w:r w:rsidRPr="00A37F87">
              <w:rPr>
                <w:b/>
                <w:bCs/>
                <w:sz w:val="20"/>
                <w:szCs w:val="20"/>
              </w:rPr>
              <w:t>Fonction</w:t>
            </w:r>
          </w:p>
        </w:tc>
        <w:tc>
          <w:tcPr>
            <w:tcW w:w="7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37CF8966" w14:textId="77777777" w:rsidR="003E098A" w:rsidRPr="00A37F87" w:rsidRDefault="003E098A" w:rsidP="004306AE">
            <w:pPr>
              <w:jc w:val="center"/>
              <w:rPr>
                <w:b/>
                <w:bCs/>
                <w:sz w:val="20"/>
                <w:szCs w:val="20"/>
              </w:rPr>
            </w:pPr>
            <w:r w:rsidRPr="00A37F87">
              <w:rPr>
                <w:b/>
                <w:bCs/>
                <w:sz w:val="20"/>
                <w:szCs w:val="20"/>
              </w:rPr>
              <w:t>Forme</w:t>
            </w:r>
          </w:p>
        </w:tc>
        <w:tc>
          <w:tcPr>
            <w:tcW w:w="16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2FD6D9A9" w14:textId="77777777" w:rsidR="003E098A" w:rsidRPr="00A37F87" w:rsidRDefault="003E098A" w:rsidP="004306AE">
            <w:pPr>
              <w:jc w:val="center"/>
              <w:rPr>
                <w:b/>
                <w:bCs/>
                <w:sz w:val="20"/>
                <w:szCs w:val="20"/>
              </w:rPr>
            </w:pPr>
            <w:r w:rsidRPr="00A37F87">
              <w:rPr>
                <w:b/>
                <w:bCs/>
                <w:sz w:val="20"/>
                <w:szCs w:val="20"/>
              </w:rPr>
              <w:t>Évaluation</w:t>
            </w: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6068E66F" w14:textId="77777777" w:rsidR="003E098A" w:rsidRPr="00A37F87" w:rsidRDefault="003E098A" w:rsidP="004306AE">
            <w:pPr>
              <w:jc w:val="center"/>
              <w:rPr>
                <w:b/>
                <w:bCs/>
                <w:sz w:val="20"/>
                <w:szCs w:val="20"/>
              </w:rPr>
            </w:pPr>
            <w:r w:rsidRPr="00A37F87">
              <w:rPr>
                <w:b/>
                <w:bCs/>
                <w:sz w:val="20"/>
                <w:szCs w:val="20"/>
              </w:rPr>
              <w:t>Référentiel</w:t>
            </w:r>
          </w:p>
        </w:tc>
      </w:tr>
      <w:tr w:rsidR="008C68C2" w14:paraId="1C86543A" w14:textId="77777777" w:rsidTr="00627BB2">
        <w:tblPrEx>
          <w:tblCellMar>
            <w:top w:w="0" w:type="dxa"/>
            <w:bottom w:w="0" w:type="dxa"/>
          </w:tblCellMar>
        </w:tblPrEx>
        <w:tc>
          <w:tcPr>
            <w:tcW w:w="1200" w:type="dxa"/>
            <w:vMerge w:val="restart"/>
            <w:shd w:val="clear" w:color="auto" w:fill="D1D1D1" w:themeFill="background2" w:themeFillShade="E6"/>
            <w:vAlign w:val="center"/>
          </w:tcPr>
          <w:p w14:paraId="15A6248D" w14:textId="77777777" w:rsidR="008C68C2" w:rsidRPr="00261C30" w:rsidRDefault="008C68C2" w:rsidP="004306AE">
            <w:pPr>
              <w:jc w:val="left"/>
              <w:rPr>
                <w:b/>
                <w:bCs/>
                <w:sz w:val="20"/>
                <w:szCs w:val="20"/>
              </w:rPr>
            </w:pPr>
            <w:r w:rsidRPr="00261C30">
              <w:rPr>
                <w:b/>
                <w:bCs/>
                <w:sz w:val="20"/>
                <w:szCs w:val="20"/>
              </w:rPr>
              <w:t xml:space="preserve">Production </w:t>
            </w:r>
          </w:p>
        </w:tc>
        <w:tc>
          <w:tcPr>
            <w:tcW w:w="1239" w:type="dxa"/>
            <w:vMerge w:val="restart"/>
            <w:shd w:val="clear" w:color="auto" w:fill="F2F2F2" w:themeFill="background1" w:themeFillShade="F2"/>
            <w:vAlign w:val="center"/>
          </w:tcPr>
          <w:p w14:paraId="21D4EB8C" w14:textId="7C1E0B6D" w:rsidR="008C68C2" w:rsidRDefault="00A21E2F" w:rsidP="004306AE">
            <w:pPr>
              <w:jc w:val="left"/>
              <w:rPr>
                <w:sz w:val="20"/>
                <w:szCs w:val="20"/>
              </w:rPr>
            </w:pPr>
            <w:r>
              <w:rPr>
                <w:sz w:val="20"/>
                <w:szCs w:val="20"/>
              </w:rPr>
              <w:t>Fourniture nutriments</w:t>
            </w:r>
          </w:p>
        </w:tc>
        <w:tc>
          <w:tcPr>
            <w:tcW w:w="748" w:type="dxa"/>
            <w:vMerge w:val="restart"/>
            <w:vAlign w:val="center"/>
          </w:tcPr>
          <w:p w14:paraId="005D27CA" w14:textId="77777777" w:rsidR="008C68C2" w:rsidRDefault="008C68C2" w:rsidP="004306AE">
            <w:pPr>
              <w:jc w:val="center"/>
              <w:rPr>
                <w:sz w:val="20"/>
                <w:szCs w:val="20"/>
              </w:rPr>
            </w:pPr>
            <w:r>
              <w:rPr>
                <w:noProof/>
                <w:sz w:val="20"/>
                <w:szCs w:val="20"/>
              </w:rPr>
              <mc:AlternateContent>
                <mc:Choice Requires="wps">
                  <w:drawing>
                    <wp:inline distT="0" distB="0" distL="0" distR="0" wp14:anchorId="7B7D8C57" wp14:editId="1A7DD7A6">
                      <wp:extent cx="94615" cy="153035"/>
                      <wp:effectExtent l="0" t="38100" r="57785" b="18415"/>
                      <wp:docPr id="648469234"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3B663618"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vMerge w:val="restart"/>
            <w:shd w:val="clear" w:color="auto" w:fill="F2F9EB"/>
            <w:vAlign w:val="center"/>
          </w:tcPr>
          <w:p w14:paraId="10CC2044" w14:textId="77777777" w:rsidR="008C68C2" w:rsidRPr="002F4BB9" w:rsidRDefault="008C68C2" w:rsidP="004306AE">
            <w:pPr>
              <w:jc w:val="left"/>
              <w:rPr>
                <w:sz w:val="20"/>
                <w:szCs w:val="20"/>
              </w:rPr>
            </w:pPr>
            <w:proofErr w:type="spellStart"/>
            <w:r>
              <w:rPr>
                <w:sz w:val="20"/>
                <w:szCs w:val="20"/>
              </w:rPr>
              <w:t>P</w:t>
            </w:r>
            <w:r>
              <w:rPr>
                <w:sz w:val="20"/>
                <w:szCs w:val="20"/>
                <w:vertAlign w:val="subscript"/>
              </w:rPr>
              <w:t>qualité</w:t>
            </w:r>
            <w:proofErr w:type="spellEnd"/>
          </w:p>
        </w:tc>
        <w:tc>
          <w:tcPr>
            <w:tcW w:w="4252" w:type="dxa"/>
            <w:shd w:val="clear" w:color="auto" w:fill="F2F9EB"/>
            <w:vAlign w:val="center"/>
          </w:tcPr>
          <w:p w14:paraId="01FE86CF" w14:textId="77777777" w:rsidR="008C68C2" w:rsidRPr="0000352D" w:rsidRDefault="008C68C2" w:rsidP="004306AE">
            <w:pPr>
              <w:jc w:val="left"/>
              <w:rPr>
                <w:sz w:val="20"/>
                <w:szCs w:val="20"/>
              </w:rPr>
            </w:pPr>
            <w:r>
              <w:rPr>
                <w:sz w:val="20"/>
                <w:szCs w:val="20"/>
              </w:rPr>
              <w:t xml:space="preserve">(C) Valeur cible identifiée sur base des gammes optimales REQUASUD pour les cultures </w:t>
            </w:r>
            <w:r>
              <w:rPr>
                <w:sz w:val="20"/>
                <w:szCs w:val="20"/>
              </w:rPr>
              <w:fldChar w:fldCharType="begin"/>
            </w:r>
            <w:r>
              <w:rPr>
                <w:sz w:val="20"/>
                <w:szCs w:val="20"/>
              </w:rPr>
              <w:instrText xml:space="preserve"> ADDIN ZOTERO_ITEM CSL_CITATION {"citationID":"k7kOnRtQ","properties":{"unsorted":false,"formattedCitation":"(Genot et al., 2011)","plainCitation":"(Genot et al., 2011)","noteIndex":0},"citationItems":[{"id":120,"uris":["http://zotero.org/groups/5684833/items/C2MGHKXM"],"itemData":{"id":120,"type":"report","publisher":"REQUASUD","title":"Un conseil de fumure raisonné - Le cas du phosphore","URL":"https://www.requasud.be/wp-content/uploads/2017/07/brochure_cr2451_requasud_ld.pdf","author":[{"family":"Genot","given":"V."},{"family":"Renneson","given":"M."},{"family":"Bock","given":"L."},{"family":"Colinet","given":"G."}],"issued":{"date-parts":[["2011"]]}}}],"schema":"https://github.com/citation-style-language/schema/raw/master/csl-citation.json"} </w:instrText>
            </w:r>
            <w:r>
              <w:rPr>
                <w:sz w:val="20"/>
                <w:szCs w:val="20"/>
              </w:rPr>
              <w:fldChar w:fldCharType="separate"/>
            </w:r>
            <w:r w:rsidRPr="002D0BFF">
              <w:rPr>
                <w:rFonts w:cs="Calibri"/>
                <w:sz w:val="20"/>
              </w:rPr>
              <w:t>(Genot et al., 2011)</w:t>
            </w:r>
            <w:r>
              <w:rPr>
                <w:sz w:val="20"/>
                <w:szCs w:val="20"/>
              </w:rPr>
              <w:fldChar w:fldCharType="end"/>
            </w:r>
          </w:p>
        </w:tc>
      </w:tr>
      <w:tr w:rsidR="008C68C2" w14:paraId="671EB171" w14:textId="77777777" w:rsidTr="00627BB2">
        <w:tblPrEx>
          <w:tblCellMar>
            <w:top w:w="0" w:type="dxa"/>
            <w:bottom w:w="0" w:type="dxa"/>
          </w:tblCellMar>
        </w:tblPrEx>
        <w:tc>
          <w:tcPr>
            <w:tcW w:w="1200" w:type="dxa"/>
            <w:vMerge/>
            <w:shd w:val="clear" w:color="auto" w:fill="D1D1D1" w:themeFill="background2" w:themeFillShade="E6"/>
            <w:vAlign w:val="center"/>
          </w:tcPr>
          <w:p w14:paraId="6859F45E"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5E009F1D" w14:textId="77777777" w:rsidR="008C68C2" w:rsidRDefault="008C68C2" w:rsidP="004306AE">
            <w:pPr>
              <w:jc w:val="left"/>
              <w:rPr>
                <w:sz w:val="20"/>
                <w:szCs w:val="20"/>
              </w:rPr>
            </w:pPr>
          </w:p>
        </w:tc>
        <w:tc>
          <w:tcPr>
            <w:tcW w:w="748" w:type="dxa"/>
            <w:vMerge/>
            <w:vAlign w:val="center"/>
          </w:tcPr>
          <w:p w14:paraId="58E4FF57" w14:textId="77777777" w:rsidR="008C68C2" w:rsidRDefault="008C68C2" w:rsidP="004306AE">
            <w:pPr>
              <w:jc w:val="center"/>
              <w:rPr>
                <w:sz w:val="20"/>
                <w:szCs w:val="20"/>
              </w:rPr>
            </w:pPr>
          </w:p>
        </w:tc>
        <w:tc>
          <w:tcPr>
            <w:tcW w:w="1628" w:type="dxa"/>
            <w:vMerge/>
            <w:shd w:val="clear" w:color="auto" w:fill="F2F9EB"/>
            <w:vAlign w:val="center"/>
          </w:tcPr>
          <w:p w14:paraId="64248458" w14:textId="77777777" w:rsidR="008C68C2" w:rsidRPr="002F4BB9" w:rsidRDefault="008C68C2" w:rsidP="004306AE">
            <w:pPr>
              <w:jc w:val="left"/>
              <w:rPr>
                <w:sz w:val="20"/>
                <w:szCs w:val="20"/>
              </w:rPr>
            </w:pPr>
          </w:p>
        </w:tc>
        <w:tc>
          <w:tcPr>
            <w:tcW w:w="4252" w:type="dxa"/>
            <w:shd w:val="clear" w:color="auto" w:fill="F2F9EB"/>
            <w:vAlign w:val="center"/>
          </w:tcPr>
          <w:p w14:paraId="67F618B4" w14:textId="77777777" w:rsidR="008C68C2" w:rsidRPr="0000352D" w:rsidRDefault="008C68C2" w:rsidP="004306AE">
            <w:pPr>
              <w:jc w:val="left"/>
              <w:rPr>
                <w:sz w:val="20"/>
                <w:szCs w:val="20"/>
              </w:rPr>
            </w:pPr>
            <w:r>
              <w:rPr>
                <w:sz w:val="20"/>
                <w:szCs w:val="20"/>
              </w:rPr>
              <w:t xml:space="preserve">(P-EV) Inférence d’une valeur cible plus permissive que celle des cultures </w:t>
            </w:r>
          </w:p>
        </w:tc>
      </w:tr>
      <w:tr w:rsidR="008C68C2" w14:paraId="1BEC5FC8" w14:textId="77777777" w:rsidTr="00627BB2">
        <w:tblPrEx>
          <w:tblCellMar>
            <w:top w:w="0" w:type="dxa"/>
            <w:bottom w:w="0" w:type="dxa"/>
          </w:tblCellMar>
        </w:tblPrEx>
        <w:tc>
          <w:tcPr>
            <w:tcW w:w="1200" w:type="dxa"/>
            <w:vMerge/>
            <w:shd w:val="clear" w:color="auto" w:fill="D1D1D1" w:themeFill="background2" w:themeFillShade="E6"/>
            <w:vAlign w:val="center"/>
          </w:tcPr>
          <w:p w14:paraId="1F8A2627"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11E66170" w14:textId="77777777" w:rsidR="008C68C2" w:rsidRDefault="008C68C2" w:rsidP="004306AE">
            <w:pPr>
              <w:jc w:val="left"/>
              <w:rPr>
                <w:sz w:val="20"/>
                <w:szCs w:val="20"/>
              </w:rPr>
            </w:pPr>
          </w:p>
        </w:tc>
        <w:tc>
          <w:tcPr>
            <w:tcW w:w="748" w:type="dxa"/>
            <w:vMerge/>
            <w:vAlign w:val="center"/>
          </w:tcPr>
          <w:p w14:paraId="4E34D32A" w14:textId="77777777" w:rsidR="008C68C2" w:rsidRDefault="008C68C2" w:rsidP="004306AE">
            <w:pPr>
              <w:jc w:val="center"/>
              <w:rPr>
                <w:sz w:val="20"/>
                <w:szCs w:val="20"/>
              </w:rPr>
            </w:pPr>
          </w:p>
        </w:tc>
        <w:tc>
          <w:tcPr>
            <w:tcW w:w="1628" w:type="dxa"/>
            <w:vMerge/>
            <w:shd w:val="clear" w:color="auto" w:fill="F2F9EB"/>
            <w:vAlign w:val="center"/>
          </w:tcPr>
          <w:p w14:paraId="5B95C50D" w14:textId="77777777" w:rsidR="008C68C2" w:rsidRPr="002F4BB9" w:rsidRDefault="008C68C2" w:rsidP="004306AE">
            <w:pPr>
              <w:jc w:val="left"/>
              <w:rPr>
                <w:sz w:val="20"/>
                <w:szCs w:val="20"/>
              </w:rPr>
            </w:pPr>
          </w:p>
        </w:tc>
        <w:tc>
          <w:tcPr>
            <w:tcW w:w="4252" w:type="dxa"/>
            <w:shd w:val="clear" w:color="auto" w:fill="F2F9EB"/>
            <w:vAlign w:val="center"/>
          </w:tcPr>
          <w:p w14:paraId="1BB578EA" w14:textId="77777777" w:rsidR="008C68C2" w:rsidRPr="0000352D" w:rsidRDefault="008C68C2" w:rsidP="004306AE">
            <w:pPr>
              <w:jc w:val="left"/>
              <w:rPr>
                <w:sz w:val="20"/>
                <w:szCs w:val="20"/>
              </w:rPr>
            </w:pPr>
            <w:r>
              <w:rPr>
                <w:sz w:val="20"/>
                <w:szCs w:val="20"/>
              </w:rPr>
              <w:t>(F) Paramètre non-limitant (score maximal dès niveau minimum)</w:t>
            </w:r>
          </w:p>
        </w:tc>
      </w:tr>
      <w:tr w:rsidR="008C68C2" w14:paraId="7509D726" w14:textId="77777777" w:rsidTr="00627BB2">
        <w:tblPrEx>
          <w:tblCellMar>
            <w:top w:w="0" w:type="dxa"/>
            <w:bottom w:w="0" w:type="dxa"/>
          </w:tblCellMar>
        </w:tblPrEx>
        <w:tc>
          <w:tcPr>
            <w:tcW w:w="1200" w:type="dxa"/>
            <w:vMerge/>
            <w:shd w:val="clear" w:color="auto" w:fill="D1D1D1" w:themeFill="background2" w:themeFillShade="E6"/>
            <w:vAlign w:val="center"/>
          </w:tcPr>
          <w:p w14:paraId="56234D07"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234EE96D" w14:textId="77777777" w:rsidR="008C68C2" w:rsidRDefault="008C68C2" w:rsidP="004306AE">
            <w:pPr>
              <w:jc w:val="left"/>
              <w:rPr>
                <w:sz w:val="20"/>
                <w:szCs w:val="20"/>
              </w:rPr>
            </w:pPr>
          </w:p>
        </w:tc>
        <w:tc>
          <w:tcPr>
            <w:tcW w:w="748" w:type="dxa"/>
            <w:vMerge/>
            <w:vAlign w:val="center"/>
          </w:tcPr>
          <w:p w14:paraId="255DB2F2" w14:textId="77777777" w:rsidR="008C68C2" w:rsidRDefault="008C68C2" w:rsidP="004306AE">
            <w:pPr>
              <w:jc w:val="center"/>
              <w:rPr>
                <w:sz w:val="20"/>
                <w:szCs w:val="20"/>
              </w:rPr>
            </w:pPr>
          </w:p>
        </w:tc>
        <w:tc>
          <w:tcPr>
            <w:tcW w:w="1628" w:type="dxa"/>
            <w:shd w:val="clear" w:color="auto" w:fill="EFF5FB"/>
            <w:vAlign w:val="center"/>
          </w:tcPr>
          <w:p w14:paraId="16A6B82C" w14:textId="77777777" w:rsidR="008C68C2" w:rsidRDefault="008C68C2" w:rsidP="004306AE">
            <w:pPr>
              <w:jc w:val="left"/>
              <w:rPr>
                <w:sz w:val="20"/>
                <w:szCs w:val="20"/>
              </w:rPr>
            </w:pPr>
            <w:proofErr w:type="spellStart"/>
            <w:r>
              <w:rPr>
                <w:sz w:val="20"/>
                <w:szCs w:val="20"/>
              </w:rPr>
              <w:t>P</w:t>
            </w:r>
            <w:r>
              <w:rPr>
                <w:sz w:val="20"/>
                <w:szCs w:val="20"/>
                <w:vertAlign w:val="subscript"/>
              </w:rPr>
              <w:t>santé</w:t>
            </w:r>
            <w:proofErr w:type="spellEnd"/>
          </w:p>
        </w:tc>
        <w:tc>
          <w:tcPr>
            <w:tcW w:w="4252" w:type="dxa"/>
            <w:shd w:val="clear" w:color="auto" w:fill="EFF5FB"/>
            <w:vAlign w:val="center"/>
          </w:tcPr>
          <w:p w14:paraId="14F423B0" w14:textId="77777777" w:rsidR="008C68C2" w:rsidRDefault="008C68C2" w:rsidP="004306AE">
            <w:pPr>
              <w:jc w:val="left"/>
              <w:rPr>
                <w:sz w:val="20"/>
                <w:szCs w:val="20"/>
              </w:rPr>
            </w:pPr>
            <w:r>
              <w:rPr>
                <w:sz w:val="20"/>
                <w:szCs w:val="20"/>
              </w:rPr>
              <w:t xml:space="preserve">Gammes optimales pour une classe texturale et un pH donné </w:t>
            </w:r>
            <w:r>
              <w:rPr>
                <w:sz w:val="20"/>
                <w:szCs w:val="20"/>
              </w:rPr>
              <w:fldChar w:fldCharType="begin"/>
            </w:r>
            <w:r>
              <w:rPr>
                <w:sz w:val="20"/>
                <w:szCs w:val="20"/>
              </w:rPr>
              <w:instrText xml:space="preserve"> ADDIN ZOTERO_ITEM CSL_CITATION {"citationID":"gFdearnp","properties":{"unsorted":false,"formattedCitation":"(Genot et al., 2011)","plainCitation":"(Genot et al., 2011)","noteIndex":0},"citationItems":[{"id":120,"uris":["http://zotero.org/groups/5684833/items/C2MGHKXM"],"itemData":{"id":120,"type":"report","publisher":"REQUASUD","title":"Un conseil de fumure raisonné - Le cas du phosphore","URL":"https://www.requasud.be/wp-content/uploads/2017/07/brochure_cr2451_requasud_ld.pdf","author":[{"family":"Genot","given":"V."},{"family":"Renneson","given":"M."},{"family":"Bock","given":"L."},{"family":"Colinet","given":"G."}],"issued":{"date-parts":[["2011"]]}}}],"schema":"https://github.com/citation-style-language/schema/raw/master/csl-citation.json"} </w:instrText>
            </w:r>
            <w:r>
              <w:rPr>
                <w:sz w:val="20"/>
                <w:szCs w:val="20"/>
              </w:rPr>
              <w:fldChar w:fldCharType="separate"/>
            </w:r>
            <w:r w:rsidRPr="00E8144B">
              <w:rPr>
                <w:rFonts w:cs="Calibri"/>
                <w:sz w:val="20"/>
              </w:rPr>
              <w:t>(Genot et al., 2011)</w:t>
            </w:r>
            <w:r>
              <w:rPr>
                <w:sz w:val="20"/>
                <w:szCs w:val="20"/>
              </w:rPr>
              <w:fldChar w:fldCharType="end"/>
            </w:r>
          </w:p>
        </w:tc>
      </w:tr>
      <w:tr w:rsidR="008C68C2" w14:paraId="6B1786DA" w14:textId="77777777" w:rsidTr="00627BB2">
        <w:tblPrEx>
          <w:tblCellMar>
            <w:top w:w="0" w:type="dxa"/>
            <w:bottom w:w="0" w:type="dxa"/>
          </w:tblCellMar>
        </w:tblPrEx>
        <w:tc>
          <w:tcPr>
            <w:tcW w:w="1200" w:type="dxa"/>
            <w:vMerge/>
            <w:shd w:val="clear" w:color="auto" w:fill="D1D1D1" w:themeFill="background2" w:themeFillShade="E6"/>
            <w:vAlign w:val="center"/>
          </w:tcPr>
          <w:p w14:paraId="158FC032"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46CD0D83" w14:textId="77777777" w:rsidR="008C68C2" w:rsidRDefault="008C68C2" w:rsidP="004306AE">
            <w:pPr>
              <w:jc w:val="left"/>
              <w:rPr>
                <w:sz w:val="20"/>
                <w:szCs w:val="20"/>
              </w:rPr>
            </w:pPr>
          </w:p>
        </w:tc>
        <w:tc>
          <w:tcPr>
            <w:tcW w:w="748" w:type="dxa"/>
            <w:vMerge w:val="restart"/>
            <w:vAlign w:val="center"/>
          </w:tcPr>
          <w:p w14:paraId="438C4224" w14:textId="77777777" w:rsidR="008C68C2" w:rsidRDefault="008C68C2" w:rsidP="004306AE">
            <w:pPr>
              <w:jc w:val="center"/>
              <w:rPr>
                <w:sz w:val="20"/>
                <w:szCs w:val="20"/>
              </w:rPr>
            </w:pPr>
            <w:r>
              <w:rPr>
                <w:noProof/>
                <w:sz w:val="20"/>
                <w:szCs w:val="20"/>
              </w:rPr>
              <mc:AlternateContent>
                <mc:Choice Requires="wps">
                  <w:drawing>
                    <wp:inline distT="0" distB="0" distL="0" distR="0" wp14:anchorId="68C6C076" wp14:editId="2BD261CF">
                      <wp:extent cx="94615" cy="153035"/>
                      <wp:effectExtent l="0" t="38100" r="57785" b="18415"/>
                      <wp:docPr id="1446120792"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895E609"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vMerge w:val="restart"/>
            <w:shd w:val="clear" w:color="auto" w:fill="F2F9EB"/>
            <w:vAlign w:val="center"/>
          </w:tcPr>
          <w:p w14:paraId="76D239F7" w14:textId="77777777" w:rsidR="008C68C2" w:rsidRPr="002F4BB9" w:rsidRDefault="008C68C2" w:rsidP="004306AE">
            <w:pPr>
              <w:jc w:val="left"/>
              <w:rPr>
                <w:sz w:val="20"/>
                <w:szCs w:val="20"/>
              </w:rPr>
            </w:pPr>
            <w:r>
              <w:rPr>
                <w:sz w:val="20"/>
                <w:szCs w:val="20"/>
              </w:rPr>
              <w:t xml:space="preserve">K, Mg, </w:t>
            </w:r>
            <w:proofErr w:type="spellStart"/>
            <w:r>
              <w:rPr>
                <w:sz w:val="20"/>
                <w:szCs w:val="20"/>
              </w:rPr>
              <w:t>Ca</w:t>
            </w:r>
            <w:r>
              <w:rPr>
                <w:sz w:val="20"/>
                <w:szCs w:val="20"/>
                <w:vertAlign w:val="subscript"/>
              </w:rPr>
              <w:t>qualité</w:t>
            </w:r>
            <w:proofErr w:type="spellEnd"/>
          </w:p>
        </w:tc>
        <w:tc>
          <w:tcPr>
            <w:tcW w:w="4252" w:type="dxa"/>
            <w:shd w:val="clear" w:color="auto" w:fill="F2F9EB"/>
            <w:vAlign w:val="center"/>
          </w:tcPr>
          <w:p w14:paraId="7A069F3B" w14:textId="77777777" w:rsidR="008C68C2" w:rsidRPr="0000352D" w:rsidRDefault="008C68C2" w:rsidP="004306AE">
            <w:pPr>
              <w:jc w:val="left"/>
              <w:rPr>
                <w:sz w:val="20"/>
                <w:szCs w:val="20"/>
              </w:rPr>
            </w:pPr>
            <w:r>
              <w:rPr>
                <w:sz w:val="20"/>
                <w:szCs w:val="20"/>
              </w:rPr>
              <w:t xml:space="preserve">(C) Valeur cible identifiée sur base des gammes optimales REQUASUD pour les cultures </w:t>
            </w:r>
            <w:r>
              <w:rPr>
                <w:sz w:val="20"/>
                <w:szCs w:val="20"/>
              </w:rPr>
              <w:fldChar w:fldCharType="begin"/>
            </w:r>
            <w:r>
              <w:rPr>
                <w:sz w:val="20"/>
                <w:szCs w:val="20"/>
              </w:rPr>
              <w:instrText xml:space="preserve"> ADDIN ZOTERO_ITEM CSL_CITATION {"citationID":"pFioDCwI","properties":{"unsorted":false,"formattedCitation":"(Dombret, 2022)","plainCitation":"(Dombret, 2022)","noteIndex":0},"citationItems":[{"id":121,"uris":["http://zotero.org/groups/5684833/items/I22FDLA8"],"itemData":{"id":121,"type":"article-magazine","container-title":"Biowallonie","issue":"63","title":"Interpréter l'analyse de terre pour la culture maraîchère : comprendre les résultats (3/3)","URL":"https://www.biowallonie.com/wp-content/uploads/2022/04/Brochure_A4_ITBIO63_web.pdf","volume":"Itinéraires BIO","author":[{"family":"Dombret","given":"Laurence"}],"issued":{"date-parts":[["2022"]]}}}],"schema":"https://github.com/citation-style-language/schema/raw/master/csl-citation.json"} </w:instrText>
            </w:r>
            <w:r>
              <w:rPr>
                <w:sz w:val="20"/>
                <w:szCs w:val="20"/>
              </w:rPr>
              <w:fldChar w:fldCharType="separate"/>
            </w:r>
            <w:r w:rsidRPr="00B562EB">
              <w:rPr>
                <w:rFonts w:cs="Calibri"/>
                <w:sz w:val="20"/>
              </w:rPr>
              <w:t>(Dombret, 2022)</w:t>
            </w:r>
            <w:r>
              <w:rPr>
                <w:sz w:val="20"/>
                <w:szCs w:val="20"/>
              </w:rPr>
              <w:fldChar w:fldCharType="end"/>
            </w:r>
          </w:p>
        </w:tc>
      </w:tr>
      <w:tr w:rsidR="008C68C2" w14:paraId="0A5251B0" w14:textId="77777777" w:rsidTr="00627BB2">
        <w:tblPrEx>
          <w:tblCellMar>
            <w:top w:w="0" w:type="dxa"/>
            <w:bottom w:w="0" w:type="dxa"/>
          </w:tblCellMar>
        </w:tblPrEx>
        <w:tc>
          <w:tcPr>
            <w:tcW w:w="1200" w:type="dxa"/>
            <w:vMerge/>
            <w:shd w:val="clear" w:color="auto" w:fill="D1D1D1" w:themeFill="background2" w:themeFillShade="E6"/>
            <w:vAlign w:val="center"/>
          </w:tcPr>
          <w:p w14:paraId="009D531C"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2E89FAAB" w14:textId="77777777" w:rsidR="008C68C2" w:rsidRDefault="008C68C2" w:rsidP="004306AE">
            <w:pPr>
              <w:jc w:val="left"/>
              <w:rPr>
                <w:sz w:val="20"/>
                <w:szCs w:val="20"/>
              </w:rPr>
            </w:pPr>
          </w:p>
        </w:tc>
        <w:tc>
          <w:tcPr>
            <w:tcW w:w="748" w:type="dxa"/>
            <w:vMerge/>
            <w:vAlign w:val="center"/>
          </w:tcPr>
          <w:p w14:paraId="7E622D03" w14:textId="77777777" w:rsidR="008C68C2" w:rsidRDefault="008C68C2" w:rsidP="004306AE">
            <w:pPr>
              <w:jc w:val="center"/>
              <w:rPr>
                <w:sz w:val="20"/>
                <w:szCs w:val="20"/>
              </w:rPr>
            </w:pPr>
          </w:p>
        </w:tc>
        <w:tc>
          <w:tcPr>
            <w:tcW w:w="1628" w:type="dxa"/>
            <w:vMerge/>
            <w:shd w:val="clear" w:color="auto" w:fill="F2F9EB"/>
            <w:vAlign w:val="center"/>
          </w:tcPr>
          <w:p w14:paraId="1765CEF4" w14:textId="77777777" w:rsidR="008C68C2" w:rsidRPr="002F4BB9" w:rsidRDefault="008C68C2" w:rsidP="004306AE">
            <w:pPr>
              <w:jc w:val="left"/>
              <w:rPr>
                <w:sz w:val="20"/>
                <w:szCs w:val="20"/>
              </w:rPr>
            </w:pPr>
          </w:p>
        </w:tc>
        <w:tc>
          <w:tcPr>
            <w:tcW w:w="4252" w:type="dxa"/>
            <w:shd w:val="clear" w:color="auto" w:fill="F2F9EB"/>
            <w:vAlign w:val="center"/>
          </w:tcPr>
          <w:p w14:paraId="37C13671" w14:textId="77777777" w:rsidR="008C68C2" w:rsidRPr="0000352D" w:rsidRDefault="008C68C2" w:rsidP="004306AE">
            <w:pPr>
              <w:jc w:val="left"/>
              <w:rPr>
                <w:sz w:val="20"/>
                <w:szCs w:val="20"/>
              </w:rPr>
            </w:pPr>
            <w:r>
              <w:rPr>
                <w:sz w:val="20"/>
                <w:szCs w:val="20"/>
              </w:rPr>
              <w:t xml:space="preserve">(P-EV) Inférence d’une valeur cible plus permissive que celle des cultures </w:t>
            </w:r>
          </w:p>
        </w:tc>
      </w:tr>
      <w:tr w:rsidR="008C68C2" w14:paraId="35FBE8CD" w14:textId="77777777" w:rsidTr="00627BB2">
        <w:tblPrEx>
          <w:tblCellMar>
            <w:top w:w="0" w:type="dxa"/>
            <w:bottom w:w="0" w:type="dxa"/>
          </w:tblCellMar>
        </w:tblPrEx>
        <w:tc>
          <w:tcPr>
            <w:tcW w:w="1200" w:type="dxa"/>
            <w:vMerge/>
            <w:shd w:val="clear" w:color="auto" w:fill="D1D1D1" w:themeFill="background2" w:themeFillShade="E6"/>
            <w:vAlign w:val="center"/>
          </w:tcPr>
          <w:p w14:paraId="13148F1A"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16C29AD6" w14:textId="77777777" w:rsidR="008C68C2" w:rsidRDefault="008C68C2" w:rsidP="004306AE">
            <w:pPr>
              <w:jc w:val="left"/>
              <w:rPr>
                <w:sz w:val="20"/>
                <w:szCs w:val="20"/>
              </w:rPr>
            </w:pPr>
          </w:p>
        </w:tc>
        <w:tc>
          <w:tcPr>
            <w:tcW w:w="748" w:type="dxa"/>
            <w:vMerge/>
            <w:vAlign w:val="center"/>
          </w:tcPr>
          <w:p w14:paraId="42BAB4AC" w14:textId="77777777" w:rsidR="008C68C2" w:rsidRDefault="008C68C2" w:rsidP="004306AE">
            <w:pPr>
              <w:jc w:val="center"/>
              <w:rPr>
                <w:sz w:val="20"/>
                <w:szCs w:val="20"/>
              </w:rPr>
            </w:pPr>
          </w:p>
        </w:tc>
        <w:tc>
          <w:tcPr>
            <w:tcW w:w="1628" w:type="dxa"/>
            <w:vMerge/>
            <w:shd w:val="clear" w:color="auto" w:fill="F2F9EB"/>
            <w:vAlign w:val="center"/>
          </w:tcPr>
          <w:p w14:paraId="0FB1F56A" w14:textId="77777777" w:rsidR="008C68C2" w:rsidRPr="002F4BB9" w:rsidRDefault="008C68C2" w:rsidP="004306AE">
            <w:pPr>
              <w:jc w:val="left"/>
              <w:rPr>
                <w:sz w:val="20"/>
                <w:szCs w:val="20"/>
              </w:rPr>
            </w:pPr>
          </w:p>
        </w:tc>
        <w:tc>
          <w:tcPr>
            <w:tcW w:w="4252" w:type="dxa"/>
            <w:shd w:val="clear" w:color="auto" w:fill="F2F9EB"/>
            <w:vAlign w:val="center"/>
          </w:tcPr>
          <w:p w14:paraId="3920AF90" w14:textId="77777777" w:rsidR="008C68C2" w:rsidRPr="0000352D" w:rsidRDefault="008C68C2" w:rsidP="004306AE">
            <w:pPr>
              <w:jc w:val="left"/>
              <w:rPr>
                <w:sz w:val="20"/>
                <w:szCs w:val="20"/>
              </w:rPr>
            </w:pPr>
            <w:r>
              <w:rPr>
                <w:sz w:val="20"/>
                <w:szCs w:val="20"/>
              </w:rPr>
              <w:t>(F) Paramètre non-limitant (score maximal dès niveau minimum)</w:t>
            </w:r>
          </w:p>
        </w:tc>
      </w:tr>
      <w:tr w:rsidR="008C68C2" w14:paraId="1E49E2DC" w14:textId="77777777" w:rsidTr="00627BB2">
        <w:tblPrEx>
          <w:tblCellMar>
            <w:top w:w="0" w:type="dxa"/>
            <w:bottom w:w="0" w:type="dxa"/>
          </w:tblCellMar>
        </w:tblPrEx>
        <w:tc>
          <w:tcPr>
            <w:tcW w:w="1200" w:type="dxa"/>
            <w:vMerge/>
            <w:shd w:val="clear" w:color="auto" w:fill="D1D1D1" w:themeFill="background2" w:themeFillShade="E6"/>
            <w:vAlign w:val="center"/>
          </w:tcPr>
          <w:p w14:paraId="1C1ED0E0"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653FD107" w14:textId="77777777" w:rsidR="008C68C2" w:rsidRDefault="008C68C2" w:rsidP="004306AE">
            <w:pPr>
              <w:jc w:val="left"/>
              <w:rPr>
                <w:sz w:val="20"/>
                <w:szCs w:val="20"/>
              </w:rPr>
            </w:pPr>
          </w:p>
        </w:tc>
        <w:tc>
          <w:tcPr>
            <w:tcW w:w="748" w:type="dxa"/>
            <w:vMerge/>
            <w:vAlign w:val="center"/>
          </w:tcPr>
          <w:p w14:paraId="5C42E776" w14:textId="77777777" w:rsidR="008C68C2" w:rsidRDefault="008C68C2" w:rsidP="004306AE">
            <w:pPr>
              <w:jc w:val="center"/>
              <w:rPr>
                <w:sz w:val="20"/>
                <w:szCs w:val="20"/>
              </w:rPr>
            </w:pPr>
          </w:p>
        </w:tc>
        <w:tc>
          <w:tcPr>
            <w:tcW w:w="1628" w:type="dxa"/>
            <w:shd w:val="clear" w:color="auto" w:fill="EFF5FB"/>
            <w:vAlign w:val="center"/>
          </w:tcPr>
          <w:p w14:paraId="0DB6859E" w14:textId="77777777" w:rsidR="008C68C2" w:rsidRDefault="008C68C2" w:rsidP="004306AE">
            <w:pPr>
              <w:jc w:val="left"/>
              <w:rPr>
                <w:sz w:val="20"/>
                <w:szCs w:val="20"/>
              </w:rPr>
            </w:pPr>
            <w:r>
              <w:rPr>
                <w:sz w:val="20"/>
                <w:szCs w:val="20"/>
              </w:rPr>
              <w:t xml:space="preserve">K, Mg, </w:t>
            </w:r>
            <w:proofErr w:type="spellStart"/>
            <w:r>
              <w:rPr>
                <w:sz w:val="20"/>
                <w:szCs w:val="20"/>
              </w:rPr>
              <w:t>Ca</w:t>
            </w:r>
            <w:r>
              <w:rPr>
                <w:sz w:val="20"/>
                <w:szCs w:val="20"/>
                <w:vertAlign w:val="subscript"/>
              </w:rPr>
              <w:t>santé</w:t>
            </w:r>
            <w:proofErr w:type="spellEnd"/>
          </w:p>
        </w:tc>
        <w:tc>
          <w:tcPr>
            <w:tcW w:w="4252" w:type="dxa"/>
            <w:shd w:val="clear" w:color="auto" w:fill="EFF5FB"/>
            <w:vAlign w:val="center"/>
          </w:tcPr>
          <w:p w14:paraId="2E30B985" w14:textId="77777777" w:rsidR="008C68C2" w:rsidRDefault="008C68C2" w:rsidP="004306AE">
            <w:pPr>
              <w:jc w:val="left"/>
              <w:rPr>
                <w:sz w:val="20"/>
                <w:szCs w:val="20"/>
              </w:rPr>
            </w:pPr>
            <w:r>
              <w:rPr>
                <w:sz w:val="20"/>
                <w:szCs w:val="20"/>
              </w:rPr>
              <w:t xml:space="preserve">Gammes optimales selon la valeur de la CEC </w:t>
            </w:r>
            <w:r>
              <w:rPr>
                <w:sz w:val="20"/>
                <w:szCs w:val="20"/>
              </w:rPr>
              <w:fldChar w:fldCharType="begin"/>
            </w:r>
            <w:r>
              <w:rPr>
                <w:sz w:val="20"/>
                <w:szCs w:val="20"/>
              </w:rPr>
              <w:instrText xml:space="preserve"> ADDIN ZOTERO_ITEM CSL_CITATION {"citationID":"QKUHaaBZ","properties":{"unsorted":false,"formattedCitation":"(Dombret, 2022)","plainCitation":"(Dombret, 2022)","noteIndex":0},"citationItems":[{"id":121,"uris":["http://zotero.org/groups/5684833/items/I22FDLA8"],"itemData":{"id":121,"type":"article-magazine","container-title":"Biowallonie","issue":"63","title":"Interpréter l'analyse de terre pour la culture maraîchère : comprendre les résultats (3/3)","URL":"https://www.biowallonie.com/wp-content/uploads/2022/04/Brochure_A4_ITBIO63_web.pdf","volume":"Itinéraires BIO","author":[{"family":"Dombret","given":"Laurence"}],"issued":{"date-parts":[["2022"]]}}}],"schema":"https://github.com/citation-style-language/schema/raw/master/csl-citation.json"} </w:instrText>
            </w:r>
            <w:r>
              <w:rPr>
                <w:sz w:val="20"/>
                <w:szCs w:val="20"/>
              </w:rPr>
              <w:fldChar w:fldCharType="separate"/>
            </w:r>
            <w:r w:rsidRPr="00450383">
              <w:rPr>
                <w:rFonts w:cs="Calibri"/>
                <w:sz w:val="20"/>
              </w:rPr>
              <w:t>(Dombret, 2022)</w:t>
            </w:r>
            <w:r>
              <w:rPr>
                <w:sz w:val="20"/>
                <w:szCs w:val="20"/>
              </w:rPr>
              <w:fldChar w:fldCharType="end"/>
            </w:r>
            <w:r>
              <w:rPr>
                <w:sz w:val="20"/>
                <w:szCs w:val="20"/>
              </w:rPr>
              <w:t xml:space="preserve"> </w:t>
            </w:r>
          </w:p>
        </w:tc>
      </w:tr>
      <w:tr w:rsidR="008C68C2" w14:paraId="6311CAF0" w14:textId="77777777" w:rsidTr="00627BB2">
        <w:tblPrEx>
          <w:tblCellMar>
            <w:top w:w="0" w:type="dxa"/>
            <w:bottom w:w="0" w:type="dxa"/>
          </w:tblCellMar>
        </w:tblPrEx>
        <w:tc>
          <w:tcPr>
            <w:tcW w:w="1200" w:type="dxa"/>
            <w:vMerge/>
            <w:shd w:val="clear" w:color="auto" w:fill="D1D1D1" w:themeFill="background2" w:themeFillShade="E6"/>
            <w:vAlign w:val="center"/>
          </w:tcPr>
          <w:p w14:paraId="1390C699"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341FA9A9" w14:textId="77777777" w:rsidR="008C68C2" w:rsidRDefault="008C68C2" w:rsidP="004306AE">
            <w:pPr>
              <w:jc w:val="left"/>
              <w:rPr>
                <w:sz w:val="20"/>
                <w:szCs w:val="20"/>
              </w:rPr>
            </w:pPr>
          </w:p>
        </w:tc>
        <w:tc>
          <w:tcPr>
            <w:tcW w:w="748" w:type="dxa"/>
            <w:vMerge w:val="restart"/>
            <w:vAlign w:val="center"/>
          </w:tcPr>
          <w:p w14:paraId="3DBC7636" w14:textId="77777777" w:rsidR="008C68C2" w:rsidRDefault="008C68C2" w:rsidP="004306AE">
            <w:pPr>
              <w:jc w:val="center"/>
              <w:rPr>
                <w:sz w:val="20"/>
                <w:szCs w:val="20"/>
              </w:rPr>
            </w:pPr>
            <w:r>
              <w:rPr>
                <w:noProof/>
                <w:sz w:val="20"/>
                <w:szCs w:val="20"/>
              </w:rPr>
              <mc:AlternateContent>
                <mc:Choice Requires="wps">
                  <w:drawing>
                    <wp:inline distT="0" distB="0" distL="0" distR="0" wp14:anchorId="40FF0E1A" wp14:editId="13CCD55D">
                      <wp:extent cx="94615" cy="153035"/>
                      <wp:effectExtent l="0" t="38100" r="57785" b="18415"/>
                      <wp:docPr id="1939995230"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0D948FF5"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020FC9D7" w14:textId="77777777" w:rsidR="008C68C2" w:rsidRDefault="008C68C2" w:rsidP="004306AE">
            <w:pPr>
              <w:jc w:val="left"/>
              <w:rPr>
                <w:sz w:val="20"/>
                <w:szCs w:val="20"/>
              </w:rPr>
            </w:pPr>
            <w:proofErr w:type="spellStart"/>
            <w:r>
              <w:rPr>
                <w:sz w:val="20"/>
                <w:szCs w:val="20"/>
              </w:rPr>
              <w:t>C</w:t>
            </w:r>
            <w:r>
              <w:rPr>
                <w:sz w:val="20"/>
                <w:szCs w:val="20"/>
                <w:vertAlign w:val="subscript"/>
              </w:rPr>
              <w:t>org</w:t>
            </w:r>
            <w:proofErr w:type="spellEnd"/>
            <w:r>
              <w:rPr>
                <w:sz w:val="20"/>
                <w:szCs w:val="20"/>
                <w:vertAlign w:val="subscript"/>
              </w:rPr>
              <w:t xml:space="preserve"> qualité</w:t>
            </w:r>
          </w:p>
        </w:tc>
        <w:tc>
          <w:tcPr>
            <w:tcW w:w="4252" w:type="dxa"/>
            <w:shd w:val="clear" w:color="auto" w:fill="F2F9EB"/>
            <w:vAlign w:val="center"/>
          </w:tcPr>
          <w:p w14:paraId="32BEF6E0" w14:textId="5D8D1216" w:rsidR="008C68C2" w:rsidRPr="0000352D" w:rsidRDefault="003C3622" w:rsidP="004306AE">
            <w:pPr>
              <w:jc w:val="left"/>
              <w:rPr>
                <w:sz w:val="20"/>
                <w:szCs w:val="20"/>
              </w:rPr>
            </w:pPr>
            <w:r>
              <w:rPr>
                <w:sz w:val="20"/>
                <w:szCs w:val="20"/>
              </w:rPr>
              <w:t xml:space="preserve">Valeur cible </w:t>
            </w:r>
            <w:r>
              <w:rPr>
                <w:sz w:val="20"/>
                <w:szCs w:val="20"/>
              </w:rPr>
              <w:fldChar w:fldCharType="begin"/>
            </w:r>
            <w:r w:rsidR="00432908">
              <w:rPr>
                <w:sz w:val="20"/>
                <w:szCs w:val="20"/>
              </w:rPr>
              <w:instrText xml:space="preserve"> ADDIN ZOTERO_ITEM CSL_CITATION {"citationID":"Tb7qp1YH","properties":{"unsorted":false,"formattedCitation":"(Baritz et al., 2023)","plainCitation":"(Baritz et al., 2023)","noteIndex":0},"citationItems":[{"id":82,"uris":["http://zotero.org/groups/5684833/items/2R2SZSKQ"],"itemData":{"id":82,"type":"report","abstract":"This report describes the rationale for a series of common and broadly accepted soil health indicators to support policy. The focus is on soil threats, and indicators were selected in view of their appropriateness for assessing the condition of soil, its degradation, its resilience and its valuable services. For each indicator, a rationale is provided for using thresholds as critical limits to indicate that soil is in good condition, i.e. healthy soil, in respect of of specific soil functions and local conditions.","call-number":"TH-AL-22-018-EN-N","ISBN":"978-92-9480-538-6","language":"eng","number":"08/2022","publisher":"European Environment Agency","source":"Publications Office of the European Union","title":"Soil monitoring in Europe: indicators and thresholds for soil quality assessments","title-short":"Soil monitoring in Europe","URL":"https://data.europa.eu/doi/10.2800/956606","author":[{"family":"Baritz","given":"Rainer"},{"family":"Amelung","given":"Wulf"},{"family":"Trombetti","given":"Marco"},{"family":"Hijbeek","given":"Renske"},{"family":"Romkens","given":"Paul"},{"family":"Vries","given":"Wim","non-dropping-particle":"de"}],"accessed":{"date-parts":[["2024",9,27]]},"issued":{"date-parts":[["2023"]]}}}],"schema":"https://github.com/citation-style-language/schema/raw/master/csl-citation.json"} </w:instrText>
            </w:r>
            <w:r>
              <w:rPr>
                <w:sz w:val="20"/>
                <w:szCs w:val="20"/>
              </w:rPr>
              <w:fldChar w:fldCharType="separate"/>
            </w:r>
            <w:r w:rsidRPr="003E3E9D">
              <w:rPr>
                <w:rFonts w:cs="Calibri"/>
                <w:sz w:val="20"/>
              </w:rPr>
              <w:t>(Baritz et al., 2023)</w:t>
            </w:r>
            <w:r>
              <w:rPr>
                <w:sz w:val="20"/>
                <w:szCs w:val="20"/>
              </w:rPr>
              <w:fldChar w:fldCharType="end"/>
            </w:r>
          </w:p>
        </w:tc>
      </w:tr>
      <w:tr w:rsidR="008C68C2" w14:paraId="0B1EDE73" w14:textId="77777777" w:rsidTr="00627BB2">
        <w:tblPrEx>
          <w:tblCellMar>
            <w:top w:w="0" w:type="dxa"/>
            <w:bottom w:w="0" w:type="dxa"/>
          </w:tblCellMar>
        </w:tblPrEx>
        <w:tc>
          <w:tcPr>
            <w:tcW w:w="1200" w:type="dxa"/>
            <w:vMerge/>
            <w:shd w:val="clear" w:color="auto" w:fill="D1D1D1" w:themeFill="background2" w:themeFillShade="E6"/>
            <w:vAlign w:val="center"/>
          </w:tcPr>
          <w:p w14:paraId="3CA348AE"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5F281FD7" w14:textId="77777777" w:rsidR="008C68C2" w:rsidRDefault="008C68C2" w:rsidP="004306AE">
            <w:pPr>
              <w:jc w:val="left"/>
              <w:rPr>
                <w:sz w:val="20"/>
                <w:szCs w:val="20"/>
              </w:rPr>
            </w:pPr>
          </w:p>
        </w:tc>
        <w:tc>
          <w:tcPr>
            <w:tcW w:w="748" w:type="dxa"/>
            <w:vMerge/>
            <w:vAlign w:val="center"/>
          </w:tcPr>
          <w:p w14:paraId="215A52C6" w14:textId="77777777" w:rsidR="008C68C2" w:rsidRDefault="008C68C2" w:rsidP="004306AE">
            <w:pPr>
              <w:jc w:val="center"/>
              <w:rPr>
                <w:sz w:val="20"/>
                <w:szCs w:val="20"/>
              </w:rPr>
            </w:pPr>
          </w:p>
        </w:tc>
        <w:tc>
          <w:tcPr>
            <w:tcW w:w="1628" w:type="dxa"/>
            <w:shd w:val="clear" w:color="auto" w:fill="EFF5FB"/>
            <w:vAlign w:val="center"/>
          </w:tcPr>
          <w:p w14:paraId="21263D57" w14:textId="77777777" w:rsidR="008C68C2" w:rsidRDefault="008C68C2" w:rsidP="004306AE">
            <w:pPr>
              <w:jc w:val="left"/>
              <w:rPr>
                <w:sz w:val="20"/>
                <w:szCs w:val="20"/>
              </w:rPr>
            </w:pPr>
            <w:proofErr w:type="spellStart"/>
            <w:r>
              <w:rPr>
                <w:sz w:val="20"/>
                <w:szCs w:val="20"/>
              </w:rPr>
              <w:t>C</w:t>
            </w:r>
            <w:r>
              <w:rPr>
                <w:sz w:val="20"/>
                <w:szCs w:val="20"/>
                <w:vertAlign w:val="subscript"/>
              </w:rPr>
              <w:t>org</w:t>
            </w:r>
            <w:proofErr w:type="spellEnd"/>
            <w:r>
              <w:rPr>
                <w:sz w:val="20"/>
                <w:szCs w:val="20"/>
                <w:vertAlign w:val="subscript"/>
              </w:rPr>
              <w:t xml:space="preserve"> santé</w:t>
            </w:r>
          </w:p>
        </w:tc>
        <w:tc>
          <w:tcPr>
            <w:tcW w:w="4252" w:type="dxa"/>
            <w:shd w:val="clear" w:color="auto" w:fill="EFF5FB"/>
            <w:vAlign w:val="center"/>
          </w:tcPr>
          <w:p w14:paraId="530BEA0D" w14:textId="0FBFF8AA" w:rsidR="008C68C2" w:rsidRPr="0000352D" w:rsidRDefault="008C68C2" w:rsidP="004306AE">
            <w:pPr>
              <w:jc w:val="left"/>
              <w:rPr>
                <w:sz w:val="20"/>
                <w:szCs w:val="20"/>
              </w:rPr>
            </w:pPr>
            <w:r>
              <w:rPr>
                <w:sz w:val="20"/>
                <w:szCs w:val="20"/>
              </w:rPr>
              <w:t xml:space="preserve">Valeurs considérées « satisfaisante » par classe texturale </w:t>
            </w:r>
            <w:r>
              <w:rPr>
                <w:sz w:val="20"/>
                <w:szCs w:val="20"/>
              </w:rPr>
              <w:fldChar w:fldCharType="begin"/>
            </w:r>
            <w:r w:rsidR="009B3EB5">
              <w:rPr>
                <w:sz w:val="20"/>
                <w:szCs w:val="20"/>
              </w:rPr>
              <w:instrText xml:space="preserve"> ADDIN ZOTERO_ITEM CSL_CITATION {"citationID":"nnrynXmx","properties":{"unsorted":false,"formattedCitation":"(Mariage, 2019)","plainCitation":"(Mariage, 2019)","noteIndex":0},"citationItems":[{"id":118,"uris":["http://zotero.org/groups/5684833/items/WR8HRSK5"],"itemData":{"id":118,"type":"document","publisher":"REQUASUD","title":"Les matières organiques et la fertilité du sol","URL":"https://www.requasud.be/assets/pdf/publications/presentations/fiche_explicative_carbone_v01.pdf","author":[{"family":"Mariage","given":"Clémence"}],"issued":{"date-parts":[["2019"]]}}}],"schema":"https://github.com/citation-style-language/schema/raw/master/csl-citation.json"} </w:instrText>
            </w:r>
            <w:r>
              <w:rPr>
                <w:sz w:val="20"/>
                <w:szCs w:val="20"/>
              </w:rPr>
              <w:fldChar w:fldCharType="separate"/>
            </w:r>
            <w:r w:rsidR="009B3EB5" w:rsidRPr="009B3EB5">
              <w:rPr>
                <w:rFonts w:cs="Calibri"/>
                <w:sz w:val="20"/>
              </w:rPr>
              <w:t>(Mariage, 2019)</w:t>
            </w:r>
            <w:r>
              <w:rPr>
                <w:sz w:val="20"/>
                <w:szCs w:val="20"/>
              </w:rPr>
              <w:fldChar w:fldCharType="end"/>
            </w:r>
          </w:p>
        </w:tc>
      </w:tr>
      <w:tr w:rsidR="008C68C2" w14:paraId="47A9550E" w14:textId="77777777" w:rsidTr="00627BB2">
        <w:tblPrEx>
          <w:tblCellMar>
            <w:top w:w="0" w:type="dxa"/>
            <w:bottom w:w="0" w:type="dxa"/>
          </w:tblCellMar>
        </w:tblPrEx>
        <w:tc>
          <w:tcPr>
            <w:tcW w:w="1200" w:type="dxa"/>
            <w:vMerge/>
            <w:shd w:val="clear" w:color="auto" w:fill="D1D1D1" w:themeFill="background2" w:themeFillShade="E6"/>
            <w:vAlign w:val="center"/>
          </w:tcPr>
          <w:p w14:paraId="3A48A091"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0F44BCC3" w14:textId="77777777" w:rsidR="008C68C2" w:rsidRDefault="008C68C2" w:rsidP="004306AE">
            <w:pPr>
              <w:jc w:val="left"/>
              <w:rPr>
                <w:sz w:val="20"/>
                <w:szCs w:val="20"/>
              </w:rPr>
            </w:pPr>
          </w:p>
        </w:tc>
        <w:tc>
          <w:tcPr>
            <w:tcW w:w="748" w:type="dxa"/>
            <w:vMerge w:val="restart"/>
            <w:vAlign w:val="center"/>
          </w:tcPr>
          <w:p w14:paraId="5B0A2F66" w14:textId="77777777" w:rsidR="008C68C2" w:rsidRDefault="008C68C2" w:rsidP="004306AE">
            <w:pPr>
              <w:jc w:val="center"/>
              <w:rPr>
                <w:sz w:val="20"/>
                <w:szCs w:val="20"/>
              </w:rPr>
            </w:pPr>
            <w:r>
              <w:rPr>
                <w:noProof/>
                <w:sz w:val="20"/>
                <w:szCs w:val="20"/>
              </w:rPr>
              <mc:AlternateContent>
                <mc:Choice Requires="wps">
                  <w:drawing>
                    <wp:inline distT="0" distB="0" distL="0" distR="0" wp14:anchorId="34220310" wp14:editId="17DC5215">
                      <wp:extent cx="94615" cy="153035"/>
                      <wp:effectExtent l="0" t="38100" r="57785" b="18415"/>
                      <wp:docPr id="773319676"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02A46318"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30C93C7D" w14:textId="77777777" w:rsidR="008C68C2" w:rsidRDefault="008C68C2" w:rsidP="004306AE">
            <w:pPr>
              <w:jc w:val="left"/>
              <w:rPr>
                <w:sz w:val="20"/>
                <w:szCs w:val="20"/>
              </w:rPr>
            </w:pPr>
            <w:proofErr w:type="spellStart"/>
            <w:r>
              <w:rPr>
                <w:sz w:val="20"/>
                <w:szCs w:val="20"/>
              </w:rPr>
              <w:t>CEC</w:t>
            </w:r>
            <w:r>
              <w:rPr>
                <w:sz w:val="20"/>
                <w:szCs w:val="20"/>
                <w:vertAlign w:val="subscript"/>
              </w:rPr>
              <w:t>qualité</w:t>
            </w:r>
            <w:proofErr w:type="spellEnd"/>
          </w:p>
        </w:tc>
        <w:tc>
          <w:tcPr>
            <w:tcW w:w="4252" w:type="dxa"/>
            <w:shd w:val="clear" w:color="auto" w:fill="F2F9EB"/>
            <w:vAlign w:val="center"/>
          </w:tcPr>
          <w:p w14:paraId="3322587C" w14:textId="77777777" w:rsidR="008C68C2" w:rsidRPr="0000352D" w:rsidRDefault="008C68C2" w:rsidP="004306AE">
            <w:pPr>
              <w:jc w:val="left"/>
              <w:rPr>
                <w:sz w:val="20"/>
                <w:szCs w:val="20"/>
              </w:rPr>
            </w:pPr>
            <w:r>
              <w:rPr>
                <w:sz w:val="20"/>
                <w:szCs w:val="20"/>
              </w:rPr>
              <w:t xml:space="preserve">Interprétation absolue des gammes de CEC </w:t>
            </w:r>
            <w:r>
              <w:rPr>
                <w:sz w:val="20"/>
                <w:szCs w:val="20"/>
              </w:rPr>
              <w:fldChar w:fldCharType="begin"/>
            </w:r>
            <w:r>
              <w:rPr>
                <w:sz w:val="20"/>
                <w:szCs w:val="20"/>
              </w:rPr>
              <w:instrText xml:space="preserve"> ADDIN ZOTERO_ITEM CSL_CITATION {"citationID":"JfMnj7VQ","properties":{"unsorted":false,"formattedCitation":"(Cugnon,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Pr>
                <w:sz w:val="20"/>
                <w:szCs w:val="20"/>
              </w:rPr>
              <w:fldChar w:fldCharType="separate"/>
            </w:r>
            <w:r w:rsidRPr="004A61B1">
              <w:rPr>
                <w:rFonts w:cs="Calibri"/>
                <w:sz w:val="20"/>
              </w:rPr>
              <w:t>(Cugnon, 2025)</w:t>
            </w:r>
            <w:r>
              <w:rPr>
                <w:sz w:val="20"/>
                <w:szCs w:val="20"/>
              </w:rPr>
              <w:fldChar w:fldCharType="end"/>
            </w:r>
            <w:r>
              <w:rPr>
                <w:sz w:val="20"/>
                <w:szCs w:val="20"/>
              </w:rPr>
              <w:t xml:space="preserve"> </w:t>
            </w:r>
          </w:p>
        </w:tc>
      </w:tr>
      <w:tr w:rsidR="008C68C2" w14:paraId="399DBF86" w14:textId="77777777" w:rsidTr="00627BB2">
        <w:tblPrEx>
          <w:tblCellMar>
            <w:top w:w="0" w:type="dxa"/>
            <w:bottom w:w="0" w:type="dxa"/>
          </w:tblCellMar>
        </w:tblPrEx>
        <w:tc>
          <w:tcPr>
            <w:tcW w:w="1200" w:type="dxa"/>
            <w:vMerge/>
            <w:shd w:val="clear" w:color="auto" w:fill="D1D1D1" w:themeFill="background2" w:themeFillShade="E6"/>
            <w:vAlign w:val="center"/>
          </w:tcPr>
          <w:p w14:paraId="4630C2EB"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57B27A20" w14:textId="77777777" w:rsidR="008C68C2" w:rsidRDefault="008C68C2" w:rsidP="004306AE">
            <w:pPr>
              <w:jc w:val="left"/>
              <w:rPr>
                <w:sz w:val="20"/>
                <w:szCs w:val="20"/>
              </w:rPr>
            </w:pPr>
          </w:p>
        </w:tc>
        <w:tc>
          <w:tcPr>
            <w:tcW w:w="748" w:type="dxa"/>
            <w:vMerge/>
            <w:vAlign w:val="center"/>
          </w:tcPr>
          <w:p w14:paraId="750405C6" w14:textId="77777777" w:rsidR="008C68C2" w:rsidRDefault="008C68C2" w:rsidP="004306AE">
            <w:pPr>
              <w:jc w:val="center"/>
              <w:rPr>
                <w:sz w:val="20"/>
                <w:szCs w:val="20"/>
              </w:rPr>
            </w:pPr>
          </w:p>
        </w:tc>
        <w:tc>
          <w:tcPr>
            <w:tcW w:w="1628" w:type="dxa"/>
            <w:shd w:val="clear" w:color="auto" w:fill="EFF5FB"/>
            <w:vAlign w:val="center"/>
          </w:tcPr>
          <w:p w14:paraId="365E6934" w14:textId="77777777" w:rsidR="008C68C2" w:rsidRDefault="008C68C2" w:rsidP="004306AE">
            <w:pPr>
              <w:jc w:val="left"/>
              <w:rPr>
                <w:sz w:val="20"/>
                <w:szCs w:val="20"/>
              </w:rPr>
            </w:pPr>
            <w:proofErr w:type="spellStart"/>
            <w:r>
              <w:rPr>
                <w:sz w:val="20"/>
                <w:szCs w:val="20"/>
              </w:rPr>
              <w:t>CEC</w:t>
            </w:r>
            <w:r>
              <w:rPr>
                <w:sz w:val="20"/>
                <w:szCs w:val="20"/>
                <w:vertAlign w:val="subscript"/>
              </w:rPr>
              <w:t>santé</w:t>
            </w:r>
            <w:proofErr w:type="spellEnd"/>
          </w:p>
        </w:tc>
        <w:tc>
          <w:tcPr>
            <w:tcW w:w="4252" w:type="dxa"/>
            <w:shd w:val="clear" w:color="auto" w:fill="EFF5FB"/>
            <w:vAlign w:val="center"/>
          </w:tcPr>
          <w:p w14:paraId="5EF6B57F" w14:textId="77777777" w:rsidR="008C68C2" w:rsidRPr="0000352D" w:rsidRDefault="008C68C2" w:rsidP="004306AE">
            <w:pPr>
              <w:jc w:val="left"/>
              <w:rPr>
                <w:sz w:val="20"/>
                <w:szCs w:val="20"/>
              </w:rPr>
            </w:pPr>
            <w:r>
              <w:rPr>
                <w:sz w:val="20"/>
                <w:szCs w:val="20"/>
              </w:rPr>
              <w:t xml:space="preserve">Gammes de CEC par classe texturale </w:t>
            </w:r>
            <w:r>
              <w:rPr>
                <w:sz w:val="20"/>
                <w:szCs w:val="20"/>
              </w:rPr>
              <w:fldChar w:fldCharType="begin"/>
            </w:r>
            <w:r>
              <w:rPr>
                <w:sz w:val="20"/>
                <w:szCs w:val="20"/>
              </w:rPr>
              <w:instrText xml:space="preserve"> ADDIN ZOTERO_ITEM CSL_CITATION {"citationID":"GXFncJxt","properties":{"unsorted":false,"formattedCitation":"(Cugnon,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Pr>
                <w:sz w:val="20"/>
                <w:szCs w:val="20"/>
              </w:rPr>
              <w:fldChar w:fldCharType="separate"/>
            </w:r>
            <w:r w:rsidRPr="004515A0">
              <w:rPr>
                <w:rFonts w:cs="Calibri"/>
                <w:sz w:val="20"/>
              </w:rPr>
              <w:t>(Cugnon, 2025)</w:t>
            </w:r>
            <w:r>
              <w:rPr>
                <w:sz w:val="20"/>
                <w:szCs w:val="20"/>
              </w:rPr>
              <w:fldChar w:fldCharType="end"/>
            </w:r>
          </w:p>
        </w:tc>
      </w:tr>
      <w:tr w:rsidR="008C68C2" w14:paraId="78FFADE9" w14:textId="77777777" w:rsidTr="00627BB2">
        <w:tblPrEx>
          <w:tblCellMar>
            <w:top w:w="0" w:type="dxa"/>
            <w:bottom w:w="0" w:type="dxa"/>
          </w:tblCellMar>
        </w:tblPrEx>
        <w:tc>
          <w:tcPr>
            <w:tcW w:w="1200" w:type="dxa"/>
            <w:vMerge/>
            <w:shd w:val="clear" w:color="auto" w:fill="D1D1D1" w:themeFill="background2" w:themeFillShade="E6"/>
            <w:vAlign w:val="center"/>
          </w:tcPr>
          <w:p w14:paraId="73C95137"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0D3DAD82" w14:textId="77777777" w:rsidR="008C68C2" w:rsidRDefault="008C68C2" w:rsidP="004306AE">
            <w:pPr>
              <w:jc w:val="left"/>
              <w:rPr>
                <w:sz w:val="20"/>
                <w:szCs w:val="20"/>
              </w:rPr>
            </w:pPr>
          </w:p>
        </w:tc>
        <w:tc>
          <w:tcPr>
            <w:tcW w:w="748" w:type="dxa"/>
            <w:vMerge w:val="restart"/>
            <w:vAlign w:val="center"/>
          </w:tcPr>
          <w:p w14:paraId="123617E4" w14:textId="77777777" w:rsidR="008C68C2" w:rsidRDefault="008C68C2" w:rsidP="004306AE">
            <w:pPr>
              <w:jc w:val="center"/>
              <w:rPr>
                <w:sz w:val="20"/>
                <w:szCs w:val="20"/>
              </w:rPr>
            </w:pPr>
            <w:r>
              <w:rPr>
                <w:noProof/>
                <w:sz w:val="20"/>
                <w:szCs w:val="20"/>
              </w:rPr>
              <mc:AlternateContent>
                <mc:Choice Requires="wps">
                  <w:drawing>
                    <wp:inline distT="0" distB="0" distL="0" distR="0" wp14:anchorId="7A45BE3A" wp14:editId="609FA5AA">
                      <wp:extent cx="248400" cy="0"/>
                      <wp:effectExtent l="38100" t="76200" r="18415" b="95250"/>
                      <wp:docPr id="1397020966" name="Connecteur droit avec flèche 1"/>
                      <wp:cNvGraphicFramePr/>
                      <a:graphic xmlns:a="http://schemas.openxmlformats.org/drawingml/2006/main">
                        <a:graphicData uri="http://schemas.microsoft.com/office/word/2010/wordprocessingShape">
                          <wps:wsp>
                            <wps:cNvCnPr/>
                            <wps:spPr>
                              <a:xfrm flipV="1">
                                <a:off x="0" y="0"/>
                                <a:ext cx="248400" cy="0"/>
                              </a:xfrm>
                              <a:prstGeom prst="straightConnector1">
                                <a:avLst/>
                              </a:prstGeom>
                              <a:ln w="12700">
                                <a:solidFill>
                                  <a:schemeClr val="tx2"/>
                                </a:solidFill>
                                <a:headEnd type="triangl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245FF57E" id="Connecteur droit avec flèche 1" o:spid="_x0000_s1026" type="#_x0000_t32" style="width:19.55pt;height:0;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" strokecolor="#0e2841 [3215]" strokeweight="1pt">
                      <v:stroke startarrow="block" endarrow="block" joinstyle="miter"/>
                      <w10:anchorlock/>
                    </v:shape>
                  </w:pict>
                </mc:Fallback>
              </mc:AlternateContent>
            </w:r>
          </w:p>
        </w:tc>
        <w:tc>
          <w:tcPr>
            <w:tcW w:w="1628" w:type="dxa"/>
            <w:shd w:val="clear" w:color="auto" w:fill="F2F9EB"/>
            <w:vAlign w:val="center"/>
          </w:tcPr>
          <w:p w14:paraId="403F3A21" w14:textId="77777777" w:rsidR="008C68C2" w:rsidRPr="002F4BB9" w:rsidRDefault="008C68C2" w:rsidP="004306AE">
            <w:pPr>
              <w:jc w:val="left"/>
              <w:rPr>
                <w:sz w:val="20"/>
                <w:szCs w:val="20"/>
              </w:rPr>
            </w:pPr>
            <w:proofErr w:type="spellStart"/>
            <w:proofErr w:type="gramStart"/>
            <w:r>
              <w:rPr>
                <w:sz w:val="20"/>
                <w:szCs w:val="20"/>
              </w:rPr>
              <w:t>pH</w:t>
            </w:r>
            <w:r>
              <w:rPr>
                <w:sz w:val="20"/>
                <w:szCs w:val="20"/>
                <w:vertAlign w:val="subscript"/>
              </w:rPr>
              <w:t>qualité</w:t>
            </w:r>
            <w:proofErr w:type="spellEnd"/>
            <w:proofErr w:type="gramEnd"/>
            <w:r>
              <w:rPr>
                <w:sz w:val="20"/>
                <w:szCs w:val="20"/>
              </w:rPr>
              <w:t xml:space="preserve"> </w:t>
            </w:r>
          </w:p>
        </w:tc>
        <w:tc>
          <w:tcPr>
            <w:tcW w:w="4252" w:type="dxa"/>
            <w:vMerge w:val="restart"/>
            <w:vAlign w:val="center"/>
          </w:tcPr>
          <w:p w14:paraId="54A5D596" w14:textId="77777777" w:rsidR="008C68C2" w:rsidRPr="0000352D" w:rsidRDefault="008C68C2" w:rsidP="004306AE">
            <w:pPr>
              <w:jc w:val="left"/>
              <w:rPr>
                <w:sz w:val="20"/>
                <w:szCs w:val="20"/>
              </w:rPr>
            </w:pPr>
            <w:r>
              <w:rPr>
                <w:sz w:val="20"/>
                <w:szCs w:val="20"/>
              </w:rPr>
              <w:t>(C) Gammes optimales (</w:t>
            </w:r>
            <w:proofErr w:type="spellStart"/>
            <w:r>
              <w:t>pH</w:t>
            </w:r>
            <w:r>
              <w:rPr>
                <w:vertAlign w:val="subscript"/>
              </w:rPr>
              <w:t>KCl</w:t>
            </w:r>
            <w:proofErr w:type="spellEnd"/>
            <w:r>
              <w:t>)</w:t>
            </w:r>
            <w:r>
              <w:rPr>
                <w:sz w:val="20"/>
                <w:szCs w:val="20"/>
              </w:rPr>
              <w:t xml:space="preserve"> REQUASUD pour les cultures </w:t>
            </w:r>
            <w:r>
              <w:rPr>
                <w:sz w:val="20"/>
                <w:szCs w:val="20"/>
              </w:rPr>
              <w:fldChar w:fldCharType="begin"/>
            </w:r>
            <w:r>
              <w:rPr>
                <w:sz w:val="20"/>
                <w:szCs w:val="20"/>
              </w:rPr>
              <w:instrText xml:space="preserve"> ADDIN ZOTERO_ITEM CSL_CITATION {"citationID":"oxyzwn3y","properties":{"unsorted":false,"formattedCitation":"(Cugnon,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Pr>
                <w:sz w:val="20"/>
                <w:szCs w:val="20"/>
              </w:rPr>
              <w:fldChar w:fldCharType="separate"/>
            </w:r>
            <w:r w:rsidRPr="00400639">
              <w:rPr>
                <w:rFonts w:cs="Calibri"/>
                <w:sz w:val="20"/>
              </w:rPr>
              <w:t>(Cugnon, 2025)</w:t>
            </w:r>
            <w:r>
              <w:rPr>
                <w:sz w:val="20"/>
                <w:szCs w:val="20"/>
              </w:rPr>
              <w:fldChar w:fldCharType="end"/>
            </w:r>
          </w:p>
        </w:tc>
      </w:tr>
      <w:tr w:rsidR="008C68C2" w14:paraId="7B71298D" w14:textId="77777777" w:rsidTr="00627BB2">
        <w:tblPrEx>
          <w:tblCellMar>
            <w:top w:w="0" w:type="dxa"/>
            <w:bottom w:w="0" w:type="dxa"/>
          </w:tblCellMar>
        </w:tblPrEx>
        <w:tc>
          <w:tcPr>
            <w:tcW w:w="1200" w:type="dxa"/>
            <w:vMerge/>
            <w:shd w:val="clear" w:color="auto" w:fill="D1D1D1" w:themeFill="background2" w:themeFillShade="E6"/>
            <w:vAlign w:val="center"/>
          </w:tcPr>
          <w:p w14:paraId="03BFBC5C"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6DA9BA82" w14:textId="77777777" w:rsidR="008C68C2" w:rsidRDefault="008C68C2" w:rsidP="004306AE">
            <w:pPr>
              <w:jc w:val="left"/>
              <w:rPr>
                <w:sz w:val="20"/>
                <w:szCs w:val="20"/>
              </w:rPr>
            </w:pPr>
          </w:p>
        </w:tc>
        <w:tc>
          <w:tcPr>
            <w:tcW w:w="748" w:type="dxa"/>
            <w:vMerge/>
            <w:vAlign w:val="center"/>
          </w:tcPr>
          <w:p w14:paraId="23650A0F" w14:textId="77777777" w:rsidR="008C68C2" w:rsidRDefault="008C68C2" w:rsidP="004306AE">
            <w:pPr>
              <w:jc w:val="center"/>
              <w:rPr>
                <w:sz w:val="20"/>
                <w:szCs w:val="20"/>
              </w:rPr>
            </w:pPr>
          </w:p>
        </w:tc>
        <w:tc>
          <w:tcPr>
            <w:tcW w:w="1628" w:type="dxa"/>
            <w:shd w:val="clear" w:color="auto" w:fill="EFF5FB"/>
            <w:vAlign w:val="center"/>
          </w:tcPr>
          <w:p w14:paraId="763FAC99" w14:textId="77777777" w:rsidR="008C68C2" w:rsidRDefault="008C68C2" w:rsidP="004306AE">
            <w:pPr>
              <w:jc w:val="left"/>
              <w:rPr>
                <w:sz w:val="20"/>
                <w:szCs w:val="20"/>
              </w:rPr>
            </w:pPr>
            <w:proofErr w:type="spellStart"/>
            <w:proofErr w:type="gramStart"/>
            <w:r>
              <w:rPr>
                <w:sz w:val="20"/>
                <w:szCs w:val="20"/>
              </w:rPr>
              <w:t>pH</w:t>
            </w:r>
            <w:r>
              <w:rPr>
                <w:sz w:val="20"/>
                <w:szCs w:val="20"/>
                <w:vertAlign w:val="subscript"/>
              </w:rPr>
              <w:t>santé</w:t>
            </w:r>
            <w:proofErr w:type="spellEnd"/>
            <w:proofErr w:type="gramEnd"/>
          </w:p>
        </w:tc>
        <w:tc>
          <w:tcPr>
            <w:tcW w:w="4252" w:type="dxa"/>
            <w:vMerge/>
            <w:vAlign w:val="center"/>
          </w:tcPr>
          <w:p w14:paraId="03CD70E8" w14:textId="77777777" w:rsidR="008C68C2" w:rsidRPr="0000352D" w:rsidRDefault="008C68C2" w:rsidP="004306AE">
            <w:pPr>
              <w:jc w:val="left"/>
              <w:rPr>
                <w:sz w:val="20"/>
                <w:szCs w:val="20"/>
              </w:rPr>
            </w:pPr>
          </w:p>
        </w:tc>
      </w:tr>
      <w:tr w:rsidR="008C68C2" w14:paraId="012B3CA4" w14:textId="77777777" w:rsidTr="00627BB2">
        <w:tblPrEx>
          <w:tblCellMar>
            <w:top w:w="0" w:type="dxa"/>
            <w:bottom w:w="0" w:type="dxa"/>
          </w:tblCellMar>
        </w:tblPrEx>
        <w:tc>
          <w:tcPr>
            <w:tcW w:w="1200" w:type="dxa"/>
            <w:vMerge/>
            <w:shd w:val="clear" w:color="auto" w:fill="D1D1D1" w:themeFill="background2" w:themeFillShade="E6"/>
            <w:vAlign w:val="center"/>
          </w:tcPr>
          <w:p w14:paraId="3F540C0C"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165EEBB9" w14:textId="77777777" w:rsidR="008C68C2" w:rsidRPr="0000352D" w:rsidRDefault="008C68C2" w:rsidP="004306AE">
            <w:pPr>
              <w:jc w:val="left"/>
              <w:rPr>
                <w:sz w:val="20"/>
                <w:szCs w:val="20"/>
              </w:rPr>
            </w:pPr>
          </w:p>
        </w:tc>
        <w:tc>
          <w:tcPr>
            <w:tcW w:w="748" w:type="dxa"/>
            <w:vMerge/>
            <w:vAlign w:val="center"/>
          </w:tcPr>
          <w:p w14:paraId="5285D6FF" w14:textId="77777777" w:rsidR="008C68C2" w:rsidRPr="0000352D" w:rsidRDefault="008C68C2" w:rsidP="004306AE">
            <w:pPr>
              <w:jc w:val="center"/>
              <w:rPr>
                <w:sz w:val="20"/>
                <w:szCs w:val="20"/>
              </w:rPr>
            </w:pPr>
          </w:p>
        </w:tc>
        <w:tc>
          <w:tcPr>
            <w:tcW w:w="1628" w:type="dxa"/>
            <w:shd w:val="clear" w:color="auto" w:fill="F2F9EB"/>
            <w:vAlign w:val="center"/>
          </w:tcPr>
          <w:p w14:paraId="7395D6B7" w14:textId="77777777" w:rsidR="008C68C2" w:rsidRPr="002F4BB9" w:rsidRDefault="008C68C2" w:rsidP="004306AE">
            <w:pPr>
              <w:jc w:val="left"/>
              <w:rPr>
                <w:rFonts w:cs="Calibri"/>
                <w:sz w:val="20"/>
                <w:szCs w:val="20"/>
              </w:rPr>
            </w:pPr>
            <w:proofErr w:type="spellStart"/>
            <w:proofErr w:type="gramStart"/>
            <w:r>
              <w:rPr>
                <w:sz w:val="20"/>
                <w:szCs w:val="20"/>
              </w:rPr>
              <w:t>pH</w:t>
            </w:r>
            <w:r>
              <w:rPr>
                <w:sz w:val="20"/>
                <w:szCs w:val="20"/>
                <w:vertAlign w:val="subscript"/>
              </w:rPr>
              <w:t>qualité</w:t>
            </w:r>
            <w:proofErr w:type="spellEnd"/>
            <w:proofErr w:type="gramEnd"/>
            <w:r>
              <w:rPr>
                <w:sz w:val="20"/>
                <w:szCs w:val="20"/>
              </w:rPr>
              <w:t xml:space="preserve"> </w:t>
            </w:r>
          </w:p>
        </w:tc>
        <w:tc>
          <w:tcPr>
            <w:tcW w:w="4252" w:type="dxa"/>
            <w:vMerge w:val="restart"/>
            <w:vAlign w:val="center"/>
          </w:tcPr>
          <w:p w14:paraId="565B21C4" w14:textId="77777777" w:rsidR="008C68C2" w:rsidRDefault="008C68C2" w:rsidP="004306AE">
            <w:pPr>
              <w:jc w:val="left"/>
              <w:rPr>
                <w:sz w:val="20"/>
                <w:szCs w:val="20"/>
              </w:rPr>
            </w:pPr>
            <w:r>
              <w:rPr>
                <w:sz w:val="20"/>
                <w:szCs w:val="20"/>
              </w:rPr>
              <w:t>(P) Gammes optimales (</w:t>
            </w:r>
            <w:proofErr w:type="spellStart"/>
            <w:r>
              <w:t>pH</w:t>
            </w:r>
            <w:r>
              <w:rPr>
                <w:vertAlign w:val="subscript"/>
              </w:rPr>
              <w:t>KCl</w:t>
            </w:r>
            <w:proofErr w:type="spellEnd"/>
            <w:r>
              <w:t>)</w:t>
            </w:r>
            <w:r>
              <w:rPr>
                <w:sz w:val="20"/>
                <w:szCs w:val="20"/>
              </w:rPr>
              <w:t xml:space="preserve"> REQUASUD pour les prairies </w:t>
            </w:r>
            <w:r>
              <w:rPr>
                <w:sz w:val="20"/>
                <w:szCs w:val="20"/>
              </w:rPr>
              <w:fldChar w:fldCharType="begin"/>
            </w:r>
            <w:r>
              <w:rPr>
                <w:sz w:val="20"/>
                <w:szCs w:val="20"/>
              </w:rPr>
              <w:instrText xml:space="preserve"> ADDIN ZOTERO_ITEM CSL_CITATION {"citationID":"KaYFxno7","properties":{"unsorted":false,"formattedCitation":"(Cugnon,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Pr>
                <w:sz w:val="20"/>
                <w:szCs w:val="20"/>
              </w:rPr>
              <w:fldChar w:fldCharType="separate"/>
            </w:r>
            <w:r w:rsidRPr="00400639">
              <w:rPr>
                <w:rFonts w:cs="Calibri"/>
                <w:sz w:val="20"/>
              </w:rPr>
              <w:t>(Cugnon, 2025)</w:t>
            </w:r>
            <w:r>
              <w:rPr>
                <w:sz w:val="20"/>
                <w:szCs w:val="20"/>
              </w:rPr>
              <w:fldChar w:fldCharType="end"/>
            </w:r>
          </w:p>
        </w:tc>
      </w:tr>
      <w:tr w:rsidR="008C68C2" w14:paraId="0B01DC58" w14:textId="77777777" w:rsidTr="00627BB2">
        <w:tblPrEx>
          <w:tblCellMar>
            <w:top w:w="0" w:type="dxa"/>
            <w:bottom w:w="0" w:type="dxa"/>
          </w:tblCellMar>
        </w:tblPrEx>
        <w:tc>
          <w:tcPr>
            <w:tcW w:w="1200" w:type="dxa"/>
            <w:vMerge/>
            <w:shd w:val="clear" w:color="auto" w:fill="D1D1D1" w:themeFill="background2" w:themeFillShade="E6"/>
            <w:vAlign w:val="center"/>
          </w:tcPr>
          <w:p w14:paraId="72C20A49"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191180E5" w14:textId="77777777" w:rsidR="008C68C2" w:rsidRPr="0000352D" w:rsidRDefault="008C68C2" w:rsidP="004306AE">
            <w:pPr>
              <w:jc w:val="left"/>
              <w:rPr>
                <w:sz w:val="20"/>
                <w:szCs w:val="20"/>
              </w:rPr>
            </w:pPr>
          </w:p>
        </w:tc>
        <w:tc>
          <w:tcPr>
            <w:tcW w:w="748" w:type="dxa"/>
            <w:vMerge/>
            <w:vAlign w:val="center"/>
          </w:tcPr>
          <w:p w14:paraId="4F8A7F46" w14:textId="77777777" w:rsidR="008C68C2" w:rsidRPr="0000352D" w:rsidRDefault="008C68C2" w:rsidP="004306AE">
            <w:pPr>
              <w:jc w:val="center"/>
              <w:rPr>
                <w:sz w:val="20"/>
                <w:szCs w:val="20"/>
              </w:rPr>
            </w:pPr>
          </w:p>
        </w:tc>
        <w:tc>
          <w:tcPr>
            <w:tcW w:w="1628" w:type="dxa"/>
            <w:shd w:val="clear" w:color="auto" w:fill="EFF5FB"/>
            <w:vAlign w:val="center"/>
          </w:tcPr>
          <w:p w14:paraId="0F416F1C" w14:textId="77777777" w:rsidR="008C68C2" w:rsidRDefault="008C68C2" w:rsidP="004306AE">
            <w:pPr>
              <w:jc w:val="left"/>
              <w:rPr>
                <w:rFonts w:cs="Calibri"/>
                <w:sz w:val="20"/>
                <w:szCs w:val="20"/>
              </w:rPr>
            </w:pPr>
            <w:proofErr w:type="spellStart"/>
            <w:proofErr w:type="gramStart"/>
            <w:r>
              <w:rPr>
                <w:sz w:val="20"/>
                <w:szCs w:val="20"/>
              </w:rPr>
              <w:t>pH</w:t>
            </w:r>
            <w:r>
              <w:rPr>
                <w:sz w:val="20"/>
                <w:szCs w:val="20"/>
                <w:vertAlign w:val="subscript"/>
              </w:rPr>
              <w:t>santé</w:t>
            </w:r>
            <w:proofErr w:type="spellEnd"/>
            <w:proofErr w:type="gramEnd"/>
          </w:p>
        </w:tc>
        <w:tc>
          <w:tcPr>
            <w:tcW w:w="4252" w:type="dxa"/>
            <w:vMerge/>
            <w:vAlign w:val="center"/>
          </w:tcPr>
          <w:p w14:paraId="5C502E02" w14:textId="77777777" w:rsidR="008C68C2" w:rsidRDefault="008C68C2" w:rsidP="004306AE">
            <w:pPr>
              <w:jc w:val="left"/>
              <w:rPr>
                <w:sz w:val="20"/>
                <w:szCs w:val="20"/>
              </w:rPr>
            </w:pPr>
          </w:p>
        </w:tc>
      </w:tr>
      <w:tr w:rsidR="008C68C2" w14:paraId="62948BD5" w14:textId="77777777" w:rsidTr="00627BB2">
        <w:tblPrEx>
          <w:tblCellMar>
            <w:top w:w="0" w:type="dxa"/>
            <w:bottom w:w="0" w:type="dxa"/>
          </w:tblCellMar>
        </w:tblPrEx>
        <w:trPr>
          <w:trHeight w:val="403"/>
        </w:trPr>
        <w:tc>
          <w:tcPr>
            <w:tcW w:w="1200" w:type="dxa"/>
            <w:vMerge/>
            <w:shd w:val="clear" w:color="auto" w:fill="D1D1D1" w:themeFill="background2" w:themeFillShade="E6"/>
            <w:vAlign w:val="center"/>
          </w:tcPr>
          <w:p w14:paraId="616ED8BC"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747D8A0C" w14:textId="77777777" w:rsidR="008C68C2" w:rsidRPr="0000352D" w:rsidRDefault="008C68C2" w:rsidP="004306AE">
            <w:pPr>
              <w:jc w:val="left"/>
              <w:rPr>
                <w:sz w:val="20"/>
                <w:szCs w:val="20"/>
              </w:rPr>
            </w:pPr>
          </w:p>
        </w:tc>
        <w:tc>
          <w:tcPr>
            <w:tcW w:w="748" w:type="dxa"/>
            <w:vMerge/>
            <w:vAlign w:val="center"/>
          </w:tcPr>
          <w:p w14:paraId="0F25E1D4" w14:textId="77777777" w:rsidR="008C68C2" w:rsidRPr="0000352D" w:rsidRDefault="008C68C2" w:rsidP="004306AE">
            <w:pPr>
              <w:jc w:val="center"/>
              <w:rPr>
                <w:sz w:val="20"/>
                <w:szCs w:val="20"/>
              </w:rPr>
            </w:pPr>
          </w:p>
        </w:tc>
        <w:tc>
          <w:tcPr>
            <w:tcW w:w="1628" w:type="dxa"/>
            <w:shd w:val="clear" w:color="auto" w:fill="F2F9EB"/>
            <w:vAlign w:val="center"/>
          </w:tcPr>
          <w:p w14:paraId="3B55320C" w14:textId="77777777" w:rsidR="008C68C2" w:rsidRPr="002F4BB9" w:rsidRDefault="008C68C2" w:rsidP="004306AE">
            <w:pPr>
              <w:jc w:val="left"/>
              <w:rPr>
                <w:rFonts w:cs="Calibri"/>
                <w:sz w:val="20"/>
                <w:szCs w:val="20"/>
              </w:rPr>
            </w:pPr>
            <w:proofErr w:type="spellStart"/>
            <w:proofErr w:type="gramStart"/>
            <w:r>
              <w:rPr>
                <w:sz w:val="20"/>
                <w:szCs w:val="20"/>
              </w:rPr>
              <w:t>pH</w:t>
            </w:r>
            <w:r>
              <w:rPr>
                <w:sz w:val="20"/>
                <w:szCs w:val="20"/>
                <w:vertAlign w:val="subscript"/>
              </w:rPr>
              <w:t>qualité</w:t>
            </w:r>
            <w:proofErr w:type="spellEnd"/>
            <w:proofErr w:type="gramEnd"/>
            <w:r>
              <w:rPr>
                <w:sz w:val="20"/>
                <w:szCs w:val="20"/>
              </w:rPr>
              <w:t xml:space="preserve"> </w:t>
            </w:r>
          </w:p>
        </w:tc>
        <w:tc>
          <w:tcPr>
            <w:tcW w:w="4252" w:type="dxa"/>
            <w:vMerge w:val="restart"/>
            <w:vAlign w:val="center"/>
          </w:tcPr>
          <w:p w14:paraId="4E6DBA65" w14:textId="77777777" w:rsidR="008C68C2" w:rsidRDefault="008C68C2" w:rsidP="004306AE">
            <w:pPr>
              <w:jc w:val="left"/>
              <w:rPr>
                <w:sz w:val="20"/>
                <w:szCs w:val="20"/>
              </w:rPr>
            </w:pPr>
            <w:r>
              <w:rPr>
                <w:sz w:val="20"/>
                <w:szCs w:val="20"/>
              </w:rPr>
              <w:t>(EV) Adaptation des gammes optimales (</w:t>
            </w:r>
            <w:proofErr w:type="spellStart"/>
            <w:r>
              <w:t>pH</w:t>
            </w:r>
            <w:r>
              <w:rPr>
                <w:vertAlign w:val="subscript"/>
              </w:rPr>
              <w:t>KCl</w:t>
            </w:r>
            <w:proofErr w:type="spellEnd"/>
            <w:r>
              <w:t>)</w:t>
            </w:r>
            <w:r>
              <w:rPr>
                <w:sz w:val="20"/>
                <w:szCs w:val="20"/>
              </w:rPr>
              <w:t xml:space="preserve"> REQUASUD // chapitre C </w:t>
            </w:r>
            <w:proofErr w:type="spellStart"/>
            <w:r>
              <w:rPr>
                <w:sz w:val="20"/>
                <w:szCs w:val="20"/>
              </w:rPr>
              <w:t>Qualiroutes</w:t>
            </w:r>
            <w:proofErr w:type="spellEnd"/>
            <w:r>
              <w:rPr>
                <w:sz w:val="20"/>
                <w:szCs w:val="20"/>
              </w:rPr>
              <w:t xml:space="preserve"> </w:t>
            </w:r>
            <w:r>
              <w:rPr>
                <w:sz w:val="20"/>
                <w:szCs w:val="20"/>
              </w:rPr>
              <w:fldChar w:fldCharType="begin"/>
            </w:r>
            <w:r>
              <w:rPr>
                <w:sz w:val="20"/>
                <w:szCs w:val="20"/>
              </w:rPr>
              <w:instrText xml:space="preserve"> ADDIN ZOTERO_ITEM CSL_CITATION {"citationID":"B00A4otB","properties":{"unsorted":false,"formattedCitation":"(SPW Mobilit\\uc0\\u233{} Infrastructures, 2026)","plainCitation":"(SPW Mobilité Infrastructures, 2026)","noteIndex":0},"citationItems":[{"id":571,"uris":["http://zotero.org/groups/5684833/items/XUAHKAZ9"],"itemData":{"id":571,"type":"standard","abstract":"Sur cet onglet vous trouverez le site Qualité et Construction","language":"fr","publisher":"Service Public de Wallonie","title":"Cahier des Charges type Qualiroutes - Chapitre C : Matériaux et produits de construction","URL":"https://infrastructures.wallonie.be/cms/render/live/fr/sites/routes/pouvoirs-locaux/nos-thematiques/routes/qualite--construction/qualiroutes.html","version":"approuvé par le Gouvernement wallon en date du 20 juillet 2011","author":[{"family":"SPW Mobilité Infrastructures","given":""}],"accessed":{"date-parts":[["2026",6,2]]},"issued":{"date-parts":[["2026"]]}}}],"schema":"https://github.com/citation-style-language/schema/raw/master/csl-citation.json"} </w:instrText>
            </w:r>
            <w:r>
              <w:rPr>
                <w:sz w:val="20"/>
                <w:szCs w:val="20"/>
              </w:rPr>
              <w:fldChar w:fldCharType="separate"/>
            </w:r>
            <w:r w:rsidRPr="00BF6371">
              <w:rPr>
                <w:rFonts w:cs="Calibri"/>
                <w:kern w:val="0"/>
                <w:sz w:val="20"/>
              </w:rPr>
              <w:t>(SPW Mobilité Infrastructures, 2026)</w:t>
            </w:r>
            <w:r>
              <w:rPr>
                <w:sz w:val="20"/>
                <w:szCs w:val="20"/>
              </w:rPr>
              <w:fldChar w:fldCharType="end"/>
            </w:r>
          </w:p>
        </w:tc>
      </w:tr>
      <w:tr w:rsidR="008C68C2" w14:paraId="212CBE2C" w14:textId="77777777" w:rsidTr="00627BB2">
        <w:tblPrEx>
          <w:tblCellMar>
            <w:top w:w="0" w:type="dxa"/>
            <w:bottom w:w="0" w:type="dxa"/>
          </w:tblCellMar>
        </w:tblPrEx>
        <w:tc>
          <w:tcPr>
            <w:tcW w:w="1200" w:type="dxa"/>
            <w:vMerge/>
            <w:shd w:val="clear" w:color="auto" w:fill="D1D1D1" w:themeFill="background2" w:themeFillShade="E6"/>
            <w:vAlign w:val="center"/>
          </w:tcPr>
          <w:p w14:paraId="77C54DBB"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6743F997" w14:textId="77777777" w:rsidR="008C68C2" w:rsidRPr="0000352D" w:rsidRDefault="008C68C2" w:rsidP="004306AE">
            <w:pPr>
              <w:jc w:val="left"/>
              <w:rPr>
                <w:sz w:val="20"/>
                <w:szCs w:val="20"/>
              </w:rPr>
            </w:pPr>
          </w:p>
        </w:tc>
        <w:tc>
          <w:tcPr>
            <w:tcW w:w="748" w:type="dxa"/>
            <w:vMerge/>
            <w:vAlign w:val="center"/>
          </w:tcPr>
          <w:p w14:paraId="35CAFD08" w14:textId="77777777" w:rsidR="008C68C2" w:rsidRPr="0000352D" w:rsidRDefault="008C68C2" w:rsidP="004306AE">
            <w:pPr>
              <w:jc w:val="center"/>
              <w:rPr>
                <w:sz w:val="20"/>
                <w:szCs w:val="20"/>
              </w:rPr>
            </w:pPr>
          </w:p>
        </w:tc>
        <w:tc>
          <w:tcPr>
            <w:tcW w:w="1628" w:type="dxa"/>
            <w:shd w:val="clear" w:color="auto" w:fill="EFF5FB"/>
            <w:vAlign w:val="center"/>
          </w:tcPr>
          <w:p w14:paraId="4759FA51" w14:textId="77777777" w:rsidR="008C68C2" w:rsidRDefault="008C68C2" w:rsidP="004306AE">
            <w:pPr>
              <w:jc w:val="left"/>
              <w:rPr>
                <w:rFonts w:cs="Calibri"/>
                <w:sz w:val="20"/>
                <w:szCs w:val="20"/>
              </w:rPr>
            </w:pPr>
            <w:proofErr w:type="spellStart"/>
            <w:proofErr w:type="gramStart"/>
            <w:r>
              <w:rPr>
                <w:sz w:val="20"/>
                <w:szCs w:val="20"/>
              </w:rPr>
              <w:t>pH</w:t>
            </w:r>
            <w:r>
              <w:rPr>
                <w:sz w:val="20"/>
                <w:szCs w:val="20"/>
                <w:vertAlign w:val="subscript"/>
              </w:rPr>
              <w:t>santé</w:t>
            </w:r>
            <w:proofErr w:type="spellEnd"/>
            <w:proofErr w:type="gramEnd"/>
          </w:p>
        </w:tc>
        <w:tc>
          <w:tcPr>
            <w:tcW w:w="4252" w:type="dxa"/>
            <w:vMerge/>
            <w:vAlign w:val="center"/>
          </w:tcPr>
          <w:p w14:paraId="61E4CA2B" w14:textId="77777777" w:rsidR="008C68C2" w:rsidRDefault="008C68C2" w:rsidP="004306AE">
            <w:pPr>
              <w:jc w:val="left"/>
              <w:rPr>
                <w:sz w:val="20"/>
                <w:szCs w:val="20"/>
              </w:rPr>
            </w:pPr>
          </w:p>
        </w:tc>
      </w:tr>
      <w:tr w:rsidR="008C68C2" w14:paraId="13813B4A" w14:textId="77777777" w:rsidTr="00627BB2">
        <w:tblPrEx>
          <w:tblCellMar>
            <w:top w:w="0" w:type="dxa"/>
            <w:bottom w:w="0" w:type="dxa"/>
          </w:tblCellMar>
        </w:tblPrEx>
        <w:trPr>
          <w:trHeight w:val="328"/>
        </w:trPr>
        <w:tc>
          <w:tcPr>
            <w:tcW w:w="1200" w:type="dxa"/>
            <w:vMerge/>
            <w:shd w:val="clear" w:color="auto" w:fill="D1D1D1" w:themeFill="background2" w:themeFillShade="E6"/>
            <w:vAlign w:val="center"/>
          </w:tcPr>
          <w:p w14:paraId="4C885CB3"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26591A24" w14:textId="77777777" w:rsidR="008C68C2" w:rsidRPr="0000352D" w:rsidRDefault="008C68C2" w:rsidP="004306AE">
            <w:pPr>
              <w:jc w:val="left"/>
              <w:rPr>
                <w:sz w:val="20"/>
                <w:szCs w:val="20"/>
              </w:rPr>
            </w:pPr>
          </w:p>
        </w:tc>
        <w:tc>
          <w:tcPr>
            <w:tcW w:w="748" w:type="dxa"/>
            <w:vMerge/>
            <w:vAlign w:val="center"/>
          </w:tcPr>
          <w:p w14:paraId="434CAC1F" w14:textId="77777777" w:rsidR="008C68C2" w:rsidRPr="0000352D" w:rsidRDefault="008C68C2" w:rsidP="004306AE">
            <w:pPr>
              <w:jc w:val="center"/>
              <w:rPr>
                <w:sz w:val="20"/>
                <w:szCs w:val="20"/>
              </w:rPr>
            </w:pPr>
          </w:p>
        </w:tc>
        <w:tc>
          <w:tcPr>
            <w:tcW w:w="1628" w:type="dxa"/>
            <w:shd w:val="clear" w:color="auto" w:fill="F2F9EB"/>
            <w:vAlign w:val="center"/>
          </w:tcPr>
          <w:p w14:paraId="6F740151" w14:textId="77777777" w:rsidR="008C68C2" w:rsidRDefault="008C68C2" w:rsidP="004306AE">
            <w:pPr>
              <w:jc w:val="left"/>
              <w:rPr>
                <w:rFonts w:cs="Calibri"/>
                <w:sz w:val="20"/>
                <w:szCs w:val="20"/>
              </w:rPr>
            </w:pPr>
            <w:proofErr w:type="spellStart"/>
            <w:proofErr w:type="gramStart"/>
            <w:r>
              <w:rPr>
                <w:sz w:val="20"/>
                <w:szCs w:val="20"/>
              </w:rPr>
              <w:t>pH</w:t>
            </w:r>
            <w:r>
              <w:rPr>
                <w:sz w:val="20"/>
                <w:szCs w:val="20"/>
                <w:vertAlign w:val="subscript"/>
              </w:rPr>
              <w:t>qualité</w:t>
            </w:r>
            <w:proofErr w:type="spellEnd"/>
            <w:proofErr w:type="gramEnd"/>
          </w:p>
        </w:tc>
        <w:tc>
          <w:tcPr>
            <w:tcW w:w="4252" w:type="dxa"/>
            <w:vMerge w:val="restart"/>
            <w:vAlign w:val="center"/>
          </w:tcPr>
          <w:p w14:paraId="50637B62" w14:textId="77777777" w:rsidR="008C68C2" w:rsidRDefault="008C68C2" w:rsidP="004306AE">
            <w:pPr>
              <w:jc w:val="left"/>
              <w:rPr>
                <w:sz w:val="20"/>
                <w:szCs w:val="20"/>
              </w:rPr>
            </w:pPr>
            <w:r>
              <w:rPr>
                <w:sz w:val="20"/>
                <w:szCs w:val="20"/>
              </w:rPr>
              <w:t>(F) Gammes d’interprétation (</w:t>
            </w:r>
            <w:proofErr w:type="spellStart"/>
            <w:r>
              <w:t>pH</w:t>
            </w:r>
            <w:r>
              <w:rPr>
                <w:vertAlign w:val="subscript"/>
              </w:rPr>
              <w:t>eau</w:t>
            </w:r>
            <w:proofErr w:type="spellEnd"/>
            <w:r>
              <w:t>)</w:t>
            </w:r>
            <w:r>
              <w:rPr>
                <w:sz w:val="20"/>
                <w:szCs w:val="20"/>
              </w:rPr>
              <w:t xml:space="preserve"> pour les sols forestiers </w:t>
            </w:r>
            <w:r>
              <w:rPr>
                <w:sz w:val="20"/>
                <w:szCs w:val="20"/>
              </w:rPr>
              <w:fldChar w:fldCharType="begin"/>
            </w:r>
            <w:r>
              <w:rPr>
                <w:sz w:val="20"/>
                <w:szCs w:val="20"/>
              </w:rPr>
              <w:instrText xml:space="preserve"> ADDIN ZOTERO_ITEM CSL_CITATION {"citationID":"CB20bPQA","properties":{"unsorted":false,"formattedCitation":"({\\i{}Fichier \\uc0\\u233{}cologique des essences}, s.\\uc0\\u160{}d.)","plainCitation":"(Fichier écologique des essences, s. d.)","noteIndex":0},"citationItems":[{"id":569,"uris":["http://zotero.org/groups/5684833/items/8E5EHNH6"],"itemData":{"id":569,"type":"document","title":"Fichier écologique des essences","URL":"https://www.fichierecologique.be/#!/","accessed":{"date-parts":[["2026",6,2]]}}}],"schema":"https://github.com/citation-style-language/schema/raw/master/csl-citation.json"} </w:instrText>
            </w:r>
            <w:r>
              <w:rPr>
                <w:sz w:val="20"/>
                <w:szCs w:val="20"/>
              </w:rPr>
              <w:fldChar w:fldCharType="separate"/>
            </w:r>
            <w:r w:rsidRPr="00D522F1">
              <w:rPr>
                <w:rFonts w:cs="Calibri"/>
                <w:kern w:val="0"/>
                <w:sz w:val="20"/>
              </w:rPr>
              <w:t>(</w:t>
            </w:r>
            <w:r w:rsidRPr="00D522F1">
              <w:rPr>
                <w:rFonts w:cs="Calibri"/>
                <w:i/>
                <w:iCs/>
                <w:kern w:val="0"/>
                <w:sz w:val="20"/>
              </w:rPr>
              <w:t>Fichier écologique des essences</w:t>
            </w:r>
            <w:r w:rsidRPr="00D522F1">
              <w:rPr>
                <w:rFonts w:cs="Calibri"/>
                <w:kern w:val="0"/>
                <w:sz w:val="20"/>
              </w:rPr>
              <w:t>, s. d.)</w:t>
            </w:r>
            <w:r>
              <w:rPr>
                <w:sz w:val="20"/>
                <w:szCs w:val="20"/>
              </w:rPr>
              <w:fldChar w:fldCharType="end"/>
            </w:r>
          </w:p>
        </w:tc>
      </w:tr>
      <w:tr w:rsidR="008C68C2" w14:paraId="3519C106" w14:textId="77777777" w:rsidTr="00627BB2">
        <w:tblPrEx>
          <w:tblCellMar>
            <w:top w:w="0" w:type="dxa"/>
            <w:bottom w:w="0" w:type="dxa"/>
          </w:tblCellMar>
        </w:tblPrEx>
        <w:tc>
          <w:tcPr>
            <w:tcW w:w="1200" w:type="dxa"/>
            <w:vMerge/>
            <w:shd w:val="clear" w:color="auto" w:fill="D1D1D1" w:themeFill="background2" w:themeFillShade="E6"/>
            <w:vAlign w:val="center"/>
          </w:tcPr>
          <w:p w14:paraId="5FCC53CE" w14:textId="77777777" w:rsidR="008C68C2" w:rsidRPr="00261C30" w:rsidRDefault="008C68C2" w:rsidP="004306AE">
            <w:pPr>
              <w:jc w:val="left"/>
              <w:rPr>
                <w:b/>
                <w:bCs/>
                <w:sz w:val="20"/>
                <w:szCs w:val="20"/>
              </w:rPr>
            </w:pPr>
          </w:p>
        </w:tc>
        <w:tc>
          <w:tcPr>
            <w:tcW w:w="1239" w:type="dxa"/>
            <w:vMerge/>
            <w:shd w:val="clear" w:color="auto" w:fill="F2F2F2" w:themeFill="background1" w:themeFillShade="F2"/>
            <w:vAlign w:val="center"/>
          </w:tcPr>
          <w:p w14:paraId="3CB80271" w14:textId="77777777" w:rsidR="008C68C2" w:rsidRPr="0000352D" w:rsidRDefault="008C68C2" w:rsidP="004306AE">
            <w:pPr>
              <w:jc w:val="left"/>
              <w:rPr>
                <w:sz w:val="20"/>
                <w:szCs w:val="20"/>
              </w:rPr>
            </w:pPr>
          </w:p>
        </w:tc>
        <w:tc>
          <w:tcPr>
            <w:tcW w:w="748" w:type="dxa"/>
            <w:vMerge/>
            <w:vAlign w:val="center"/>
          </w:tcPr>
          <w:p w14:paraId="7A428582" w14:textId="77777777" w:rsidR="008C68C2" w:rsidRDefault="008C68C2" w:rsidP="004306AE">
            <w:pPr>
              <w:jc w:val="center"/>
              <w:rPr>
                <w:sz w:val="20"/>
                <w:szCs w:val="20"/>
              </w:rPr>
            </w:pPr>
          </w:p>
        </w:tc>
        <w:tc>
          <w:tcPr>
            <w:tcW w:w="1628" w:type="dxa"/>
            <w:shd w:val="clear" w:color="auto" w:fill="EFF5FB"/>
            <w:vAlign w:val="center"/>
          </w:tcPr>
          <w:p w14:paraId="6508D1F9" w14:textId="77777777" w:rsidR="008C68C2" w:rsidRDefault="008C68C2" w:rsidP="004306AE">
            <w:pPr>
              <w:jc w:val="left"/>
              <w:rPr>
                <w:sz w:val="20"/>
                <w:szCs w:val="20"/>
              </w:rPr>
            </w:pPr>
            <w:proofErr w:type="spellStart"/>
            <w:proofErr w:type="gramStart"/>
            <w:r>
              <w:rPr>
                <w:sz w:val="20"/>
                <w:szCs w:val="20"/>
              </w:rPr>
              <w:t>pH</w:t>
            </w:r>
            <w:r>
              <w:rPr>
                <w:sz w:val="20"/>
                <w:szCs w:val="20"/>
                <w:vertAlign w:val="subscript"/>
              </w:rPr>
              <w:t>santé</w:t>
            </w:r>
            <w:proofErr w:type="spellEnd"/>
            <w:proofErr w:type="gramEnd"/>
          </w:p>
        </w:tc>
        <w:tc>
          <w:tcPr>
            <w:tcW w:w="4252" w:type="dxa"/>
            <w:vMerge/>
            <w:vAlign w:val="center"/>
          </w:tcPr>
          <w:p w14:paraId="1E6C2024" w14:textId="77777777" w:rsidR="008C68C2" w:rsidRPr="002B345A" w:rsidRDefault="008C68C2" w:rsidP="004306AE">
            <w:pPr>
              <w:jc w:val="left"/>
              <w:rPr>
                <w:highlight w:val="yellow"/>
              </w:rPr>
            </w:pPr>
          </w:p>
        </w:tc>
      </w:tr>
      <w:tr w:rsidR="00FC7AB5" w14:paraId="5A8F24A5" w14:textId="77777777" w:rsidTr="00BA1D2E">
        <w:tblPrEx>
          <w:tblCellMar>
            <w:top w:w="0" w:type="dxa"/>
            <w:bottom w:w="0" w:type="dxa"/>
          </w:tblCellMar>
        </w:tblPrEx>
        <w:tc>
          <w:tcPr>
            <w:tcW w:w="1200" w:type="dxa"/>
            <w:vMerge/>
            <w:shd w:val="clear" w:color="auto" w:fill="D1D1D1" w:themeFill="background2" w:themeFillShade="E6"/>
            <w:vAlign w:val="center"/>
          </w:tcPr>
          <w:p w14:paraId="7E9B852F"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2F51621F" w14:textId="77777777" w:rsidR="00FC7AB5" w:rsidRPr="0000352D" w:rsidRDefault="00FC7AB5" w:rsidP="00FC7AB5">
            <w:pPr>
              <w:jc w:val="left"/>
              <w:rPr>
                <w:sz w:val="20"/>
                <w:szCs w:val="20"/>
              </w:rPr>
            </w:pPr>
          </w:p>
        </w:tc>
        <w:tc>
          <w:tcPr>
            <w:tcW w:w="748" w:type="dxa"/>
            <w:vMerge w:val="restart"/>
            <w:vAlign w:val="center"/>
          </w:tcPr>
          <w:p w14:paraId="602E1773" w14:textId="0CF03547" w:rsidR="00FC7AB5" w:rsidRPr="0000352D" w:rsidRDefault="00FC7AB5" w:rsidP="00FC7AB5">
            <w:pPr>
              <w:jc w:val="center"/>
              <w:rPr>
                <w:sz w:val="20"/>
                <w:szCs w:val="20"/>
              </w:rPr>
            </w:pPr>
            <w:r>
              <w:rPr>
                <w:noProof/>
                <w:sz w:val="20"/>
                <w:szCs w:val="20"/>
              </w:rPr>
              <mc:AlternateContent>
                <mc:Choice Requires="wps">
                  <w:drawing>
                    <wp:inline distT="0" distB="0" distL="0" distR="0" wp14:anchorId="76389199" wp14:editId="73368C3F">
                      <wp:extent cx="248400" cy="0"/>
                      <wp:effectExtent l="38100" t="76200" r="18415" b="95250"/>
                      <wp:docPr id="1387284449" name="Connecteur droit avec flèche 1"/>
                      <wp:cNvGraphicFramePr/>
                      <a:graphic xmlns:a="http://schemas.openxmlformats.org/drawingml/2006/main">
                        <a:graphicData uri="http://schemas.microsoft.com/office/word/2010/wordprocessingShape">
                          <wps:wsp>
                            <wps:cNvCnPr/>
                            <wps:spPr>
                              <a:xfrm flipV="1">
                                <a:off x="0" y="0"/>
                                <a:ext cx="248400" cy="0"/>
                              </a:xfrm>
                              <a:prstGeom prst="straightConnector1">
                                <a:avLst/>
                              </a:prstGeom>
                              <a:ln w="12700">
                                <a:solidFill>
                                  <a:schemeClr val="tx2"/>
                                </a:solidFill>
                                <a:headEnd type="triangl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3A59AB44" id="Connecteur droit avec flèche 1" o:spid="_x0000_s1026" type="#_x0000_t32" style="width:19.55pt;height:0;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" strokecolor="#0e2841 [3215]" strokeweight="1pt">
                      <v:stroke startarrow="block" endarrow="block" joinstyle="miter"/>
                      <w10:anchorlock/>
                    </v:shape>
                  </w:pict>
                </mc:Fallback>
              </mc:AlternateContent>
            </w:r>
          </w:p>
        </w:tc>
        <w:tc>
          <w:tcPr>
            <w:tcW w:w="1628" w:type="dxa"/>
            <w:tcBorders>
              <w:top w:val="single" w:sz="4" w:space="0" w:color="auto"/>
              <w:bottom w:val="single" w:sz="4" w:space="0" w:color="auto"/>
            </w:tcBorders>
            <w:shd w:val="clear" w:color="auto" w:fill="F2F9EB"/>
            <w:vAlign w:val="center"/>
          </w:tcPr>
          <w:p w14:paraId="63468EF6" w14:textId="63CD9865" w:rsidR="00FC7AB5" w:rsidRDefault="00FC7AB5" w:rsidP="00FC7AB5">
            <w:pPr>
              <w:jc w:val="left"/>
              <w:rPr>
                <w:sz w:val="20"/>
                <w:szCs w:val="20"/>
              </w:rPr>
            </w:pPr>
            <w:r w:rsidRPr="009D49FA">
              <w:rPr>
                <w:sz w:val="20"/>
                <w:szCs w:val="20"/>
              </w:rPr>
              <w:t>K/</w:t>
            </w:r>
            <w:proofErr w:type="spellStart"/>
            <w:r w:rsidRPr="009D49FA">
              <w:rPr>
                <w:sz w:val="20"/>
                <w:szCs w:val="20"/>
              </w:rPr>
              <w:t>Mg</w:t>
            </w:r>
            <w:r w:rsidRPr="009D49FA">
              <w:rPr>
                <w:sz w:val="20"/>
                <w:szCs w:val="20"/>
                <w:vertAlign w:val="subscript"/>
              </w:rPr>
              <w:t>qualité</w:t>
            </w:r>
            <w:proofErr w:type="spellEnd"/>
          </w:p>
        </w:tc>
        <w:tc>
          <w:tcPr>
            <w:tcW w:w="4252" w:type="dxa"/>
            <w:vMerge w:val="restart"/>
            <w:vAlign w:val="center"/>
          </w:tcPr>
          <w:p w14:paraId="24E75AB2" w14:textId="61A69F0C" w:rsidR="00FC7AB5" w:rsidRPr="002B345A" w:rsidRDefault="00BA1D2E" w:rsidP="00FC7AB5">
            <w:pPr>
              <w:jc w:val="left"/>
              <w:rPr>
                <w:highlight w:val="yellow"/>
              </w:rPr>
            </w:pPr>
            <w:r w:rsidRPr="009D49FA">
              <w:rPr>
                <w:sz w:val="20"/>
                <w:szCs w:val="20"/>
              </w:rPr>
              <w:t xml:space="preserve">Gamme optimale </w:t>
            </w:r>
            <w:r w:rsidRPr="009D49FA">
              <w:rPr>
                <w:sz w:val="20"/>
                <w:szCs w:val="20"/>
              </w:rPr>
              <w:fldChar w:fldCharType="begin"/>
            </w:r>
            <w:r w:rsidR="00107905">
              <w:rPr>
                <w:sz w:val="20"/>
                <w:szCs w:val="20"/>
              </w:rPr>
              <w:instrText xml:space="preserve"> ADDIN ZOTERO_ITEM CSL_CITATION {"citationID":"6izxBfFz","properties":{"unsorted":false,"formattedCitation":"(Cugnon,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sidRPr="009D49FA">
              <w:rPr>
                <w:sz w:val="20"/>
                <w:szCs w:val="20"/>
              </w:rPr>
              <w:fldChar w:fldCharType="separate"/>
            </w:r>
            <w:r w:rsidRPr="009D49FA">
              <w:rPr>
                <w:rFonts w:cs="Calibri"/>
                <w:sz w:val="20"/>
                <w:szCs w:val="20"/>
              </w:rPr>
              <w:t>(Cugnon, 2025)</w:t>
            </w:r>
            <w:r w:rsidRPr="009D49FA">
              <w:rPr>
                <w:sz w:val="20"/>
                <w:szCs w:val="20"/>
              </w:rPr>
              <w:fldChar w:fldCharType="end"/>
            </w:r>
          </w:p>
        </w:tc>
      </w:tr>
      <w:tr w:rsidR="00FC7AB5" w14:paraId="204273EA" w14:textId="77777777" w:rsidTr="00BA1D2E">
        <w:tblPrEx>
          <w:tblCellMar>
            <w:top w:w="0" w:type="dxa"/>
            <w:bottom w:w="0" w:type="dxa"/>
          </w:tblCellMar>
        </w:tblPrEx>
        <w:tc>
          <w:tcPr>
            <w:tcW w:w="1200" w:type="dxa"/>
            <w:vMerge/>
            <w:shd w:val="clear" w:color="auto" w:fill="D1D1D1" w:themeFill="background2" w:themeFillShade="E6"/>
            <w:vAlign w:val="center"/>
          </w:tcPr>
          <w:p w14:paraId="407DC0CF"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335A8A22" w14:textId="77777777" w:rsidR="00FC7AB5" w:rsidRPr="0000352D" w:rsidRDefault="00FC7AB5" w:rsidP="00FC7AB5">
            <w:pPr>
              <w:jc w:val="left"/>
              <w:rPr>
                <w:sz w:val="20"/>
                <w:szCs w:val="20"/>
              </w:rPr>
            </w:pPr>
          </w:p>
        </w:tc>
        <w:tc>
          <w:tcPr>
            <w:tcW w:w="748" w:type="dxa"/>
            <w:vMerge/>
            <w:vAlign w:val="center"/>
          </w:tcPr>
          <w:p w14:paraId="33721863" w14:textId="77777777" w:rsidR="00FC7AB5" w:rsidRPr="0000352D" w:rsidRDefault="00FC7AB5" w:rsidP="00FC7AB5">
            <w:pPr>
              <w:jc w:val="center"/>
              <w:rPr>
                <w:sz w:val="20"/>
                <w:szCs w:val="20"/>
              </w:rPr>
            </w:pPr>
          </w:p>
        </w:tc>
        <w:tc>
          <w:tcPr>
            <w:tcW w:w="1628" w:type="dxa"/>
            <w:tcBorders>
              <w:top w:val="single" w:sz="4" w:space="0" w:color="auto"/>
            </w:tcBorders>
            <w:shd w:val="clear" w:color="auto" w:fill="EFF5FB"/>
            <w:vAlign w:val="center"/>
          </w:tcPr>
          <w:p w14:paraId="3B1E663B" w14:textId="615C4D1B" w:rsidR="00FC7AB5" w:rsidRDefault="00FC7AB5" w:rsidP="00FC7AB5">
            <w:pPr>
              <w:jc w:val="left"/>
              <w:rPr>
                <w:sz w:val="20"/>
                <w:szCs w:val="20"/>
              </w:rPr>
            </w:pPr>
            <w:r w:rsidRPr="009D49FA">
              <w:rPr>
                <w:sz w:val="20"/>
                <w:szCs w:val="20"/>
              </w:rPr>
              <w:t>K/</w:t>
            </w:r>
            <w:proofErr w:type="spellStart"/>
            <w:r w:rsidRPr="009D49FA">
              <w:rPr>
                <w:sz w:val="20"/>
                <w:szCs w:val="20"/>
              </w:rPr>
              <w:t>Mg</w:t>
            </w:r>
            <w:r w:rsidRPr="009D49FA">
              <w:rPr>
                <w:sz w:val="20"/>
                <w:szCs w:val="20"/>
                <w:vertAlign w:val="subscript"/>
              </w:rPr>
              <w:t>santé</w:t>
            </w:r>
            <w:proofErr w:type="spellEnd"/>
          </w:p>
        </w:tc>
        <w:tc>
          <w:tcPr>
            <w:tcW w:w="4252" w:type="dxa"/>
            <w:vMerge/>
            <w:vAlign w:val="center"/>
          </w:tcPr>
          <w:p w14:paraId="1844BE3A" w14:textId="77777777" w:rsidR="00FC7AB5" w:rsidRPr="002B345A" w:rsidRDefault="00FC7AB5" w:rsidP="00FC7AB5">
            <w:pPr>
              <w:jc w:val="left"/>
              <w:rPr>
                <w:highlight w:val="yellow"/>
              </w:rPr>
            </w:pPr>
          </w:p>
        </w:tc>
      </w:tr>
      <w:tr w:rsidR="00FC7AB5" w14:paraId="0A9816E2" w14:textId="77777777" w:rsidTr="00627BB2">
        <w:tblPrEx>
          <w:tblCellMar>
            <w:top w:w="0" w:type="dxa"/>
            <w:bottom w:w="0" w:type="dxa"/>
          </w:tblCellMar>
        </w:tblPrEx>
        <w:tc>
          <w:tcPr>
            <w:tcW w:w="1200" w:type="dxa"/>
            <w:vMerge/>
            <w:shd w:val="clear" w:color="auto" w:fill="D1D1D1" w:themeFill="background2" w:themeFillShade="E6"/>
            <w:vAlign w:val="center"/>
          </w:tcPr>
          <w:p w14:paraId="385A53B3" w14:textId="77777777" w:rsidR="00FC7AB5" w:rsidRPr="00261C30" w:rsidRDefault="00FC7AB5" w:rsidP="00FC7AB5">
            <w:pPr>
              <w:jc w:val="left"/>
              <w:rPr>
                <w:b/>
                <w:bCs/>
                <w:sz w:val="20"/>
                <w:szCs w:val="20"/>
              </w:rPr>
            </w:pPr>
          </w:p>
        </w:tc>
        <w:tc>
          <w:tcPr>
            <w:tcW w:w="1239" w:type="dxa"/>
            <w:vMerge w:val="restart"/>
            <w:shd w:val="clear" w:color="auto" w:fill="F2F2F2" w:themeFill="background1" w:themeFillShade="F2"/>
            <w:vAlign w:val="center"/>
          </w:tcPr>
          <w:p w14:paraId="7C49C746" w14:textId="77777777" w:rsidR="00FC7AB5" w:rsidRPr="0000352D" w:rsidRDefault="00FC7AB5" w:rsidP="00FC7AB5">
            <w:pPr>
              <w:jc w:val="left"/>
              <w:rPr>
                <w:sz w:val="20"/>
                <w:szCs w:val="20"/>
              </w:rPr>
            </w:pPr>
            <w:r>
              <w:rPr>
                <w:sz w:val="20"/>
                <w:szCs w:val="20"/>
              </w:rPr>
              <w:t>Fourniture eau</w:t>
            </w:r>
          </w:p>
        </w:tc>
        <w:tc>
          <w:tcPr>
            <w:tcW w:w="748" w:type="dxa"/>
            <w:vMerge w:val="restart"/>
            <w:vAlign w:val="center"/>
          </w:tcPr>
          <w:p w14:paraId="356ED30C" w14:textId="77777777" w:rsidR="00FC7AB5" w:rsidRPr="0000352D" w:rsidRDefault="00FC7AB5" w:rsidP="00FC7AB5">
            <w:pPr>
              <w:jc w:val="center"/>
              <w:rPr>
                <w:sz w:val="20"/>
                <w:szCs w:val="20"/>
              </w:rPr>
            </w:pPr>
            <w:r>
              <w:rPr>
                <w:noProof/>
                <w:sz w:val="20"/>
                <w:szCs w:val="20"/>
              </w:rPr>
              <mc:AlternateContent>
                <mc:Choice Requires="wps">
                  <w:drawing>
                    <wp:inline distT="0" distB="0" distL="0" distR="0" wp14:anchorId="501EE051" wp14:editId="4B906535">
                      <wp:extent cx="94615" cy="153035"/>
                      <wp:effectExtent l="0" t="38100" r="57785" b="18415"/>
                      <wp:docPr id="1180358426"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7EA4FBFB"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77A34EB2" w14:textId="77777777" w:rsidR="00FC7AB5" w:rsidRDefault="00FC7AB5" w:rsidP="00FC7AB5">
            <w:pPr>
              <w:jc w:val="left"/>
              <w:rPr>
                <w:rFonts w:cs="Calibri"/>
                <w:sz w:val="20"/>
                <w:szCs w:val="20"/>
              </w:rPr>
            </w:pPr>
            <w:proofErr w:type="spellStart"/>
            <w:r>
              <w:rPr>
                <w:sz w:val="20"/>
                <w:szCs w:val="20"/>
              </w:rPr>
              <w:t>REU</w:t>
            </w:r>
            <w:r>
              <w:rPr>
                <w:sz w:val="20"/>
                <w:szCs w:val="20"/>
                <w:vertAlign w:val="subscript"/>
              </w:rPr>
              <w:t>qualité</w:t>
            </w:r>
            <w:proofErr w:type="spellEnd"/>
          </w:p>
        </w:tc>
        <w:tc>
          <w:tcPr>
            <w:tcW w:w="4252" w:type="dxa"/>
            <w:shd w:val="clear" w:color="auto" w:fill="F2F9EB"/>
            <w:vAlign w:val="center"/>
          </w:tcPr>
          <w:p w14:paraId="4F0EEC9D" w14:textId="77777777" w:rsidR="00FC7AB5" w:rsidRDefault="00FC7AB5" w:rsidP="00FC7AB5">
            <w:pPr>
              <w:jc w:val="left"/>
              <w:rPr>
                <w:sz w:val="20"/>
                <w:szCs w:val="20"/>
              </w:rPr>
            </w:pPr>
            <w:r w:rsidRPr="00CF72F7">
              <w:rPr>
                <w:sz w:val="20"/>
                <w:szCs w:val="20"/>
              </w:rPr>
              <w:t>Valeurs optimales</w:t>
            </w:r>
            <w:r>
              <w:rPr>
                <w:sz w:val="20"/>
                <w:szCs w:val="20"/>
              </w:rPr>
              <w:t xml:space="preserve"> pour croissance racinaire </w:t>
            </w:r>
            <w:r>
              <w:rPr>
                <w:sz w:val="20"/>
                <w:szCs w:val="20"/>
              </w:rPr>
              <w:fldChar w:fldCharType="begin"/>
            </w:r>
            <w:r>
              <w:rPr>
                <w:sz w:val="20"/>
                <w:szCs w:val="20"/>
              </w:rPr>
              <w:instrText xml:space="preserve"> ADDIN ZOTERO_ITEM CSL_CITATION {"citationID":"wfh9soWb","properties":{"unsorted":false,"formattedCitation":"(Bielders et al., 2013)","plainCitation":"(Bielders et al., 2013)","noteIndex":0},"citationItems":[{"id":375,"uris":["http://zotero.org/groups/5684833/items/DDS2F9EX"],"itemData":{"id":375,"type":"article-journal","language":"fr","note":"number: UCL - Université Catholique de Louvain","source":"dial.uclouvain.be","title":"Vers des indicateurs de fonctionnement du sol (INFOSOL): approche méthodologique de développement d'indicateurs pédologiques pour les fonctions édaphiques de régulation hydrique et de support physique pour les plantes","title-short":"Vers des indicateurs de fonctionnement du sol (INFOSOL)","URL":"https://dial.uclouvain.be/pr/boreal/fr/object/boreal%3A127913","author":[{"family":"Bielders","given":"Charles"},{"family":"Javaux","given":"Mathieu"},{"family":"Roisin","given":"Christian"},{"family":"Vanclooster","given":"Marnik"}],"accessed":{"date-parts":[["2026",1,14]]},"issued":{"date-parts":[["2013"]]}}}],"schema":"https://github.com/citation-style-language/schema/raw/master/csl-citation.json"} </w:instrText>
            </w:r>
            <w:r>
              <w:rPr>
                <w:sz w:val="20"/>
                <w:szCs w:val="20"/>
              </w:rPr>
              <w:fldChar w:fldCharType="separate"/>
            </w:r>
            <w:r w:rsidRPr="00EE551E">
              <w:rPr>
                <w:rFonts w:cs="Calibri"/>
                <w:sz w:val="20"/>
              </w:rPr>
              <w:t>(Bielders et al., 2013)</w:t>
            </w:r>
            <w:r>
              <w:rPr>
                <w:sz w:val="20"/>
                <w:szCs w:val="20"/>
              </w:rPr>
              <w:fldChar w:fldCharType="end"/>
            </w:r>
          </w:p>
        </w:tc>
      </w:tr>
      <w:tr w:rsidR="00FC7AB5" w14:paraId="5607CDEA" w14:textId="77777777" w:rsidTr="00627BB2">
        <w:tblPrEx>
          <w:tblCellMar>
            <w:top w:w="0" w:type="dxa"/>
            <w:bottom w:w="0" w:type="dxa"/>
          </w:tblCellMar>
        </w:tblPrEx>
        <w:tc>
          <w:tcPr>
            <w:tcW w:w="1200" w:type="dxa"/>
            <w:vMerge/>
            <w:shd w:val="clear" w:color="auto" w:fill="D1D1D1" w:themeFill="background2" w:themeFillShade="E6"/>
            <w:vAlign w:val="center"/>
          </w:tcPr>
          <w:p w14:paraId="07B29966"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69B3817E" w14:textId="77777777" w:rsidR="00FC7AB5" w:rsidRPr="0000352D" w:rsidRDefault="00FC7AB5" w:rsidP="00FC7AB5">
            <w:pPr>
              <w:jc w:val="left"/>
              <w:rPr>
                <w:sz w:val="20"/>
                <w:szCs w:val="20"/>
              </w:rPr>
            </w:pPr>
          </w:p>
        </w:tc>
        <w:tc>
          <w:tcPr>
            <w:tcW w:w="748" w:type="dxa"/>
            <w:vMerge/>
            <w:vAlign w:val="center"/>
          </w:tcPr>
          <w:p w14:paraId="267BBBC1" w14:textId="77777777" w:rsidR="00FC7AB5" w:rsidRPr="0000352D" w:rsidRDefault="00FC7AB5" w:rsidP="00FC7AB5">
            <w:pPr>
              <w:jc w:val="center"/>
              <w:rPr>
                <w:sz w:val="20"/>
                <w:szCs w:val="20"/>
              </w:rPr>
            </w:pPr>
          </w:p>
        </w:tc>
        <w:tc>
          <w:tcPr>
            <w:tcW w:w="1628" w:type="dxa"/>
            <w:shd w:val="clear" w:color="auto" w:fill="EFF5FB"/>
            <w:vAlign w:val="center"/>
          </w:tcPr>
          <w:p w14:paraId="73DEB40D" w14:textId="77777777" w:rsidR="00FC7AB5" w:rsidRDefault="00FC7AB5" w:rsidP="00FC7AB5">
            <w:pPr>
              <w:jc w:val="left"/>
              <w:rPr>
                <w:rFonts w:cs="Calibri"/>
                <w:sz w:val="20"/>
                <w:szCs w:val="20"/>
              </w:rPr>
            </w:pPr>
            <w:proofErr w:type="spellStart"/>
            <w:r>
              <w:rPr>
                <w:sz w:val="20"/>
                <w:szCs w:val="20"/>
              </w:rPr>
              <w:t>REU</w:t>
            </w:r>
            <w:r>
              <w:rPr>
                <w:sz w:val="20"/>
                <w:szCs w:val="20"/>
                <w:vertAlign w:val="subscript"/>
              </w:rPr>
              <w:t>santé</w:t>
            </w:r>
            <w:proofErr w:type="spellEnd"/>
          </w:p>
        </w:tc>
        <w:tc>
          <w:tcPr>
            <w:tcW w:w="4252" w:type="dxa"/>
            <w:shd w:val="clear" w:color="auto" w:fill="EFF5FB"/>
            <w:vAlign w:val="center"/>
          </w:tcPr>
          <w:p w14:paraId="41AE47DD" w14:textId="77777777" w:rsidR="00FC7AB5" w:rsidRDefault="00FC7AB5" w:rsidP="00FC7AB5">
            <w:pPr>
              <w:jc w:val="left"/>
              <w:rPr>
                <w:sz w:val="20"/>
                <w:szCs w:val="20"/>
              </w:rPr>
            </w:pPr>
            <w:r>
              <w:rPr>
                <w:sz w:val="20"/>
                <w:szCs w:val="20"/>
              </w:rPr>
              <w:t>Comparaison à la valeur optimale (MO optimisée)</w:t>
            </w:r>
          </w:p>
        </w:tc>
      </w:tr>
      <w:tr w:rsidR="00FC7AB5" w14:paraId="7C6B2C9C" w14:textId="77777777" w:rsidTr="00627BB2">
        <w:tblPrEx>
          <w:tblCellMar>
            <w:top w:w="0" w:type="dxa"/>
            <w:bottom w:w="0" w:type="dxa"/>
          </w:tblCellMar>
        </w:tblPrEx>
        <w:tc>
          <w:tcPr>
            <w:tcW w:w="1200" w:type="dxa"/>
            <w:vMerge/>
            <w:shd w:val="clear" w:color="auto" w:fill="D1D1D1" w:themeFill="background2" w:themeFillShade="E6"/>
            <w:vAlign w:val="center"/>
          </w:tcPr>
          <w:p w14:paraId="047361AE" w14:textId="77777777" w:rsidR="00FC7AB5" w:rsidRPr="00261C30" w:rsidRDefault="00FC7AB5" w:rsidP="00FC7AB5">
            <w:pPr>
              <w:jc w:val="left"/>
              <w:rPr>
                <w:b/>
                <w:bCs/>
                <w:sz w:val="20"/>
                <w:szCs w:val="20"/>
              </w:rPr>
            </w:pPr>
          </w:p>
        </w:tc>
        <w:tc>
          <w:tcPr>
            <w:tcW w:w="1239" w:type="dxa"/>
            <w:vMerge w:val="restart"/>
            <w:tcBorders>
              <w:top w:val="single" w:sz="4" w:space="0" w:color="FFFFFF" w:themeColor="background1"/>
            </w:tcBorders>
            <w:shd w:val="clear" w:color="auto" w:fill="F2F2F2" w:themeFill="background1" w:themeFillShade="F2"/>
            <w:vAlign w:val="center"/>
          </w:tcPr>
          <w:p w14:paraId="5976F141" w14:textId="77777777" w:rsidR="00FC7AB5" w:rsidRPr="0000352D" w:rsidRDefault="00FC7AB5" w:rsidP="00FC7AB5">
            <w:pPr>
              <w:jc w:val="left"/>
              <w:rPr>
                <w:sz w:val="20"/>
                <w:szCs w:val="20"/>
              </w:rPr>
            </w:pPr>
            <w:r w:rsidRPr="0000352D">
              <w:rPr>
                <w:sz w:val="20"/>
                <w:szCs w:val="20"/>
              </w:rPr>
              <w:t>Structure</w:t>
            </w:r>
          </w:p>
        </w:tc>
        <w:tc>
          <w:tcPr>
            <w:tcW w:w="748" w:type="dxa"/>
            <w:vMerge w:val="restart"/>
            <w:tcBorders>
              <w:top w:val="single" w:sz="4" w:space="0" w:color="FFFFFF" w:themeColor="background1"/>
            </w:tcBorders>
            <w:vAlign w:val="center"/>
          </w:tcPr>
          <w:p w14:paraId="4312286C" w14:textId="77777777" w:rsidR="00FC7AB5" w:rsidRPr="0000352D" w:rsidRDefault="00FC7AB5" w:rsidP="00FC7AB5">
            <w:pPr>
              <w:jc w:val="center"/>
              <w:rPr>
                <w:sz w:val="20"/>
                <w:szCs w:val="20"/>
              </w:rPr>
            </w:pPr>
            <w:r>
              <w:rPr>
                <w:noProof/>
                <w:sz w:val="20"/>
                <w:szCs w:val="20"/>
              </w:rPr>
              <mc:AlternateContent>
                <mc:Choice Requires="wps">
                  <w:drawing>
                    <wp:inline distT="0" distB="0" distL="0" distR="0" wp14:anchorId="7D877DAA" wp14:editId="51ECD3AD">
                      <wp:extent cx="94615" cy="153035"/>
                      <wp:effectExtent l="0" t="0" r="76835" b="56515"/>
                      <wp:docPr id="205474233" name="Connecteur droit avec flèche 1"/>
                      <wp:cNvGraphicFramePr/>
                      <a:graphic xmlns:a="http://schemas.openxmlformats.org/drawingml/2006/main">
                        <a:graphicData uri="http://schemas.microsoft.com/office/word/2010/wordprocessingShape">
                          <wps:wsp>
                            <wps:cNvCnPr/>
                            <wps:spPr>
                              <a:xfrm>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B131B4F" id="Connecteur droit avec flèche 1" o:spid="_x0000_s1026" type="#_x0000_t32" style="width:7.45pt;height:12.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" strokecolor="#0e2841 [3215]" strokeweight="1pt">
                      <v:stroke endarrow="block" joinstyle="miter"/>
                      <w10:anchorlock/>
                    </v:shape>
                  </w:pict>
                </mc:Fallback>
              </mc:AlternateContent>
            </w:r>
          </w:p>
        </w:tc>
        <w:tc>
          <w:tcPr>
            <w:tcW w:w="1628" w:type="dxa"/>
            <w:tcBorders>
              <w:top w:val="single" w:sz="4" w:space="0" w:color="FFFFFF" w:themeColor="background1"/>
            </w:tcBorders>
            <w:shd w:val="clear" w:color="auto" w:fill="F2F9EB"/>
            <w:vAlign w:val="center"/>
          </w:tcPr>
          <w:p w14:paraId="2AA5A0F6" w14:textId="77777777" w:rsidR="00FC7AB5" w:rsidRDefault="00FC7AB5" w:rsidP="00FC7AB5">
            <w:pPr>
              <w:jc w:val="left"/>
              <w:rPr>
                <w:rFonts w:cs="Calibri"/>
                <w:sz w:val="20"/>
                <w:szCs w:val="20"/>
              </w:rPr>
            </w:pPr>
            <w:proofErr w:type="spellStart"/>
            <w:r>
              <w:rPr>
                <w:sz w:val="20"/>
                <w:szCs w:val="20"/>
              </w:rPr>
              <w:t>VESS</w:t>
            </w:r>
            <w:r>
              <w:rPr>
                <w:sz w:val="20"/>
                <w:szCs w:val="20"/>
                <w:vertAlign w:val="subscript"/>
              </w:rPr>
              <w:t>qualité</w:t>
            </w:r>
            <w:proofErr w:type="spellEnd"/>
          </w:p>
        </w:tc>
        <w:tc>
          <w:tcPr>
            <w:tcW w:w="4252" w:type="dxa"/>
            <w:vMerge w:val="restart"/>
            <w:vAlign w:val="center"/>
          </w:tcPr>
          <w:p w14:paraId="2F1CBC29" w14:textId="77777777" w:rsidR="00FC7AB5" w:rsidRDefault="00FC7AB5" w:rsidP="00FC7AB5">
            <w:pPr>
              <w:jc w:val="left"/>
              <w:rPr>
                <w:sz w:val="20"/>
                <w:szCs w:val="20"/>
              </w:rPr>
            </w:pPr>
            <w:r w:rsidRPr="0000352D">
              <w:rPr>
                <w:sz w:val="20"/>
                <w:szCs w:val="20"/>
              </w:rPr>
              <w:t xml:space="preserve">Valeurs optimales pour croissance racinaire </w:t>
            </w:r>
            <w:r>
              <w:rPr>
                <w:sz w:val="20"/>
                <w:szCs w:val="20"/>
              </w:rPr>
              <w:fldChar w:fldCharType="begin"/>
            </w:r>
            <w:r>
              <w:rPr>
                <w:sz w:val="20"/>
                <w:szCs w:val="20"/>
              </w:rPr>
              <w:instrText xml:space="preserve"> ADDIN ZOTERO_ITEM CSL_CITATION {"citationID":"kOYiCpII","properties":{"unsorted":false,"formattedCitation":"(Ball et al., 2017)","plainCitation":"(Ball et al., 2017)","noteIndex":0},"citationItems":[{"id":471,"uris":["http://zotero.org/groups/5684833/items/AGAM8FM8"],"itemData":{"id":471,"type":"article-journal","abstract":"Visual soil evaluation techniques have gained popularity and are increasingly used in agriculture and soil science for research, consultancy and teaching purposes. We describe recent applications, developments, opportunities and limitations, mainly of the Visual Evaluation of Soil Structure (for topsoil (VESS) and for subsoil (SubVESS)), and of the Visual Soil Assessment (VSA). Data are taken from experiments on compaction and from assessments made in farmer’s fields in the UK, Brazil and New Zealand. The methods are widely used to detect compaction and are well-suited for monitoring changes in compaction status, particularly in relation to weather extremes. VESS proved useful in distinguishing grazing vs wheel compaction in the UK and Brazil by permitting detection of layers at different depths within the topsoil zone. The depths of compact layers are important for scoring management decisions for soil improvement. However the use of scores as limiting thresholds in different soil types needs the support of further soil measurements and/or additional visual assessments of soil and crop. VSA and VESS were also used to estimate the risk of significant soil emissions of nitrous oxide where compaction damage was present and rates of mineral N fertiliser were high. Visual assessments also have the potential to assess the risk of surface water runoff and nutrient loss. The potential role of soil colour was shown for the further development of visual evaluation techniques for a soil carbon storage index. Visual soil evaluation techniques also provide a useful visual aid for improving soil awareness in groups of stakeholders, helping the exchange of knowledge and ideas for innovation in agriculture.","collection-title":"Visual soil evaluation and soil compaction research","container-title":"Soil and Tillage Research","DOI":"10.1016/j.still.2016.07.006","ISSN":"0167-1987","journalAbbreviation":"Soil and Tillage Research","page":"114-124","source":"ScienceDirect","title":"Visual soil evaluation: A summary of some applications and potential developments for agriculture","title-short":"Visual soil evaluation","volume":"173","author":[{"family":"Ball","given":"Bruce C."},{"family":"Guimarães","given":"Rachel M. L."},{"family":"Cloy","given":"Joanna M."},{"family":"Hargreaves","given":"Paul R."},{"family":"Shepherd","given":"T. Graham"},{"family":"McKenzie","given":"Blair M."}],"issued":{"date-parts":[["2017",11,1]]}}}],"schema":"https://github.com/citation-style-language/schema/raw/master/csl-citation.json"} </w:instrText>
            </w:r>
            <w:r>
              <w:rPr>
                <w:sz w:val="20"/>
                <w:szCs w:val="20"/>
              </w:rPr>
              <w:fldChar w:fldCharType="separate"/>
            </w:r>
            <w:r w:rsidRPr="00DA409C">
              <w:rPr>
                <w:rFonts w:cs="Calibri"/>
                <w:sz w:val="20"/>
              </w:rPr>
              <w:t>(Ball et al., 2017)</w:t>
            </w:r>
            <w:r>
              <w:rPr>
                <w:sz w:val="20"/>
                <w:szCs w:val="20"/>
              </w:rPr>
              <w:fldChar w:fldCharType="end"/>
            </w:r>
          </w:p>
        </w:tc>
      </w:tr>
      <w:tr w:rsidR="00FC7AB5" w14:paraId="38A92A4C" w14:textId="77777777" w:rsidTr="00627BB2">
        <w:tblPrEx>
          <w:tblCellMar>
            <w:top w:w="0" w:type="dxa"/>
            <w:bottom w:w="0" w:type="dxa"/>
          </w:tblCellMar>
        </w:tblPrEx>
        <w:tc>
          <w:tcPr>
            <w:tcW w:w="1200" w:type="dxa"/>
            <w:vMerge/>
            <w:shd w:val="clear" w:color="auto" w:fill="D1D1D1" w:themeFill="background2" w:themeFillShade="E6"/>
            <w:vAlign w:val="center"/>
          </w:tcPr>
          <w:p w14:paraId="369B53F5"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7FF0BE6F" w14:textId="77777777" w:rsidR="00FC7AB5" w:rsidRPr="0000352D" w:rsidRDefault="00FC7AB5" w:rsidP="00FC7AB5">
            <w:pPr>
              <w:jc w:val="left"/>
              <w:rPr>
                <w:sz w:val="20"/>
                <w:szCs w:val="20"/>
              </w:rPr>
            </w:pPr>
          </w:p>
        </w:tc>
        <w:tc>
          <w:tcPr>
            <w:tcW w:w="748" w:type="dxa"/>
            <w:vMerge/>
            <w:vAlign w:val="center"/>
          </w:tcPr>
          <w:p w14:paraId="51C69FC2" w14:textId="77777777" w:rsidR="00FC7AB5" w:rsidRPr="0000352D" w:rsidRDefault="00FC7AB5" w:rsidP="00FC7AB5">
            <w:pPr>
              <w:jc w:val="center"/>
              <w:rPr>
                <w:sz w:val="20"/>
                <w:szCs w:val="20"/>
              </w:rPr>
            </w:pPr>
          </w:p>
        </w:tc>
        <w:tc>
          <w:tcPr>
            <w:tcW w:w="1628" w:type="dxa"/>
            <w:shd w:val="clear" w:color="auto" w:fill="EFF5FB"/>
            <w:vAlign w:val="center"/>
          </w:tcPr>
          <w:p w14:paraId="4BEBC3FF" w14:textId="77777777" w:rsidR="00FC7AB5" w:rsidRDefault="00FC7AB5" w:rsidP="00FC7AB5">
            <w:pPr>
              <w:jc w:val="left"/>
              <w:rPr>
                <w:rFonts w:cs="Calibri"/>
                <w:sz w:val="20"/>
                <w:szCs w:val="20"/>
              </w:rPr>
            </w:pPr>
            <w:proofErr w:type="spellStart"/>
            <w:r>
              <w:rPr>
                <w:sz w:val="20"/>
                <w:szCs w:val="20"/>
              </w:rPr>
              <w:t>VESS</w:t>
            </w:r>
            <w:r>
              <w:rPr>
                <w:sz w:val="20"/>
                <w:szCs w:val="20"/>
                <w:vertAlign w:val="subscript"/>
              </w:rPr>
              <w:t>santé</w:t>
            </w:r>
            <w:proofErr w:type="spellEnd"/>
          </w:p>
        </w:tc>
        <w:tc>
          <w:tcPr>
            <w:tcW w:w="4252" w:type="dxa"/>
            <w:vMerge/>
            <w:vAlign w:val="center"/>
          </w:tcPr>
          <w:p w14:paraId="2ECAE468" w14:textId="77777777" w:rsidR="00FC7AB5" w:rsidRDefault="00FC7AB5" w:rsidP="00FC7AB5">
            <w:pPr>
              <w:jc w:val="left"/>
              <w:rPr>
                <w:sz w:val="20"/>
                <w:szCs w:val="20"/>
              </w:rPr>
            </w:pPr>
          </w:p>
        </w:tc>
      </w:tr>
      <w:tr w:rsidR="00FC7AB5" w14:paraId="0F811E92" w14:textId="77777777" w:rsidTr="00627BB2">
        <w:tblPrEx>
          <w:tblCellMar>
            <w:top w:w="0" w:type="dxa"/>
            <w:bottom w:w="0" w:type="dxa"/>
          </w:tblCellMar>
        </w:tblPrEx>
        <w:tc>
          <w:tcPr>
            <w:tcW w:w="1200" w:type="dxa"/>
            <w:vMerge/>
            <w:shd w:val="clear" w:color="auto" w:fill="D1D1D1" w:themeFill="background2" w:themeFillShade="E6"/>
            <w:vAlign w:val="center"/>
          </w:tcPr>
          <w:p w14:paraId="4CC86825"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3F5038AB" w14:textId="77777777" w:rsidR="00FC7AB5" w:rsidRPr="0000352D" w:rsidRDefault="00FC7AB5" w:rsidP="00FC7AB5">
            <w:pPr>
              <w:jc w:val="left"/>
              <w:rPr>
                <w:sz w:val="20"/>
                <w:szCs w:val="20"/>
              </w:rPr>
            </w:pPr>
          </w:p>
        </w:tc>
        <w:tc>
          <w:tcPr>
            <w:tcW w:w="748" w:type="dxa"/>
            <w:vMerge w:val="restart"/>
            <w:tcBorders>
              <w:top w:val="single" w:sz="4" w:space="0" w:color="FFFFFF" w:themeColor="background1"/>
            </w:tcBorders>
            <w:vAlign w:val="center"/>
          </w:tcPr>
          <w:p w14:paraId="039AE12D" w14:textId="77777777" w:rsidR="00FC7AB5" w:rsidRPr="0000352D" w:rsidRDefault="00FC7AB5" w:rsidP="00FC7AB5">
            <w:pPr>
              <w:jc w:val="center"/>
              <w:rPr>
                <w:sz w:val="20"/>
                <w:szCs w:val="20"/>
              </w:rPr>
            </w:pPr>
            <w:r>
              <w:rPr>
                <w:noProof/>
                <w:sz w:val="20"/>
                <w:szCs w:val="20"/>
              </w:rPr>
              <mc:AlternateContent>
                <mc:Choice Requires="wps">
                  <w:drawing>
                    <wp:inline distT="0" distB="0" distL="0" distR="0" wp14:anchorId="05816380" wp14:editId="4FD2DC32">
                      <wp:extent cx="248400" cy="0"/>
                      <wp:effectExtent l="38100" t="76200" r="18415" b="95250"/>
                      <wp:docPr id="231157497" name="Connecteur droit avec flèche 1"/>
                      <wp:cNvGraphicFramePr/>
                      <a:graphic xmlns:a="http://schemas.openxmlformats.org/drawingml/2006/main">
                        <a:graphicData uri="http://schemas.microsoft.com/office/word/2010/wordprocessingShape">
                          <wps:wsp>
                            <wps:cNvCnPr/>
                            <wps:spPr>
                              <a:xfrm flipV="1">
                                <a:off x="0" y="0"/>
                                <a:ext cx="248400" cy="0"/>
                              </a:xfrm>
                              <a:prstGeom prst="straightConnector1">
                                <a:avLst/>
                              </a:prstGeom>
                              <a:ln w="12700">
                                <a:solidFill>
                                  <a:schemeClr val="tx2"/>
                                </a:solidFill>
                                <a:headEnd type="triangl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65F398E7" id="Connecteur droit avec flèche 1" o:spid="_x0000_s1026" type="#_x0000_t32" style="width:19.55pt;height:0;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" strokecolor="#0e2841 [3215]" strokeweight="1pt">
                      <v:stroke startarrow="block" endarrow="block" joinstyle="miter"/>
                      <w10:anchorlock/>
                    </v:shape>
                  </w:pict>
                </mc:Fallback>
              </mc:AlternateContent>
            </w:r>
          </w:p>
        </w:tc>
        <w:tc>
          <w:tcPr>
            <w:tcW w:w="1628" w:type="dxa"/>
            <w:tcBorders>
              <w:top w:val="single" w:sz="4" w:space="0" w:color="FFFFFF" w:themeColor="background1"/>
            </w:tcBorders>
            <w:shd w:val="clear" w:color="auto" w:fill="F2F9EB"/>
            <w:vAlign w:val="center"/>
          </w:tcPr>
          <w:p w14:paraId="67BD21C9" w14:textId="75D55D55" w:rsidR="00FC7AB5" w:rsidRDefault="00ED61F2" w:rsidP="00FC7AB5">
            <w:pPr>
              <w:jc w:val="left"/>
              <w:rPr>
                <w:rFonts w:cs="Calibri"/>
                <w:sz w:val="20"/>
                <w:szCs w:val="20"/>
              </w:rPr>
            </w:pPr>
            <w:proofErr w:type="spellStart"/>
            <w:proofErr w:type="gramStart"/>
            <w:r>
              <w:rPr>
                <w:rFonts w:cs="Calibri"/>
              </w:rPr>
              <w:t>ρ</w:t>
            </w:r>
            <w:proofErr w:type="gramEnd"/>
            <w:r>
              <w:rPr>
                <w:rFonts w:cs="Calibri"/>
                <w:vertAlign w:val="subscript"/>
              </w:rPr>
              <w:t>b</w:t>
            </w:r>
            <w:proofErr w:type="spellEnd"/>
            <w:r>
              <w:rPr>
                <w:rFonts w:cs="Calibri"/>
                <w:vertAlign w:val="subscript"/>
              </w:rPr>
              <w:t xml:space="preserve"> </w:t>
            </w:r>
            <w:r w:rsidR="00FC7AB5">
              <w:rPr>
                <w:sz w:val="20"/>
                <w:szCs w:val="20"/>
                <w:vertAlign w:val="subscript"/>
              </w:rPr>
              <w:t>qualité</w:t>
            </w:r>
          </w:p>
        </w:tc>
        <w:tc>
          <w:tcPr>
            <w:tcW w:w="4252" w:type="dxa"/>
            <w:tcBorders>
              <w:top w:val="single" w:sz="4" w:space="0" w:color="FFFFFF" w:themeColor="background1"/>
            </w:tcBorders>
            <w:shd w:val="clear" w:color="auto" w:fill="F2F9EB"/>
            <w:vAlign w:val="center"/>
          </w:tcPr>
          <w:p w14:paraId="5DC5FCD3" w14:textId="77777777" w:rsidR="00FC7AB5" w:rsidRDefault="00FC7AB5" w:rsidP="00FC7AB5">
            <w:pPr>
              <w:jc w:val="left"/>
              <w:rPr>
                <w:sz w:val="20"/>
                <w:szCs w:val="20"/>
              </w:rPr>
            </w:pPr>
            <w:r w:rsidRPr="0000352D">
              <w:rPr>
                <w:sz w:val="20"/>
                <w:szCs w:val="20"/>
              </w:rPr>
              <w:t xml:space="preserve">Valeurs optimales pour croissance racinaire </w:t>
            </w:r>
            <w:r>
              <w:rPr>
                <w:sz w:val="20"/>
                <w:szCs w:val="20"/>
              </w:rPr>
              <w:fldChar w:fldCharType="begin"/>
            </w:r>
            <w:r>
              <w:rPr>
                <w:sz w:val="20"/>
                <w:szCs w:val="20"/>
              </w:rPr>
              <w:instrText xml:space="preserve"> ADDIN ZOTERO_ITEM CSL_CITATION {"citationID":"180WNerY","properties":{"unsorted":false,"formattedCitation":"(Bielders et al., 2013)","plainCitation":"(Bielders et al., 2013)","noteIndex":0},"citationItems":[{"id":375,"uris":["http://zotero.org/groups/5684833/items/DDS2F9EX"],"itemData":{"id":375,"type":"article-journal","language":"fr","note":"number: UCL - Université Catholique de Louvain","source":"dial.uclouvain.be","title":"Vers des indicateurs de fonctionnement du sol (INFOSOL): approche méthodologique de développement d'indicateurs pédologiques pour les fonctions édaphiques de régulation hydrique et de support physique pour les plantes","title-short":"Vers des indicateurs de fonctionnement du sol (INFOSOL)","URL":"https://dial.uclouvain.be/pr/boreal/fr/object/boreal%3A127913","author":[{"family":"Bielders","given":"Charles"},{"family":"Javaux","given":"Mathieu"},{"family":"Roisin","given":"Christian"},{"family":"Vanclooster","given":"Marnik"}],"accessed":{"date-parts":[["2026",1,14]]},"issued":{"date-parts":[["2013"]]}}}],"schema":"https://github.com/citation-style-language/schema/raw/master/csl-citation.json"} </w:instrText>
            </w:r>
            <w:r>
              <w:rPr>
                <w:sz w:val="20"/>
                <w:szCs w:val="20"/>
              </w:rPr>
              <w:fldChar w:fldCharType="separate"/>
            </w:r>
            <w:r w:rsidRPr="00E845A3">
              <w:rPr>
                <w:rFonts w:cs="Calibri"/>
                <w:sz w:val="20"/>
              </w:rPr>
              <w:t>(Bielders et al., 2013)</w:t>
            </w:r>
            <w:r>
              <w:rPr>
                <w:sz w:val="20"/>
                <w:szCs w:val="20"/>
              </w:rPr>
              <w:fldChar w:fldCharType="end"/>
            </w:r>
          </w:p>
        </w:tc>
      </w:tr>
      <w:tr w:rsidR="00FC7AB5" w14:paraId="10BE0E4E" w14:textId="77777777" w:rsidTr="00627BB2">
        <w:tc>
          <w:tcPr>
            <w:tcW w:w="1200" w:type="dxa"/>
            <w:vMerge/>
            <w:shd w:val="clear" w:color="auto" w:fill="D1D1D1" w:themeFill="background2" w:themeFillShade="E6"/>
            <w:vAlign w:val="center"/>
          </w:tcPr>
          <w:p w14:paraId="677E7A70"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7A2C0BC0" w14:textId="77777777" w:rsidR="00FC7AB5" w:rsidRPr="0000352D" w:rsidRDefault="00FC7AB5" w:rsidP="00FC7AB5">
            <w:pPr>
              <w:jc w:val="left"/>
              <w:rPr>
                <w:sz w:val="20"/>
                <w:szCs w:val="20"/>
              </w:rPr>
            </w:pPr>
          </w:p>
        </w:tc>
        <w:tc>
          <w:tcPr>
            <w:tcW w:w="748" w:type="dxa"/>
            <w:vMerge/>
            <w:vAlign w:val="center"/>
          </w:tcPr>
          <w:p w14:paraId="06CBC8A1" w14:textId="77777777" w:rsidR="00FC7AB5" w:rsidRPr="0000352D" w:rsidRDefault="00FC7AB5" w:rsidP="00FC7AB5">
            <w:pPr>
              <w:jc w:val="center"/>
              <w:rPr>
                <w:sz w:val="20"/>
                <w:szCs w:val="20"/>
              </w:rPr>
            </w:pPr>
          </w:p>
        </w:tc>
        <w:tc>
          <w:tcPr>
            <w:tcW w:w="1628" w:type="dxa"/>
            <w:vMerge w:val="restart"/>
            <w:shd w:val="clear" w:color="auto" w:fill="EFF5FB"/>
            <w:vAlign w:val="center"/>
          </w:tcPr>
          <w:p w14:paraId="52DC6FFA" w14:textId="3383FB58" w:rsidR="00FC7AB5" w:rsidRDefault="00ED61F2" w:rsidP="00FC7AB5">
            <w:pPr>
              <w:jc w:val="left"/>
              <w:rPr>
                <w:rFonts w:cs="Calibri"/>
                <w:sz w:val="20"/>
                <w:szCs w:val="20"/>
              </w:rPr>
            </w:pPr>
            <w:proofErr w:type="spellStart"/>
            <w:proofErr w:type="gramStart"/>
            <w:r>
              <w:rPr>
                <w:rFonts w:cs="Calibri"/>
              </w:rPr>
              <w:t>ρ</w:t>
            </w:r>
            <w:proofErr w:type="gramEnd"/>
            <w:r>
              <w:rPr>
                <w:rFonts w:cs="Calibri"/>
                <w:vertAlign w:val="subscript"/>
              </w:rPr>
              <w:t>b</w:t>
            </w:r>
            <w:proofErr w:type="spellEnd"/>
            <w:r w:rsidR="00FC7AB5">
              <w:rPr>
                <w:sz w:val="20"/>
                <w:szCs w:val="20"/>
                <w:vertAlign w:val="subscript"/>
              </w:rPr>
              <w:t xml:space="preserve"> santé</w:t>
            </w:r>
          </w:p>
        </w:tc>
        <w:tc>
          <w:tcPr>
            <w:tcW w:w="4252" w:type="dxa"/>
            <w:shd w:val="clear" w:color="auto" w:fill="EFF5FB"/>
            <w:vAlign w:val="center"/>
          </w:tcPr>
          <w:p w14:paraId="6DC09918" w14:textId="77777777" w:rsidR="00FC7AB5" w:rsidRPr="0000352D" w:rsidRDefault="00FC7AB5" w:rsidP="00FC7AB5">
            <w:pPr>
              <w:jc w:val="left"/>
              <w:rPr>
                <w:sz w:val="20"/>
                <w:szCs w:val="20"/>
              </w:rPr>
            </w:pPr>
            <w:r>
              <w:rPr>
                <w:sz w:val="20"/>
                <w:szCs w:val="20"/>
              </w:rPr>
              <w:t xml:space="preserve">(C-P-EV) </w:t>
            </w:r>
            <w:r w:rsidRPr="0000352D">
              <w:rPr>
                <w:sz w:val="20"/>
                <w:szCs w:val="20"/>
              </w:rPr>
              <w:t xml:space="preserve">Valeurs </w:t>
            </w:r>
            <w:r>
              <w:rPr>
                <w:sz w:val="20"/>
                <w:szCs w:val="20"/>
              </w:rPr>
              <w:t>idéales</w:t>
            </w:r>
            <w:r w:rsidRPr="0000352D">
              <w:rPr>
                <w:sz w:val="20"/>
                <w:szCs w:val="20"/>
              </w:rPr>
              <w:t xml:space="preserve"> </w:t>
            </w:r>
            <w:r>
              <w:rPr>
                <w:sz w:val="20"/>
                <w:szCs w:val="20"/>
              </w:rPr>
              <w:t xml:space="preserve">par classe texturale pour des cultures </w:t>
            </w:r>
            <w:r>
              <w:rPr>
                <w:sz w:val="20"/>
                <w:szCs w:val="20"/>
              </w:rPr>
              <w:fldChar w:fldCharType="begin"/>
            </w:r>
            <w:r>
              <w:rPr>
                <w:sz w:val="20"/>
                <w:szCs w:val="20"/>
              </w:rPr>
              <w:instrText xml:space="preserve"> ADDIN ZOTERO_ITEM CSL_CITATION {"citationID":"CN5H1qTH","properties":{"unsorted":false,"formattedCitation":"(Calzolari et al., 2019)","plainCitation":"(Calzolari et al., 2019)","noteIndex":0},"citationItems":[{"id":562,"uris":["http://zotero.org/groups/5684833/items/DL92HZTX"],"itemData":{"id":562,"type":"article-journal","abstract":"Urban soils are deeply influenced by human activities. They consist of materials different from those of nearby agricultural or natural areas, due to mechanical disturbance, supply or removal of material, contamination with exogenous materials (plastics, asphalt, pollutants, etc.). They are the result of urbanization activities that involve total or partial sealing of the surfaces (Morel et al. 2005).\nThe development of urban soils is controlled by the same factors as natural soils, with a clear and important prevalence of the anthropic factor. The survey of urban soils therefore follows the same criteria of surveying natural or agricultural soils, taking into account that the anthropic disturbance in addition to being prevalent acts in a very short time. This causes a strong heterogeneity in the spatial distribution of the soils and of their characteristics that is problematic to solve in a detailed soil map. \nHuman disturbed soils are classified (FAO World Reference Base For Soil Resources, IUSS - Working Group WRB, 2014) as: \no Anthrosols: soil that has been formed or heavily modified due to long-term human activity, such as from irrigation, addition of organic waste or wet-field cultivation used to create paddy fields\no Technosols: are dominated by their technical origin. They contain either a significant (20% or more) amount of artefacts or some sort of geotechnical liner, or are sealed by technic hard rock (hard material created by humans, having properties unlike natural rock).\nUrban soils perform the same functions as a natural soil contributing to the provision of Ecosystem Services. However, the degree of disturbance to which they are subjected, the level of sealing and the type of coverage have an influence that needs to be described in detail and taken into account.\nGiven the great variability of the urban environment and the differences between different urban environments, there are still no standardized references for the survey and mapping of urban soils. There are some experiences, such as the map of the city of Berlin (https://www.stadtentwicklung.berlin.de/umwelt/umweltatlas/dinh_01.htm) and of New York City (http://www.soilandwater.nyc/urban-soils.html). \nWithin the SOS4LIFE project, a methodology has been developed for defining  urban soil mapping units in the study case of the town of Carpi (MO), based on the type of \"natural\" soils below the urban fabric, the urban typologies and the land cover of unsealed soils. Considering that most of the SEs in urban areas are provided by green areas, the assessment of soils and related functionality has been concentrated in gardens and parks, sports fields and on peri-urban agricultural areas. The gardens in private allotments were not considered, having verified the high degree of impermeabilization of the same (driveways, parking lots, access ramps to garages, etc.). However, even these soils, although strongly altered, maintain some functionalities. The SEs considered are therefore generally underestimated for the entire city.","language":"cpe","note":"Accepted: 2024-02-19T13:57:35Z","source":"iris.cnr.it","title":"Guidelines for assessing soil ecosystem services in urban environment and their management - LIFE15 ENV/IT/000225 GUIDELINES ACTION B1.3","URL":"https://iris.cnr.it/handle/20.500.14243/362331","author":[{"family":"Calzolari","given":"Costanza"},{"family":"Ungaro","given":"Fabrizio"},{"family":"Maienza","given":"Anita"},{"family":"Marchi","given":"Nazaria"},{"family":"Tarocco","given":"Paola"}],"accessed":{"date-parts":[["2026",5,31]]},"issued":{"date-parts":[["2019"]]}}}],"schema":"https://github.com/citation-style-language/schema/raw/master/csl-citation.json"} </w:instrText>
            </w:r>
            <w:r>
              <w:rPr>
                <w:sz w:val="20"/>
                <w:szCs w:val="20"/>
              </w:rPr>
              <w:fldChar w:fldCharType="separate"/>
            </w:r>
            <w:r w:rsidRPr="00C03C8D">
              <w:rPr>
                <w:rFonts w:cs="Calibri"/>
                <w:sz w:val="20"/>
              </w:rPr>
              <w:t>(Calzolari et al., 2019)</w:t>
            </w:r>
            <w:r>
              <w:rPr>
                <w:sz w:val="20"/>
                <w:szCs w:val="20"/>
              </w:rPr>
              <w:fldChar w:fldCharType="end"/>
            </w:r>
            <w:r w:rsidRPr="0000352D">
              <w:rPr>
                <w:sz w:val="20"/>
                <w:szCs w:val="20"/>
              </w:rPr>
              <w:t xml:space="preserve"> </w:t>
            </w:r>
          </w:p>
        </w:tc>
      </w:tr>
      <w:tr w:rsidR="00FC7AB5" w:rsidRPr="0000352D" w14:paraId="11C92FE9" w14:textId="77777777" w:rsidTr="00627BB2">
        <w:tc>
          <w:tcPr>
            <w:tcW w:w="1200" w:type="dxa"/>
            <w:vMerge/>
            <w:shd w:val="clear" w:color="auto" w:fill="D1D1D1" w:themeFill="background2" w:themeFillShade="E6"/>
            <w:vAlign w:val="center"/>
          </w:tcPr>
          <w:p w14:paraId="66377F0E"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7A12292E" w14:textId="77777777" w:rsidR="00FC7AB5" w:rsidRPr="0000352D" w:rsidRDefault="00FC7AB5" w:rsidP="00FC7AB5">
            <w:pPr>
              <w:jc w:val="left"/>
              <w:rPr>
                <w:sz w:val="20"/>
                <w:szCs w:val="20"/>
              </w:rPr>
            </w:pPr>
          </w:p>
        </w:tc>
        <w:tc>
          <w:tcPr>
            <w:tcW w:w="748" w:type="dxa"/>
            <w:vMerge/>
            <w:vAlign w:val="center"/>
          </w:tcPr>
          <w:p w14:paraId="25C2B589" w14:textId="77777777" w:rsidR="00FC7AB5" w:rsidRPr="0000352D" w:rsidRDefault="00FC7AB5" w:rsidP="00FC7AB5">
            <w:pPr>
              <w:jc w:val="center"/>
              <w:rPr>
                <w:sz w:val="20"/>
                <w:szCs w:val="20"/>
              </w:rPr>
            </w:pPr>
          </w:p>
        </w:tc>
        <w:tc>
          <w:tcPr>
            <w:tcW w:w="1628" w:type="dxa"/>
            <w:vMerge/>
            <w:shd w:val="clear" w:color="auto" w:fill="EFF5FB"/>
            <w:vAlign w:val="center"/>
          </w:tcPr>
          <w:p w14:paraId="39BB0AEF" w14:textId="77777777" w:rsidR="00FC7AB5" w:rsidRDefault="00FC7AB5" w:rsidP="00FC7AB5">
            <w:pPr>
              <w:jc w:val="left"/>
              <w:rPr>
                <w:rFonts w:cs="Calibri"/>
                <w:sz w:val="20"/>
                <w:szCs w:val="20"/>
              </w:rPr>
            </w:pPr>
          </w:p>
        </w:tc>
        <w:tc>
          <w:tcPr>
            <w:tcW w:w="4252" w:type="dxa"/>
            <w:shd w:val="clear" w:color="auto" w:fill="EFF5FB"/>
            <w:vAlign w:val="center"/>
          </w:tcPr>
          <w:p w14:paraId="579F3536" w14:textId="77777777" w:rsidR="00FC7AB5" w:rsidRDefault="00FC7AB5" w:rsidP="00FC7AB5">
            <w:pPr>
              <w:jc w:val="left"/>
              <w:rPr>
                <w:sz w:val="20"/>
                <w:szCs w:val="20"/>
              </w:rPr>
            </w:pPr>
            <w:r>
              <w:rPr>
                <w:sz w:val="20"/>
                <w:szCs w:val="20"/>
              </w:rPr>
              <w:t xml:space="preserve">(F) Valeurs idéales par classe texturale déterminées empiriquement pour des essences forestières </w:t>
            </w:r>
            <w:r>
              <w:rPr>
                <w:sz w:val="20"/>
                <w:szCs w:val="20"/>
              </w:rPr>
              <w:fldChar w:fldCharType="begin"/>
            </w:r>
            <w:r>
              <w:rPr>
                <w:sz w:val="20"/>
                <w:szCs w:val="20"/>
              </w:rPr>
              <w:instrText xml:space="preserve"> ADDIN ZOTERO_ITEM CSL_CITATION {"citationID":"KwALFI3v","properties":{"unsorted":false,"formattedCitation":"(Ampoorter et al., 2011)","plainCitation":"(Ampoorter et al., 2011)","noteIndex":0},"citationItems":[{"id":438,"uris":["http://zotero.org/groups/5684833/items/JA2Y6HI7"],"itemData":{"id":438,"type":"article-journal","abstract":"Soil compaction due to mechanized harvesting operations in forests can have profound effects on forest soils and, hence, can have a detrimental effect on subsequent forest regeneration. We performed a meta-analysis to quantify the effect of soil compaction on height growth, diameter growth, and survival of tree saplings. These effects were predominantly insignificant, varied strongly and were thus not unambiguously negative. Only on silty soils, growth and survival were significantly reduced by soil compaction, which contrasted with sandy and loamy soils, where the effect of soil compaction was negligible or even slightly positive. A weighted analysis revealed an overall decrease of height growth on the compacted areas, but this result should be interpreted with caution due to the limited number of observations. Although results did not show an overall negative effect of soil compaction, harvesting activities should focus on minimizing soil compaction degree and extent to prevent a decrease of soil productivity. From a methodological point of view we suggest providing more basic statistics in the articles and to include more shade-tolerant tree species in future experimental designs. These species are currently underrepresented.\nZusammenfassung\nDie Bodenverdichtung in Folge mechanisierter Holzerntemethoden kann erhebliche Auswirkungen auf Waldböden haben und damit auch schädliche Auswirkungen auf die nachfolgende Waldregeneration. Wir führten eine Meta-Analyse durch, um den Effekt der Bodenverdichtung auf Wuchshöhe, Dickenwachstum und Überleben der Jungbäume zu quantifizieren. Diese Effekte waren überwiegend nicht signifikant, variierten stark und waren deshalb nicht eindeutig negativ. Nur auf schluffigen Böden wurden Wachstum und Überleben signifikant durch die Bodenverdichtung verringert, Dies stand im Gegensatz zu sandigen und lehmigen Böden, auf denen die Auswirkungen der Bodenverdichtung vernachlässigbar oder sogar positiv waren. Eine gewichtete Analyse erbrachte insgesamt eine Abnahme des Höhenwachstums auf verdichteten Flächen, aber aufgrund der geringen Anzahl von Beobachtungen sollte dieses Ergebnis mit Vorsicht interpretiert werden. Auch wenn die Ergebnisse keinen generell negativen Effekt der Bodenverdichtung zeigten, sollten Erntemaßnahmen darauf gerichtet sein, Grad und Ausmaß der Bodenverdichtung zu minimieren, um einer Abnahme der Produktivität vorzubeugen. Von einem methodischen Standpunkt aus regen wir an, mehr basale Statistiken in den Artikeln zu publizieren und mehr schattentolerante Baumarten in zukünftige Untersuchungen aufzunehmen. Diese Arten sind gegenwärtig unterrepräsentiert.","container-title":"Basic and Applied Ecology","DOI":"10.1016/j.baae.2011.06.003","ISSN":"1439-1791","issue":"5","journalAbbreviation":"Basic and Applied Ecology","page":"394-402","source":"ScienceDirect","title":"Effects of soil compaction on growth and survival of tree saplings: A meta-analysis","title-short":"Effects of soil compaction on growth and survival of tree saplings","volume":"12","author":[{"family":"Ampoorter","given":"E."},{"family":"De Frenne","given":"P."},{"family":"Hermy","given":"M."},{"family":"Verheyen","given":"K."}],"issued":{"date-parts":[["2011",8,1]]}}}],"schema":"https://github.com/citation-style-language/schema/raw/master/csl-citation.json"} </w:instrText>
            </w:r>
            <w:r>
              <w:rPr>
                <w:sz w:val="20"/>
                <w:szCs w:val="20"/>
              </w:rPr>
              <w:fldChar w:fldCharType="separate"/>
            </w:r>
            <w:r w:rsidRPr="00650859">
              <w:rPr>
                <w:rFonts w:cs="Calibri"/>
                <w:sz w:val="20"/>
              </w:rPr>
              <w:t>(Ampoorter et al., 2011)</w:t>
            </w:r>
            <w:r>
              <w:rPr>
                <w:sz w:val="20"/>
                <w:szCs w:val="20"/>
              </w:rPr>
              <w:fldChar w:fldCharType="end"/>
            </w:r>
          </w:p>
        </w:tc>
      </w:tr>
      <w:tr w:rsidR="00FC7AB5" w:rsidRPr="0000352D" w14:paraId="7ECBDC15" w14:textId="77777777" w:rsidTr="00627BB2">
        <w:trPr>
          <w:trHeight w:val="475"/>
        </w:trPr>
        <w:tc>
          <w:tcPr>
            <w:tcW w:w="1200" w:type="dxa"/>
            <w:vMerge/>
            <w:shd w:val="clear" w:color="auto" w:fill="D1D1D1" w:themeFill="background2" w:themeFillShade="E6"/>
            <w:vAlign w:val="center"/>
          </w:tcPr>
          <w:p w14:paraId="6E3FC892"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1FFE7B75" w14:textId="77777777" w:rsidR="00FC7AB5" w:rsidRPr="0000352D" w:rsidRDefault="00FC7AB5" w:rsidP="00FC7AB5">
            <w:pPr>
              <w:jc w:val="left"/>
              <w:rPr>
                <w:sz w:val="20"/>
                <w:szCs w:val="20"/>
              </w:rPr>
            </w:pPr>
          </w:p>
        </w:tc>
        <w:tc>
          <w:tcPr>
            <w:tcW w:w="748" w:type="dxa"/>
            <w:vMerge w:val="restart"/>
            <w:vAlign w:val="center"/>
          </w:tcPr>
          <w:p w14:paraId="00D2F912" w14:textId="77777777" w:rsidR="00FC7AB5" w:rsidRPr="0000352D" w:rsidRDefault="00FC7AB5" w:rsidP="00FC7AB5">
            <w:pPr>
              <w:jc w:val="center"/>
              <w:rPr>
                <w:sz w:val="20"/>
                <w:szCs w:val="20"/>
              </w:rPr>
            </w:pPr>
            <w:r>
              <w:rPr>
                <w:noProof/>
                <w:sz w:val="20"/>
                <w:szCs w:val="20"/>
              </w:rPr>
              <mc:AlternateContent>
                <mc:Choice Requires="wps">
                  <w:drawing>
                    <wp:inline distT="0" distB="0" distL="0" distR="0" wp14:anchorId="67565AEE" wp14:editId="76EB4475">
                      <wp:extent cx="94615" cy="153035"/>
                      <wp:effectExtent l="0" t="38100" r="57785" b="18415"/>
                      <wp:docPr id="138342296"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4933F1CF"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38A9D88B" w14:textId="77777777" w:rsidR="00FC7AB5" w:rsidRDefault="00FC7AB5" w:rsidP="00FC7AB5">
            <w:pPr>
              <w:jc w:val="left"/>
              <w:rPr>
                <w:rFonts w:cs="Calibri"/>
                <w:sz w:val="20"/>
                <w:szCs w:val="20"/>
              </w:rPr>
            </w:pPr>
            <w:proofErr w:type="spellStart"/>
            <w:r>
              <w:rPr>
                <w:sz w:val="20"/>
                <w:szCs w:val="20"/>
              </w:rPr>
              <w:t>Drainage</w:t>
            </w:r>
            <w:r>
              <w:rPr>
                <w:sz w:val="20"/>
                <w:szCs w:val="20"/>
                <w:vertAlign w:val="subscript"/>
              </w:rPr>
              <w:t>qualité</w:t>
            </w:r>
            <w:proofErr w:type="spellEnd"/>
          </w:p>
        </w:tc>
        <w:tc>
          <w:tcPr>
            <w:tcW w:w="4252" w:type="dxa"/>
            <w:vMerge w:val="restart"/>
            <w:vAlign w:val="center"/>
          </w:tcPr>
          <w:p w14:paraId="66E51E64" w14:textId="3B45EFB8" w:rsidR="00FC7AB5" w:rsidRDefault="00FC7AB5" w:rsidP="00FC7AB5">
            <w:pPr>
              <w:jc w:val="left"/>
              <w:rPr>
                <w:sz w:val="20"/>
                <w:szCs w:val="20"/>
              </w:rPr>
            </w:pPr>
            <w:r>
              <w:rPr>
                <w:sz w:val="20"/>
                <w:szCs w:val="20"/>
              </w:rPr>
              <w:t xml:space="preserve">Appréciation du drainage pour 2 ensembles texturaux sur base de la présence et profondeur d’apparition des taches d’hydromorphie selon la </w:t>
            </w:r>
            <w:r w:rsidRPr="009976A0">
              <w:rPr>
                <w:sz w:val="20"/>
                <w:szCs w:val="20"/>
              </w:rPr>
              <w:t>Légende de la Carte Numérique des Sols de Wallonie</w:t>
            </w:r>
            <w:r>
              <w:rPr>
                <w:sz w:val="20"/>
                <w:szCs w:val="20"/>
              </w:rPr>
              <w:t xml:space="preserve"> </w:t>
            </w:r>
            <w:r>
              <w:rPr>
                <w:sz w:val="20"/>
                <w:szCs w:val="20"/>
              </w:rPr>
              <w:fldChar w:fldCharType="begin"/>
            </w:r>
            <w:r>
              <w:rPr>
                <w:sz w:val="20"/>
                <w:szCs w:val="20"/>
              </w:rPr>
              <w:instrText xml:space="preserve"> ADDIN ZOTERO_ITEM CSL_CITATION {"citationID":"O7nz53ZP","properties":{"unsorted":false,"formattedCitation":"(Bah et al., 2007)","plainCitation":"(Bah et al., 2007)","noteIndex":0},"citationItems":[{"id":20,"uris":["http://zotero.org/groups/5684833/items/AHCVNBT5"],"itemData":{"id":20,"type":"report","publisher":"Faculté universitaire des Sciences agronomiques de Gembloux – Laboratoire de Géopédologie, en relation avec le PCNSW (convention pour le compte de la Région Wallonne – DGA)","title":"Légende de la Carte Numérique des Sols de Wallonie (Belgique) sur base de la légende originale de la Carte des sols de la Belgique de l’IRSIA à 1/20.000","URL":"https://www.fichierecologique.be/resources/LCNSW_V2.pdf","author":[{"family":"Bah","given":"B."},{"family":"Engels","given":"P."},{"family":"Legrain","given":"X."},{"family":"Colinet","given":"G."}],"issued":{"date-parts":[["2007",12]]}}}],"schema":"https://github.com/citation-style-language/schema/raw/master/csl-citation.json"} </w:instrText>
            </w:r>
            <w:r>
              <w:rPr>
                <w:sz w:val="20"/>
                <w:szCs w:val="20"/>
              </w:rPr>
              <w:fldChar w:fldCharType="separate"/>
            </w:r>
            <w:r w:rsidRPr="009976A0">
              <w:rPr>
                <w:rFonts w:cs="Calibri"/>
                <w:sz w:val="20"/>
              </w:rPr>
              <w:t>(Bah et al., 2007)</w:t>
            </w:r>
            <w:r>
              <w:rPr>
                <w:sz w:val="20"/>
                <w:szCs w:val="20"/>
              </w:rPr>
              <w:fldChar w:fldCharType="end"/>
            </w:r>
          </w:p>
        </w:tc>
      </w:tr>
      <w:tr w:rsidR="00FC7AB5" w:rsidRPr="0000352D" w14:paraId="70C66A72" w14:textId="77777777" w:rsidTr="00627BB2">
        <w:tc>
          <w:tcPr>
            <w:tcW w:w="1200" w:type="dxa"/>
            <w:vMerge/>
            <w:shd w:val="clear" w:color="auto" w:fill="D1D1D1" w:themeFill="background2" w:themeFillShade="E6"/>
            <w:vAlign w:val="center"/>
          </w:tcPr>
          <w:p w14:paraId="6DC71833"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09F83F10" w14:textId="77777777" w:rsidR="00FC7AB5" w:rsidRPr="0000352D" w:rsidRDefault="00FC7AB5" w:rsidP="00FC7AB5">
            <w:pPr>
              <w:jc w:val="left"/>
              <w:rPr>
                <w:sz w:val="20"/>
                <w:szCs w:val="20"/>
              </w:rPr>
            </w:pPr>
          </w:p>
        </w:tc>
        <w:tc>
          <w:tcPr>
            <w:tcW w:w="748" w:type="dxa"/>
            <w:vMerge/>
            <w:vAlign w:val="center"/>
          </w:tcPr>
          <w:p w14:paraId="1397F6E5" w14:textId="77777777" w:rsidR="00FC7AB5" w:rsidRPr="0000352D" w:rsidRDefault="00FC7AB5" w:rsidP="00FC7AB5">
            <w:pPr>
              <w:jc w:val="center"/>
              <w:rPr>
                <w:sz w:val="20"/>
                <w:szCs w:val="20"/>
              </w:rPr>
            </w:pPr>
          </w:p>
        </w:tc>
        <w:tc>
          <w:tcPr>
            <w:tcW w:w="1628" w:type="dxa"/>
            <w:shd w:val="clear" w:color="auto" w:fill="EFF5FB"/>
            <w:vAlign w:val="center"/>
          </w:tcPr>
          <w:p w14:paraId="47E77DDE" w14:textId="77777777" w:rsidR="00FC7AB5" w:rsidRDefault="00FC7AB5" w:rsidP="00FC7AB5">
            <w:pPr>
              <w:jc w:val="left"/>
              <w:rPr>
                <w:rFonts w:cs="Calibri"/>
                <w:sz w:val="20"/>
                <w:szCs w:val="20"/>
              </w:rPr>
            </w:pPr>
            <w:proofErr w:type="spellStart"/>
            <w:r>
              <w:rPr>
                <w:sz w:val="20"/>
                <w:szCs w:val="20"/>
              </w:rPr>
              <w:t>Drainage</w:t>
            </w:r>
            <w:r>
              <w:rPr>
                <w:sz w:val="20"/>
                <w:szCs w:val="20"/>
                <w:vertAlign w:val="subscript"/>
              </w:rPr>
              <w:t>santé</w:t>
            </w:r>
            <w:proofErr w:type="spellEnd"/>
          </w:p>
        </w:tc>
        <w:tc>
          <w:tcPr>
            <w:tcW w:w="4252" w:type="dxa"/>
            <w:vMerge/>
            <w:vAlign w:val="center"/>
          </w:tcPr>
          <w:p w14:paraId="16D47CDA" w14:textId="77777777" w:rsidR="00FC7AB5" w:rsidRDefault="00FC7AB5" w:rsidP="00FC7AB5">
            <w:pPr>
              <w:jc w:val="left"/>
              <w:rPr>
                <w:sz w:val="20"/>
                <w:szCs w:val="20"/>
              </w:rPr>
            </w:pPr>
          </w:p>
        </w:tc>
      </w:tr>
      <w:tr w:rsidR="00FC7AB5" w:rsidRPr="0000352D" w14:paraId="76A0A9D1" w14:textId="77777777" w:rsidTr="00627BB2">
        <w:tc>
          <w:tcPr>
            <w:tcW w:w="1200" w:type="dxa"/>
            <w:vMerge/>
            <w:shd w:val="clear" w:color="auto" w:fill="D1D1D1" w:themeFill="background2" w:themeFillShade="E6"/>
            <w:vAlign w:val="center"/>
          </w:tcPr>
          <w:p w14:paraId="06EE7A8C"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05E00C54" w14:textId="77777777" w:rsidR="00FC7AB5" w:rsidRDefault="00FC7AB5" w:rsidP="00FC7AB5">
            <w:pPr>
              <w:jc w:val="left"/>
              <w:rPr>
                <w:sz w:val="20"/>
                <w:szCs w:val="20"/>
              </w:rPr>
            </w:pPr>
          </w:p>
        </w:tc>
        <w:tc>
          <w:tcPr>
            <w:tcW w:w="748" w:type="dxa"/>
            <w:vMerge w:val="restart"/>
            <w:vAlign w:val="center"/>
          </w:tcPr>
          <w:p w14:paraId="7F45A038" w14:textId="77777777" w:rsidR="00FC7AB5" w:rsidRDefault="00FC7AB5" w:rsidP="00FC7AB5">
            <w:pPr>
              <w:jc w:val="center"/>
              <w:rPr>
                <w:sz w:val="20"/>
                <w:szCs w:val="20"/>
              </w:rPr>
            </w:pPr>
            <w:r>
              <w:rPr>
                <w:noProof/>
                <w:sz w:val="20"/>
                <w:szCs w:val="20"/>
              </w:rPr>
              <mc:AlternateContent>
                <mc:Choice Requires="wps">
                  <w:drawing>
                    <wp:inline distT="0" distB="0" distL="0" distR="0" wp14:anchorId="3AAE4134" wp14:editId="4A0835BE">
                      <wp:extent cx="94615" cy="153035"/>
                      <wp:effectExtent l="0" t="38100" r="57785" b="18415"/>
                      <wp:docPr id="509885113"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44A7CBC3"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2D207CE8" w14:textId="77777777" w:rsidR="00FC7AB5" w:rsidRDefault="00FC7AB5" w:rsidP="00FC7AB5">
            <w:pPr>
              <w:jc w:val="left"/>
              <w:rPr>
                <w:sz w:val="20"/>
                <w:szCs w:val="20"/>
              </w:rPr>
            </w:pPr>
            <w:proofErr w:type="spellStart"/>
            <w:r>
              <w:rPr>
                <w:sz w:val="20"/>
                <w:szCs w:val="20"/>
              </w:rPr>
              <w:t>C</w:t>
            </w:r>
            <w:r>
              <w:rPr>
                <w:sz w:val="20"/>
                <w:szCs w:val="20"/>
                <w:vertAlign w:val="subscript"/>
              </w:rPr>
              <w:t>org</w:t>
            </w:r>
            <w:proofErr w:type="spellEnd"/>
            <w:r>
              <w:rPr>
                <w:sz w:val="20"/>
                <w:szCs w:val="20"/>
              </w:rPr>
              <w:t>/</w:t>
            </w:r>
            <w:proofErr w:type="spellStart"/>
            <w:r>
              <w:rPr>
                <w:sz w:val="20"/>
                <w:szCs w:val="20"/>
              </w:rPr>
              <w:t>argile</w:t>
            </w:r>
            <w:r>
              <w:rPr>
                <w:sz w:val="20"/>
                <w:szCs w:val="20"/>
                <w:vertAlign w:val="subscript"/>
              </w:rPr>
              <w:t>qualité</w:t>
            </w:r>
            <w:proofErr w:type="spellEnd"/>
          </w:p>
        </w:tc>
        <w:tc>
          <w:tcPr>
            <w:tcW w:w="4252" w:type="dxa"/>
            <w:shd w:val="clear" w:color="auto" w:fill="F2F9EB"/>
            <w:vAlign w:val="center"/>
          </w:tcPr>
          <w:p w14:paraId="52648DCC" w14:textId="77777777" w:rsidR="00FC7AB5" w:rsidRPr="0000352D" w:rsidRDefault="00FC7AB5" w:rsidP="00FC7AB5">
            <w:pPr>
              <w:jc w:val="left"/>
              <w:rPr>
                <w:sz w:val="20"/>
                <w:szCs w:val="20"/>
              </w:rPr>
            </w:pPr>
            <w:r>
              <w:rPr>
                <w:sz w:val="20"/>
                <w:szCs w:val="20"/>
              </w:rPr>
              <w:t xml:space="preserve">Valeurs optimales en lien avec une bonne qualité structurale </w:t>
            </w:r>
            <w:r>
              <w:rPr>
                <w:sz w:val="20"/>
                <w:szCs w:val="20"/>
              </w:rPr>
              <w:fldChar w:fldCharType="begin"/>
            </w:r>
            <w:r>
              <w:rPr>
                <w:sz w:val="20"/>
                <w:szCs w:val="20"/>
              </w:rPr>
              <w:instrText xml:space="preserve"> ADDIN ZOTERO_ITEM CSL_CITATION {"citationID":"6rGq8gPy","properties":{"unsorted":false,"formattedCitation":"(Johannes et al., 2017)","plainCitation":"(Johannes et al., 2017)","noteIndex":0},"citationItems":[{"id":578,"uris":["http://zotero.org/groups/5684833/items/7DIUTBLP"],"itemData":{"id":578,"type":"article-journal","abstract":"Most soil structure-related physical properties are correlated to soil organic carbon (SOC) content. Texture, mineralogy, and SOC:clay ratio are also acknowledged to affect physical properties, however there is no consensus or general conclusions in this respect. Against this background, the present study aims at determining objectives for the management of SOC in terms of structural quality of agricultural soils. The large area in which 161 free-to-swell undisturbed samples were obtained for this research represents a major part of the Swiss agricultural land and belongs to one broad soil group (Cambi-Luvisols). The structural quality was scored visually, and bulk volumes (inverse of bulk density) were measured at standard matric potentials. To define the effect of SOC without interference of soil mechanical degradation, soils with good structural quality scores were considered first in studying the relationship between SOC and soil pore volumes. Results suggest that the relationship is always linear, irrespective of the clay content of the soils. No optimum of SOC corresponding to a fraction of the clay content is found, contrary to the theory of “complexed organic carbon” (Dexter et al., 2008). However, the SOC:clay ratio decreases with decreasing soil structure quality. The SOC:clay ratio of 1:8 is the average for a very good structure quality. A SOC:clay ratio of 1:10 is the limit between good and medium structural quality, thus it constitutes a reasonable goal for soil management by farmers. A SOC:clay ratio of 1:8 or smaller leads to a high probability of poor structural state. These ratios can be used as criteria for soil structural quality and SOC management, and in that context, the concept of complexed organic carbon appears relevant.","container-title":"Geoderma","DOI":"10.1016/j.geoderma.2017.04.021","ISSN":"0016-7061","journalAbbreviation":"Geoderma","page":"14-21","source":"ScienceDirect","title":"Optimal organic carbon values for soil structure quality of arable soils. Does clay content matter?","volume":"302","author":[{"family":"Johannes","given":"Alice"},{"family":"Matter","given":"Adrien"},{"family":"Schulin","given":"Rainer"},{"family":"Weisskopf","given":"Peter"},{"family":"Baveye","given":"Philippe C."},{"family":"Boivin","given":"Pascal"}],"issued":{"date-parts":[["2017",9,15]]}}}],"schema":"https://github.com/citation-style-language/schema/raw/master/csl-citation.json"} </w:instrText>
            </w:r>
            <w:r>
              <w:rPr>
                <w:sz w:val="20"/>
                <w:szCs w:val="20"/>
              </w:rPr>
              <w:fldChar w:fldCharType="separate"/>
            </w:r>
            <w:r w:rsidRPr="007A5ABF">
              <w:rPr>
                <w:rFonts w:cs="Calibri"/>
                <w:sz w:val="20"/>
              </w:rPr>
              <w:t>(Johannes et al., 2017)</w:t>
            </w:r>
            <w:r>
              <w:rPr>
                <w:sz w:val="20"/>
                <w:szCs w:val="20"/>
              </w:rPr>
              <w:fldChar w:fldCharType="end"/>
            </w:r>
          </w:p>
        </w:tc>
      </w:tr>
      <w:tr w:rsidR="00FC7AB5" w:rsidRPr="0000352D" w14:paraId="64AD3562" w14:textId="77777777" w:rsidTr="00627BB2">
        <w:tc>
          <w:tcPr>
            <w:tcW w:w="1200" w:type="dxa"/>
            <w:vMerge/>
            <w:shd w:val="clear" w:color="auto" w:fill="D1D1D1" w:themeFill="background2" w:themeFillShade="E6"/>
            <w:vAlign w:val="center"/>
          </w:tcPr>
          <w:p w14:paraId="0C9FA78C"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63EB59A2" w14:textId="77777777" w:rsidR="00FC7AB5" w:rsidRDefault="00FC7AB5" w:rsidP="00FC7AB5">
            <w:pPr>
              <w:jc w:val="left"/>
              <w:rPr>
                <w:sz w:val="20"/>
                <w:szCs w:val="20"/>
              </w:rPr>
            </w:pPr>
          </w:p>
        </w:tc>
        <w:tc>
          <w:tcPr>
            <w:tcW w:w="748" w:type="dxa"/>
            <w:vMerge/>
            <w:tcBorders>
              <w:bottom w:val="single" w:sz="18" w:space="0" w:color="auto"/>
            </w:tcBorders>
            <w:vAlign w:val="center"/>
          </w:tcPr>
          <w:p w14:paraId="56DA8965" w14:textId="77777777" w:rsidR="00FC7AB5" w:rsidRDefault="00FC7AB5" w:rsidP="00FC7AB5">
            <w:pPr>
              <w:jc w:val="center"/>
              <w:rPr>
                <w:sz w:val="20"/>
                <w:szCs w:val="20"/>
              </w:rPr>
            </w:pPr>
          </w:p>
        </w:tc>
        <w:tc>
          <w:tcPr>
            <w:tcW w:w="1628" w:type="dxa"/>
            <w:tcBorders>
              <w:bottom w:val="single" w:sz="18" w:space="0" w:color="auto"/>
            </w:tcBorders>
            <w:shd w:val="clear" w:color="auto" w:fill="EFF5FB"/>
            <w:vAlign w:val="center"/>
          </w:tcPr>
          <w:p w14:paraId="18D5D6F6" w14:textId="77777777" w:rsidR="00FC7AB5" w:rsidRDefault="00FC7AB5" w:rsidP="00FC7AB5">
            <w:pPr>
              <w:jc w:val="left"/>
              <w:rPr>
                <w:sz w:val="20"/>
                <w:szCs w:val="20"/>
              </w:rPr>
            </w:pPr>
            <w:proofErr w:type="spellStart"/>
            <w:r>
              <w:rPr>
                <w:sz w:val="20"/>
                <w:szCs w:val="20"/>
              </w:rPr>
              <w:t>C</w:t>
            </w:r>
            <w:r>
              <w:rPr>
                <w:sz w:val="20"/>
                <w:szCs w:val="20"/>
                <w:vertAlign w:val="subscript"/>
              </w:rPr>
              <w:t>org</w:t>
            </w:r>
            <w:proofErr w:type="spellEnd"/>
            <w:r>
              <w:rPr>
                <w:sz w:val="20"/>
                <w:szCs w:val="20"/>
              </w:rPr>
              <w:t>/</w:t>
            </w:r>
            <w:proofErr w:type="spellStart"/>
            <w:r>
              <w:rPr>
                <w:sz w:val="20"/>
                <w:szCs w:val="20"/>
              </w:rPr>
              <w:t>argile</w:t>
            </w:r>
            <w:r>
              <w:rPr>
                <w:sz w:val="20"/>
                <w:szCs w:val="20"/>
                <w:vertAlign w:val="subscript"/>
              </w:rPr>
              <w:t>santé</w:t>
            </w:r>
            <w:proofErr w:type="spellEnd"/>
          </w:p>
        </w:tc>
        <w:tc>
          <w:tcPr>
            <w:tcW w:w="4252" w:type="dxa"/>
            <w:tcBorders>
              <w:bottom w:val="single" w:sz="18" w:space="0" w:color="auto"/>
            </w:tcBorders>
            <w:shd w:val="clear" w:color="auto" w:fill="EFF5FB"/>
            <w:vAlign w:val="center"/>
          </w:tcPr>
          <w:p w14:paraId="5EA46B17" w14:textId="4525E643" w:rsidR="00FC7AB5" w:rsidRPr="0000352D" w:rsidRDefault="00FC7AB5" w:rsidP="00FC7AB5">
            <w:pPr>
              <w:jc w:val="left"/>
              <w:rPr>
                <w:sz w:val="20"/>
                <w:szCs w:val="20"/>
              </w:rPr>
            </w:pPr>
            <w:r>
              <w:rPr>
                <w:sz w:val="20"/>
                <w:szCs w:val="20"/>
              </w:rPr>
              <w:t>Comparaison à la valeur potentielle atteignable en fonction de la classe texturale (sur base de MO potentielle)</w:t>
            </w:r>
          </w:p>
        </w:tc>
      </w:tr>
      <w:tr w:rsidR="00FC7AB5" w:rsidRPr="0000352D" w14:paraId="5FD4F522" w14:textId="77777777" w:rsidTr="00627BB2">
        <w:tc>
          <w:tcPr>
            <w:tcW w:w="1200" w:type="dxa"/>
            <w:vMerge w:val="restart"/>
            <w:tcBorders>
              <w:top w:val="single" w:sz="18" w:space="0" w:color="auto"/>
            </w:tcBorders>
            <w:shd w:val="clear" w:color="auto" w:fill="D1D1D1" w:themeFill="background2" w:themeFillShade="E6"/>
            <w:vAlign w:val="center"/>
          </w:tcPr>
          <w:p w14:paraId="63E5DD3F" w14:textId="77777777" w:rsidR="00FC7AB5" w:rsidRPr="00261C30" w:rsidRDefault="00FC7AB5" w:rsidP="00FC7AB5">
            <w:pPr>
              <w:jc w:val="left"/>
              <w:rPr>
                <w:b/>
                <w:bCs/>
                <w:sz w:val="20"/>
                <w:szCs w:val="20"/>
              </w:rPr>
            </w:pPr>
            <w:r w:rsidRPr="00261C30">
              <w:rPr>
                <w:b/>
                <w:bCs/>
                <w:sz w:val="20"/>
                <w:szCs w:val="20"/>
              </w:rPr>
              <w:t>Infiltration</w:t>
            </w:r>
          </w:p>
        </w:tc>
        <w:tc>
          <w:tcPr>
            <w:tcW w:w="1239" w:type="dxa"/>
            <w:vMerge w:val="restart"/>
            <w:tcBorders>
              <w:top w:val="single" w:sz="18" w:space="0" w:color="auto"/>
            </w:tcBorders>
            <w:shd w:val="clear" w:color="auto" w:fill="F2F2F2" w:themeFill="background1" w:themeFillShade="F2"/>
            <w:vAlign w:val="center"/>
          </w:tcPr>
          <w:p w14:paraId="0465A244" w14:textId="77777777" w:rsidR="00FC7AB5" w:rsidRPr="0000352D" w:rsidRDefault="00FC7AB5" w:rsidP="00FC7AB5">
            <w:pPr>
              <w:jc w:val="left"/>
              <w:rPr>
                <w:sz w:val="20"/>
                <w:szCs w:val="20"/>
              </w:rPr>
            </w:pPr>
            <w:r>
              <w:rPr>
                <w:sz w:val="20"/>
                <w:szCs w:val="20"/>
              </w:rPr>
              <w:t>Infiltration</w:t>
            </w:r>
          </w:p>
        </w:tc>
        <w:tc>
          <w:tcPr>
            <w:tcW w:w="748" w:type="dxa"/>
            <w:vMerge w:val="restart"/>
            <w:tcBorders>
              <w:top w:val="single" w:sz="18" w:space="0" w:color="auto"/>
            </w:tcBorders>
            <w:vAlign w:val="center"/>
          </w:tcPr>
          <w:p w14:paraId="4A0EBF27" w14:textId="77777777" w:rsidR="00FC7AB5" w:rsidRPr="0000352D" w:rsidRDefault="00FC7AB5" w:rsidP="00FC7AB5">
            <w:pPr>
              <w:jc w:val="center"/>
              <w:rPr>
                <w:sz w:val="20"/>
                <w:szCs w:val="20"/>
              </w:rPr>
            </w:pPr>
            <w:r>
              <w:rPr>
                <w:noProof/>
                <w:sz w:val="20"/>
                <w:szCs w:val="20"/>
              </w:rPr>
              <mc:AlternateContent>
                <mc:Choice Requires="wps">
                  <w:drawing>
                    <wp:inline distT="0" distB="0" distL="0" distR="0" wp14:anchorId="3802894C" wp14:editId="545A0931">
                      <wp:extent cx="94615" cy="153035"/>
                      <wp:effectExtent l="0" t="38100" r="57785" b="18415"/>
                      <wp:docPr id="2143989202"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3F8B60A6"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tcBorders>
              <w:top w:val="single" w:sz="18" w:space="0" w:color="auto"/>
            </w:tcBorders>
            <w:shd w:val="clear" w:color="auto" w:fill="F2F9EB"/>
            <w:vAlign w:val="center"/>
          </w:tcPr>
          <w:p w14:paraId="32C81AB4" w14:textId="77777777" w:rsidR="00FC7AB5" w:rsidRDefault="00FC7AB5" w:rsidP="00FC7AB5">
            <w:pPr>
              <w:jc w:val="left"/>
              <w:rPr>
                <w:rFonts w:cs="Calibri"/>
                <w:sz w:val="20"/>
                <w:szCs w:val="20"/>
              </w:rPr>
            </w:pPr>
            <w:proofErr w:type="spellStart"/>
            <w:r>
              <w:rPr>
                <w:sz w:val="20"/>
                <w:szCs w:val="20"/>
              </w:rPr>
              <w:t>Ksat</w:t>
            </w:r>
            <w:r>
              <w:rPr>
                <w:sz w:val="20"/>
                <w:szCs w:val="20"/>
                <w:vertAlign w:val="subscript"/>
              </w:rPr>
              <w:t>qualité</w:t>
            </w:r>
            <w:proofErr w:type="spellEnd"/>
          </w:p>
        </w:tc>
        <w:tc>
          <w:tcPr>
            <w:tcW w:w="4252" w:type="dxa"/>
            <w:tcBorders>
              <w:top w:val="single" w:sz="18" w:space="0" w:color="auto"/>
            </w:tcBorders>
            <w:shd w:val="clear" w:color="auto" w:fill="F2F9EB"/>
            <w:vAlign w:val="center"/>
          </w:tcPr>
          <w:p w14:paraId="41B53592" w14:textId="77777777" w:rsidR="00FC7AB5" w:rsidRDefault="00FC7AB5" w:rsidP="00FC7AB5">
            <w:pPr>
              <w:jc w:val="left"/>
              <w:rPr>
                <w:sz w:val="20"/>
                <w:szCs w:val="20"/>
              </w:rPr>
            </w:pPr>
            <w:r w:rsidRPr="0000352D">
              <w:rPr>
                <w:sz w:val="20"/>
                <w:szCs w:val="20"/>
              </w:rPr>
              <w:t xml:space="preserve">Valeurs optimales </w:t>
            </w:r>
            <w:r>
              <w:rPr>
                <w:sz w:val="20"/>
                <w:szCs w:val="20"/>
              </w:rPr>
              <w:fldChar w:fldCharType="begin"/>
            </w:r>
            <w:r>
              <w:rPr>
                <w:sz w:val="20"/>
                <w:szCs w:val="20"/>
              </w:rPr>
              <w:instrText xml:space="preserve"> ADDIN ZOTERO_ITEM CSL_CITATION {"citationID":"Mp76CDwS","properties":{"unsorted":false,"formattedCitation":"(O\\uc0\\u8217{}Geen, 2013)","plainCitation":"(O’Geen, 2013)","noteIndex":0},"citationItems":[{"id":400,"uris":["http://zotero.org/groups/5684833/items/UVXZIBTE"],"itemData":{"id":400,"type":"document","abstract":"What are the relationships between soil moisture storage, soil water flow, and soil properties?","language":"en","note":"Cg_cat: Soil Water Dynamics\nCg_level: MED\nCg_topic: Soil Water Dynamics","publisher":"Nature Education Knowledge 4(5):9","title":"Soil Water Dynamics","URL":"https://www.nature.com/scitable/knowledge/library/soil-water-dynamics-103089121/","author":[{"family":"O'Geen","given":"A. T."}],"accessed":{"date-parts":[["2026",2,3]]},"issued":{"date-parts":[["2013"]]}}}],"schema":"https://github.com/citation-style-language/schema/raw/master/csl-citation.json"} </w:instrText>
            </w:r>
            <w:r>
              <w:rPr>
                <w:sz w:val="20"/>
                <w:szCs w:val="20"/>
              </w:rPr>
              <w:fldChar w:fldCharType="separate"/>
            </w:r>
            <w:r w:rsidRPr="00992E8E">
              <w:rPr>
                <w:rFonts w:cs="Calibri"/>
                <w:kern w:val="0"/>
                <w:sz w:val="20"/>
              </w:rPr>
              <w:t>(O’Geen, 2013)</w:t>
            </w:r>
            <w:r>
              <w:rPr>
                <w:sz w:val="20"/>
                <w:szCs w:val="20"/>
              </w:rPr>
              <w:fldChar w:fldCharType="end"/>
            </w:r>
          </w:p>
        </w:tc>
      </w:tr>
      <w:tr w:rsidR="00FC7AB5" w:rsidRPr="0000352D" w14:paraId="76DFE350" w14:textId="77777777" w:rsidTr="00627BB2">
        <w:tc>
          <w:tcPr>
            <w:tcW w:w="1200" w:type="dxa"/>
            <w:vMerge/>
            <w:shd w:val="clear" w:color="auto" w:fill="D1D1D1" w:themeFill="background2" w:themeFillShade="E6"/>
            <w:vAlign w:val="center"/>
          </w:tcPr>
          <w:p w14:paraId="07CD040E"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5F21335F" w14:textId="77777777" w:rsidR="00FC7AB5" w:rsidRPr="0000352D" w:rsidRDefault="00FC7AB5" w:rsidP="00FC7AB5">
            <w:pPr>
              <w:jc w:val="left"/>
              <w:rPr>
                <w:sz w:val="20"/>
                <w:szCs w:val="20"/>
              </w:rPr>
            </w:pPr>
          </w:p>
        </w:tc>
        <w:tc>
          <w:tcPr>
            <w:tcW w:w="748" w:type="dxa"/>
            <w:vMerge/>
            <w:vAlign w:val="center"/>
          </w:tcPr>
          <w:p w14:paraId="17BCBCC0" w14:textId="77777777" w:rsidR="00FC7AB5" w:rsidRPr="0000352D" w:rsidRDefault="00FC7AB5" w:rsidP="00FC7AB5">
            <w:pPr>
              <w:jc w:val="center"/>
              <w:rPr>
                <w:sz w:val="20"/>
                <w:szCs w:val="20"/>
              </w:rPr>
            </w:pPr>
          </w:p>
        </w:tc>
        <w:tc>
          <w:tcPr>
            <w:tcW w:w="1628" w:type="dxa"/>
            <w:shd w:val="clear" w:color="auto" w:fill="EFF5FB"/>
            <w:vAlign w:val="center"/>
          </w:tcPr>
          <w:p w14:paraId="3EA1C12E" w14:textId="77777777" w:rsidR="00FC7AB5" w:rsidRDefault="00FC7AB5" w:rsidP="00FC7AB5">
            <w:pPr>
              <w:jc w:val="left"/>
              <w:rPr>
                <w:rFonts w:cs="Calibri"/>
                <w:sz w:val="20"/>
                <w:szCs w:val="20"/>
              </w:rPr>
            </w:pPr>
            <w:proofErr w:type="spellStart"/>
            <w:r>
              <w:rPr>
                <w:sz w:val="20"/>
                <w:szCs w:val="20"/>
              </w:rPr>
              <w:t>Ksat</w:t>
            </w:r>
            <w:r>
              <w:rPr>
                <w:sz w:val="20"/>
                <w:szCs w:val="20"/>
                <w:vertAlign w:val="subscript"/>
              </w:rPr>
              <w:t>santé</w:t>
            </w:r>
            <w:proofErr w:type="spellEnd"/>
          </w:p>
        </w:tc>
        <w:tc>
          <w:tcPr>
            <w:tcW w:w="4252" w:type="dxa"/>
            <w:shd w:val="clear" w:color="auto" w:fill="EFF5FB"/>
            <w:vAlign w:val="center"/>
          </w:tcPr>
          <w:p w14:paraId="5E7CDAB9" w14:textId="77777777" w:rsidR="00FC7AB5" w:rsidRDefault="00FC7AB5" w:rsidP="00FC7AB5">
            <w:pPr>
              <w:jc w:val="left"/>
              <w:rPr>
                <w:sz w:val="20"/>
                <w:szCs w:val="20"/>
              </w:rPr>
            </w:pPr>
            <w:r w:rsidRPr="0000352D">
              <w:rPr>
                <w:sz w:val="20"/>
                <w:szCs w:val="20"/>
              </w:rPr>
              <w:t xml:space="preserve">Valeurs </w:t>
            </w:r>
            <w:r>
              <w:rPr>
                <w:sz w:val="20"/>
                <w:szCs w:val="20"/>
              </w:rPr>
              <w:t>moyennes</w:t>
            </w:r>
            <w:r w:rsidRPr="0000352D">
              <w:rPr>
                <w:sz w:val="20"/>
                <w:szCs w:val="20"/>
              </w:rPr>
              <w:t xml:space="preserve"> </w:t>
            </w:r>
            <w:r>
              <w:rPr>
                <w:sz w:val="20"/>
                <w:szCs w:val="20"/>
              </w:rPr>
              <w:t xml:space="preserve">par classe texturale </w:t>
            </w:r>
            <w:r>
              <w:rPr>
                <w:sz w:val="20"/>
                <w:szCs w:val="20"/>
              </w:rPr>
              <w:fldChar w:fldCharType="begin"/>
            </w:r>
            <w:r>
              <w:rPr>
                <w:sz w:val="20"/>
                <w:szCs w:val="20"/>
              </w:rPr>
              <w:instrText xml:space="preserve"> ADDIN ZOTERO_ITEM CSL_CITATION {"citationID":"eZQ3kfGq","properties":{"unsorted":false,"formattedCitation":"(O\\uc0\\u8217{}Geen, 2013)","plainCitation":"(O’Geen, 2013)","noteIndex":0},"citationItems":[{"id":400,"uris":["http://zotero.org/groups/5684833/items/UVXZIBTE"],"itemData":{"id":400,"type":"document","abstract":"What are the relationships between soil moisture storage, soil water flow, and soil properties?","language":"en","note":"Cg_cat: Soil Water Dynamics\nCg_level: MED\nCg_topic: Soil Water Dynamics","publisher":"Nature Education Knowledge 4(5):9","title":"Soil Water Dynamics","URL":"https://www.nature.com/scitable/knowledge/library/soil-water-dynamics-103089121/","author":[{"family":"O'Geen","given":"A. T."}],"accessed":{"date-parts":[["2026",2,3]]},"issued":{"date-parts":[["2013"]]}}}],"schema":"https://github.com/citation-style-language/schema/raw/master/csl-citation.json"} </w:instrText>
            </w:r>
            <w:r>
              <w:rPr>
                <w:sz w:val="20"/>
                <w:szCs w:val="20"/>
              </w:rPr>
              <w:fldChar w:fldCharType="separate"/>
            </w:r>
            <w:r w:rsidRPr="00992E8E">
              <w:rPr>
                <w:rFonts w:cs="Calibri"/>
                <w:kern w:val="0"/>
                <w:sz w:val="20"/>
              </w:rPr>
              <w:t>(O’Geen, 2013)</w:t>
            </w:r>
            <w:r>
              <w:rPr>
                <w:sz w:val="20"/>
                <w:szCs w:val="20"/>
              </w:rPr>
              <w:fldChar w:fldCharType="end"/>
            </w:r>
          </w:p>
        </w:tc>
      </w:tr>
      <w:tr w:rsidR="00FC7AB5" w:rsidRPr="0000352D" w14:paraId="5103F38E" w14:textId="77777777" w:rsidTr="00627BB2">
        <w:trPr>
          <w:trHeight w:val="740"/>
        </w:trPr>
        <w:tc>
          <w:tcPr>
            <w:tcW w:w="1200" w:type="dxa"/>
            <w:vMerge/>
            <w:shd w:val="clear" w:color="auto" w:fill="D1D1D1" w:themeFill="background2" w:themeFillShade="E6"/>
            <w:vAlign w:val="center"/>
          </w:tcPr>
          <w:p w14:paraId="06207ACA" w14:textId="77777777" w:rsidR="00FC7AB5" w:rsidRPr="00261C30" w:rsidRDefault="00FC7AB5" w:rsidP="00FC7AB5">
            <w:pPr>
              <w:jc w:val="left"/>
              <w:rPr>
                <w:b/>
                <w:bCs/>
                <w:sz w:val="20"/>
                <w:szCs w:val="20"/>
              </w:rPr>
            </w:pPr>
          </w:p>
        </w:tc>
        <w:tc>
          <w:tcPr>
            <w:tcW w:w="1239" w:type="dxa"/>
            <w:vMerge w:val="restart"/>
            <w:shd w:val="clear" w:color="auto" w:fill="F2F2F2" w:themeFill="background1" w:themeFillShade="F2"/>
            <w:vAlign w:val="center"/>
          </w:tcPr>
          <w:p w14:paraId="27133B46" w14:textId="77777777" w:rsidR="00FC7AB5" w:rsidRPr="0000352D" w:rsidRDefault="00FC7AB5" w:rsidP="00FC7AB5">
            <w:pPr>
              <w:jc w:val="left"/>
              <w:rPr>
                <w:sz w:val="20"/>
                <w:szCs w:val="20"/>
              </w:rPr>
            </w:pPr>
            <w:r>
              <w:rPr>
                <w:sz w:val="20"/>
                <w:szCs w:val="20"/>
              </w:rPr>
              <w:t>Drainage</w:t>
            </w:r>
          </w:p>
        </w:tc>
        <w:tc>
          <w:tcPr>
            <w:tcW w:w="748" w:type="dxa"/>
            <w:vMerge w:val="restart"/>
            <w:vAlign w:val="center"/>
          </w:tcPr>
          <w:p w14:paraId="27D5C67F" w14:textId="77777777" w:rsidR="00FC7AB5" w:rsidRPr="0000352D" w:rsidRDefault="00FC7AB5" w:rsidP="00FC7AB5">
            <w:pPr>
              <w:jc w:val="center"/>
              <w:rPr>
                <w:sz w:val="20"/>
                <w:szCs w:val="20"/>
              </w:rPr>
            </w:pPr>
            <w:r>
              <w:rPr>
                <w:noProof/>
                <w:sz w:val="20"/>
                <w:szCs w:val="20"/>
              </w:rPr>
              <mc:AlternateContent>
                <mc:Choice Requires="wps">
                  <w:drawing>
                    <wp:inline distT="0" distB="0" distL="0" distR="0" wp14:anchorId="1D1F7BD0" wp14:editId="5BDD9A53">
                      <wp:extent cx="94615" cy="153035"/>
                      <wp:effectExtent l="0" t="38100" r="57785" b="18415"/>
                      <wp:docPr id="1975038732"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63D800DE"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4F2CB65A" w14:textId="77777777" w:rsidR="00FC7AB5" w:rsidRDefault="00FC7AB5" w:rsidP="00FC7AB5">
            <w:pPr>
              <w:jc w:val="left"/>
              <w:rPr>
                <w:rFonts w:cs="Calibri"/>
                <w:sz w:val="20"/>
                <w:szCs w:val="20"/>
              </w:rPr>
            </w:pPr>
            <w:proofErr w:type="spellStart"/>
            <w:r>
              <w:rPr>
                <w:sz w:val="20"/>
                <w:szCs w:val="20"/>
              </w:rPr>
              <w:t>Drainage</w:t>
            </w:r>
            <w:r>
              <w:rPr>
                <w:sz w:val="20"/>
                <w:szCs w:val="20"/>
                <w:vertAlign w:val="subscript"/>
              </w:rPr>
              <w:t>qualité</w:t>
            </w:r>
            <w:proofErr w:type="spellEnd"/>
          </w:p>
        </w:tc>
        <w:tc>
          <w:tcPr>
            <w:tcW w:w="4252" w:type="dxa"/>
            <w:vMerge w:val="restart"/>
            <w:vAlign w:val="center"/>
          </w:tcPr>
          <w:p w14:paraId="015C67BA" w14:textId="09BAC92A" w:rsidR="00FC7AB5" w:rsidRDefault="00FC7AB5" w:rsidP="00FC7AB5">
            <w:pPr>
              <w:jc w:val="left"/>
              <w:rPr>
                <w:sz w:val="20"/>
                <w:szCs w:val="20"/>
              </w:rPr>
            </w:pPr>
            <w:r>
              <w:rPr>
                <w:sz w:val="20"/>
                <w:szCs w:val="20"/>
              </w:rPr>
              <w:t xml:space="preserve">Appréciation du drainage pour 2 ensembles texturaux sur base de la présence et profondeur d’apparition des taches d’hydromorphie selon la </w:t>
            </w:r>
            <w:r w:rsidRPr="009976A0">
              <w:rPr>
                <w:sz w:val="20"/>
                <w:szCs w:val="20"/>
              </w:rPr>
              <w:t>Légende de la Carte Numérique des Sols de Wallonie</w:t>
            </w:r>
            <w:r>
              <w:rPr>
                <w:sz w:val="20"/>
                <w:szCs w:val="20"/>
              </w:rPr>
              <w:t xml:space="preserve"> </w:t>
            </w:r>
            <w:r>
              <w:rPr>
                <w:sz w:val="20"/>
                <w:szCs w:val="20"/>
              </w:rPr>
              <w:fldChar w:fldCharType="begin"/>
            </w:r>
            <w:r>
              <w:rPr>
                <w:sz w:val="20"/>
                <w:szCs w:val="20"/>
              </w:rPr>
              <w:instrText xml:space="preserve"> ADDIN ZOTERO_ITEM CSL_CITATION {"citationID":"9NnH9vBr","properties":{"unsorted":false,"formattedCitation":"(Bah et al., 2007)","plainCitation":"(Bah et al., 2007)","noteIndex":0},"citationItems":[{"id":20,"uris":["http://zotero.org/groups/5684833/items/AHCVNBT5"],"itemData":{"id":20,"type":"report","publisher":"Faculté universitaire des Sciences agronomiques de Gembloux – Laboratoire de Géopédologie, en relation avec le PCNSW (convention pour le compte de la Région Wallonne – DGA)","title":"Légende de la Carte Numérique des Sols de Wallonie (Belgique) sur base de la légende originale de la Carte des sols de la Belgique de l’IRSIA à 1/20.000","URL":"https://www.fichierecologique.be/resources/LCNSW_V2.pdf","author":[{"family":"Bah","given":"B."},{"family":"Engels","given":"P."},{"family":"Legrain","given":"X."},{"family":"Colinet","given":"G."}],"issued":{"date-parts":[["2007",12]]}}}],"schema":"https://github.com/citation-style-language/schema/raw/master/csl-citation.json"} </w:instrText>
            </w:r>
            <w:r>
              <w:rPr>
                <w:sz w:val="20"/>
                <w:szCs w:val="20"/>
              </w:rPr>
              <w:fldChar w:fldCharType="separate"/>
            </w:r>
            <w:r w:rsidRPr="009976A0">
              <w:rPr>
                <w:rFonts w:cs="Calibri"/>
                <w:sz w:val="20"/>
              </w:rPr>
              <w:t>(Bah et al., 2007)</w:t>
            </w:r>
            <w:r>
              <w:rPr>
                <w:sz w:val="20"/>
                <w:szCs w:val="20"/>
              </w:rPr>
              <w:fldChar w:fldCharType="end"/>
            </w:r>
          </w:p>
        </w:tc>
      </w:tr>
      <w:tr w:rsidR="00FC7AB5" w:rsidRPr="0000352D" w14:paraId="06A43941" w14:textId="77777777" w:rsidTr="00627BB2">
        <w:tc>
          <w:tcPr>
            <w:tcW w:w="1200" w:type="dxa"/>
            <w:vMerge/>
            <w:tcBorders>
              <w:bottom w:val="single" w:sz="18" w:space="0" w:color="auto"/>
            </w:tcBorders>
            <w:shd w:val="clear" w:color="auto" w:fill="D1D1D1" w:themeFill="background2" w:themeFillShade="E6"/>
            <w:vAlign w:val="center"/>
          </w:tcPr>
          <w:p w14:paraId="1FA37624" w14:textId="77777777" w:rsidR="00FC7AB5" w:rsidRPr="00261C30" w:rsidRDefault="00FC7AB5" w:rsidP="00FC7AB5">
            <w:pPr>
              <w:jc w:val="left"/>
              <w:rPr>
                <w:b/>
                <w:bCs/>
                <w:sz w:val="20"/>
                <w:szCs w:val="20"/>
              </w:rPr>
            </w:pPr>
          </w:p>
        </w:tc>
        <w:tc>
          <w:tcPr>
            <w:tcW w:w="1239" w:type="dxa"/>
            <w:vMerge/>
            <w:tcBorders>
              <w:bottom w:val="single" w:sz="18" w:space="0" w:color="auto"/>
            </w:tcBorders>
            <w:shd w:val="clear" w:color="auto" w:fill="F2F2F2" w:themeFill="background1" w:themeFillShade="F2"/>
            <w:vAlign w:val="center"/>
          </w:tcPr>
          <w:p w14:paraId="5CF80311" w14:textId="77777777" w:rsidR="00FC7AB5" w:rsidRPr="0000352D" w:rsidRDefault="00FC7AB5" w:rsidP="00FC7AB5">
            <w:pPr>
              <w:jc w:val="left"/>
              <w:rPr>
                <w:sz w:val="20"/>
                <w:szCs w:val="20"/>
              </w:rPr>
            </w:pPr>
          </w:p>
        </w:tc>
        <w:tc>
          <w:tcPr>
            <w:tcW w:w="748" w:type="dxa"/>
            <w:vMerge/>
            <w:tcBorders>
              <w:bottom w:val="single" w:sz="18" w:space="0" w:color="auto"/>
            </w:tcBorders>
            <w:vAlign w:val="center"/>
          </w:tcPr>
          <w:p w14:paraId="319A81A9" w14:textId="77777777" w:rsidR="00FC7AB5" w:rsidRPr="0000352D" w:rsidRDefault="00FC7AB5" w:rsidP="00FC7AB5">
            <w:pPr>
              <w:jc w:val="center"/>
              <w:rPr>
                <w:sz w:val="20"/>
                <w:szCs w:val="20"/>
              </w:rPr>
            </w:pPr>
          </w:p>
        </w:tc>
        <w:tc>
          <w:tcPr>
            <w:tcW w:w="1628" w:type="dxa"/>
            <w:tcBorders>
              <w:bottom w:val="single" w:sz="18" w:space="0" w:color="auto"/>
            </w:tcBorders>
            <w:shd w:val="clear" w:color="auto" w:fill="EFF5FB"/>
            <w:vAlign w:val="center"/>
          </w:tcPr>
          <w:p w14:paraId="0F6D0C1C" w14:textId="77777777" w:rsidR="00FC7AB5" w:rsidRDefault="00FC7AB5" w:rsidP="00FC7AB5">
            <w:pPr>
              <w:jc w:val="left"/>
              <w:rPr>
                <w:rFonts w:cs="Calibri"/>
                <w:sz w:val="20"/>
                <w:szCs w:val="20"/>
              </w:rPr>
            </w:pPr>
            <w:proofErr w:type="spellStart"/>
            <w:r>
              <w:rPr>
                <w:sz w:val="20"/>
                <w:szCs w:val="20"/>
              </w:rPr>
              <w:t>Drainage</w:t>
            </w:r>
            <w:r>
              <w:rPr>
                <w:sz w:val="20"/>
                <w:szCs w:val="20"/>
                <w:vertAlign w:val="subscript"/>
              </w:rPr>
              <w:t>santé</w:t>
            </w:r>
            <w:proofErr w:type="spellEnd"/>
          </w:p>
        </w:tc>
        <w:tc>
          <w:tcPr>
            <w:tcW w:w="4252" w:type="dxa"/>
            <w:vMerge/>
            <w:tcBorders>
              <w:bottom w:val="single" w:sz="18" w:space="0" w:color="auto"/>
            </w:tcBorders>
            <w:vAlign w:val="center"/>
          </w:tcPr>
          <w:p w14:paraId="65764E3C" w14:textId="77777777" w:rsidR="00FC7AB5" w:rsidRDefault="00FC7AB5" w:rsidP="00FC7AB5">
            <w:pPr>
              <w:jc w:val="left"/>
              <w:rPr>
                <w:sz w:val="20"/>
                <w:szCs w:val="20"/>
              </w:rPr>
            </w:pPr>
          </w:p>
        </w:tc>
      </w:tr>
      <w:tr w:rsidR="00FC7AB5" w:rsidRPr="0000352D" w14:paraId="563504EB" w14:textId="77777777" w:rsidTr="00627BB2">
        <w:tc>
          <w:tcPr>
            <w:tcW w:w="1200" w:type="dxa"/>
            <w:vMerge w:val="restart"/>
            <w:tcBorders>
              <w:top w:val="single" w:sz="18" w:space="0" w:color="auto"/>
            </w:tcBorders>
            <w:shd w:val="clear" w:color="auto" w:fill="D1D1D1" w:themeFill="background2" w:themeFillShade="E6"/>
            <w:vAlign w:val="center"/>
          </w:tcPr>
          <w:p w14:paraId="653523D7" w14:textId="77777777" w:rsidR="00FC7AB5" w:rsidRPr="00261C30" w:rsidRDefault="00FC7AB5" w:rsidP="00FC7AB5">
            <w:pPr>
              <w:jc w:val="left"/>
              <w:rPr>
                <w:b/>
                <w:bCs/>
                <w:sz w:val="20"/>
                <w:szCs w:val="20"/>
              </w:rPr>
            </w:pPr>
            <w:r w:rsidRPr="00261C30">
              <w:rPr>
                <w:b/>
                <w:bCs/>
                <w:sz w:val="20"/>
                <w:szCs w:val="20"/>
              </w:rPr>
              <w:t>Protection des nappes</w:t>
            </w:r>
          </w:p>
        </w:tc>
        <w:tc>
          <w:tcPr>
            <w:tcW w:w="1239" w:type="dxa"/>
            <w:vMerge w:val="restart"/>
            <w:tcBorders>
              <w:top w:val="single" w:sz="18" w:space="0" w:color="auto"/>
            </w:tcBorders>
            <w:shd w:val="clear" w:color="auto" w:fill="F2F2F2" w:themeFill="background1" w:themeFillShade="F2"/>
            <w:vAlign w:val="center"/>
          </w:tcPr>
          <w:p w14:paraId="42ACD5E8" w14:textId="77777777" w:rsidR="00FC7AB5" w:rsidRPr="0000352D" w:rsidRDefault="00FC7AB5" w:rsidP="00FC7AB5">
            <w:pPr>
              <w:jc w:val="left"/>
              <w:rPr>
                <w:sz w:val="20"/>
                <w:szCs w:val="20"/>
              </w:rPr>
            </w:pPr>
            <w:r>
              <w:rPr>
                <w:sz w:val="20"/>
                <w:szCs w:val="20"/>
              </w:rPr>
              <w:t>Rétention</w:t>
            </w:r>
          </w:p>
        </w:tc>
        <w:tc>
          <w:tcPr>
            <w:tcW w:w="748" w:type="dxa"/>
            <w:vMerge w:val="restart"/>
            <w:tcBorders>
              <w:top w:val="single" w:sz="18" w:space="0" w:color="auto"/>
            </w:tcBorders>
            <w:vAlign w:val="center"/>
          </w:tcPr>
          <w:p w14:paraId="7B970736" w14:textId="77777777" w:rsidR="00FC7AB5" w:rsidRPr="0000352D" w:rsidRDefault="00FC7AB5" w:rsidP="00FC7AB5">
            <w:pPr>
              <w:jc w:val="center"/>
              <w:rPr>
                <w:sz w:val="20"/>
                <w:szCs w:val="20"/>
              </w:rPr>
            </w:pPr>
            <w:r>
              <w:rPr>
                <w:noProof/>
                <w:sz w:val="20"/>
                <w:szCs w:val="20"/>
              </w:rPr>
              <mc:AlternateContent>
                <mc:Choice Requires="wps">
                  <w:drawing>
                    <wp:inline distT="0" distB="0" distL="0" distR="0" wp14:anchorId="5F765218" wp14:editId="59384ACB">
                      <wp:extent cx="94615" cy="153035"/>
                      <wp:effectExtent l="0" t="38100" r="57785" b="18415"/>
                      <wp:docPr id="1146808483"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00190AEE"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tcBorders>
              <w:top w:val="single" w:sz="18" w:space="0" w:color="auto"/>
            </w:tcBorders>
            <w:shd w:val="clear" w:color="auto" w:fill="F2F9EB"/>
            <w:vAlign w:val="center"/>
          </w:tcPr>
          <w:p w14:paraId="6BFC8BF7" w14:textId="77777777" w:rsidR="00FC7AB5" w:rsidRDefault="00FC7AB5" w:rsidP="00FC7AB5">
            <w:pPr>
              <w:jc w:val="left"/>
              <w:rPr>
                <w:sz w:val="20"/>
                <w:szCs w:val="20"/>
              </w:rPr>
            </w:pPr>
            <w:proofErr w:type="spellStart"/>
            <w:r>
              <w:rPr>
                <w:sz w:val="20"/>
                <w:szCs w:val="20"/>
              </w:rPr>
              <w:t>Conc</w:t>
            </w:r>
            <w:r>
              <w:rPr>
                <w:sz w:val="20"/>
                <w:szCs w:val="20"/>
                <w:vertAlign w:val="subscript"/>
              </w:rPr>
              <w:t>rétention</w:t>
            </w:r>
            <w:proofErr w:type="spellEnd"/>
            <w:r>
              <w:rPr>
                <w:sz w:val="20"/>
                <w:szCs w:val="20"/>
                <w:vertAlign w:val="subscript"/>
              </w:rPr>
              <w:t xml:space="preserve"> qualité</w:t>
            </w:r>
          </w:p>
        </w:tc>
        <w:tc>
          <w:tcPr>
            <w:tcW w:w="4252" w:type="dxa"/>
            <w:tcBorders>
              <w:top w:val="single" w:sz="18" w:space="0" w:color="auto"/>
            </w:tcBorders>
            <w:shd w:val="clear" w:color="auto" w:fill="F2F9EB"/>
            <w:vAlign w:val="center"/>
          </w:tcPr>
          <w:p w14:paraId="52926B8E" w14:textId="77777777" w:rsidR="00FC7AB5" w:rsidRDefault="00FC7AB5" w:rsidP="00FC7AB5">
            <w:pPr>
              <w:jc w:val="left"/>
              <w:rPr>
                <w:sz w:val="20"/>
                <w:szCs w:val="20"/>
              </w:rPr>
            </w:pPr>
            <w:r>
              <w:rPr>
                <w:sz w:val="20"/>
                <w:szCs w:val="20"/>
              </w:rPr>
              <w:t>Comparaison à la valeur cible modélisée avec paramètres standards et MO optimale</w:t>
            </w:r>
          </w:p>
        </w:tc>
      </w:tr>
      <w:tr w:rsidR="00FC7AB5" w:rsidRPr="0000352D" w14:paraId="14D6AC29" w14:textId="77777777" w:rsidTr="00627BB2">
        <w:tc>
          <w:tcPr>
            <w:tcW w:w="1200" w:type="dxa"/>
            <w:vMerge/>
            <w:tcBorders>
              <w:bottom w:val="single" w:sz="18" w:space="0" w:color="auto"/>
            </w:tcBorders>
            <w:shd w:val="clear" w:color="auto" w:fill="D1D1D1" w:themeFill="background2" w:themeFillShade="E6"/>
            <w:vAlign w:val="center"/>
          </w:tcPr>
          <w:p w14:paraId="4B0A9F82" w14:textId="77777777" w:rsidR="00FC7AB5" w:rsidRPr="00261C30" w:rsidRDefault="00FC7AB5" w:rsidP="00FC7AB5">
            <w:pPr>
              <w:jc w:val="left"/>
              <w:rPr>
                <w:b/>
                <w:bCs/>
                <w:sz w:val="20"/>
                <w:szCs w:val="20"/>
              </w:rPr>
            </w:pPr>
          </w:p>
        </w:tc>
        <w:tc>
          <w:tcPr>
            <w:tcW w:w="1239" w:type="dxa"/>
            <w:vMerge/>
            <w:tcBorders>
              <w:bottom w:val="single" w:sz="18" w:space="0" w:color="auto"/>
            </w:tcBorders>
            <w:shd w:val="clear" w:color="auto" w:fill="F2F2F2" w:themeFill="background1" w:themeFillShade="F2"/>
            <w:vAlign w:val="center"/>
          </w:tcPr>
          <w:p w14:paraId="71962CE5" w14:textId="77777777" w:rsidR="00FC7AB5" w:rsidRPr="0000352D" w:rsidRDefault="00FC7AB5" w:rsidP="00FC7AB5">
            <w:pPr>
              <w:jc w:val="left"/>
              <w:rPr>
                <w:sz w:val="20"/>
                <w:szCs w:val="20"/>
              </w:rPr>
            </w:pPr>
          </w:p>
        </w:tc>
        <w:tc>
          <w:tcPr>
            <w:tcW w:w="748" w:type="dxa"/>
            <w:vMerge/>
            <w:tcBorders>
              <w:bottom w:val="single" w:sz="18" w:space="0" w:color="auto"/>
            </w:tcBorders>
            <w:vAlign w:val="center"/>
          </w:tcPr>
          <w:p w14:paraId="294531E6" w14:textId="77777777" w:rsidR="00FC7AB5" w:rsidRPr="0000352D" w:rsidRDefault="00FC7AB5" w:rsidP="00FC7AB5">
            <w:pPr>
              <w:jc w:val="center"/>
              <w:rPr>
                <w:sz w:val="20"/>
                <w:szCs w:val="20"/>
              </w:rPr>
            </w:pPr>
          </w:p>
        </w:tc>
        <w:tc>
          <w:tcPr>
            <w:tcW w:w="1628" w:type="dxa"/>
            <w:tcBorders>
              <w:bottom w:val="single" w:sz="18" w:space="0" w:color="auto"/>
            </w:tcBorders>
            <w:shd w:val="clear" w:color="auto" w:fill="EFF5FB"/>
            <w:vAlign w:val="center"/>
          </w:tcPr>
          <w:p w14:paraId="5E97FCD3" w14:textId="77777777" w:rsidR="00FC7AB5" w:rsidRDefault="00FC7AB5" w:rsidP="00FC7AB5">
            <w:pPr>
              <w:jc w:val="left"/>
              <w:rPr>
                <w:sz w:val="20"/>
                <w:szCs w:val="20"/>
              </w:rPr>
            </w:pPr>
            <w:proofErr w:type="spellStart"/>
            <w:r>
              <w:rPr>
                <w:sz w:val="20"/>
                <w:szCs w:val="20"/>
              </w:rPr>
              <w:t>Conc</w:t>
            </w:r>
            <w:r>
              <w:rPr>
                <w:sz w:val="20"/>
                <w:szCs w:val="20"/>
                <w:vertAlign w:val="subscript"/>
              </w:rPr>
              <w:t>rétention</w:t>
            </w:r>
            <w:proofErr w:type="spellEnd"/>
            <w:r>
              <w:rPr>
                <w:sz w:val="20"/>
                <w:szCs w:val="20"/>
                <w:vertAlign w:val="subscript"/>
              </w:rPr>
              <w:t xml:space="preserve"> santé</w:t>
            </w:r>
          </w:p>
        </w:tc>
        <w:tc>
          <w:tcPr>
            <w:tcW w:w="4252" w:type="dxa"/>
            <w:tcBorders>
              <w:bottom w:val="single" w:sz="18" w:space="0" w:color="auto"/>
            </w:tcBorders>
            <w:shd w:val="clear" w:color="auto" w:fill="EFF5FB"/>
            <w:vAlign w:val="center"/>
          </w:tcPr>
          <w:p w14:paraId="07CB144E" w14:textId="77777777" w:rsidR="00FC7AB5" w:rsidRDefault="00FC7AB5" w:rsidP="00FC7AB5">
            <w:pPr>
              <w:jc w:val="left"/>
              <w:rPr>
                <w:sz w:val="20"/>
                <w:szCs w:val="20"/>
              </w:rPr>
            </w:pPr>
            <w:r>
              <w:rPr>
                <w:sz w:val="20"/>
                <w:szCs w:val="20"/>
              </w:rPr>
              <w:t>Comparaison à la valeur potentielle atteignable en fonction de la classe texturale (sur base de MO potentielle)</w:t>
            </w:r>
          </w:p>
        </w:tc>
      </w:tr>
      <w:tr w:rsidR="00FC7AB5" w:rsidRPr="0000352D" w14:paraId="4B72C84C" w14:textId="77777777" w:rsidTr="00627BB2">
        <w:tc>
          <w:tcPr>
            <w:tcW w:w="1200" w:type="dxa"/>
            <w:tcBorders>
              <w:top w:val="single" w:sz="18" w:space="0" w:color="auto"/>
              <w:bottom w:val="single" w:sz="18" w:space="0" w:color="auto"/>
            </w:tcBorders>
            <w:shd w:val="clear" w:color="auto" w:fill="D1D1D1" w:themeFill="background2" w:themeFillShade="E6"/>
            <w:vAlign w:val="center"/>
          </w:tcPr>
          <w:p w14:paraId="0A9760BD" w14:textId="77777777" w:rsidR="00FC7AB5" w:rsidRPr="00261C30" w:rsidRDefault="00FC7AB5" w:rsidP="00FC7AB5">
            <w:pPr>
              <w:jc w:val="left"/>
              <w:rPr>
                <w:b/>
                <w:bCs/>
                <w:sz w:val="20"/>
                <w:szCs w:val="20"/>
              </w:rPr>
            </w:pPr>
            <w:r w:rsidRPr="00261C30">
              <w:rPr>
                <w:b/>
                <w:bCs/>
                <w:sz w:val="20"/>
                <w:szCs w:val="20"/>
              </w:rPr>
              <w:t>Accueil végétation diversifiée</w:t>
            </w:r>
          </w:p>
        </w:tc>
        <w:tc>
          <w:tcPr>
            <w:tcW w:w="1239" w:type="dxa"/>
            <w:tcBorders>
              <w:top w:val="single" w:sz="18" w:space="0" w:color="auto"/>
              <w:bottom w:val="single" w:sz="18" w:space="0" w:color="auto"/>
            </w:tcBorders>
            <w:shd w:val="clear" w:color="auto" w:fill="F2F2F2" w:themeFill="background1" w:themeFillShade="F2"/>
            <w:vAlign w:val="center"/>
          </w:tcPr>
          <w:p w14:paraId="6C66DCD8" w14:textId="77E77054" w:rsidR="00FC7AB5" w:rsidRPr="0000352D" w:rsidRDefault="00DC03B5" w:rsidP="00FC7AB5">
            <w:pPr>
              <w:jc w:val="left"/>
              <w:rPr>
                <w:sz w:val="20"/>
                <w:szCs w:val="20"/>
              </w:rPr>
            </w:pPr>
            <w:r>
              <w:rPr>
                <w:sz w:val="20"/>
                <w:szCs w:val="20"/>
              </w:rPr>
              <w:t>Diversité réseaux trophiques</w:t>
            </w:r>
          </w:p>
        </w:tc>
        <w:tc>
          <w:tcPr>
            <w:tcW w:w="748" w:type="dxa"/>
            <w:tcBorders>
              <w:top w:val="single" w:sz="18" w:space="0" w:color="auto"/>
              <w:bottom w:val="single" w:sz="18" w:space="0" w:color="auto"/>
            </w:tcBorders>
            <w:vAlign w:val="center"/>
          </w:tcPr>
          <w:p w14:paraId="41332E6C" w14:textId="77777777" w:rsidR="00FC7AB5" w:rsidRPr="0000352D" w:rsidRDefault="00FC7AB5" w:rsidP="00FC7AB5">
            <w:pPr>
              <w:jc w:val="center"/>
              <w:rPr>
                <w:sz w:val="20"/>
                <w:szCs w:val="20"/>
              </w:rPr>
            </w:pPr>
            <w:r>
              <w:rPr>
                <w:noProof/>
                <w:sz w:val="20"/>
                <w:szCs w:val="20"/>
              </w:rPr>
              <mc:AlternateContent>
                <mc:Choice Requires="wps">
                  <w:drawing>
                    <wp:inline distT="0" distB="0" distL="0" distR="0" wp14:anchorId="5F9A330C" wp14:editId="39A54361">
                      <wp:extent cx="94615" cy="153035"/>
                      <wp:effectExtent l="0" t="0" r="76835" b="56515"/>
                      <wp:docPr id="593926934" name="Connecteur droit avec flèche 1"/>
                      <wp:cNvGraphicFramePr/>
                      <a:graphic xmlns:a="http://schemas.openxmlformats.org/drawingml/2006/main">
                        <a:graphicData uri="http://schemas.microsoft.com/office/word/2010/wordprocessingShape">
                          <wps:wsp>
                            <wps:cNvCnPr/>
                            <wps:spPr>
                              <a:xfrm>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3BBD4B88" id="Connecteur droit avec flèche 1" o:spid="_x0000_s1026" type="#_x0000_t32" style="width:7.45pt;height:12.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" strokecolor="#0e2841 [3215]" strokeweight="1pt">
                      <v:stroke endarrow="block" joinstyle="miter"/>
                      <w10:anchorlock/>
                    </v:shape>
                  </w:pict>
                </mc:Fallback>
              </mc:AlternateContent>
            </w:r>
          </w:p>
        </w:tc>
        <w:tc>
          <w:tcPr>
            <w:tcW w:w="1628" w:type="dxa"/>
            <w:tcBorders>
              <w:top w:val="single" w:sz="18" w:space="0" w:color="auto"/>
              <w:bottom w:val="single" w:sz="18" w:space="0" w:color="auto"/>
            </w:tcBorders>
            <w:shd w:val="clear" w:color="auto" w:fill="F2F9EB"/>
            <w:vAlign w:val="center"/>
          </w:tcPr>
          <w:p w14:paraId="6388CB0F" w14:textId="77777777" w:rsidR="00FC7AB5" w:rsidRDefault="00FC7AB5" w:rsidP="00FC7AB5">
            <w:pPr>
              <w:jc w:val="left"/>
              <w:rPr>
                <w:sz w:val="20"/>
                <w:szCs w:val="20"/>
              </w:rPr>
            </w:pPr>
            <w:proofErr w:type="spellStart"/>
            <w:r>
              <w:rPr>
                <w:sz w:val="20"/>
                <w:szCs w:val="20"/>
              </w:rPr>
              <w:t>P</w:t>
            </w:r>
            <w:r>
              <w:rPr>
                <w:sz w:val="20"/>
                <w:szCs w:val="20"/>
                <w:vertAlign w:val="subscript"/>
              </w:rPr>
              <w:t>qualité</w:t>
            </w:r>
            <w:proofErr w:type="spellEnd"/>
          </w:p>
        </w:tc>
        <w:tc>
          <w:tcPr>
            <w:tcW w:w="4252" w:type="dxa"/>
            <w:tcBorders>
              <w:top w:val="single" w:sz="18" w:space="0" w:color="auto"/>
              <w:bottom w:val="single" w:sz="18" w:space="0" w:color="auto"/>
            </w:tcBorders>
            <w:shd w:val="clear" w:color="auto" w:fill="F2F9EB"/>
            <w:vAlign w:val="center"/>
          </w:tcPr>
          <w:p w14:paraId="11E2F8E3" w14:textId="77777777" w:rsidR="00FC7AB5" w:rsidRDefault="00FC7AB5" w:rsidP="00FC7AB5">
            <w:pPr>
              <w:jc w:val="left"/>
              <w:rPr>
                <w:sz w:val="20"/>
                <w:szCs w:val="20"/>
              </w:rPr>
            </w:pPr>
            <w:r>
              <w:rPr>
                <w:sz w:val="20"/>
                <w:szCs w:val="20"/>
              </w:rPr>
              <w:t xml:space="preserve">Seuil à partir duquel la diversité végétale des écosystèmes chute drastiquement </w:t>
            </w:r>
            <w:r>
              <w:rPr>
                <w:sz w:val="20"/>
                <w:szCs w:val="20"/>
              </w:rPr>
              <w:fldChar w:fldCharType="begin"/>
            </w:r>
            <w:r>
              <w:rPr>
                <w:sz w:val="20"/>
                <w:szCs w:val="20"/>
              </w:rPr>
              <w:instrText xml:space="preserve"> ADDIN ZOTERO_ITEM CSL_CITATION {"citationID":"blyoNLJo","properties":{"unsorted":false,"formattedCitation":"(Janssens &amp; Peeters, 1999)","plainCitation":"(Janssens &amp; Peeters, 1999)","noteIndex":0},"citationItems":[{"id":124,"uris":["http://zotero.org/groups/5684833/items/6FFL6DXR"],"itemData":{"id":124,"type":"article-journal","language":"fr","source":"dial.uclouvain.be","title":"Talus et pré fleuris : mode d'emploi. Un guide pour l'aménagement écologique d'espaces verts","title-short":"Talus et pré fleuris","URL":"https://dial.uclouvain.be/pr/boreal/object/boreal:84530","author":[{"family":"Janssens","given":"Frédéric"},{"family":"Peeters","given":"Alain"}],"accessed":{"date-parts":[["2025",7,30]]},"issued":{"date-parts":[["1999"]]}}}],"schema":"https://github.com/citation-style-language/schema/raw/master/csl-citation.json"} </w:instrText>
            </w:r>
            <w:r>
              <w:rPr>
                <w:sz w:val="20"/>
                <w:szCs w:val="20"/>
              </w:rPr>
              <w:fldChar w:fldCharType="separate"/>
            </w:r>
            <w:r w:rsidRPr="008E013D">
              <w:rPr>
                <w:rFonts w:cs="Calibri"/>
                <w:sz w:val="20"/>
              </w:rPr>
              <w:t>(Janssens &amp; Peeters, 1999)</w:t>
            </w:r>
            <w:r>
              <w:rPr>
                <w:sz w:val="20"/>
                <w:szCs w:val="20"/>
              </w:rPr>
              <w:fldChar w:fldCharType="end"/>
            </w:r>
          </w:p>
        </w:tc>
      </w:tr>
      <w:tr w:rsidR="00FC7AB5" w:rsidRPr="0000352D" w14:paraId="5CED9706" w14:textId="77777777" w:rsidTr="00627BB2">
        <w:tc>
          <w:tcPr>
            <w:tcW w:w="1200" w:type="dxa"/>
            <w:vMerge w:val="restart"/>
            <w:tcBorders>
              <w:top w:val="single" w:sz="18" w:space="0" w:color="auto"/>
            </w:tcBorders>
            <w:shd w:val="clear" w:color="auto" w:fill="D1D1D1" w:themeFill="background2" w:themeFillShade="E6"/>
            <w:vAlign w:val="center"/>
          </w:tcPr>
          <w:p w14:paraId="0D7AEF6B" w14:textId="77777777" w:rsidR="00FC7AB5" w:rsidRPr="00261C30" w:rsidRDefault="00FC7AB5" w:rsidP="00FC7AB5">
            <w:pPr>
              <w:jc w:val="left"/>
              <w:rPr>
                <w:b/>
                <w:bCs/>
                <w:sz w:val="20"/>
                <w:szCs w:val="20"/>
              </w:rPr>
            </w:pPr>
            <w:r w:rsidRPr="00261C30">
              <w:rPr>
                <w:b/>
                <w:bCs/>
                <w:sz w:val="20"/>
                <w:szCs w:val="20"/>
              </w:rPr>
              <w:t>Biodiversité du sol</w:t>
            </w:r>
          </w:p>
        </w:tc>
        <w:tc>
          <w:tcPr>
            <w:tcW w:w="1239" w:type="dxa"/>
            <w:vMerge w:val="restart"/>
            <w:tcBorders>
              <w:top w:val="single" w:sz="18" w:space="0" w:color="auto"/>
            </w:tcBorders>
            <w:shd w:val="clear" w:color="auto" w:fill="F2F2F2" w:themeFill="background1" w:themeFillShade="F2"/>
            <w:vAlign w:val="center"/>
          </w:tcPr>
          <w:p w14:paraId="403F8D40" w14:textId="77777777" w:rsidR="00FC7AB5" w:rsidRPr="0000352D" w:rsidRDefault="00FC7AB5" w:rsidP="00FC7AB5">
            <w:pPr>
              <w:jc w:val="left"/>
              <w:rPr>
                <w:sz w:val="20"/>
                <w:szCs w:val="20"/>
              </w:rPr>
            </w:pPr>
            <w:r>
              <w:rPr>
                <w:sz w:val="20"/>
                <w:szCs w:val="20"/>
              </w:rPr>
              <w:t>Abondance microbienne</w:t>
            </w:r>
          </w:p>
        </w:tc>
        <w:tc>
          <w:tcPr>
            <w:tcW w:w="748" w:type="dxa"/>
            <w:vMerge w:val="restart"/>
            <w:tcBorders>
              <w:top w:val="single" w:sz="18" w:space="0" w:color="auto"/>
            </w:tcBorders>
            <w:vAlign w:val="center"/>
          </w:tcPr>
          <w:p w14:paraId="611A9EA0" w14:textId="77777777" w:rsidR="00FC7AB5" w:rsidRPr="0000352D" w:rsidRDefault="00FC7AB5" w:rsidP="00FC7AB5">
            <w:pPr>
              <w:jc w:val="center"/>
              <w:rPr>
                <w:sz w:val="20"/>
                <w:szCs w:val="20"/>
              </w:rPr>
            </w:pPr>
            <w:r>
              <w:rPr>
                <w:noProof/>
                <w:sz w:val="20"/>
                <w:szCs w:val="20"/>
              </w:rPr>
              <mc:AlternateContent>
                <mc:Choice Requires="wps">
                  <w:drawing>
                    <wp:inline distT="0" distB="0" distL="0" distR="0" wp14:anchorId="1416A8EC" wp14:editId="445B208E">
                      <wp:extent cx="94615" cy="153035"/>
                      <wp:effectExtent l="0" t="38100" r="57785" b="18415"/>
                      <wp:docPr id="1261794148"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35627A41"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tcBorders>
              <w:top w:val="single" w:sz="18" w:space="0" w:color="auto"/>
            </w:tcBorders>
            <w:shd w:val="clear" w:color="auto" w:fill="F2F9EB"/>
            <w:vAlign w:val="center"/>
          </w:tcPr>
          <w:p w14:paraId="554439D0" w14:textId="77777777" w:rsidR="00FC7AB5" w:rsidRDefault="00FC7AB5" w:rsidP="00FC7AB5">
            <w:pPr>
              <w:jc w:val="left"/>
              <w:rPr>
                <w:sz w:val="20"/>
                <w:szCs w:val="20"/>
              </w:rPr>
            </w:pPr>
            <w:proofErr w:type="spellStart"/>
            <w:r>
              <w:rPr>
                <w:sz w:val="20"/>
                <w:szCs w:val="20"/>
              </w:rPr>
              <w:t>C</w:t>
            </w:r>
            <w:r>
              <w:rPr>
                <w:sz w:val="20"/>
                <w:szCs w:val="20"/>
                <w:vertAlign w:val="subscript"/>
              </w:rPr>
              <w:t>mic</w:t>
            </w:r>
            <w:proofErr w:type="spellEnd"/>
            <w:r>
              <w:rPr>
                <w:sz w:val="20"/>
                <w:szCs w:val="20"/>
                <w:vertAlign w:val="subscript"/>
              </w:rPr>
              <w:t xml:space="preserve"> qualité</w:t>
            </w:r>
          </w:p>
        </w:tc>
        <w:tc>
          <w:tcPr>
            <w:tcW w:w="4252" w:type="dxa"/>
            <w:vMerge w:val="restart"/>
            <w:tcBorders>
              <w:top w:val="single" w:sz="18" w:space="0" w:color="auto"/>
            </w:tcBorders>
            <w:vAlign w:val="center"/>
          </w:tcPr>
          <w:p w14:paraId="356ACAA9" w14:textId="1C65B5F9" w:rsidR="00FC7AB5" w:rsidRDefault="00FC7AB5" w:rsidP="00FC7AB5">
            <w:pPr>
              <w:jc w:val="left"/>
              <w:rPr>
                <w:sz w:val="20"/>
                <w:szCs w:val="20"/>
              </w:rPr>
            </w:pPr>
            <w:r>
              <w:rPr>
                <w:sz w:val="20"/>
                <w:szCs w:val="20"/>
              </w:rPr>
              <w:t xml:space="preserve">Distribution des valeurs mesurées sur des sols agricoles RW </w:t>
            </w:r>
            <w:r>
              <w:rPr>
                <w:sz w:val="20"/>
                <w:szCs w:val="20"/>
              </w:rPr>
              <w:fldChar w:fldCharType="begin"/>
            </w:r>
            <w:r>
              <w:rPr>
                <w:sz w:val="20"/>
                <w:szCs w:val="20"/>
              </w:rPr>
              <w:instrText xml:space="preserve"> ADDIN ZOTERO_ITEM CSL_CITATION {"citationID":"E8l1SzRE","properties":{"unsorted":false,"formattedCitation":"(Chartin et al., 2015)","plainCitation":"(Chartin et al., 2015)","noteIndex":0},"citationItems":[{"id":91,"uris":["http://zotero.org/groups/5684833/items/X3Q8CCBC"],"itemData":{"id":91,"type":"article-journal","language":"fr","source":"Zotero","title":"« Carbone organique, biomasse et activité microbienne des sols : vers un indicateur de la qualité des sols en Wallonie »","author":[{"family":"Chartin","given":"Caroline"},{"family":"Kruger","given":"Inken"},{"family":"Stevens","given":"Antoine"},{"family":"Wesemael","given":"Bas Van"},{"family":"Carnol","given":"Monique"}],"issued":{"date-parts":[["2015"]]}}}],"schema":"https://github.com/citation-style-language/schema/raw/master/csl-citation.json"} </w:instrText>
            </w:r>
            <w:r>
              <w:rPr>
                <w:sz w:val="20"/>
                <w:szCs w:val="20"/>
              </w:rPr>
              <w:fldChar w:fldCharType="separate"/>
            </w:r>
            <w:r w:rsidRPr="00C22895">
              <w:rPr>
                <w:rFonts w:cs="Calibri"/>
                <w:sz w:val="20"/>
              </w:rPr>
              <w:t>(Chartin et al., 2015)</w:t>
            </w:r>
            <w:r>
              <w:rPr>
                <w:sz w:val="20"/>
                <w:szCs w:val="20"/>
              </w:rPr>
              <w:fldChar w:fldCharType="end"/>
            </w:r>
          </w:p>
        </w:tc>
      </w:tr>
      <w:tr w:rsidR="00FC7AB5" w:rsidRPr="0000352D" w14:paraId="7E03B509" w14:textId="77777777" w:rsidTr="00627BB2">
        <w:tc>
          <w:tcPr>
            <w:tcW w:w="1200" w:type="dxa"/>
            <w:vMerge/>
            <w:shd w:val="clear" w:color="auto" w:fill="D1D1D1" w:themeFill="background2" w:themeFillShade="E6"/>
            <w:vAlign w:val="center"/>
          </w:tcPr>
          <w:p w14:paraId="21C7B505"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0578539E" w14:textId="77777777" w:rsidR="00FC7AB5" w:rsidRPr="0000352D" w:rsidRDefault="00FC7AB5" w:rsidP="00FC7AB5">
            <w:pPr>
              <w:jc w:val="left"/>
              <w:rPr>
                <w:sz w:val="20"/>
                <w:szCs w:val="20"/>
              </w:rPr>
            </w:pPr>
          </w:p>
        </w:tc>
        <w:tc>
          <w:tcPr>
            <w:tcW w:w="748" w:type="dxa"/>
            <w:vMerge/>
            <w:vAlign w:val="center"/>
          </w:tcPr>
          <w:p w14:paraId="742C7CDB" w14:textId="77777777" w:rsidR="00FC7AB5" w:rsidRPr="0000352D" w:rsidRDefault="00FC7AB5" w:rsidP="00FC7AB5">
            <w:pPr>
              <w:jc w:val="center"/>
              <w:rPr>
                <w:sz w:val="20"/>
                <w:szCs w:val="20"/>
              </w:rPr>
            </w:pPr>
          </w:p>
        </w:tc>
        <w:tc>
          <w:tcPr>
            <w:tcW w:w="1628" w:type="dxa"/>
            <w:shd w:val="clear" w:color="auto" w:fill="EFF5FB"/>
            <w:vAlign w:val="center"/>
          </w:tcPr>
          <w:p w14:paraId="69BEE10E" w14:textId="77777777" w:rsidR="00FC7AB5" w:rsidRDefault="00FC7AB5" w:rsidP="00FC7AB5">
            <w:pPr>
              <w:jc w:val="left"/>
              <w:rPr>
                <w:sz w:val="20"/>
                <w:szCs w:val="20"/>
              </w:rPr>
            </w:pPr>
            <w:proofErr w:type="spellStart"/>
            <w:r>
              <w:rPr>
                <w:sz w:val="20"/>
                <w:szCs w:val="20"/>
              </w:rPr>
              <w:t>C</w:t>
            </w:r>
            <w:r>
              <w:rPr>
                <w:sz w:val="20"/>
                <w:szCs w:val="20"/>
                <w:vertAlign w:val="subscript"/>
              </w:rPr>
              <w:t>mic</w:t>
            </w:r>
            <w:proofErr w:type="spellEnd"/>
            <w:r>
              <w:rPr>
                <w:sz w:val="20"/>
                <w:szCs w:val="20"/>
                <w:vertAlign w:val="subscript"/>
              </w:rPr>
              <w:t xml:space="preserve"> santé</w:t>
            </w:r>
          </w:p>
        </w:tc>
        <w:tc>
          <w:tcPr>
            <w:tcW w:w="4252" w:type="dxa"/>
            <w:vMerge/>
            <w:vAlign w:val="center"/>
          </w:tcPr>
          <w:p w14:paraId="5ACCCDE5" w14:textId="77777777" w:rsidR="00FC7AB5" w:rsidRDefault="00FC7AB5" w:rsidP="00FC7AB5">
            <w:pPr>
              <w:jc w:val="left"/>
              <w:rPr>
                <w:sz w:val="20"/>
                <w:szCs w:val="20"/>
              </w:rPr>
            </w:pPr>
          </w:p>
        </w:tc>
      </w:tr>
      <w:tr w:rsidR="00FC7AB5" w:rsidRPr="0000352D" w14:paraId="34F017A9" w14:textId="77777777" w:rsidTr="00627BB2">
        <w:tc>
          <w:tcPr>
            <w:tcW w:w="1200" w:type="dxa"/>
            <w:vMerge/>
            <w:shd w:val="clear" w:color="auto" w:fill="D1D1D1" w:themeFill="background2" w:themeFillShade="E6"/>
            <w:vAlign w:val="center"/>
          </w:tcPr>
          <w:p w14:paraId="6F451B38" w14:textId="77777777" w:rsidR="00FC7AB5" w:rsidRPr="00261C30" w:rsidRDefault="00FC7AB5" w:rsidP="00FC7AB5">
            <w:pPr>
              <w:jc w:val="left"/>
              <w:rPr>
                <w:b/>
                <w:bCs/>
                <w:sz w:val="20"/>
                <w:szCs w:val="20"/>
              </w:rPr>
            </w:pPr>
          </w:p>
        </w:tc>
        <w:tc>
          <w:tcPr>
            <w:tcW w:w="1239" w:type="dxa"/>
            <w:vMerge w:val="restart"/>
            <w:shd w:val="clear" w:color="auto" w:fill="F2F2F2" w:themeFill="background1" w:themeFillShade="F2"/>
            <w:vAlign w:val="center"/>
          </w:tcPr>
          <w:p w14:paraId="49322469" w14:textId="0495CCC8" w:rsidR="00FC7AB5" w:rsidRPr="0000352D" w:rsidRDefault="00FC7AB5" w:rsidP="00FC7AB5">
            <w:pPr>
              <w:jc w:val="left"/>
              <w:rPr>
                <w:sz w:val="20"/>
                <w:szCs w:val="20"/>
              </w:rPr>
            </w:pPr>
            <w:r>
              <w:rPr>
                <w:sz w:val="20"/>
                <w:szCs w:val="20"/>
              </w:rPr>
              <w:t>Diversité nématodes</w:t>
            </w:r>
          </w:p>
        </w:tc>
        <w:tc>
          <w:tcPr>
            <w:tcW w:w="748" w:type="dxa"/>
            <w:vMerge w:val="restart"/>
            <w:vAlign w:val="center"/>
          </w:tcPr>
          <w:p w14:paraId="23ABADBB" w14:textId="77777777" w:rsidR="00FC7AB5" w:rsidRPr="0000352D" w:rsidRDefault="00FC7AB5" w:rsidP="00FC7AB5">
            <w:pPr>
              <w:jc w:val="center"/>
              <w:rPr>
                <w:sz w:val="20"/>
                <w:szCs w:val="20"/>
              </w:rPr>
            </w:pPr>
            <w:r>
              <w:rPr>
                <w:noProof/>
                <w:sz w:val="20"/>
                <w:szCs w:val="20"/>
              </w:rPr>
              <mc:AlternateContent>
                <mc:Choice Requires="wps">
                  <w:drawing>
                    <wp:inline distT="0" distB="0" distL="0" distR="0" wp14:anchorId="76FCB19D" wp14:editId="5736BF8E">
                      <wp:extent cx="94615" cy="153035"/>
                      <wp:effectExtent l="0" t="38100" r="57785" b="18415"/>
                      <wp:docPr id="774778286"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6AD9E31E"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0C34B3C2" w14:textId="77777777" w:rsidR="00FC7AB5" w:rsidRDefault="00FC7AB5" w:rsidP="00FC7AB5">
            <w:pPr>
              <w:jc w:val="left"/>
              <w:rPr>
                <w:sz w:val="20"/>
                <w:szCs w:val="20"/>
              </w:rPr>
            </w:pPr>
            <w:proofErr w:type="spellStart"/>
            <w:r>
              <w:rPr>
                <w:sz w:val="20"/>
                <w:szCs w:val="20"/>
              </w:rPr>
              <w:t>SI</w:t>
            </w:r>
            <w:r>
              <w:rPr>
                <w:sz w:val="20"/>
                <w:szCs w:val="20"/>
                <w:vertAlign w:val="subscript"/>
              </w:rPr>
              <w:t>ném</w:t>
            </w:r>
            <w:proofErr w:type="spellEnd"/>
            <w:r>
              <w:rPr>
                <w:sz w:val="20"/>
                <w:szCs w:val="20"/>
                <w:vertAlign w:val="subscript"/>
              </w:rPr>
              <w:t xml:space="preserve"> qualité</w:t>
            </w:r>
          </w:p>
        </w:tc>
        <w:tc>
          <w:tcPr>
            <w:tcW w:w="4252" w:type="dxa"/>
            <w:vMerge w:val="restart"/>
            <w:vAlign w:val="center"/>
          </w:tcPr>
          <w:p w14:paraId="5CE0BE44" w14:textId="4EFA3E96" w:rsidR="00FC7AB5" w:rsidRDefault="00FC7AB5" w:rsidP="00FC7AB5">
            <w:pPr>
              <w:jc w:val="left"/>
              <w:rPr>
                <w:sz w:val="20"/>
                <w:szCs w:val="20"/>
              </w:rPr>
            </w:pPr>
            <w:r>
              <w:rPr>
                <w:sz w:val="20"/>
                <w:szCs w:val="20"/>
              </w:rPr>
              <w:t xml:space="preserve">Gammes optimales </w:t>
            </w:r>
            <w:r>
              <w:rPr>
                <w:sz w:val="20"/>
                <w:szCs w:val="20"/>
              </w:rPr>
              <w:fldChar w:fldCharType="begin"/>
            </w:r>
            <w:r>
              <w:rPr>
                <w:sz w:val="20"/>
                <w:szCs w:val="20"/>
              </w:rPr>
              <w:instrText xml:space="preserve"> ADDIN ZOTERO_ITEM CSL_CITATION {"citationID":"lYO4Z45l","properties":{"unsorted":true,"formattedCitation":"(Le Guedard et al., 2017; Chauvin, 2025)","plainCitation":"(Le Guedard et al., 2017; Chauvin, 2025)","noteIndex":0},"citationItems":[{"id":477,"uris":["http://zotero.org/groups/5684833/items/Z5X6SQPP"],"itemData":{"id":477,"type":"report","number":"010216","title":"La librairie ADEME - Bio-indicateurs de l'état des sols (Les)","URL":"https://librairie.ademe.fr/urbanisme-territoires-et-sols/1971-bio-indicateurs-de-l-etat-des-sols-les-9791029708244.html","author":[{"family":"Le Guedard","given":"Marina"},{"family":"Bessoule","given":"Jean-Jacques"},{"family":"Faure","given":"Olivier"},{"family":"Fayolle","given":"Gérald"},{"family":"Nau","given":"Jean-François"},{"family":"Villenave","given":"Cécile"},{"family":"Ceremonie","given":"Hélène"},{"family":"Pauget","given":"Benjamin"},{"family":"Peres","given":"Guénola"}],"editor":[{"literal":"ADERA"},{"literal":"LEB Aquitaine Transfert"},{"literal":"CNRS BORDEAUX"},{"literal":"ECOLE NATIONALE SUPERIEURE DES MINES DE SAINT-ETIENNE"},{"literal":"EODD Ingénieurs Conseils"},{"literal":"AGROCAMPUS OUEST"}],"accessed":{"date-parts":[["2026",3,10]]},"issued":{"date-parts":[["2017"]]}}},{"id":592,"uris":["http://zotero.org/groups/5684833/items/6H4ESTD4"],"itemData":{"id":592,"type":"speech","event-place":"Parc du Verdon","title":"La nématofaune: un bio-indicateur pour suivre et évaluer le fonctionnement biologique des sols","URL":"https://www.parcduverdon.fr/wp-content/uploads/2025/10/202509_JT_REGAIN_3.Qualite_biologique_nematodes_ELISOL.pdf","author":[{"family":"Chauvin","given":"Camille"}],"issued":{"date-parts":[["2025"]]}}}],"schema":"https://github.com/citation-style-language/schema/raw/master/csl-citation.json"} </w:instrText>
            </w:r>
            <w:r>
              <w:rPr>
                <w:sz w:val="20"/>
                <w:szCs w:val="20"/>
              </w:rPr>
              <w:fldChar w:fldCharType="separate"/>
            </w:r>
            <w:r w:rsidRPr="00A82AF0">
              <w:rPr>
                <w:rFonts w:cs="Calibri"/>
                <w:sz w:val="20"/>
              </w:rPr>
              <w:t>(Le Guedard et al., 2017; Chauvin, 2025)</w:t>
            </w:r>
            <w:r>
              <w:rPr>
                <w:sz w:val="20"/>
                <w:szCs w:val="20"/>
              </w:rPr>
              <w:fldChar w:fldCharType="end"/>
            </w:r>
          </w:p>
        </w:tc>
      </w:tr>
      <w:tr w:rsidR="00FC7AB5" w:rsidRPr="0000352D" w14:paraId="6D9FE47E" w14:textId="77777777" w:rsidTr="00627BB2">
        <w:tc>
          <w:tcPr>
            <w:tcW w:w="1200" w:type="dxa"/>
            <w:vMerge/>
            <w:shd w:val="clear" w:color="auto" w:fill="D1D1D1" w:themeFill="background2" w:themeFillShade="E6"/>
            <w:vAlign w:val="center"/>
          </w:tcPr>
          <w:p w14:paraId="79C889E1"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1D5E74A0" w14:textId="77777777" w:rsidR="00FC7AB5" w:rsidRPr="0000352D" w:rsidRDefault="00FC7AB5" w:rsidP="00FC7AB5">
            <w:pPr>
              <w:jc w:val="left"/>
              <w:rPr>
                <w:sz w:val="20"/>
                <w:szCs w:val="20"/>
              </w:rPr>
            </w:pPr>
          </w:p>
        </w:tc>
        <w:tc>
          <w:tcPr>
            <w:tcW w:w="748" w:type="dxa"/>
            <w:vMerge/>
            <w:vAlign w:val="center"/>
          </w:tcPr>
          <w:p w14:paraId="4BACE994" w14:textId="77777777" w:rsidR="00FC7AB5" w:rsidRPr="0000352D" w:rsidRDefault="00FC7AB5" w:rsidP="00FC7AB5">
            <w:pPr>
              <w:jc w:val="center"/>
              <w:rPr>
                <w:sz w:val="20"/>
                <w:szCs w:val="20"/>
              </w:rPr>
            </w:pPr>
          </w:p>
        </w:tc>
        <w:tc>
          <w:tcPr>
            <w:tcW w:w="1628" w:type="dxa"/>
            <w:shd w:val="clear" w:color="auto" w:fill="EFF5FB"/>
            <w:vAlign w:val="center"/>
          </w:tcPr>
          <w:p w14:paraId="4389A93C" w14:textId="77777777" w:rsidR="00FC7AB5" w:rsidRDefault="00FC7AB5" w:rsidP="00FC7AB5">
            <w:pPr>
              <w:jc w:val="left"/>
              <w:rPr>
                <w:sz w:val="20"/>
                <w:szCs w:val="20"/>
              </w:rPr>
            </w:pPr>
            <w:proofErr w:type="spellStart"/>
            <w:r>
              <w:rPr>
                <w:sz w:val="20"/>
                <w:szCs w:val="20"/>
              </w:rPr>
              <w:t>SI</w:t>
            </w:r>
            <w:r>
              <w:rPr>
                <w:sz w:val="20"/>
                <w:szCs w:val="20"/>
                <w:vertAlign w:val="subscript"/>
              </w:rPr>
              <w:t>ném</w:t>
            </w:r>
            <w:proofErr w:type="spellEnd"/>
            <w:r>
              <w:rPr>
                <w:sz w:val="20"/>
                <w:szCs w:val="20"/>
                <w:vertAlign w:val="subscript"/>
              </w:rPr>
              <w:t xml:space="preserve"> santé</w:t>
            </w:r>
          </w:p>
        </w:tc>
        <w:tc>
          <w:tcPr>
            <w:tcW w:w="4252" w:type="dxa"/>
            <w:vMerge/>
            <w:vAlign w:val="center"/>
          </w:tcPr>
          <w:p w14:paraId="132E2DCE" w14:textId="77777777" w:rsidR="00FC7AB5" w:rsidRDefault="00FC7AB5" w:rsidP="00FC7AB5">
            <w:pPr>
              <w:jc w:val="left"/>
              <w:rPr>
                <w:sz w:val="20"/>
                <w:szCs w:val="20"/>
              </w:rPr>
            </w:pPr>
          </w:p>
        </w:tc>
      </w:tr>
      <w:tr w:rsidR="00FC7AB5" w:rsidRPr="0000352D" w14:paraId="16756C3F" w14:textId="77777777" w:rsidTr="00627BB2">
        <w:tc>
          <w:tcPr>
            <w:tcW w:w="1200" w:type="dxa"/>
            <w:vMerge/>
            <w:shd w:val="clear" w:color="auto" w:fill="D1D1D1" w:themeFill="background2" w:themeFillShade="E6"/>
            <w:vAlign w:val="center"/>
          </w:tcPr>
          <w:p w14:paraId="2A0D9981"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66C6BAB5" w14:textId="77777777" w:rsidR="00FC7AB5" w:rsidRPr="0000352D" w:rsidRDefault="00FC7AB5" w:rsidP="00FC7AB5">
            <w:pPr>
              <w:jc w:val="left"/>
              <w:rPr>
                <w:sz w:val="20"/>
                <w:szCs w:val="20"/>
              </w:rPr>
            </w:pPr>
          </w:p>
        </w:tc>
        <w:tc>
          <w:tcPr>
            <w:tcW w:w="748" w:type="dxa"/>
            <w:vMerge w:val="restart"/>
            <w:vAlign w:val="center"/>
          </w:tcPr>
          <w:p w14:paraId="70F5B194" w14:textId="77777777" w:rsidR="00FC7AB5" w:rsidRPr="0000352D" w:rsidRDefault="00FC7AB5" w:rsidP="00FC7AB5">
            <w:pPr>
              <w:jc w:val="center"/>
              <w:rPr>
                <w:sz w:val="20"/>
                <w:szCs w:val="20"/>
              </w:rPr>
            </w:pPr>
            <w:r>
              <w:rPr>
                <w:noProof/>
                <w:sz w:val="20"/>
                <w:szCs w:val="20"/>
              </w:rPr>
              <mc:AlternateContent>
                <mc:Choice Requires="wps">
                  <w:drawing>
                    <wp:inline distT="0" distB="0" distL="0" distR="0" wp14:anchorId="6A5F9D99" wp14:editId="712DEFD0">
                      <wp:extent cx="94615" cy="153035"/>
                      <wp:effectExtent l="0" t="38100" r="57785" b="18415"/>
                      <wp:docPr id="1321809124"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352E9AA5"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1CAA7653" w14:textId="77777777" w:rsidR="00FC7AB5" w:rsidRDefault="00FC7AB5" w:rsidP="00FC7AB5">
            <w:pPr>
              <w:jc w:val="left"/>
              <w:rPr>
                <w:sz w:val="20"/>
                <w:szCs w:val="20"/>
              </w:rPr>
            </w:pPr>
            <w:proofErr w:type="spellStart"/>
            <w:r>
              <w:rPr>
                <w:sz w:val="20"/>
                <w:szCs w:val="20"/>
              </w:rPr>
              <w:t>Shannon</w:t>
            </w:r>
            <w:r>
              <w:rPr>
                <w:sz w:val="20"/>
                <w:szCs w:val="20"/>
                <w:vertAlign w:val="subscript"/>
              </w:rPr>
              <w:t>ném</w:t>
            </w:r>
            <w:proofErr w:type="spellEnd"/>
            <w:r>
              <w:rPr>
                <w:sz w:val="20"/>
                <w:szCs w:val="20"/>
                <w:vertAlign w:val="subscript"/>
              </w:rPr>
              <w:t xml:space="preserve"> qualité</w:t>
            </w:r>
          </w:p>
        </w:tc>
        <w:tc>
          <w:tcPr>
            <w:tcW w:w="4252" w:type="dxa"/>
            <w:vMerge w:val="restart"/>
            <w:vAlign w:val="center"/>
          </w:tcPr>
          <w:p w14:paraId="528A15DC" w14:textId="6731E3A7" w:rsidR="00FC7AB5" w:rsidRDefault="00FC7AB5" w:rsidP="00FC7AB5">
            <w:pPr>
              <w:jc w:val="left"/>
              <w:rPr>
                <w:sz w:val="20"/>
                <w:szCs w:val="20"/>
              </w:rPr>
            </w:pPr>
            <w:r>
              <w:rPr>
                <w:sz w:val="20"/>
                <w:szCs w:val="20"/>
              </w:rPr>
              <w:t xml:space="preserve">Valeur cible </w:t>
            </w:r>
            <w:r>
              <w:rPr>
                <w:sz w:val="20"/>
                <w:szCs w:val="20"/>
              </w:rPr>
              <w:fldChar w:fldCharType="begin"/>
            </w:r>
            <w:r>
              <w:rPr>
                <w:sz w:val="20"/>
                <w:szCs w:val="20"/>
              </w:rPr>
              <w:instrText xml:space="preserve"> ADDIN ZOTERO_ITEM CSL_CITATION {"citationID":"DQKwYcXs","properties":{"unsorted":false,"formattedCitation":"(Chauvin, 2025)","plainCitation":"(Chauvin, 2025)","noteIndex":0},"citationItems":[{"id":592,"uris":["http://zotero.org/groups/5684833/items/6H4ESTD4"],"itemData":{"id":592,"type":"speech","event-place":"Parc du Verdon","title":"La nématofaune: un bio-indicateur pour suivre et évaluer le fonctionnement biologique des sols","URL":"https://www.parcduverdon.fr/wp-content/uploads/2025/10/202509_JT_REGAIN_3.Qualite_biologique_nematodes_ELISOL.pdf","author":[{"family":"Chauvin","given":"Camille"}],"issued":{"date-parts":[["2025"]]}}}],"schema":"https://github.com/citation-style-language/schema/raw/master/csl-citation.json"} </w:instrText>
            </w:r>
            <w:r>
              <w:rPr>
                <w:sz w:val="20"/>
                <w:szCs w:val="20"/>
              </w:rPr>
              <w:fldChar w:fldCharType="separate"/>
            </w:r>
            <w:r w:rsidRPr="00327490">
              <w:rPr>
                <w:rFonts w:cs="Calibri"/>
                <w:sz w:val="20"/>
              </w:rPr>
              <w:t>(Chauvin, 2025)</w:t>
            </w:r>
            <w:r>
              <w:rPr>
                <w:sz w:val="20"/>
                <w:szCs w:val="20"/>
              </w:rPr>
              <w:fldChar w:fldCharType="end"/>
            </w:r>
          </w:p>
        </w:tc>
      </w:tr>
      <w:tr w:rsidR="00FC7AB5" w14:paraId="79CB5FEC" w14:textId="77777777" w:rsidTr="00627BB2">
        <w:tc>
          <w:tcPr>
            <w:tcW w:w="1200" w:type="dxa"/>
            <w:vMerge/>
            <w:tcBorders>
              <w:bottom w:val="single" w:sz="18" w:space="0" w:color="auto"/>
            </w:tcBorders>
            <w:shd w:val="clear" w:color="auto" w:fill="D1D1D1" w:themeFill="background2" w:themeFillShade="E6"/>
            <w:vAlign w:val="center"/>
          </w:tcPr>
          <w:p w14:paraId="31C65FC4" w14:textId="77777777" w:rsidR="00FC7AB5" w:rsidRPr="00261C30" w:rsidRDefault="00FC7AB5" w:rsidP="00FC7AB5">
            <w:pPr>
              <w:jc w:val="left"/>
              <w:rPr>
                <w:b/>
                <w:bCs/>
                <w:sz w:val="20"/>
                <w:szCs w:val="20"/>
              </w:rPr>
            </w:pPr>
          </w:p>
        </w:tc>
        <w:tc>
          <w:tcPr>
            <w:tcW w:w="1239" w:type="dxa"/>
            <w:vMerge/>
            <w:tcBorders>
              <w:bottom w:val="single" w:sz="18" w:space="0" w:color="auto"/>
            </w:tcBorders>
            <w:shd w:val="clear" w:color="auto" w:fill="F2F2F2" w:themeFill="background1" w:themeFillShade="F2"/>
            <w:vAlign w:val="center"/>
          </w:tcPr>
          <w:p w14:paraId="2254A27E" w14:textId="77777777" w:rsidR="00FC7AB5" w:rsidRDefault="00FC7AB5" w:rsidP="00FC7AB5">
            <w:pPr>
              <w:jc w:val="left"/>
              <w:rPr>
                <w:sz w:val="20"/>
                <w:szCs w:val="20"/>
              </w:rPr>
            </w:pPr>
          </w:p>
        </w:tc>
        <w:tc>
          <w:tcPr>
            <w:tcW w:w="748" w:type="dxa"/>
            <w:vMerge/>
            <w:tcBorders>
              <w:bottom w:val="single" w:sz="18" w:space="0" w:color="auto"/>
            </w:tcBorders>
            <w:vAlign w:val="center"/>
          </w:tcPr>
          <w:p w14:paraId="23EA8FC5" w14:textId="77777777" w:rsidR="00FC7AB5" w:rsidRDefault="00FC7AB5" w:rsidP="00FC7AB5">
            <w:pPr>
              <w:jc w:val="center"/>
              <w:rPr>
                <w:sz w:val="20"/>
                <w:szCs w:val="20"/>
              </w:rPr>
            </w:pPr>
          </w:p>
        </w:tc>
        <w:tc>
          <w:tcPr>
            <w:tcW w:w="1628" w:type="dxa"/>
            <w:tcBorders>
              <w:bottom w:val="single" w:sz="18" w:space="0" w:color="auto"/>
            </w:tcBorders>
            <w:shd w:val="clear" w:color="auto" w:fill="EFF5FB"/>
            <w:vAlign w:val="center"/>
          </w:tcPr>
          <w:p w14:paraId="789A43CB" w14:textId="77777777" w:rsidR="00FC7AB5" w:rsidRDefault="00FC7AB5" w:rsidP="00FC7AB5">
            <w:pPr>
              <w:jc w:val="left"/>
              <w:rPr>
                <w:sz w:val="20"/>
                <w:szCs w:val="20"/>
              </w:rPr>
            </w:pPr>
            <w:proofErr w:type="spellStart"/>
            <w:r>
              <w:rPr>
                <w:sz w:val="20"/>
                <w:szCs w:val="20"/>
              </w:rPr>
              <w:t>Shannon</w:t>
            </w:r>
            <w:r>
              <w:rPr>
                <w:sz w:val="20"/>
                <w:szCs w:val="20"/>
                <w:vertAlign w:val="subscript"/>
              </w:rPr>
              <w:t>ném</w:t>
            </w:r>
            <w:proofErr w:type="spellEnd"/>
            <w:r>
              <w:rPr>
                <w:sz w:val="20"/>
                <w:szCs w:val="20"/>
                <w:vertAlign w:val="subscript"/>
              </w:rPr>
              <w:t xml:space="preserve"> santé</w:t>
            </w:r>
          </w:p>
        </w:tc>
        <w:tc>
          <w:tcPr>
            <w:tcW w:w="4252" w:type="dxa"/>
            <w:vMerge/>
            <w:tcBorders>
              <w:bottom w:val="single" w:sz="18" w:space="0" w:color="auto"/>
            </w:tcBorders>
            <w:vAlign w:val="center"/>
          </w:tcPr>
          <w:p w14:paraId="5127AAAC" w14:textId="77777777" w:rsidR="00FC7AB5" w:rsidRDefault="00FC7AB5" w:rsidP="00FC7AB5">
            <w:pPr>
              <w:jc w:val="left"/>
              <w:rPr>
                <w:sz w:val="20"/>
                <w:szCs w:val="20"/>
              </w:rPr>
            </w:pPr>
          </w:p>
        </w:tc>
      </w:tr>
      <w:tr w:rsidR="0096035A" w14:paraId="345BBC26" w14:textId="77777777" w:rsidTr="00627BB2">
        <w:tc>
          <w:tcPr>
            <w:tcW w:w="1200" w:type="dxa"/>
            <w:vMerge w:val="restart"/>
            <w:tcBorders>
              <w:top w:val="single" w:sz="18" w:space="0" w:color="auto"/>
            </w:tcBorders>
            <w:shd w:val="clear" w:color="auto" w:fill="D1D1D1" w:themeFill="background2" w:themeFillShade="E6"/>
            <w:vAlign w:val="center"/>
          </w:tcPr>
          <w:p w14:paraId="0A2BDFF7" w14:textId="77777777" w:rsidR="0096035A" w:rsidRPr="00261C30" w:rsidRDefault="0096035A" w:rsidP="0096035A">
            <w:pPr>
              <w:jc w:val="left"/>
              <w:rPr>
                <w:b/>
                <w:bCs/>
                <w:sz w:val="20"/>
                <w:szCs w:val="20"/>
              </w:rPr>
            </w:pPr>
            <w:r w:rsidRPr="00261C30">
              <w:rPr>
                <w:b/>
                <w:bCs/>
                <w:sz w:val="20"/>
                <w:szCs w:val="20"/>
              </w:rPr>
              <w:t>Stockage C</w:t>
            </w:r>
          </w:p>
        </w:tc>
        <w:tc>
          <w:tcPr>
            <w:tcW w:w="1239" w:type="dxa"/>
            <w:vMerge w:val="restart"/>
            <w:tcBorders>
              <w:top w:val="single" w:sz="18" w:space="0" w:color="auto"/>
            </w:tcBorders>
            <w:shd w:val="clear" w:color="auto" w:fill="F2F2F2" w:themeFill="background1" w:themeFillShade="F2"/>
            <w:vAlign w:val="center"/>
          </w:tcPr>
          <w:p w14:paraId="503BCAB1" w14:textId="77777777" w:rsidR="0096035A" w:rsidRDefault="0096035A" w:rsidP="0096035A">
            <w:pPr>
              <w:jc w:val="left"/>
              <w:rPr>
                <w:sz w:val="20"/>
                <w:szCs w:val="20"/>
              </w:rPr>
            </w:pPr>
            <w:r>
              <w:rPr>
                <w:sz w:val="20"/>
                <w:szCs w:val="20"/>
              </w:rPr>
              <w:t>Stockage</w:t>
            </w:r>
          </w:p>
        </w:tc>
        <w:tc>
          <w:tcPr>
            <w:tcW w:w="748" w:type="dxa"/>
            <w:vMerge w:val="restart"/>
            <w:tcBorders>
              <w:top w:val="single" w:sz="18" w:space="0" w:color="auto"/>
            </w:tcBorders>
            <w:vAlign w:val="center"/>
          </w:tcPr>
          <w:p w14:paraId="20DBB87A" w14:textId="77777777" w:rsidR="0096035A" w:rsidRDefault="0096035A" w:rsidP="0096035A">
            <w:pPr>
              <w:jc w:val="center"/>
              <w:rPr>
                <w:sz w:val="20"/>
                <w:szCs w:val="20"/>
              </w:rPr>
            </w:pPr>
            <w:r>
              <w:rPr>
                <w:noProof/>
                <w:sz w:val="20"/>
                <w:szCs w:val="20"/>
              </w:rPr>
              <mc:AlternateContent>
                <mc:Choice Requires="wps">
                  <w:drawing>
                    <wp:inline distT="0" distB="0" distL="0" distR="0" wp14:anchorId="0A55FAB9" wp14:editId="1F803DF0">
                      <wp:extent cx="94615" cy="153035"/>
                      <wp:effectExtent l="0" t="38100" r="57785" b="18415"/>
                      <wp:docPr id="589268253"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0FEACB60"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tcBorders>
              <w:top w:val="single" w:sz="18" w:space="0" w:color="auto"/>
            </w:tcBorders>
            <w:shd w:val="clear" w:color="auto" w:fill="F2F9EB"/>
            <w:vAlign w:val="center"/>
          </w:tcPr>
          <w:p w14:paraId="2840E16F" w14:textId="77777777" w:rsidR="0096035A" w:rsidRDefault="0096035A" w:rsidP="0096035A">
            <w:pPr>
              <w:jc w:val="left"/>
              <w:rPr>
                <w:sz w:val="20"/>
                <w:szCs w:val="20"/>
              </w:rPr>
            </w:pPr>
            <w:r>
              <w:rPr>
                <w:sz w:val="20"/>
                <w:szCs w:val="20"/>
              </w:rPr>
              <w:t xml:space="preserve">Stock </w:t>
            </w:r>
            <w:proofErr w:type="spellStart"/>
            <w:r>
              <w:rPr>
                <w:sz w:val="20"/>
                <w:szCs w:val="20"/>
              </w:rPr>
              <w:t>C</w:t>
            </w:r>
            <w:r>
              <w:rPr>
                <w:sz w:val="20"/>
                <w:szCs w:val="20"/>
                <w:vertAlign w:val="subscript"/>
              </w:rPr>
              <w:t>qualité</w:t>
            </w:r>
            <w:proofErr w:type="spellEnd"/>
          </w:p>
        </w:tc>
        <w:tc>
          <w:tcPr>
            <w:tcW w:w="4252" w:type="dxa"/>
            <w:tcBorders>
              <w:top w:val="single" w:sz="18" w:space="0" w:color="auto"/>
            </w:tcBorders>
            <w:shd w:val="clear" w:color="auto" w:fill="F2F9EB"/>
            <w:vAlign w:val="center"/>
          </w:tcPr>
          <w:p w14:paraId="5C15333E" w14:textId="2B46FCC1" w:rsidR="0096035A" w:rsidRDefault="0096035A" w:rsidP="0096035A">
            <w:pPr>
              <w:jc w:val="left"/>
              <w:rPr>
                <w:sz w:val="20"/>
                <w:szCs w:val="20"/>
              </w:rPr>
            </w:pPr>
            <w:r w:rsidRPr="00CF72F7">
              <w:rPr>
                <w:sz w:val="20"/>
                <w:szCs w:val="20"/>
              </w:rPr>
              <w:t xml:space="preserve">Valeurs </w:t>
            </w:r>
            <w:r>
              <w:rPr>
                <w:sz w:val="20"/>
                <w:szCs w:val="20"/>
              </w:rPr>
              <w:t xml:space="preserve">minimales pour un stockage considéré suffisant </w:t>
            </w:r>
            <w:r>
              <w:rPr>
                <w:sz w:val="20"/>
                <w:szCs w:val="20"/>
              </w:rPr>
              <w:fldChar w:fldCharType="begin"/>
            </w:r>
            <w:r w:rsidR="00176C25">
              <w:rPr>
                <w:sz w:val="20"/>
                <w:szCs w:val="20"/>
              </w:rPr>
              <w:instrText xml:space="preserve"> ADDIN ZOTERO_ITEM CSL_CITATION {"citationID":"G7mGH8er","properties":{"unsorted":false,"formattedCitation":"(Mukherjee &amp; Lal, 2014)","plainCitation":"(Mukherjee &amp; Lal, 2014)","noteIndex":0},"citationItems":[{"id":99,"uris":["http://zotero.org/groups/5684833/items/KAYA7WNR"],"itemData":{"id":99,"type":"article-journal","abstract":"Assessment of management-induced changes in soil quality is important to sustaining high crop yield. A large diversity of cultivated soils necessitate identification development of an appropriate soil quality index (SQI) based on relative soil properties and crop yield. Whereas numerous attempts have been made to estimate SQI for major soils across the World, there is no standard method established and thus, a strong need exists for developing a user-friendly and credible SQI through comparison of various available methods. Therefore, the objective of this article is to compare three widely used methods to estimate SQI using the data collected from 72 soil samples from three on-farm study sites in Ohio. Additionally, challenge lies in establishing a correlation between crop yield versus SQI calculated either depth wise or in combination of soil layers as standard methodology is not yet available and was not given much attention to date. Predominant soils of the study included one organic (Mc), and two mineral (CrB, Ko) soils. Three methods used to estimate SQI were: (i) simple additive SQI (SQI-1), (ii) weighted additive SQI (SQI-2), and (iii) statistically modeled SQI (SQI-3) based on principal component analysis (PCA). The SQI varied between treatments and soil types and ranged between 0–0.9 (1 being the maximum SQI). In general, SQIs did not significantly differ at depths under any method suggesting that soil quality did not significantly differ for different depths at the studied sites. Additionally, data indicate that SQI-3 was most strongly correlated with crop yield, the correlation coefficient ranged between 0.74–0.78. All three SQIs were significantly correlated (r = 0.92–0.97) to each other and with crop yield (r = 0.65–0.79). Separate analyses by crop variety revealed that correlation was low indicating that some key aspects of soil quality related to crop response are important requirements for estimating SQI.","container-title":"PLOS ONE","DOI":"10.1371/journal.pone.0105981","ISSN":"1932-6203","issue":"8","journalAbbreviation":"PLOS ONE","language":"en","page":"e105981","publisher":"Public Library of Science","source":"PLoS Journals","title":"Comparison of Soil Quality Index Using Three Methods","volume":"9","author":[{"family":"Mukherjee","given":"Atanu"},{"family":"Lal","given":"Rattan"}],"issued":{"date-parts":[["2014",8,22]]}}}],"schema":"https://github.com/citation-style-language/schema/raw/master/csl-citation.json"} </w:instrText>
            </w:r>
            <w:r>
              <w:rPr>
                <w:sz w:val="20"/>
                <w:szCs w:val="20"/>
              </w:rPr>
              <w:fldChar w:fldCharType="separate"/>
            </w:r>
            <w:r w:rsidRPr="6CB535F6">
              <w:rPr>
                <w:rFonts w:cs="Calibri"/>
                <w:sz w:val="20"/>
                <w:szCs w:val="20"/>
              </w:rPr>
              <w:t>(Mukherjee &amp; Lal, 2014)</w:t>
            </w:r>
            <w:r>
              <w:rPr>
                <w:sz w:val="20"/>
                <w:szCs w:val="20"/>
              </w:rPr>
              <w:fldChar w:fldCharType="end"/>
            </w:r>
          </w:p>
        </w:tc>
      </w:tr>
      <w:tr w:rsidR="0096035A" w14:paraId="69FF005A" w14:textId="77777777" w:rsidTr="00627BB2">
        <w:tc>
          <w:tcPr>
            <w:tcW w:w="1200" w:type="dxa"/>
            <w:vMerge/>
            <w:shd w:val="clear" w:color="auto" w:fill="D1D1D1" w:themeFill="background2" w:themeFillShade="E6"/>
            <w:vAlign w:val="center"/>
          </w:tcPr>
          <w:p w14:paraId="3AB96350" w14:textId="77777777" w:rsidR="0096035A" w:rsidRPr="00261C30" w:rsidRDefault="0096035A" w:rsidP="0096035A">
            <w:pPr>
              <w:jc w:val="left"/>
              <w:rPr>
                <w:b/>
                <w:bCs/>
                <w:sz w:val="20"/>
                <w:szCs w:val="20"/>
              </w:rPr>
            </w:pPr>
          </w:p>
        </w:tc>
        <w:tc>
          <w:tcPr>
            <w:tcW w:w="1239" w:type="dxa"/>
            <w:vMerge/>
            <w:shd w:val="clear" w:color="auto" w:fill="F2F2F2" w:themeFill="background1" w:themeFillShade="F2"/>
            <w:vAlign w:val="center"/>
          </w:tcPr>
          <w:p w14:paraId="7523C97A" w14:textId="77777777" w:rsidR="0096035A" w:rsidRDefault="0096035A" w:rsidP="0096035A">
            <w:pPr>
              <w:jc w:val="left"/>
              <w:rPr>
                <w:sz w:val="20"/>
                <w:szCs w:val="20"/>
              </w:rPr>
            </w:pPr>
          </w:p>
        </w:tc>
        <w:tc>
          <w:tcPr>
            <w:tcW w:w="748" w:type="dxa"/>
            <w:vMerge/>
            <w:vAlign w:val="center"/>
          </w:tcPr>
          <w:p w14:paraId="78F55038" w14:textId="77777777" w:rsidR="0096035A" w:rsidRDefault="0096035A" w:rsidP="0096035A">
            <w:pPr>
              <w:jc w:val="center"/>
              <w:rPr>
                <w:noProof/>
                <w:sz w:val="20"/>
                <w:szCs w:val="20"/>
              </w:rPr>
            </w:pPr>
          </w:p>
        </w:tc>
        <w:tc>
          <w:tcPr>
            <w:tcW w:w="1628" w:type="dxa"/>
            <w:shd w:val="clear" w:color="auto" w:fill="EFF5FB"/>
            <w:vAlign w:val="center"/>
          </w:tcPr>
          <w:p w14:paraId="76135AC5" w14:textId="139E7F32" w:rsidR="0096035A" w:rsidRPr="006365C3" w:rsidRDefault="0096035A" w:rsidP="0096035A">
            <w:pPr>
              <w:jc w:val="left"/>
              <w:rPr>
                <w:sz w:val="20"/>
                <w:szCs w:val="20"/>
                <w:vertAlign w:val="subscript"/>
              </w:rPr>
            </w:pPr>
            <w:r>
              <w:rPr>
                <w:sz w:val="20"/>
                <w:szCs w:val="20"/>
              </w:rPr>
              <w:t xml:space="preserve">Stock </w:t>
            </w:r>
            <w:proofErr w:type="spellStart"/>
            <w:r>
              <w:rPr>
                <w:sz w:val="20"/>
                <w:szCs w:val="20"/>
              </w:rPr>
              <w:t>C</w:t>
            </w:r>
            <w:r>
              <w:rPr>
                <w:sz w:val="20"/>
                <w:szCs w:val="20"/>
                <w:vertAlign w:val="subscript"/>
              </w:rPr>
              <w:t>santé</w:t>
            </w:r>
            <w:proofErr w:type="spellEnd"/>
          </w:p>
        </w:tc>
        <w:tc>
          <w:tcPr>
            <w:tcW w:w="4252" w:type="dxa"/>
            <w:shd w:val="clear" w:color="auto" w:fill="EFF5FB"/>
            <w:vAlign w:val="center"/>
          </w:tcPr>
          <w:p w14:paraId="5F8E1D18" w14:textId="7DEE1D96" w:rsidR="0096035A" w:rsidRDefault="0096035A" w:rsidP="0096035A">
            <w:pPr>
              <w:jc w:val="left"/>
              <w:rPr>
                <w:sz w:val="20"/>
                <w:szCs w:val="20"/>
              </w:rPr>
            </w:pPr>
            <w:r>
              <w:rPr>
                <w:sz w:val="20"/>
                <w:szCs w:val="20"/>
              </w:rPr>
              <w:t>Comparaison à la valeur optimale en fonction de la classe texturale (sur base de MO potentielle)</w:t>
            </w:r>
          </w:p>
        </w:tc>
      </w:tr>
      <w:tr w:rsidR="00FC7AB5" w14:paraId="197E56CD" w14:textId="77777777" w:rsidTr="00627BB2">
        <w:tc>
          <w:tcPr>
            <w:tcW w:w="1200" w:type="dxa"/>
            <w:vMerge/>
            <w:shd w:val="clear" w:color="auto" w:fill="D1D1D1" w:themeFill="background2" w:themeFillShade="E6"/>
            <w:vAlign w:val="center"/>
          </w:tcPr>
          <w:p w14:paraId="3E4DC37D" w14:textId="77777777" w:rsidR="00FC7AB5" w:rsidRPr="00261C30" w:rsidRDefault="00FC7AB5" w:rsidP="00FC7AB5">
            <w:pPr>
              <w:jc w:val="left"/>
              <w:rPr>
                <w:b/>
                <w:bCs/>
                <w:sz w:val="20"/>
                <w:szCs w:val="20"/>
              </w:rPr>
            </w:pPr>
          </w:p>
        </w:tc>
        <w:tc>
          <w:tcPr>
            <w:tcW w:w="1239" w:type="dxa"/>
            <w:vMerge w:val="restart"/>
            <w:shd w:val="clear" w:color="auto" w:fill="F2F2F2" w:themeFill="background1" w:themeFillShade="F2"/>
            <w:vAlign w:val="center"/>
          </w:tcPr>
          <w:p w14:paraId="48516967" w14:textId="77777777" w:rsidR="00FC7AB5" w:rsidRDefault="00FC7AB5" w:rsidP="00FC7AB5">
            <w:pPr>
              <w:jc w:val="left"/>
              <w:rPr>
                <w:sz w:val="20"/>
                <w:szCs w:val="20"/>
              </w:rPr>
            </w:pPr>
            <w:r>
              <w:rPr>
                <w:sz w:val="20"/>
                <w:szCs w:val="20"/>
              </w:rPr>
              <w:t>Stockage</w:t>
            </w:r>
          </w:p>
        </w:tc>
        <w:tc>
          <w:tcPr>
            <w:tcW w:w="748" w:type="dxa"/>
            <w:vMerge w:val="restart"/>
            <w:vAlign w:val="center"/>
          </w:tcPr>
          <w:p w14:paraId="764569D5" w14:textId="77777777" w:rsidR="00FC7AB5" w:rsidRDefault="00FC7AB5" w:rsidP="00FC7AB5">
            <w:pPr>
              <w:jc w:val="center"/>
              <w:rPr>
                <w:sz w:val="20"/>
                <w:szCs w:val="20"/>
              </w:rPr>
            </w:pPr>
            <w:r>
              <w:rPr>
                <w:noProof/>
                <w:sz w:val="20"/>
                <w:szCs w:val="20"/>
              </w:rPr>
              <mc:AlternateContent>
                <mc:Choice Requires="wps">
                  <w:drawing>
                    <wp:inline distT="0" distB="0" distL="0" distR="0" wp14:anchorId="15D4D28B" wp14:editId="209DD45F">
                      <wp:extent cx="94615" cy="153035"/>
                      <wp:effectExtent l="0" t="38100" r="57785" b="18415"/>
                      <wp:docPr id="315268712"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3240E1A4"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5FFA1347" w14:textId="77777777" w:rsidR="00FC7AB5" w:rsidRDefault="00FC7AB5" w:rsidP="00FC7AB5">
            <w:pPr>
              <w:jc w:val="left"/>
              <w:rPr>
                <w:sz w:val="20"/>
                <w:szCs w:val="20"/>
              </w:rPr>
            </w:pPr>
            <w:proofErr w:type="spellStart"/>
            <w:r>
              <w:rPr>
                <w:sz w:val="20"/>
                <w:szCs w:val="20"/>
              </w:rPr>
              <w:t>C</w:t>
            </w:r>
            <w:r>
              <w:rPr>
                <w:sz w:val="20"/>
                <w:szCs w:val="20"/>
                <w:vertAlign w:val="subscript"/>
              </w:rPr>
              <w:t>org</w:t>
            </w:r>
            <w:proofErr w:type="spellEnd"/>
            <w:r>
              <w:rPr>
                <w:sz w:val="20"/>
                <w:szCs w:val="20"/>
              </w:rPr>
              <w:t>/</w:t>
            </w:r>
            <w:proofErr w:type="spellStart"/>
            <w:r>
              <w:rPr>
                <w:sz w:val="20"/>
                <w:szCs w:val="20"/>
              </w:rPr>
              <w:t>argile</w:t>
            </w:r>
            <w:r>
              <w:rPr>
                <w:sz w:val="20"/>
                <w:szCs w:val="20"/>
                <w:vertAlign w:val="subscript"/>
              </w:rPr>
              <w:t>qualité</w:t>
            </w:r>
            <w:proofErr w:type="spellEnd"/>
          </w:p>
        </w:tc>
        <w:tc>
          <w:tcPr>
            <w:tcW w:w="4252" w:type="dxa"/>
            <w:shd w:val="clear" w:color="auto" w:fill="F2F9EB"/>
            <w:vAlign w:val="center"/>
          </w:tcPr>
          <w:p w14:paraId="17C27139" w14:textId="1AAEAE6D" w:rsidR="00FC7AB5" w:rsidRDefault="00FC7AB5" w:rsidP="00FC7AB5">
            <w:pPr>
              <w:jc w:val="left"/>
              <w:rPr>
                <w:sz w:val="20"/>
                <w:szCs w:val="20"/>
              </w:rPr>
            </w:pPr>
            <w:r>
              <w:rPr>
                <w:sz w:val="20"/>
                <w:szCs w:val="20"/>
              </w:rPr>
              <w:t xml:space="preserve">Seuil mentionné dans la directive - perte de carbone organique du sol </w:t>
            </w:r>
            <w:r>
              <w:rPr>
                <w:sz w:val="20"/>
                <w:szCs w:val="20"/>
              </w:rPr>
              <w:fldChar w:fldCharType="begin"/>
            </w:r>
            <w:r w:rsidR="00377A1A">
              <w:rPr>
                <w:sz w:val="20"/>
                <w:szCs w:val="20"/>
              </w:rPr>
              <w:instrText xml:space="preserve"> ADDIN ZOTERO_ITEM CSL_CITATION {"citationID":"HK670IHy","properties":{"unsorted":false,"formattedCitation":"(UE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Pr>
                <w:sz w:val="20"/>
                <w:szCs w:val="20"/>
              </w:rPr>
              <w:fldChar w:fldCharType="separate"/>
            </w:r>
            <w:r w:rsidR="00377A1A" w:rsidRPr="00377A1A">
              <w:rPr>
                <w:rFonts w:cs="Calibri"/>
                <w:sz w:val="20"/>
              </w:rPr>
              <w:t>(UE 2025/2360, 2025)</w:t>
            </w:r>
            <w:r>
              <w:rPr>
                <w:sz w:val="20"/>
                <w:szCs w:val="20"/>
              </w:rPr>
              <w:fldChar w:fldCharType="end"/>
            </w:r>
          </w:p>
        </w:tc>
      </w:tr>
      <w:tr w:rsidR="00FC7AB5" w14:paraId="4F39E7C7" w14:textId="77777777" w:rsidTr="00627BB2">
        <w:tc>
          <w:tcPr>
            <w:tcW w:w="1200" w:type="dxa"/>
            <w:vMerge/>
            <w:shd w:val="clear" w:color="auto" w:fill="D1D1D1" w:themeFill="background2" w:themeFillShade="E6"/>
            <w:vAlign w:val="center"/>
          </w:tcPr>
          <w:p w14:paraId="1ED4A7B4" w14:textId="77777777" w:rsidR="00FC7AB5" w:rsidRPr="00261C30" w:rsidRDefault="00FC7AB5" w:rsidP="00FC7AB5">
            <w:pPr>
              <w:jc w:val="left"/>
              <w:rPr>
                <w:b/>
                <w:bCs/>
                <w:sz w:val="20"/>
                <w:szCs w:val="20"/>
              </w:rPr>
            </w:pPr>
          </w:p>
        </w:tc>
        <w:tc>
          <w:tcPr>
            <w:tcW w:w="1239" w:type="dxa"/>
            <w:vMerge/>
            <w:shd w:val="clear" w:color="auto" w:fill="F2F2F2" w:themeFill="background1" w:themeFillShade="F2"/>
            <w:vAlign w:val="center"/>
          </w:tcPr>
          <w:p w14:paraId="5F3264D4" w14:textId="77777777" w:rsidR="00FC7AB5" w:rsidRDefault="00FC7AB5" w:rsidP="00FC7AB5">
            <w:pPr>
              <w:jc w:val="left"/>
              <w:rPr>
                <w:sz w:val="20"/>
                <w:szCs w:val="20"/>
              </w:rPr>
            </w:pPr>
          </w:p>
        </w:tc>
        <w:tc>
          <w:tcPr>
            <w:tcW w:w="748" w:type="dxa"/>
            <w:vMerge/>
            <w:vAlign w:val="center"/>
          </w:tcPr>
          <w:p w14:paraId="2B52FAF3" w14:textId="77777777" w:rsidR="00FC7AB5" w:rsidRDefault="00FC7AB5" w:rsidP="00FC7AB5">
            <w:pPr>
              <w:jc w:val="center"/>
              <w:rPr>
                <w:sz w:val="20"/>
                <w:szCs w:val="20"/>
              </w:rPr>
            </w:pPr>
          </w:p>
        </w:tc>
        <w:tc>
          <w:tcPr>
            <w:tcW w:w="1628" w:type="dxa"/>
            <w:shd w:val="clear" w:color="auto" w:fill="EFF5FB"/>
            <w:vAlign w:val="center"/>
          </w:tcPr>
          <w:p w14:paraId="2971FF44" w14:textId="77777777" w:rsidR="00FC7AB5" w:rsidRDefault="00FC7AB5" w:rsidP="00FC7AB5">
            <w:pPr>
              <w:jc w:val="left"/>
              <w:rPr>
                <w:sz w:val="20"/>
                <w:szCs w:val="20"/>
              </w:rPr>
            </w:pPr>
            <w:proofErr w:type="spellStart"/>
            <w:r>
              <w:rPr>
                <w:sz w:val="20"/>
                <w:szCs w:val="20"/>
              </w:rPr>
              <w:t>C</w:t>
            </w:r>
            <w:r>
              <w:rPr>
                <w:sz w:val="20"/>
                <w:szCs w:val="20"/>
                <w:vertAlign w:val="subscript"/>
              </w:rPr>
              <w:t>org</w:t>
            </w:r>
            <w:proofErr w:type="spellEnd"/>
            <w:r>
              <w:rPr>
                <w:sz w:val="20"/>
                <w:szCs w:val="20"/>
              </w:rPr>
              <w:t>/</w:t>
            </w:r>
            <w:proofErr w:type="spellStart"/>
            <w:r>
              <w:rPr>
                <w:sz w:val="20"/>
                <w:szCs w:val="20"/>
              </w:rPr>
              <w:t>argile</w:t>
            </w:r>
            <w:r>
              <w:rPr>
                <w:sz w:val="20"/>
                <w:szCs w:val="20"/>
                <w:vertAlign w:val="subscript"/>
              </w:rPr>
              <w:t>santé</w:t>
            </w:r>
            <w:proofErr w:type="spellEnd"/>
          </w:p>
        </w:tc>
        <w:tc>
          <w:tcPr>
            <w:tcW w:w="4252" w:type="dxa"/>
            <w:shd w:val="clear" w:color="auto" w:fill="EFF5FB"/>
            <w:vAlign w:val="center"/>
          </w:tcPr>
          <w:p w14:paraId="155A9605" w14:textId="1651F0DE" w:rsidR="00FC7AB5" w:rsidRDefault="00FC7AB5" w:rsidP="00FC7AB5">
            <w:pPr>
              <w:jc w:val="left"/>
              <w:rPr>
                <w:sz w:val="20"/>
                <w:szCs w:val="20"/>
              </w:rPr>
            </w:pPr>
            <w:r>
              <w:rPr>
                <w:sz w:val="20"/>
                <w:szCs w:val="20"/>
              </w:rPr>
              <w:t>Comparaison à la valeur potentielle atteignable en fonction de la classe texturale (sur base de MO potentielle)</w:t>
            </w:r>
          </w:p>
        </w:tc>
      </w:tr>
    </w:tbl>
    <w:p w14:paraId="531970A2" w14:textId="77777777" w:rsidR="00D67C66" w:rsidRDefault="00D67C66" w:rsidP="004A0E7B"/>
    <w:p w14:paraId="59CAB35E" w14:textId="111C27DC" w:rsidR="00EB53C4" w:rsidRDefault="00EB53C4" w:rsidP="004E0AA3">
      <w:pPr>
        <w:pStyle w:val="Titre1"/>
      </w:pPr>
      <w:bookmarkStart w:id="209" w:name="_Toc230267154"/>
      <w:bookmarkStart w:id="210" w:name="_Toc241505363"/>
      <w:r>
        <w:lastRenderedPageBreak/>
        <w:t>Bibliographie</w:t>
      </w:r>
      <w:bookmarkEnd w:id="209"/>
      <w:bookmarkEnd w:id="210"/>
    </w:p>
    <w:p w14:paraId="4882C720" w14:textId="77777777" w:rsidR="00376159" w:rsidRPr="00376159" w:rsidRDefault="00FF48D4" w:rsidP="00376159">
      <w:pPr>
        <w:pStyle w:val="Bibliographie"/>
        <w:rPr>
          <w:lang w:val="en-GB"/>
        </w:rPr>
      </w:pPr>
      <w:r>
        <w:t xml:space="preserve"> </w:t>
      </w:r>
      <w:r w:rsidR="00CB5E37">
        <w:fldChar w:fldCharType="begin"/>
      </w:r>
      <w:r w:rsidR="00376159">
        <w:instrText xml:space="preserve"> ADDIN ZOTERO_BIBL {"uncited":[],"omitted":[],"custom":[]} CSL_BIBLIOGRAPHY </w:instrText>
      </w:r>
      <w:r w:rsidR="00CB5E37">
        <w:fldChar w:fldCharType="separate"/>
      </w:r>
      <w:r w:rsidR="00376159">
        <w:t xml:space="preserve">Ampoorter, E., De Frenne, P., Hermy, M., &amp; Verheyen, K. (2011). </w:t>
      </w:r>
      <w:r w:rsidR="00376159" w:rsidRPr="00376159">
        <w:rPr>
          <w:lang w:val="en-GB"/>
        </w:rPr>
        <w:t xml:space="preserve">Effects of soil compaction on growth and survival of tree saplings : A meta-analysis. </w:t>
      </w:r>
      <w:r w:rsidR="00376159" w:rsidRPr="00376159">
        <w:rPr>
          <w:i/>
          <w:iCs/>
          <w:lang w:val="en-GB"/>
        </w:rPr>
        <w:t>Basic and Applied Ecology</w:t>
      </w:r>
      <w:r w:rsidR="00376159" w:rsidRPr="00376159">
        <w:rPr>
          <w:lang w:val="en-GB"/>
        </w:rPr>
        <w:t xml:space="preserve">, </w:t>
      </w:r>
      <w:r w:rsidR="00376159" w:rsidRPr="00376159">
        <w:rPr>
          <w:i/>
          <w:iCs/>
          <w:lang w:val="en-GB"/>
        </w:rPr>
        <w:t>12</w:t>
      </w:r>
      <w:r w:rsidR="00376159" w:rsidRPr="00376159">
        <w:rPr>
          <w:lang w:val="en-GB"/>
        </w:rPr>
        <w:t>(5), 394</w:t>
      </w:r>
      <w:r w:rsidR="00376159" w:rsidRPr="00376159">
        <w:rPr>
          <w:rFonts w:ascii="Cambria Math" w:hAnsi="Cambria Math" w:cs="Cambria Math"/>
          <w:lang w:val="en-GB"/>
        </w:rPr>
        <w:t>‑</w:t>
      </w:r>
      <w:r w:rsidR="00376159" w:rsidRPr="00376159">
        <w:rPr>
          <w:lang w:val="en-GB"/>
        </w:rPr>
        <w:t>402. https://doi.org/10.1016/j.baae.2011.06.003</w:t>
      </w:r>
    </w:p>
    <w:p w14:paraId="5C1DE034" w14:textId="77777777" w:rsidR="00376159" w:rsidRDefault="00376159" w:rsidP="00376159">
      <w:pPr>
        <w:pStyle w:val="Bibliographie"/>
      </w:pPr>
      <w:r w:rsidRPr="00376159">
        <w:rPr>
          <w:lang w:val="en-GB"/>
        </w:rPr>
        <w:t xml:space="preserve">Bah, B., Engels, P., Legrain, X., &amp; Colinet, G. (2007). </w:t>
      </w:r>
      <w:r>
        <w:rPr>
          <w:i/>
          <w:iCs/>
        </w:rPr>
        <w:t>Légende de la Carte Numérique des Sols de Wallonie (Belgique) sur base de la légende originale de la Carte des sols de la Belgique de l’IRSIA à 1/20.000</w:t>
      </w:r>
      <w:r>
        <w:t>. Faculté universitaire des Sciences agronomiques de Gembloux – Laboratoire de Géopédologie, en relation avec le PCNSW (convention pour le compte de la Région Wallonne – DGA). https://www.fichierecologique.be/resources/LCNSW_V2.pdf</w:t>
      </w:r>
    </w:p>
    <w:p w14:paraId="012F12F8" w14:textId="77777777" w:rsidR="00376159" w:rsidRPr="00376159" w:rsidRDefault="00376159" w:rsidP="00376159">
      <w:pPr>
        <w:pStyle w:val="Bibliographie"/>
        <w:rPr>
          <w:lang w:val="en-GB"/>
        </w:rPr>
      </w:pPr>
      <w:r w:rsidRPr="00376159">
        <w:rPr>
          <w:lang w:val="en-GB"/>
        </w:rPr>
        <w:t xml:space="preserve">Ball, B. C., Guimarães, R. M. L., Cloy, J. M., Hargreaves, P. R., Shepherd, T. G., &amp; McKenzie, B. M. (2017). Visual soil evaluation : A summary of some applications and potential developments for agriculture. </w:t>
      </w:r>
      <w:r w:rsidRPr="00376159">
        <w:rPr>
          <w:i/>
          <w:iCs/>
          <w:lang w:val="en-GB"/>
        </w:rPr>
        <w:t>Soil and Tillage Research, Visual soil evaluation and soil compaction research</w:t>
      </w:r>
      <w:r w:rsidRPr="00376159">
        <w:rPr>
          <w:lang w:val="en-GB"/>
        </w:rPr>
        <w:t xml:space="preserve">, </w:t>
      </w:r>
      <w:r w:rsidRPr="00376159">
        <w:rPr>
          <w:i/>
          <w:iCs/>
          <w:lang w:val="en-GB"/>
        </w:rPr>
        <w:t>173</w:t>
      </w:r>
      <w:r w:rsidRPr="00376159">
        <w:rPr>
          <w:lang w:val="en-GB"/>
        </w:rPr>
        <w:t>, 114</w:t>
      </w:r>
      <w:r w:rsidRPr="00376159">
        <w:rPr>
          <w:rFonts w:ascii="Cambria Math" w:hAnsi="Cambria Math" w:cs="Cambria Math"/>
          <w:lang w:val="en-GB"/>
        </w:rPr>
        <w:t>‑</w:t>
      </w:r>
      <w:r w:rsidRPr="00376159">
        <w:rPr>
          <w:lang w:val="en-GB"/>
        </w:rPr>
        <w:t>124. https://doi.org/10.1016/j.still.2016.07.006</w:t>
      </w:r>
    </w:p>
    <w:p w14:paraId="05F7730A" w14:textId="77777777" w:rsidR="00376159" w:rsidRDefault="00376159" w:rsidP="00376159">
      <w:pPr>
        <w:pStyle w:val="Bibliographie"/>
      </w:pPr>
      <w:r>
        <w:t xml:space="preserve">Baritz, R., Amelung, W., Trombetti, M., Hijbeek, R., Romkens, P., &amp; de Vries, W. (2023). </w:t>
      </w:r>
      <w:r w:rsidRPr="00376159">
        <w:rPr>
          <w:i/>
          <w:iCs/>
          <w:lang w:val="en-GB"/>
        </w:rPr>
        <w:t>Soil monitoring in Europe : Indicators and thresholds for soil quality assessments</w:t>
      </w:r>
      <w:r w:rsidRPr="00376159">
        <w:rPr>
          <w:lang w:val="en-GB"/>
        </w:rPr>
        <w:t xml:space="preserve"> (N</w:t>
      </w:r>
      <w:r w:rsidRPr="00376159">
        <w:rPr>
          <w:vertAlign w:val="superscript"/>
          <w:lang w:val="en-GB"/>
        </w:rPr>
        <w:t>o</w:t>
      </w:r>
      <w:r w:rsidRPr="00376159">
        <w:rPr>
          <w:lang w:val="en-GB"/>
        </w:rPr>
        <w:t xml:space="preserve"> 08/2022). </w:t>
      </w:r>
      <w:r>
        <w:t>European Environment Agency. https://data.europa.eu/doi/10.2800/956606</w:t>
      </w:r>
    </w:p>
    <w:p w14:paraId="0104E9EE" w14:textId="77777777" w:rsidR="00376159" w:rsidRDefault="00376159" w:rsidP="00376159">
      <w:pPr>
        <w:pStyle w:val="Bibliographie"/>
      </w:pPr>
      <w:r>
        <w:t xml:space="preserve">Bielders, C., Javaux, M., Roisin, C., &amp; Vanclooster, M. (2013). </w:t>
      </w:r>
      <w:r>
        <w:rPr>
          <w:i/>
          <w:iCs/>
        </w:rPr>
        <w:t>Vers des indicateurs de fonctionnement du sol (INFOSOL) : Approche méthodologique de développement d’indicateurs pédologiques pour les fonctions édaphiques de régulation hydrique et de support physique pour les plantes</w:t>
      </w:r>
      <w:r>
        <w:t xml:space="preserve"> (UCL-Université Catholique de Louvain). Article UCL-Université Catholique de Louvain. https://dial.uclouvain.be/pr/boreal/fr/object/boreal%3A127913</w:t>
      </w:r>
    </w:p>
    <w:p w14:paraId="348EFD47" w14:textId="77777777" w:rsidR="00376159" w:rsidRPr="00376159" w:rsidRDefault="00376159" w:rsidP="00376159">
      <w:pPr>
        <w:pStyle w:val="Bibliographie"/>
        <w:rPr>
          <w:lang w:val="en-GB"/>
        </w:rPr>
      </w:pPr>
      <w:r w:rsidRPr="00376159">
        <w:rPr>
          <w:lang w:val="en-GB"/>
        </w:rPr>
        <w:t xml:space="preserve">Biswal, D. (2022). Nematodes as Ghosts of Land Use Past : Elucidating the Roles of Soil Nematode Community Studies as Indicators of Soil Health and Land Management Practices. </w:t>
      </w:r>
      <w:r w:rsidRPr="00376159">
        <w:rPr>
          <w:i/>
          <w:iCs/>
          <w:lang w:val="en-GB"/>
        </w:rPr>
        <w:t>Applied Biochemistry and Biotechnology</w:t>
      </w:r>
      <w:r w:rsidRPr="00376159">
        <w:rPr>
          <w:lang w:val="en-GB"/>
        </w:rPr>
        <w:t xml:space="preserve">, </w:t>
      </w:r>
      <w:r w:rsidRPr="00376159">
        <w:rPr>
          <w:i/>
          <w:iCs/>
          <w:lang w:val="en-GB"/>
        </w:rPr>
        <w:t>194</w:t>
      </w:r>
      <w:r w:rsidRPr="00376159">
        <w:rPr>
          <w:lang w:val="en-GB"/>
        </w:rPr>
        <w:t>(5), 2357</w:t>
      </w:r>
      <w:r w:rsidRPr="00376159">
        <w:rPr>
          <w:rFonts w:ascii="Cambria Math" w:hAnsi="Cambria Math" w:cs="Cambria Math"/>
          <w:lang w:val="en-GB"/>
        </w:rPr>
        <w:t>‑</w:t>
      </w:r>
      <w:r w:rsidRPr="00376159">
        <w:rPr>
          <w:lang w:val="en-GB"/>
        </w:rPr>
        <w:t>2417. https://doi.org/10.1007/s12010-022-03808-9</w:t>
      </w:r>
    </w:p>
    <w:p w14:paraId="6C974EA1" w14:textId="77777777" w:rsidR="00376159" w:rsidRDefault="00376159" w:rsidP="00376159">
      <w:pPr>
        <w:pStyle w:val="Bibliographie"/>
      </w:pPr>
      <w:r w:rsidRPr="00376159">
        <w:rPr>
          <w:lang w:val="en-GB"/>
        </w:rPr>
        <w:lastRenderedPageBreak/>
        <w:t xml:space="preserve">Branchu, P., &amp; Marseille, F. (2022). </w:t>
      </w:r>
      <w:r>
        <w:rPr>
          <w:i/>
          <w:iCs/>
        </w:rPr>
        <w:t>MUSE - Intégrer la multifonctionnalité des sols dans les documents d’urbanisme</w:t>
      </w:r>
      <w:r>
        <w:t>. CEREMA, INRAe, IRSTV, BRGM, Chambre d’Agriculture 36, Université Aix Marseille. https://librairie.ademe.fr/urbanisme-territoires-et-sols/5415-muse-integrer-la-multifonctionnalite-des-sols-dans-les-documents-d-urbanisme.html</w:t>
      </w:r>
    </w:p>
    <w:p w14:paraId="03B07575" w14:textId="77777777" w:rsidR="00376159" w:rsidRPr="00376159" w:rsidRDefault="00376159" w:rsidP="00376159">
      <w:pPr>
        <w:pStyle w:val="Bibliographie"/>
        <w:rPr>
          <w:lang w:val="en-GB"/>
        </w:rPr>
      </w:pPr>
      <w:r>
        <w:t xml:space="preserve">Calzolari, C., Ungaro, F., Maienza, A., Marchi, N., &amp; Tarocco, P. (2019). </w:t>
      </w:r>
      <w:r w:rsidRPr="00376159">
        <w:rPr>
          <w:i/>
          <w:iCs/>
          <w:lang w:val="en-GB"/>
        </w:rPr>
        <w:t>Guidelines for assessing soil ecosystem services in urban environment and their management—LIFE15 ENV/IT/000225 GUIDELINES ACTION B1.3</w:t>
      </w:r>
      <w:r w:rsidRPr="00376159">
        <w:rPr>
          <w:lang w:val="en-GB"/>
        </w:rPr>
        <w:t>. https://iris.cnr.it/handle/20.500.14243/362331</w:t>
      </w:r>
    </w:p>
    <w:p w14:paraId="2396C839" w14:textId="77777777" w:rsidR="00376159" w:rsidRPr="00376159" w:rsidRDefault="00376159" w:rsidP="00376159">
      <w:pPr>
        <w:pStyle w:val="Bibliographie"/>
        <w:rPr>
          <w:lang w:val="en-GB"/>
        </w:rPr>
      </w:pPr>
      <w:r w:rsidRPr="00376159">
        <w:rPr>
          <w:lang w:val="en-GB"/>
        </w:rPr>
        <w:t xml:space="preserve">Ceulemans, T., Stevens, C. J., Duchateau, L., Jacquemyn, H., Gowing, D. J. G., Merckx, R., Wallace, H., van Rooijen, N., Goethem, T., Bobbink, R., Dorland, E., Gaudnik, C., Alard, D., Corcket, E., Muller, S., Dise, N. B., Dupré, C., Diekmann, M., &amp; Honnay, O. (2014). Soil phosphorus constrains biodiversity across European grasslands. </w:t>
      </w:r>
      <w:r w:rsidRPr="00376159">
        <w:rPr>
          <w:i/>
          <w:iCs/>
          <w:lang w:val="en-GB"/>
        </w:rPr>
        <w:t>Global Change Biology</w:t>
      </w:r>
      <w:r w:rsidRPr="00376159">
        <w:rPr>
          <w:lang w:val="en-GB"/>
        </w:rPr>
        <w:t xml:space="preserve">, </w:t>
      </w:r>
      <w:r w:rsidRPr="00376159">
        <w:rPr>
          <w:i/>
          <w:iCs/>
          <w:lang w:val="en-GB"/>
        </w:rPr>
        <w:t>20</w:t>
      </w:r>
      <w:r w:rsidRPr="00376159">
        <w:rPr>
          <w:lang w:val="en-GB"/>
        </w:rPr>
        <w:t>(12), 3814</w:t>
      </w:r>
      <w:r w:rsidRPr="00376159">
        <w:rPr>
          <w:rFonts w:ascii="Cambria Math" w:hAnsi="Cambria Math" w:cs="Cambria Math"/>
          <w:lang w:val="en-GB"/>
        </w:rPr>
        <w:t>‑</w:t>
      </w:r>
      <w:r w:rsidRPr="00376159">
        <w:rPr>
          <w:lang w:val="en-GB"/>
        </w:rPr>
        <w:t>3822. https://doi.org/10.1111/gcb.12650</w:t>
      </w:r>
    </w:p>
    <w:p w14:paraId="6A8BE774" w14:textId="77777777" w:rsidR="00376159" w:rsidRDefault="00376159" w:rsidP="00376159">
      <w:pPr>
        <w:pStyle w:val="Bibliographie"/>
      </w:pPr>
      <w:r w:rsidRPr="00376159">
        <w:rPr>
          <w:lang w:val="en-GB"/>
        </w:rPr>
        <w:t xml:space="preserve">Chartin, C., Kruger, I., Stevens, A., Wesemael, B. V., &amp; Carnol, M. (2015). </w:t>
      </w:r>
      <w:r>
        <w:rPr>
          <w:i/>
          <w:iCs/>
        </w:rPr>
        <w:t>« Carbone organique, biomasse et activité microbienne des sols : Vers un indicateur de la qualité des sols en Wallonie »</w:t>
      </w:r>
      <w:r>
        <w:t>.</w:t>
      </w:r>
    </w:p>
    <w:p w14:paraId="143B488D" w14:textId="77777777" w:rsidR="00376159" w:rsidRDefault="00376159" w:rsidP="00376159">
      <w:pPr>
        <w:pStyle w:val="Bibliographie"/>
      </w:pPr>
      <w:r>
        <w:t xml:space="preserve">Chauvin, C. (2025). </w:t>
      </w:r>
      <w:r>
        <w:rPr>
          <w:i/>
          <w:iCs/>
        </w:rPr>
        <w:t>La nématofaune : Un bio-indicateur pour suivre et évaluer le fonctionnement biologique des sols</w:t>
      </w:r>
      <w:r>
        <w:t>. https://www.parcduverdon.fr/wp-content/uploads/2025/10/202509_JT_REGAIN_3.Qualite_biologique_nematodes_ELISOL.pdf</w:t>
      </w:r>
    </w:p>
    <w:p w14:paraId="415B02EB" w14:textId="77777777" w:rsidR="00376159" w:rsidRPr="00376159" w:rsidRDefault="00376159" w:rsidP="00376159">
      <w:pPr>
        <w:pStyle w:val="Bibliographie"/>
        <w:rPr>
          <w:lang w:val="en-GB"/>
        </w:rPr>
      </w:pPr>
      <w:r>
        <w:t xml:space="preserve">Cluzeau, D., Guernion, M., Chaussod, R., Martin-Laurent, F., Villenave, C., Cortet, J., Ruiz-Camacho, N., Pernin, C., Mateille, T., Philippot, L., Bellido, A., Rougé, L., Arrouays, D., Bispo, A., &amp; Pérès, G. (2012). </w:t>
      </w:r>
      <w:r w:rsidRPr="00376159">
        <w:rPr>
          <w:lang w:val="en-GB"/>
        </w:rPr>
        <w:t xml:space="preserve">Integration of biodiversity in soil quality monitoring : Baselines for microbial and soil fauna parameters for different land-use types. </w:t>
      </w:r>
      <w:r w:rsidRPr="00376159">
        <w:rPr>
          <w:i/>
          <w:iCs/>
          <w:lang w:val="en-GB"/>
        </w:rPr>
        <w:t>European Journal of Soil Biology, Bioindication in Soil Ecosystems</w:t>
      </w:r>
      <w:r w:rsidRPr="00376159">
        <w:rPr>
          <w:lang w:val="en-GB"/>
        </w:rPr>
        <w:t xml:space="preserve">, </w:t>
      </w:r>
      <w:r w:rsidRPr="00376159">
        <w:rPr>
          <w:i/>
          <w:iCs/>
          <w:lang w:val="en-GB"/>
        </w:rPr>
        <w:t>49</w:t>
      </w:r>
      <w:r w:rsidRPr="00376159">
        <w:rPr>
          <w:lang w:val="en-GB"/>
        </w:rPr>
        <w:t>, 63</w:t>
      </w:r>
      <w:r w:rsidRPr="00376159">
        <w:rPr>
          <w:rFonts w:ascii="Cambria Math" w:hAnsi="Cambria Math" w:cs="Cambria Math"/>
          <w:lang w:val="en-GB"/>
        </w:rPr>
        <w:t>‑</w:t>
      </w:r>
      <w:r w:rsidRPr="00376159">
        <w:rPr>
          <w:lang w:val="en-GB"/>
        </w:rPr>
        <w:t>72. https://doi.org/10.1016/j.ejsobi.2011.11.003</w:t>
      </w:r>
    </w:p>
    <w:p w14:paraId="5B8BC5F7" w14:textId="77777777" w:rsidR="00376159" w:rsidRDefault="00376159" w:rsidP="00376159">
      <w:pPr>
        <w:pStyle w:val="Bibliographie"/>
      </w:pPr>
      <w:r>
        <w:t xml:space="preserve">Cousin, I., Desrousseaux, M., Angers, D., Augusto, L., Ay, J.-S., Baysse-Lainé, A., Branchu, P., Brauman, A. A., Prévost-Bouré, N. C., Compagnone, C., Gros, R., Hermon, C., Keller, C., Laroche, B., Meulemans, G., Montagne, D., Pérès, G., Saby, N. P. A., Vaudour, E., … Leenhardt, S. (2025). </w:t>
      </w:r>
      <w:r>
        <w:rPr>
          <w:i/>
          <w:iCs/>
        </w:rPr>
        <w:lastRenderedPageBreak/>
        <w:t>Préserver la qualité des sols : Vers un référentiel d’indicateurs. Rapport d’étude</w:t>
      </w:r>
      <w:r>
        <w:t xml:space="preserve"> (p. 780 p.) [Report, INRAE]. https://doi.org/10.17180/qnpx-x742</w:t>
      </w:r>
    </w:p>
    <w:p w14:paraId="1C367158" w14:textId="77777777" w:rsidR="00376159" w:rsidRDefault="00376159" w:rsidP="00376159">
      <w:pPr>
        <w:pStyle w:val="Bibliographie"/>
      </w:pPr>
      <w:r>
        <w:t xml:space="preserve">Cugnon, T. (2025, novembre 19). </w:t>
      </w:r>
      <w:r>
        <w:rPr>
          <w:i/>
          <w:iCs/>
        </w:rPr>
        <w:t>Saison 2 Agri-webinaire : « Comprendre son conseil de fertilisation » | Walakis</w:t>
      </w:r>
      <w:r>
        <w:t>. https://walakis.be/fr/ressources/saison-2-agri-webinaire-comprendre-son-conseil-de-fertilisation</w:t>
      </w:r>
    </w:p>
    <w:p w14:paraId="6FA703EC" w14:textId="77777777" w:rsidR="00376159" w:rsidRDefault="00376159" w:rsidP="00376159">
      <w:pPr>
        <w:pStyle w:val="Bibliographie"/>
      </w:pPr>
      <w:r>
        <w:t xml:space="preserve">Desmet, F. (s. d.). La réserve utile—Portail de l’agriculture wallonne. </w:t>
      </w:r>
      <w:r>
        <w:rPr>
          <w:i/>
          <w:iCs/>
        </w:rPr>
        <w:t>Agriculture en Wallonie</w:t>
      </w:r>
      <w:r>
        <w:t>. Consulté 27 septembre 2024, à l’adresse https://agriculture.wallonie.be/cms/render/live/fr/sites/agriculture/home/recherche-developpement/adaptations-a-la-secheresse/resilience-en-grandes-cultures/efficience-en-eau/la-reserve-utile.html</w:t>
      </w:r>
    </w:p>
    <w:p w14:paraId="754E7575" w14:textId="77777777" w:rsidR="00376159" w:rsidRDefault="00376159" w:rsidP="00376159">
      <w:pPr>
        <w:pStyle w:val="Bibliographie"/>
      </w:pPr>
      <w:r>
        <w:t xml:space="preserve">Dombret, L. (2022). Interpréter l’analyse de terre pour la culture maraîchère : Comprendre les résultats (3/3). </w:t>
      </w:r>
      <w:r>
        <w:rPr>
          <w:i/>
          <w:iCs/>
        </w:rPr>
        <w:t>Biowallonie</w:t>
      </w:r>
      <w:r>
        <w:t xml:space="preserve">, </w:t>
      </w:r>
      <w:r>
        <w:rPr>
          <w:i/>
          <w:iCs/>
        </w:rPr>
        <w:t>Itinéraires BIO</w:t>
      </w:r>
      <w:r>
        <w:t>(63). https://www.biowallonie.com/wp-content/uploads/2022/04/Brochure_A4_ITBIO63_web.pdf</w:t>
      </w:r>
    </w:p>
    <w:p w14:paraId="5DFD0C1A" w14:textId="77777777" w:rsidR="00376159" w:rsidRDefault="00376159" w:rsidP="00376159">
      <w:pPr>
        <w:pStyle w:val="Bibliographie"/>
      </w:pPr>
      <w:r>
        <w:t xml:space="preserve">Ferris, H., Bongers, T., &amp; de Goede, R. G. M. (2001). </w:t>
      </w:r>
      <w:r w:rsidRPr="00376159">
        <w:rPr>
          <w:lang w:val="en-GB"/>
        </w:rPr>
        <w:t xml:space="preserve">A framework for soil food web diagnostics : Extension of the nematode faunal analysis concept. </w:t>
      </w:r>
      <w:r>
        <w:rPr>
          <w:i/>
          <w:iCs/>
        </w:rPr>
        <w:t>Applied Soil Ecology</w:t>
      </w:r>
      <w:r>
        <w:t xml:space="preserve">, </w:t>
      </w:r>
      <w:r>
        <w:rPr>
          <w:i/>
          <w:iCs/>
        </w:rPr>
        <w:t>18</w:t>
      </w:r>
      <w:r>
        <w:t>(1), 13</w:t>
      </w:r>
      <w:r>
        <w:rPr>
          <w:rFonts w:ascii="Cambria Math" w:hAnsi="Cambria Math" w:cs="Cambria Math"/>
        </w:rPr>
        <w:t>‑</w:t>
      </w:r>
      <w:r>
        <w:t>29. https://doi.org/10.1016/S0929-1393(01)00152-4</w:t>
      </w:r>
    </w:p>
    <w:p w14:paraId="4FC6325D" w14:textId="77777777" w:rsidR="00376159" w:rsidRDefault="00376159" w:rsidP="00376159">
      <w:pPr>
        <w:pStyle w:val="Bibliographie"/>
      </w:pPr>
      <w:r>
        <w:t xml:space="preserve">FiBL, Proconseil, Mandaterre, Canton de Vaud. (2019). </w:t>
      </w:r>
      <w:r>
        <w:rPr>
          <w:i/>
          <w:iCs/>
        </w:rPr>
        <w:t>Progrès Sol—VESS</w:t>
      </w:r>
      <w:r>
        <w:t>. Progrès Sol. https://www.progres-sol.ch/outils/vess.html</w:t>
      </w:r>
    </w:p>
    <w:p w14:paraId="0186E95D" w14:textId="77777777" w:rsidR="00376159" w:rsidRDefault="00376159" w:rsidP="00376159">
      <w:pPr>
        <w:pStyle w:val="Bibliographie"/>
      </w:pPr>
      <w:r>
        <w:rPr>
          <w:i/>
          <w:iCs/>
        </w:rPr>
        <w:t>Fichier écologique des essences</w:t>
      </w:r>
      <w:r>
        <w:t>. (s. d.). Consulté 2 juin 2026, à l’adresse https://www.fichierecologique.be/#!/</w:t>
      </w:r>
    </w:p>
    <w:p w14:paraId="2FB34484" w14:textId="77777777" w:rsidR="00376159" w:rsidRDefault="00376159" w:rsidP="00376159">
      <w:pPr>
        <w:pStyle w:val="Bibliographie"/>
      </w:pPr>
      <w:r>
        <w:t xml:space="preserve">Genot, V., Renneson, M., Bock, L., &amp; Colinet, G. (2011). </w:t>
      </w:r>
      <w:r>
        <w:rPr>
          <w:i/>
          <w:iCs/>
        </w:rPr>
        <w:t>Un conseil de fumure raisonné—Le cas du phosphore</w:t>
      </w:r>
      <w:r>
        <w:t>. REQUASUD. https://www.requasud.be/wp-content/uploads/2017/07/brochure_cr2451_requasud_ld.pdf</w:t>
      </w:r>
    </w:p>
    <w:p w14:paraId="0B584A7C" w14:textId="77777777" w:rsidR="00376159" w:rsidRDefault="00376159" w:rsidP="00376159">
      <w:pPr>
        <w:pStyle w:val="Bibliographie"/>
      </w:pPr>
      <w:r>
        <w:t xml:space="preserve">Genot, V., Renneson, M., Colinet, G., Goffaux, M.-J., Cugnon, T., Toussaint, B., Buffet, D., &amp; Oger, R. (2012). </w:t>
      </w:r>
      <w:r>
        <w:rPr>
          <w:i/>
          <w:iCs/>
        </w:rPr>
        <w:t>Base de données sols de REQUASUD - 3ème synthèse</w:t>
      </w:r>
      <w:r>
        <w:t>. https://www.requasud.be/wp-content/uploads/2017/07/brochure_sols_2012.pdf</w:t>
      </w:r>
    </w:p>
    <w:p w14:paraId="552E1D72" w14:textId="77777777" w:rsidR="00376159" w:rsidRPr="00376159" w:rsidRDefault="00376159" w:rsidP="00376159">
      <w:pPr>
        <w:pStyle w:val="Bibliographie"/>
        <w:rPr>
          <w:lang w:val="en-GB"/>
        </w:rPr>
      </w:pPr>
      <w:r w:rsidRPr="00376159">
        <w:rPr>
          <w:lang w:val="en-GB"/>
        </w:rPr>
        <w:lastRenderedPageBreak/>
        <w:t xml:space="preserve">Greinert, A. (2015). The heterogeneity of urban soils in the light of their properties. </w:t>
      </w:r>
      <w:r w:rsidRPr="00376159">
        <w:rPr>
          <w:i/>
          <w:iCs/>
          <w:lang w:val="en-GB"/>
        </w:rPr>
        <w:t>Journal of Soils and Sediments</w:t>
      </w:r>
      <w:r w:rsidRPr="00376159">
        <w:rPr>
          <w:lang w:val="en-GB"/>
        </w:rPr>
        <w:t xml:space="preserve">, </w:t>
      </w:r>
      <w:r w:rsidRPr="00376159">
        <w:rPr>
          <w:i/>
          <w:iCs/>
          <w:lang w:val="en-GB"/>
        </w:rPr>
        <w:t>15</w:t>
      </w:r>
      <w:r w:rsidRPr="00376159">
        <w:rPr>
          <w:lang w:val="en-GB"/>
        </w:rPr>
        <w:t>(8), 1725</w:t>
      </w:r>
      <w:r w:rsidRPr="00376159">
        <w:rPr>
          <w:rFonts w:ascii="Cambria Math" w:hAnsi="Cambria Math" w:cs="Cambria Math"/>
          <w:lang w:val="en-GB"/>
        </w:rPr>
        <w:t>‑</w:t>
      </w:r>
      <w:r w:rsidRPr="00376159">
        <w:rPr>
          <w:lang w:val="en-GB"/>
        </w:rPr>
        <w:t>1737. https://doi.org/10.1007/s11368-014-1054-6</w:t>
      </w:r>
    </w:p>
    <w:p w14:paraId="652C8EEB" w14:textId="77777777" w:rsidR="00376159" w:rsidRPr="00376159" w:rsidRDefault="00376159" w:rsidP="00376159">
      <w:pPr>
        <w:pStyle w:val="Bibliographie"/>
        <w:rPr>
          <w:lang w:val="en-GB"/>
        </w:rPr>
      </w:pPr>
      <w:r w:rsidRPr="00376159">
        <w:rPr>
          <w:lang w:val="en-GB"/>
        </w:rPr>
        <w:t xml:space="preserve">Guimarães, R. M. L., Ball, B. C., &amp; Tormena, C. A. (2011). Improvements in the visual evaluation of soil structure. </w:t>
      </w:r>
      <w:r w:rsidRPr="00376159">
        <w:rPr>
          <w:i/>
          <w:iCs/>
          <w:lang w:val="en-GB"/>
        </w:rPr>
        <w:t>Soil Use and Management</w:t>
      </w:r>
      <w:r w:rsidRPr="00376159">
        <w:rPr>
          <w:lang w:val="en-GB"/>
        </w:rPr>
        <w:t xml:space="preserve">, </w:t>
      </w:r>
      <w:r w:rsidRPr="00376159">
        <w:rPr>
          <w:i/>
          <w:iCs/>
          <w:lang w:val="en-GB"/>
        </w:rPr>
        <w:t>27</w:t>
      </w:r>
      <w:r w:rsidRPr="00376159">
        <w:rPr>
          <w:lang w:val="en-GB"/>
        </w:rPr>
        <w:t>(3), 395</w:t>
      </w:r>
      <w:r w:rsidRPr="00376159">
        <w:rPr>
          <w:rFonts w:ascii="Cambria Math" w:hAnsi="Cambria Math" w:cs="Cambria Math"/>
          <w:lang w:val="en-GB"/>
        </w:rPr>
        <w:t>‑</w:t>
      </w:r>
      <w:r w:rsidRPr="00376159">
        <w:rPr>
          <w:lang w:val="en-GB"/>
        </w:rPr>
        <w:t>403. https://doi.org/10.1111/j.1475-2743.2011.00354.x</w:t>
      </w:r>
    </w:p>
    <w:p w14:paraId="7973B020" w14:textId="77777777" w:rsidR="00376159" w:rsidRDefault="00376159" w:rsidP="00376159">
      <w:pPr>
        <w:pStyle w:val="Bibliographie"/>
      </w:pPr>
      <w:r w:rsidRPr="00376159">
        <w:rPr>
          <w:lang w:val="en-GB"/>
        </w:rPr>
        <w:t xml:space="preserve">ISSeP. </w:t>
      </w:r>
      <w:r>
        <w:t xml:space="preserve">(2023a). </w:t>
      </w:r>
      <w:r>
        <w:rPr>
          <w:i/>
          <w:iCs/>
        </w:rPr>
        <w:t>Calcul de la teneur pondérale en matière sèche par détermination du résidu sec ou de la teneur en eau</w:t>
      </w:r>
      <w:r>
        <w:t xml:space="preserve"> (COMPENDIUM WALLON DES METHODES D’ECHANTILLONNAGE ET D’ANALYSE (CWEA)). https://cwea.issep.be/</w:t>
      </w:r>
    </w:p>
    <w:p w14:paraId="6638A4E6" w14:textId="77777777" w:rsidR="00376159" w:rsidRDefault="00376159" w:rsidP="00376159">
      <w:pPr>
        <w:pStyle w:val="Bibliographie"/>
      </w:pPr>
      <w:r>
        <w:t xml:space="preserve">ISSeP. (2023b). </w:t>
      </w:r>
      <w:r>
        <w:rPr>
          <w:i/>
          <w:iCs/>
        </w:rPr>
        <w:t>Compendium Wallon des méthodes d’Échantillonnage et d’Analyse (CWEA)</w:t>
      </w:r>
      <w:r>
        <w:t>. https://cwea.issep.be/</w:t>
      </w:r>
    </w:p>
    <w:p w14:paraId="261AED57" w14:textId="77777777" w:rsidR="00376159" w:rsidRDefault="00376159" w:rsidP="00376159">
      <w:pPr>
        <w:pStyle w:val="Bibliographie"/>
      </w:pPr>
      <w:r>
        <w:t xml:space="preserve">Janssens, F., &amp; Peeters, A. (1999). </w:t>
      </w:r>
      <w:r>
        <w:rPr>
          <w:i/>
          <w:iCs/>
        </w:rPr>
        <w:t>Talus et pré fleuris : Mode d’emploi. Un guide pour l’aménagement écologique d’espaces verts</w:t>
      </w:r>
      <w:r>
        <w:t>. https://dial.uclouvain.be/pr/boreal/object/boreal:84530</w:t>
      </w:r>
    </w:p>
    <w:p w14:paraId="720FD7A7" w14:textId="77777777" w:rsidR="00376159" w:rsidRPr="00376159" w:rsidRDefault="00376159" w:rsidP="00376159">
      <w:pPr>
        <w:pStyle w:val="Bibliographie"/>
        <w:rPr>
          <w:lang w:val="en-GB"/>
        </w:rPr>
      </w:pPr>
      <w:r w:rsidRPr="00376159">
        <w:rPr>
          <w:lang w:val="en-GB"/>
        </w:rPr>
        <w:t xml:space="preserve">Johannes, A., Matter, A., Schulin, R., Weisskopf, P., Baveye, P. C., &amp; Boivin, P. (2017). Optimal organic carbon values for soil structure quality of arable soils. Does clay content matter? </w:t>
      </w:r>
      <w:r w:rsidRPr="00376159">
        <w:rPr>
          <w:i/>
          <w:iCs/>
          <w:lang w:val="en-GB"/>
        </w:rPr>
        <w:t>Geoderma</w:t>
      </w:r>
      <w:r w:rsidRPr="00376159">
        <w:rPr>
          <w:lang w:val="en-GB"/>
        </w:rPr>
        <w:t xml:space="preserve">, </w:t>
      </w:r>
      <w:r w:rsidRPr="00376159">
        <w:rPr>
          <w:i/>
          <w:iCs/>
          <w:lang w:val="en-GB"/>
        </w:rPr>
        <w:t>302</w:t>
      </w:r>
      <w:r w:rsidRPr="00376159">
        <w:rPr>
          <w:lang w:val="en-GB"/>
        </w:rPr>
        <w:t>, 14</w:t>
      </w:r>
      <w:r w:rsidRPr="00376159">
        <w:rPr>
          <w:rFonts w:ascii="Cambria Math" w:hAnsi="Cambria Math" w:cs="Cambria Math"/>
          <w:lang w:val="en-GB"/>
        </w:rPr>
        <w:t>‑</w:t>
      </w:r>
      <w:r w:rsidRPr="00376159">
        <w:rPr>
          <w:lang w:val="en-GB"/>
        </w:rPr>
        <w:t>21. https://doi.org/10.1016/j.geoderma.2017.04.021</w:t>
      </w:r>
    </w:p>
    <w:p w14:paraId="64D11295" w14:textId="77777777" w:rsidR="00376159" w:rsidRDefault="00376159" w:rsidP="00376159">
      <w:pPr>
        <w:pStyle w:val="Bibliographie"/>
      </w:pPr>
      <w:r>
        <w:t xml:space="preserve">Katerji, N., Daudet, F., Valancogne, C., Bach, M., &amp; Fouère, A. (1984). Contribution des réserves profondes du sol au bilan hydrique des cultures. Détermination et importance. </w:t>
      </w:r>
      <w:r>
        <w:rPr>
          <w:i/>
          <w:iCs/>
        </w:rPr>
        <w:t>Agronomie</w:t>
      </w:r>
      <w:r>
        <w:t xml:space="preserve">, </w:t>
      </w:r>
      <w:r>
        <w:rPr>
          <w:i/>
          <w:iCs/>
        </w:rPr>
        <w:t>4</w:t>
      </w:r>
      <w:r>
        <w:t>(8), 779</w:t>
      </w:r>
      <w:r>
        <w:rPr>
          <w:rFonts w:ascii="Cambria Math" w:hAnsi="Cambria Math" w:cs="Cambria Math"/>
        </w:rPr>
        <w:t>‑</w:t>
      </w:r>
      <w:r>
        <w:t>787. https://doi.org/10.1051/agro:19840810</w:t>
      </w:r>
    </w:p>
    <w:p w14:paraId="43C2D424" w14:textId="77777777" w:rsidR="00376159" w:rsidRDefault="00376159" w:rsidP="00376159">
      <w:pPr>
        <w:pStyle w:val="Bibliographie"/>
      </w:pPr>
      <w:r>
        <w:t xml:space="preserve">Lakanen, E., &amp; Erviö, R. (1971). </w:t>
      </w:r>
      <w:r w:rsidRPr="00376159">
        <w:rPr>
          <w:lang w:val="en-GB"/>
        </w:rPr>
        <w:t xml:space="preserve">A comparison of eight extradants for the determination of plant available micronutrients in soils. </w:t>
      </w:r>
      <w:r>
        <w:rPr>
          <w:i/>
          <w:iCs/>
        </w:rPr>
        <w:t>Acta Agralia Fennica</w:t>
      </w:r>
      <w:r>
        <w:t xml:space="preserve">, </w:t>
      </w:r>
      <w:r>
        <w:rPr>
          <w:i/>
          <w:iCs/>
        </w:rPr>
        <w:t>123</w:t>
      </w:r>
      <w:r>
        <w:t>, 223</w:t>
      </w:r>
      <w:r>
        <w:rPr>
          <w:rFonts w:ascii="Cambria Math" w:hAnsi="Cambria Math" w:cs="Cambria Math"/>
        </w:rPr>
        <w:t>‑</w:t>
      </w:r>
      <w:r>
        <w:t>232. https://doi.org/0039-5595</w:t>
      </w:r>
    </w:p>
    <w:p w14:paraId="24514624" w14:textId="77777777" w:rsidR="00376159" w:rsidRDefault="00376159" w:rsidP="00376159">
      <w:pPr>
        <w:pStyle w:val="Bibliographie"/>
      </w:pPr>
      <w:r>
        <w:t xml:space="preserve">Le Guedard, M., Bessoule, J.-J., Faure, O., Fayolle, G., Nau, J.-F., Villenave, C., Ceremonie, H., Pauget, B., &amp; Peres, G. (2017). </w:t>
      </w:r>
      <w:r>
        <w:rPr>
          <w:i/>
          <w:iCs/>
        </w:rPr>
        <w:t>La librairie ADEME - Bio-indicateurs de l’état des sols (Les)</w:t>
      </w:r>
      <w:r>
        <w:t xml:space="preserve"> (ADERA, LEB Aquitaine Transfert, CNRS BORDEAUX, ECOLE NATIONALE SUPERIEURE DES MINES DE SAINT-ETIENNE, EODD Ingénieurs Conseils, &amp; AGROCAMPUS OUEST, Éds.; N</w:t>
      </w:r>
      <w:r>
        <w:rPr>
          <w:vertAlign w:val="superscript"/>
        </w:rPr>
        <w:t>o</w:t>
      </w:r>
      <w:r>
        <w:t xml:space="preserve"> 010216). </w:t>
      </w:r>
      <w:r>
        <w:lastRenderedPageBreak/>
        <w:t>https://librairie.ademe.fr/urbanisme-territoires-et-sols/1971-bio-indicateurs-de-l-etat-des-sols-les-9791029708244.html</w:t>
      </w:r>
    </w:p>
    <w:p w14:paraId="5CFC9D7B" w14:textId="77777777" w:rsidR="00376159" w:rsidRPr="00376159" w:rsidRDefault="00376159" w:rsidP="00376159">
      <w:pPr>
        <w:pStyle w:val="Bibliographie"/>
        <w:rPr>
          <w:lang w:val="en-GB"/>
        </w:rPr>
      </w:pPr>
      <w:r>
        <w:t xml:space="preserve">Mariage, C. (2019). </w:t>
      </w:r>
      <w:r>
        <w:rPr>
          <w:i/>
          <w:iCs/>
        </w:rPr>
        <w:t>Les matières organiques et la fertilité du sol</w:t>
      </w:r>
      <w:r>
        <w:t xml:space="preserve">. </w:t>
      </w:r>
      <w:r w:rsidRPr="00376159">
        <w:rPr>
          <w:lang w:val="en-GB"/>
        </w:rPr>
        <w:t>REQUASUD. https://www.requasud.be/assets/pdf/publications/presentations/fiche_explicative_carbone_v01.pdf</w:t>
      </w:r>
    </w:p>
    <w:p w14:paraId="62325FAF" w14:textId="77777777" w:rsidR="00376159" w:rsidRPr="00376159" w:rsidRDefault="00376159" w:rsidP="00376159">
      <w:pPr>
        <w:pStyle w:val="Bibliographie"/>
        <w:rPr>
          <w:lang w:val="en-GB"/>
        </w:rPr>
      </w:pPr>
      <w:r w:rsidRPr="00376159">
        <w:rPr>
          <w:lang w:val="en-GB"/>
        </w:rPr>
        <w:t xml:space="preserve">Matson, A., Elsen, E. van den, Teuling, K., Woolderink, H., Korthals, G., &amp; Römkens, P. (2025). </w:t>
      </w:r>
      <w:r w:rsidRPr="00376159">
        <w:rPr>
          <w:i/>
          <w:iCs/>
          <w:lang w:val="en-GB"/>
        </w:rPr>
        <w:t>De Bodemgezondheidsindex Amsterdam : Stedelijke bodemgezondheid meten, beoordelen en verbeteren</w:t>
      </w:r>
      <w:r w:rsidRPr="00376159">
        <w:rPr>
          <w:lang w:val="en-GB"/>
        </w:rPr>
        <w:t>. https://doi.org/10.18174/686912</w:t>
      </w:r>
    </w:p>
    <w:p w14:paraId="418D9AE9" w14:textId="77777777" w:rsidR="00376159" w:rsidRDefault="00376159" w:rsidP="00376159">
      <w:pPr>
        <w:pStyle w:val="Bibliographie"/>
      </w:pPr>
      <w:r>
        <w:t xml:space="preserve">Microbioterre. (2022). </w:t>
      </w:r>
      <w:r>
        <w:rPr>
          <w:i/>
          <w:iCs/>
        </w:rPr>
        <w:t>Guide d’interprétation à l’analyse des bioindicateurs</w:t>
      </w:r>
      <w:r>
        <w:t>. ARVALIS, AUREA, Chambre d’agriculture de Bretagne, INRAE, ITAB, TerresInovia et UniLaSalle. https://www.rmt-fertilisationetenvironnement.org/moodle/pluginfile.php/4197/mod_resource/content/1/Microbioterre_Guide%20dinterpr%C3%A9tation%20%C3%A0%20lanalyse%20des%20bioindicateurs_juillet%202022.pdf</w:t>
      </w:r>
    </w:p>
    <w:p w14:paraId="707CAA6B" w14:textId="77777777" w:rsidR="00376159" w:rsidRPr="00376159" w:rsidRDefault="00376159" w:rsidP="00376159">
      <w:pPr>
        <w:pStyle w:val="Bibliographie"/>
        <w:rPr>
          <w:lang w:val="en-GB"/>
        </w:rPr>
      </w:pPr>
      <w:r w:rsidRPr="00376159">
        <w:rPr>
          <w:lang w:val="en-GB"/>
        </w:rPr>
        <w:t xml:space="preserve">Mukherjee, A., &amp; Lal, R. (2014). Comparison of Soil Quality Index Using Three Methods. </w:t>
      </w:r>
      <w:r w:rsidRPr="00376159">
        <w:rPr>
          <w:i/>
          <w:iCs/>
          <w:lang w:val="en-GB"/>
        </w:rPr>
        <w:t>PLOS ONE</w:t>
      </w:r>
      <w:r w:rsidRPr="00376159">
        <w:rPr>
          <w:lang w:val="en-GB"/>
        </w:rPr>
        <w:t xml:space="preserve">, </w:t>
      </w:r>
      <w:r w:rsidRPr="00376159">
        <w:rPr>
          <w:i/>
          <w:iCs/>
          <w:lang w:val="en-GB"/>
        </w:rPr>
        <w:t>9</w:t>
      </w:r>
      <w:r w:rsidRPr="00376159">
        <w:rPr>
          <w:lang w:val="en-GB"/>
        </w:rPr>
        <w:t>(8), e105981. https://doi.org/10.1371/journal.pone.0105981</w:t>
      </w:r>
    </w:p>
    <w:p w14:paraId="79A2B989" w14:textId="77777777" w:rsidR="00376159" w:rsidRPr="00376159" w:rsidRDefault="00376159" w:rsidP="00376159">
      <w:pPr>
        <w:pStyle w:val="Bibliographie"/>
        <w:rPr>
          <w:lang w:val="en-GB"/>
        </w:rPr>
      </w:pPr>
      <w:r w:rsidRPr="00376159">
        <w:rPr>
          <w:lang w:val="en-GB"/>
        </w:rPr>
        <w:t xml:space="preserve">Neher, D. A. (2001). Role of Nematodes in Soil Health and Their Use as Indicators. </w:t>
      </w:r>
      <w:r w:rsidRPr="00376159">
        <w:rPr>
          <w:i/>
          <w:iCs/>
          <w:lang w:val="en-GB"/>
        </w:rPr>
        <w:t>Journal of Nematology</w:t>
      </w:r>
      <w:r w:rsidRPr="00376159">
        <w:rPr>
          <w:lang w:val="en-GB"/>
        </w:rPr>
        <w:t xml:space="preserve">, </w:t>
      </w:r>
      <w:r w:rsidRPr="00376159">
        <w:rPr>
          <w:i/>
          <w:iCs/>
          <w:lang w:val="en-GB"/>
        </w:rPr>
        <w:t>33</w:t>
      </w:r>
      <w:r w:rsidRPr="00376159">
        <w:rPr>
          <w:lang w:val="en-GB"/>
        </w:rPr>
        <w:t>(4), 161</w:t>
      </w:r>
      <w:r w:rsidRPr="00376159">
        <w:rPr>
          <w:rFonts w:ascii="Cambria Math" w:hAnsi="Cambria Math" w:cs="Cambria Math"/>
          <w:lang w:val="en-GB"/>
        </w:rPr>
        <w:t>‑</w:t>
      </w:r>
      <w:r w:rsidRPr="00376159">
        <w:rPr>
          <w:lang w:val="en-GB"/>
        </w:rPr>
        <w:t>168.</w:t>
      </w:r>
    </w:p>
    <w:p w14:paraId="72B4C7E9" w14:textId="77777777" w:rsidR="00376159" w:rsidRPr="00376159" w:rsidRDefault="00376159" w:rsidP="00376159">
      <w:pPr>
        <w:pStyle w:val="Bibliographie"/>
        <w:rPr>
          <w:lang w:val="en-GB"/>
        </w:rPr>
      </w:pPr>
      <w:r w:rsidRPr="00376159">
        <w:rPr>
          <w:lang w:val="en-GB"/>
        </w:rPr>
        <w:t xml:space="preserve">O’Geen, A. T. (2013). </w:t>
      </w:r>
      <w:r w:rsidRPr="00376159">
        <w:rPr>
          <w:i/>
          <w:iCs/>
          <w:lang w:val="en-GB"/>
        </w:rPr>
        <w:t>Soil Water Dynamics</w:t>
      </w:r>
      <w:r w:rsidRPr="00376159">
        <w:rPr>
          <w:lang w:val="en-GB"/>
        </w:rPr>
        <w:t>. Nature Education Knowledge 4(5):9. https://www.nature.com/scitable/knowledge/library/soil-water-dynamics-103089121/</w:t>
      </w:r>
    </w:p>
    <w:p w14:paraId="1C661B53" w14:textId="77777777" w:rsidR="00376159" w:rsidRPr="00376159" w:rsidRDefault="00376159" w:rsidP="00376159">
      <w:pPr>
        <w:pStyle w:val="Bibliographie"/>
        <w:rPr>
          <w:lang w:val="en-GB"/>
        </w:rPr>
      </w:pPr>
      <w:r w:rsidRPr="00376159">
        <w:rPr>
          <w:lang w:val="en-GB"/>
        </w:rPr>
        <w:t xml:space="preserve">Panagos, P., Borrelli, P., Poesen, J., Ballabio, C., Lugato, E., Meusburger, K., Montanarella, L., &amp; Alewell, C. (2015). The new assessment of soil loss by water erosion in Europe. </w:t>
      </w:r>
      <w:r w:rsidRPr="00376159">
        <w:rPr>
          <w:i/>
          <w:iCs/>
          <w:lang w:val="en-GB"/>
        </w:rPr>
        <w:t>Environmental Science &amp; Policy</w:t>
      </w:r>
      <w:r w:rsidRPr="00376159">
        <w:rPr>
          <w:lang w:val="en-GB"/>
        </w:rPr>
        <w:t xml:space="preserve">, </w:t>
      </w:r>
      <w:r w:rsidRPr="00376159">
        <w:rPr>
          <w:i/>
          <w:iCs/>
          <w:lang w:val="en-GB"/>
        </w:rPr>
        <w:t>54</w:t>
      </w:r>
      <w:r w:rsidRPr="00376159">
        <w:rPr>
          <w:lang w:val="en-GB"/>
        </w:rPr>
        <w:t>, 438</w:t>
      </w:r>
      <w:r w:rsidRPr="00376159">
        <w:rPr>
          <w:rFonts w:ascii="Cambria Math" w:hAnsi="Cambria Math" w:cs="Cambria Math"/>
          <w:lang w:val="en-GB"/>
        </w:rPr>
        <w:t>‑</w:t>
      </w:r>
      <w:r w:rsidRPr="00376159">
        <w:rPr>
          <w:lang w:val="en-GB"/>
        </w:rPr>
        <w:t>447. https://doi.org/10.1016/j.envsci.2015.08.012</w:t>
      </w:r>
    </w:p>
    <w:p w14:paraId="1433055D" w14:textId="77777777" w:rsidR="00376159" w:rsidRPr="00376159" w:rsidRDefault="00376159" w:rsidP="00376159">
      <w:pPr>
        <w:pStyle w:val="Bibliographie"/>
        <w:rPr>
          <w:lang w:val="en-GB"/>
        </w:rPr>
      </w:pPr>
      <w:r w:rsidRPr="00376159">
        <w:rPr>
          <w:lang w:val="en-GB"/>
        </w:rPr>
        <w:t xml:space="preserve">Panagos, P., Meusburger, K., Ballabio, C., Borrelli, P., &amp; Alewell, C. (2014). Soil erodibility in Europe : A high-resolution dataset based on LUCAS. </w:t>
      </w:r>
      <w:r w:rsidRPr="00376159">
        <w:rPr>
          <w:i/>
          <w:iCs/>
          <w:lang w:val="en-GB"/>
        </w:rPr>
        <w:t>Science of The Total Environment</w:t>
      </w:r>
      <w:r w:rsidRPr="00376159">
        <w:rPr>
          <w:lang w:val="en-GB"/>
        </w:rPr>
        <w:t xml:space="preserve">, </w:t>
      </w:r>
      <w:r w:rsidRPr="00376159">
        <w:rPr>
          <w:i/>
          <w:iCs/>
          <w:lang w:val="en-GB"/>
        </w:rPr>
        <w:t>479</w:t>
      </w:r>
      <w:r w:rsidRPr="00376159">
        <w:rPr>
          <w:rFonts w:ascii="Cambria Math" w:hAnsi="Cambria Math" w:cs="Cambria Math"/>
          <w:i/>
          <w:iCs/>
          <w:lang w:val="en-GB"/>
        </w:rPr>
        <w:t>‑</w:t>
      </w:r>
      <w:r w:rsidRPr="00376159">
        <w:rPr>
          <w:i/>
          <w:iCs/>
          <w:lang w:val="en-GB"/>
        </w:rPr>
        <w:t>480</w:t>
      </w:r>
      <w:r w:rsidRPr="00376159">
        <w:rPr>
          <w:lang w:val="en-GB"/>
        </w:rPr>
        <w:t>, 189</w:t>
      </w:r>
      <w:r w:rsidRPr="00376159">
        <w:rPr>
          <w:rFonts w:ascii="Cambria Math" w:hAnsi="Cambria Math" w:cs="Cambria Math"/>
          <w:lang w:val="en-GB"/>
        </w:rPr>
        <w:t>‑</w:t>
      </w:r>
      <w:r w:rsidRPr="00376159">
        <w:rPr>
          <w:lang w:val="en-GB"/>
        </w:rPr>
        <w:t>200. https://doi.org/10.1016/j.scitotenv.2014.02.010</w:t>
      </w:r>
    </w:p>
    <w:p w14:paraId="04617BD5" w14:textId="77777777" w:rsidR="00376159" w:rsidRDefault="00376159" w:rsidP="00376159">
      <w:pPr>
        <w:pStyle w:val="Bibliographie"/>
      </w:pPr>
      <w:r w:rsidRPr="00376159">
        <w:rPr>
          <w:lang w:val="en-GB"/>
        </w:rPr>
        <w:lastRenderedPageBreak/>
        <w:t xml:space="preserve">Prout, J. M., Shepherd, K. D., McGrath, S. P., Kirk, G. J. D., &amp; Haefele, S. M. (2021). What is a good level of soil organic matter? An index based on organic carbon to clay ratio. </w:t>
      </w:r>
      <w:r>
        <w:rPr>
          <w:i/>
          <w:iCs/>
        </w:rPr>
        <w:t>European Journal of Soil Science</w:t>
      </w:r>
      <w:r>
        <w:t xml:space="preserve">, </w:t>
      </w:r>
      <w:r>
        <w:rPr>
          <w:i/>
          <w:iCs/>
        </w:rPr>
        <w:t>72</w:t>
      </w:r>
      <w:r>
        <w:t>(6), 2493</w:t>
      </w:r>
      <w:r>
        <w:rPr>
          <w:rFonts w:ascii="Cambria Math" w:hAnsi="Cambria Math" w:cs="Cambria Math"/>
        </w:rPr>
        <w:t>‑</w:t>
      </w:r>
      <w:r>
        <w:t>2503. https://doi.org/10.1111/ejss.13012</w:t>
      </w:r>
    </w:p>
    <w:p w14:paraId="2AD852F4" w14:textId="77777777" w:rsidR="00376159" w:rsidRDefault="00376159" w:rsidP="00376159">
      <w:pPr>
        <w:pStyle w:val="Bibliographie"/>
      </w:pPr>
      <w:r>
        <w:t xml:space="preserve">Remy, J., &amp; Marin Laflèche, A. (1974). L’analyse de terre : Réalisation d’un programme d’interprétation automatique. </w:t>
      </w:r>
      <w:r w:rsidRPr="00376159">
        <w:rPr>
          <w:i/>
          <w:iCs/>
          <w:lang w:val="en-GB"/>
        </w:rPr>
        <w:t xml:space="preserve">ANN. AGRON.; FR.; DA. 1974; VOL. 25; NO 4; PP. 607-632; ABS. ANGL. ALLEM. </w:t>
      </w:r>
      <w:r>
        <w:rPr>
          <w:i/>
          <w:iCs/>
        </w:rPr>
        <w:t>RUSSE; BIBL. 27 REF.</w:t>
      </w:r>
      <w:r>
        <w:t xml:space="preserve"> https://pascal-francis.inist.fr/vibad/index.php?action=getRecordDetail&amp;idt=PASCAL7538003865</w:t>
      </w:r>
    </w:p>
    <w:p w14:paraId="47F31370" w14:textId="77777777" w:rsidR="00376159" w:rsidRPr="00376159" w:rsidRDefault="00376159" w:rsidP="00376159">
      <w:pPr>
        <w:pStyle w:val="Bibliographie"/>
        <w:rPr>
          <w:lang w:val="en-GB"/>
        </w:rPr>
      </w:pPr>
      <w:r w:rsidRPr="00376159">
        <w:rPr>
          <w:lang w:val="en-GB"/>
        </w:rPr>
        <w:t xml:space="preserve">Smith, J. L., &amp; Doran, J. W. (1997). Measurement and Use of pH and Electrical Conductivity for Soil Quality Analysis. In </w:t>
      </w:r>
      <w:r w:rsidRPr="00376159">
        <w:rPr>
          <w:i/>
          <w:iCs/>
          <w:lang w:val="en-GB"/>
        </w:rPr>
        <w:t>Methods for Assessing Soil Quality</w:t>
      </w:r>
      <w:r w:rsidRPr="00376159">
        <w:rPr>
          <w:lang w:val="en-GB"/>
        </w:rPr>
        <w:t xml:space="preserve"> (p. 169</w:t>
      </w:r>
      <w:r w:rsidRPr="00376159">
        <w:rPr>
          <w:rFonts w:ascii="Cambria Math" w:hAnsi="Cambria Math" w:cs="Cambria Math"/>
          <w:lang w:val="en-GB"/>
        </w:rPr>
        <w:t>‑</w:t>
      </w:r>
      <w:r w:rsidRPr="00376159">
        <w:rPr>
          <w:lang w:val="en-GB"/>
        </w:rPr>
        <w:t>185). John Wiley &amp; Sons, Ltd. https://doi.org/10.2136/sssaspecpub49.c10</w:t>
      </w:r>
    </w:p>
    <w:p w14:paraId="533D7D63" w14:textId="77777777" w:rsidR="00376159" w:rsidRDefault="00376159" w:rsidP="00376159">
      <w:pPr>
        <w:pStyle w:val="Bibliographie"/>
      </w:pPr>
      <w:r>
        <w:t xml:space="preserve">SPW. (s. d.). </w:t>
      </w:r>
      <w:r>
        <w:rPr>
          <w:i/>
          <w:iCs/>
        </w:rPr>
        <w:t>La biodiversité menacée</w:t>
      </w:r>
      <w:r>
        <w:t>. La biodiversité en Wallonie. Consulté 12 juin 2026, à l’adresse https://biodiversite.wallonie.be/home/agir/especes-exotiques-envahissantes/la-biodiversite-menacee.html</w:t>
      </w:r>
    </w:p>
    <w:p w14:paraId="790026AA" w14:textId="77777777" w:rsidR="00376159" w:rsidRDefault="00376159" w:rsidP="00376159">
      <w:pPr>
        <w:pStyle w:val="Bibliographie"/>
      </w:pPr>
      <w:r>
        <w:t xml:space="preserve">SPW. (2026). </w:t>
      </w:r>
      <w:r>
        <w:rPr>
          <w:i/>
          <w:iCs/>
        </w:rPr>
        <w:t>MAEC Sol—MR14—Portail de l’agriculture wallonne</w:t>
      </w:r>
      <w:r>
        <w:t>. Agriculture en Wallonie. https://agriculture.wallonie.be/home/aides/pac-2023-2027-description-des-interventions/mesures-agro-environnementales-et-climatiques/maec-sol---mr14.html</w:t>
      </w:r>
    </w:p>
    <w:p w14:paraId="15D83096" w14:textId="77777777" w:rsidR="00376159" w:rsidRDefault="00376159" w:rsidP="00376159">
      <w:pPr>
        <w:pStyle w:val="Bibliographie"/>
      </w:pPr>
      <w:r>
        <w:t xml:space="preserve">SPW Mobilité Infrastructures. (2026). </w:t>
      </w:r>
      <w:r>
        <w:rPr>
          <w:i/>
          <w:iCs/>
        </w:rPr>
        <w:t>Cahier des Charges type Qualiroutes—Chapitre C : Matériaux et produits de construction</w:t>
      </w:r>
      <w:r>
        <w:t xml:space="preserve"> (Version approuvé par le Gouvernement wallon en date du 20 juillet 2011). Service Public de Wallonie. https://infrastructures.wallonie.be/cms/render/live/fr/sites/routes/pouvoirs-locaux/nos-thematiques/routes/qualite--construction/qualiroutes.html</w:t>
      </w:r>
    </w:p>
    <w:p w14:paraId="21CCA277" w14:textId="77777777" w:rsidR="00376159" w:rsidRDefault="00376159" w:rsidP="00376159">
      <w:pPr>
        <w:pStyle w:val="Bibliographie"/>
      </w:pPr>
      <w:r w:rsidRPr="00376159">
        <w:rPr>
          <w:lang w:val="en-GB"/>
        </w:rPr>
        <w:t xml:space="preserve">SPW, UCLouvain, Gembloux Agro-Bio Tech, &amp; Sher. </w:t>
      </w:r>
      <w:r>
        <w:t xml:space="preserve">(2023). </w:t>
      </w:r>
      <w:r>
        <w:rPr>
          <w:i/>
          <w:iCs/>
        </w:rPr>
        <w:t>Approche de calcul du risque d’érosion hydrique</w:t>
      </w:r>
      <w:r>
        <w:t>. https://agriculture.wallonie.be/files/accueil/ruralit%c3%a9/Protection_Sols_Agricoles/Pr%c3%a9sentation%20Carte%20Erosion.pdf</w:t>
      </w:r>
    </w:p>
    <w:p w14:paraId="42817D02" w14:textId="77777777" w:rsidR="00376159" w:rsidRDefault="00376159" w:rsidP="00376159">
      <w:pPr>
        <w:pStyle w:val="Bibliographie"/>
      </w:pPr>
      <w:r>
        <w:lastRenderedPageBreak/>
        <w:t xml:space="preserve">Tetegan, M. (2011). </w:t>
      </w:r>
      <w:r>
        <w:rPr>
          <w:i/>
          <w:iCs/>
        </w:rPr>
        <w:t>Modélisation des propriétés de rétention en eau des sols caillouteux : Application à l’estimation spatialisée de la réserve utile</w:t>
      </w:r>
      <w:r>
        <w:t xml:space="preserve"> [Phdthesis, Université d’Orléans]. https://theses.hal.science/tel-00667737</w:t>
      </w:r>
    </w:p>
    <w:p w14:paraId="7CA57E07" w14:textId="77777777" w:rsidR="00376159" w:rsidRPr="00376159" w:rsidRDefault="00376159" w:rsidP="00376159">
      <w:pPr>
        <w:pStyle w:val="Bibliographie"/>
        <w:rPr>
          <w:lang w:val="en-GB"/>
        </w:rPr>
      </w:pPr>
      <w:r w:rsidRPr="00376159">
        <w:rPr>
          <w:lang w:val="en-GB"/>
        </w:rPr>
        <w:t xml:space="preserve">Tóth, B., Weynants, M., Nemes, A., Makó, A., Bilas, G., &amp; Tóth, G. (2015). New generation of hydraulic pedotransfer functions for Europe. </w:t>
      </w:r>
      <w:r w:rsidRPr="00376159">
        <w:rPr>
          <w:i/>
          <w:iCs/>
          <w:lang w:val="en-GB"/>
        </w:rPr>
        <w:t>European Journal of Soil Science</w:t>
      </w:r>
      <w:r w:rsidRPr="00376159">
        <w:rPr>
          <w:lang w:val="en-GB"/>
        </w:rPr>
        <w:t xml:space="preserve">, </w:t>
      </w:r>
      <w:r w:rsidRPr="00376159">
        <w:rPr>
          <w:i/>
          <w:iCs/>
          <w:lang w:val="en-GB"/>
        </w:rPr>
        <w:t>66</w:t>
      </w:r>
      <w:r w:rsidRPr="00376159">
        <w:rPr>
          <w:lang w:val="en-GB"/>
        </w:rPr>
        <w:t>(1), 226</w:t>
      </w:r>
      <w:r w:rsidRPr="00376159">
        <w:rPr>
          <w:rFonts w:ascii="Cambria Math" w:hAnsi="Cambria Math" w:cs="Cambria Math"/>
          <w:lang w:val="en-GB"/>
        </w:rPr>
        <w:t>‑</w:t>
      </w:r>
      <w:r w:rsidRPr="00376159">
        <w:rPr>
          <w:lang w:val="en-GB"/>
        </w:rPr>
        <w:t>238. https://doi.org/10.1111/ejss.12192</w:t>
      </w:r>
    </w:p>
    <w:p w14:paraId="73E0DD9B" w14:textId="77777777" w:rsidR="00376159" w:rsidRDefault="00376159" w:rsidP="00376159">
      <w:pPr>
        <w:pStyle w:val="Bibliographie"/>
      </w:pPr>
      <w:r w:rsidRPr="00376159">
        <w:rPr>
          <w:lang w:val="en-GB"/>
        </w:rPr>
        <w:t xml:space="preserve">UE 2025/2360. </w:t>
      </w:r>
      <w:r>
        <w:t xml:space="preserve">(2025). </w:t>
      </w:r>
      <w:r>
        <w:rPr>
          <w:i/>
          <w:iCs/>
        </w:rPr>
        <w:t>Directive (UE) 2025/2360 du Parlement européen et du Conseil du 12 novembre 2025 relative à la surveillance et à la résilience des sols (directive sur la surveillance des sols)</w:t>
      </w:r>
      <w:r>
        <w:t>. https://eur-lex.europa.eu/eli/dir/2025/2360/oj?eliuri=eli%3Adir%3A2025%3A2360%3Aoj&amp;locale=fr</w:t>
      </w:r>
    </w:p>
    <w:p w14:paraId="14A2884F" w14:textId="77777777" w:rsidR="00376159" w:rsidRDefault="00376159" w:rsidP="00376159">
      <w:pPr>
        <w:pStyle w:val="Bibliographie"/>
      </w:pPr>
      <w:r w:rsidRPr="00376159">
        <w:rPr>
          <w:lang w:val="en-GB"/>
        </w:rPr>
        <w:t xml:space="preserve">Vanwindekens, F. M., &amp; Hardy, B. F. (2023). The QuantiSlakeTest, measuring soil structural stability by dynamic weighing of undisturbed samples immersed in water. </w:t>
      </w:r>
      <w:r>
        <w:rPr>
          <w:i/>
          <w:iCs/>
        </w:rPr>
        <w:t>SOIL</w:t>
      </w:r>
      <w:r>
        <w:t xml:space="preserve">, </w:t>
      </w:r>
      <w:r>
        <w:rPr>
          <w:i/>
          <w:iCs/>
        </w:rPr>
        <w:t>9</w:t>
      </w:r>
      <w:r>
        <w:t>(2), 573</w:t>
      </w:r>
      <w:r>
        <w:rPr>
          <w:rFonts w:ascii="Cambria Math" w:hAnsi="Cambria Math" w:cs="Cambria Math"/>
        </w:rPr>
        <w:t>‑</w:t>
      </w:r>
      <w:r>
        <w:t>591. https://doi.org/10.5194/soil-9-573-2023</w:t>
      </w:r>
    </w:p>
    <w:p w14:paraId="3A54020F" w14:textId="77777777" w:rsidR="00376159" w:rsidRPr="00376159" w:rsidRDefault="00376159" w:rsidP="00376159">
      <w:pPr>
        <w:pStyle w:val="Bibliographie"/>
        <w:rPr>
          <w:lang w:val="en-GB"/>
        </w:rPr>
      </w:pPr>
      <w:r>
        <w:t xml:space="preserve">Villenave, C., Jimenez, A., Guernion, M., Pérès, G., Cluzeau, D., Mateille, T., Martiny, B., Fargette, M., &amp; Tavoillot, J. (2013). </w:t>
      </w:r>
      <w:r w:rsidRPr="00376159">
        <w:rPr>
          <w:lang w:val="en-GB"/>
        </w:rPr>
        <w:t xml:space="preserve">Nematodes for Soil Quality Monitoring : Results from the RMQS BioDiv Programme. </w:t>
      </w:r>
      <w:r w:rsidRPr="00376159">
        <w:rPr>
          <w:i/>
          <w:iCs/>
          <w:lang w:val="en-GB"/>
        </w:rPr>
        <w:t>Open Journal of Soil Science</w:t>
      </w:r>
      <w:r w:rsidRPr="00376159">
        <w:rPr>
          <w:lang w:val="en-GB"/>
        </w:rPr>
        <w:t xml:space="preserve">, </w:t>
      </w:r>
      <w:r w:rsidRPr="00376159">
        <w:rPr>
          <w:i/>
          <w:iCs/>
          <w:lang w:val="en-GB"/>
        </w:rPr>
        <w:t>3</w:t>
      </w:r>
      <w:r w:rsidRPr="00376159">
        <w:rPr>
          <w:lang w:val="en-GB"/>
        </w:rPr>
        <w:t>, 30</w:t>
      </w:r>
      <w:r w:rsidRPr="00376159">
        <w:rPr>
          <w:rFonts w:ascii="Cambria Math" w:hAnsi="Cambria Math" w:cs="Cambria Math"/>
          <w:lang w:val="en-GB"/>
        </w:rPr>
        <w:t>‑</w:t>
      </w:r>
      <w:r w:rsidRPr="00376159">
        <w:rPr>
          <w:lang w:val="en-GB"/>
        </w:rPr>
        <w:t>45. https://doi.org/10.4236/ojss.2013.31005</w:t>
      </w:r>
    </w:p>
    <w:p w14:paraId="43DFDE9A" w14:textId="77777777" w:rsidR="00376159" w:rsidRPr="00376159" w:rsidRDefault="00376159" w:rsidP="00376159">
      <w:pPr>
        <w:pStyle w:val="Bibliographie"/>
        <w:rPr>
          <w:lang w:val="en-GB"/>
        </w:rPr>
      </w:pPr>
      <w:r w:rsidRPr="00376159">
        <w:rPr>
          <w:lang w:val="en-GB"/>
        </w:rPr>
        <w:t xml:space="preserve">Wischmeier, W. H., &amp; Smith, D. D. (1978). </w:t>
      </w:r>
      <w:r w:rsidRPr="00376159">
        <w:rPr>
          <w:i/>
          <w:iCs/>
          <w:lang w:val="en-GB"/>
        </w:rPr>
        <w:t>Predicting Rainfall Erosion Losses : A Guide to Conservation Planning</w:t>
      </w:r>
      <w:r w:rsidRPr="00376159">
        <w:rPr>
          <w:lang w:val="en-GB"/>
        </w:rPr>
        <w:t>. https://books.google.be/books?hl=fr&amp;lr=&amp;id=rRAUAAAAYAAJ&amp;oi=fnd&amp;pg=PA5&amp;ots=cwsorPnvZZ&amp;sig=AhOY39ZA_etFwsP8DmDHSZYqHyk&amp;redir_esc=y#v=onepage&amp;q&amp;f=false (Édition originale U.S. Department of Agriculture, Washington DC, USA)</w:t>
      </w:r>
    </w:p>
    <w:p w14:paraId="3B73438D" w14:textId="014D8978" w:rsidR="00347D0A" w:rsidRPr="007E364E" w:rsidRDefault="00CB5E37" w:rsidP="00EB114A">
      <w:pPr>
        <w:pStyle w:val="Bibliographie"/>
        <w:rPr>
          <w:lang w:val="en-GB"/>
        </w:rPr>
      </w:pPr>
      <w:r>
        <w:fldChar w:fldCharType="end"/>
      </w:r>
    </w:p>
    <w:p w14:paraId="57BA89AB" w14:textId="169F7AAB" w:rsidR="0021405A" w:rsidRPr="007E364E" w:rsidRDefault="0021405A" w:rsidP="0021405A">
      <w:pPr>
        <w:jc w:val="left"/>
        <w:rPr>
          <w:lang w:val="en-GB"/>
        </w:rPr>
      </w:pPr>
    </w:p>
    <w:sectPr w:rsidR="0021405A" w:rsidRPr="007E364E" w:rsidSect="009B5F57">
      <w:pgSz w:w="11906" w:h="16838"/>
      <w:pgMar w:top="1418" w:right="1418" w:bottom="1418" w:left="1418"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041AC" w14:textId="77777777" w:rsidR="00437C8C" w:rsidRDefault="00437C8C" w:rsidP="0051203A">
      <w:pPr>
        <w:spacing w:after="0" w:line="240" w:lineRule="auto"/>
      </w:pPr>
      <w:r>
        <w:separator/>
      </w:r>
    </w:p>
  </w:endnote>
  <w:endnote w:type="continuationSeparator" w:id="0">
    <w:p w14:paraId="249C69AE" w14:textId="77777777" w:rsidR="00437C8C" w:rsidRDefault="00437C8C" w:rsidP="00512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0814" w14:textId="45496226" w:rsidR="0051203A" w:rsidRPr="009B5F57" w:rsidRDefault="009B5F57" w:rsidP="009B5F57">
    <w:pPr>
      <w:pStyle w:val="Pieddepage"/>
    </w:pPr>
    <w: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4"/>
    </w:tblGrid>
    <w:tr w:rsidR="009B5F57" w14:paraId="3DBB360A" w14:textId="77777777" w:rsidTr="009B5F57">
      <w:tc>
        <w:tcPr>
          <w:tcW w:w="846" w:type="dxa"/>
          <w:shd w:val="clear" w:color="auto" w:fill="9BA823"/>
        </w:tcPr>
        <w:p w14:paraId="35D5EFC3" w14:textId="77777777" w:rsidR="009B5F57" w:rsidRDefault="009B5F57">
          <w:pPr>
            <w:pStyle w:val="Pieddepage"/>
            <w:rPr>
              <w:color w:val="9BA823"/>
              <w:sz w:val="18"/>
              <w:szCs w:val="18"/>
            </w:rPr>
          </w:pPr>
        </w:p>
      </w:tc>
      <w:tc>
        <w:tcPr>
          <w:tcW w:w="8214" w:type="dxa"/>
          <w:tcBorders>
            <w:top w:val="single" w:sz="24" w:space="0" w:color="9BA823"/>
          </w:tcBorders>
        </w:tcPr>
        <w:p w14:paraId="6B5BD9B0" w14:textId="7A4FB97A" w:rsidR="009B5F57" w:rsidRDefault="009B5F57">
          <w:pPr>
            <w:pStyle w:val="Pieddepage"/>
            <w:rPr>
              <w:color w:val="9BA823"/>
              <w:sz w:val="18"/>
              <w:szCs w:val="18"/>
            </w:rPr>
          </w:pPr>
          <w:r w:rsidRPr="00E7400C">
            <w:rPr>
              <w:sz w:val="18"/>
              <w:szCs w:val="18"/>
            </w:rPr>
            <w:t xml:space="preserve">Service public de Wallonie | </w:t>
          </w:r>
          <w:r w:rsidRPr="00E7400C">
            <w:rPr>
              <w:color w:val="9BA823"/>
              <w:sz w:val="18"/>
              <w:szCs w:val="18"/>
            </w:rPr>
            <w:t>SPW Agriculture, Ressources naturelles et Environnement</w:t>
          </w:r>
        </w:p>
      </w:tc>
    </w:tr>
  </w:tbl>
  <w:p w14:paraId="18105FEF" w14:textId="30C1382E" w:rsidR="009B5F57" w:rsidRPr="009B5F57" w:rsidRDefault="009B5F57">
    <w:pPr>
      <w:pStyle w:val="Pieddepage"/>
      <w:rPr>
        <w:color w:val="9BA823"/>
        <w:sz w:val="2"/>
        <w:szCs w:val="2"/>
      </w:rPr>
    </w:pPr>
  </w:p>
  <w:p w14:paraId="4421BA9F" w14:textId="72765663" w:rsidR="009B5F57" w:rsidRPr="00E7400C" w:rsidRDefault="009B5F57" w:rsidP="009B5F57">
    <w:pPr>
      <w:pStyle w:val="Pieddepage"/>
      <w:jc w:val="right"/>
      <w:rPr>
        <w:sz w:val="18"/>
        <w:szCs w:val="18"/>
      </w:rPr>
    </w:pPr>
    <w:r w:rsidRPr="009B5F57">
      <w:rPr>
        <w:sz w:val="18"/>
        <w:szCs w:val="18"/>
      </w:rPr>
      <w:fldChar w:fldCharType="begin"/>
    </w:r>
    <w:r w:rsidRPr="009B5F57">
      <w:rPr>
        <w:sz w:val="18"/>
        <w:szCs w:val="18"/>
      </w:rPr>
      <w:instrText>PAGE   \* MERGEFORMAT</w:instrText>
    </w:r>
    <w:r w:rsidRPr="009B5F57">
      <w:rPr>
        <w:sz w:val="18"/>
        <w:szCs w:val="18"/>
      </w:rPr>
      <w:fldChar w:fldCharType="separate"/>
    </w:r>
    <w:r w:rsidRPr="009B5F57">
      <w:rPr>
        <w:sz w:val="18"/>
        <w:szCs w:val="18"/>
        <w:lang w:val="fr-FR"/>
      </w:rPr>
      <w:t>1</w:t>
    </w:r>
    <w:r w:rsidRPr="009B5F5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CD76D" w14:textId="77777777" w:rsidR="00437C8C" w:rsidRDefault="00437C8C" w:rsidP="0051203A">
      <w:pPr>
        <w:spacing w:after="0" w:line="240" w:lineRule="auto"/>
      </w:pPr>
      <w:r>
        <w:separator/>
      </w:r>
    </w:p>
  </w:footnote>
  <w:footnote w:type="continuationSeparator" w:id="0">
    <w:p w14:paraId="38549C8C" w14:textId="77777777" w:rsidR="00437C8C" w:rsidRDefault="00437C8C" w:rsidP="0051203A">
      <w:pPr>
        <w:spacing w:after="0" w:line="240" w:lineRule="auto"/>
      </w:pPr>
      <w:r>
        <w:continuationSeparator/>
      </w:r>
    </w:p>
  </w:footnote>
  <w:footnote w:id="1">
    <w:p w14:paraId="7A8F4EAC" w14:textId="1642735E" w:rsidR="00F43615" w:rsidRPr="00F43615" w:rsidRDefault="00F43615">
      <w:pPr>
        <w:pStyle w:val="Notedebasdepage"/>
      </w:pPr>
      <w:r>
        <w:rPr>
          <w:rStyle w:val="Appelnotedebasdep"/>
        </w:rPr>
        <w:footnoteRef/>
      </w:r>
      <w:r>
        <w:t xml:space="preserve"> </w:t>
      </w:r>
      <w:r w:rsidRPr="00F43615">
        <w:t>N.B. : Chaque sous-service écosystémique (Production – cultures, prairies, espaces verts, forêts) a sa propre fonction d’interprétation.</w:t>
      </w:r>
    </w:p>
  </w:footnote>
  <w:footnote w:id="2">
    <w:p w14:paraId="46667EB5" w14:textId="308C5502" w:rsidR="00871956" w:rsidRPr="00871956" w:rsidRDefault="00871956">
      <w:pPr>
        <w:pStyle w:val="Notedebasdepage"/>
      </w:pPr>
      <w:r>
        <w:rPr>
          <w:rStyle w:val="Appelnotedebasdep"/>
        </w:rPr>
        <w:footnoteRef/>
      </w:r>
      <w:r>
        <w:t xml:space="preserve"> </w:t>
      </w:r>
      <w:r w:rsidRPr="00F43615">
        <w:t>Chaque sous-service écosystémique (Production – cultures, prairies, espaces verts, forêts) a sa propre fonction d’interprétation.</w:t>
      </w:r>
    </w:p>
  </w:footnote>
  <w:footnote w:id="3">
    <w:p w14:paraId="505C7EB8" w14:textId="41DDB473" w:rsidR="00B90382" w:rsidRPr="00B90382" w:rsidRDefault="00B90382">
      <w:pPr>
        <w:pStyle w:val="Notedebasdepage"/>
      </w:pPr>
      <w:r>
        <w:rPr>
          <w:rStyle w:val="Appelnotedebasdep"/>
        </w:rPr>
        <w:footnoteRef/>
      </w:r>
      <w:r>
        <w:t xml:space="preserve"> </w:t>
      </w:r>
      <w:r w:rsidRPr="00F43615">
        <w:t>Chaque sous-service écosystémique (Production – cultures, prairies, espaces verts, forêts) a sa propre fonction d’interprétation.</w:t>
      </w:r>
    </w:p>
  </w:footnote>
  <w:footnote w:id="4">
    <w:p w14:paraId="367065F4" w14:textId="3FA680CA" w:rsidR="002D2CE7" w:rsidRPr="002D2CE7" w:rsidRDefault="002D2CE7">
      <w:pPr>
        <w:pStyle w:val="Notedebasdepage"/>
      </w:pPr>
      <w:r w:rsidRPr="00436690">
        <w:rPr>
          <w:rStyle w:val="Appelnotedebasdep"/>
        </w:rPr>
        <w:footnoteRef/>
      </w:r>
      <w:r w:rsidR="00DF7B20">
        <w:t xml:space="preserve"> </w:t>
      </w:r>
      <w:r w:rsidR="00DF7B20" w:rsidRPr="00DF7B20">
        <w:t>Dosage par spectrophotométrie d’absorption moléculaire du phosphore disponible dans les terres agricoles</w:t>
      </w:r>
      <w:r w:rsidR="00DF7B20">
        <w:t xml:space="preserve">, </w:t>
      </w:r>
      <w:r w:rsidR="009D00CC" w:rsidRPr="009D00CC">
        <w:t>Compendium Wallon des méthodes d'Échantillonnage et d'Analyse (CWEA)</w:t>
      </w:r>
      <w:r w:rsidR="00DF7B20">
        <w:t>, 10/12/2023.</w:t>
      </w:r>
    </w:p>
  </w:footnote>
  <w:footnote w:id="5">
    <w:p w14:paraId="76718C7F" w14:textId="3797A807" w:rsidR="00B90382" w:rsidRPr="00B90382" w:rsidRDefault="00B90382">
      <w:pPr>
        <w:pStyle w:val="Notedebasdepage"/>
      </w:pPr>
      <w:r>
        <w:rPr>
          <w:rStyle w:val="Appelnotedebasdep"/>
        </w:rPr>
        <w:footnoteRef/>
      </w:r>
      <w:r>
        <w:t xml:space="preserve"> </w:t>
      </w:r>
      <w:r w:rsidRPr="00F43615">
        <w:t>Chaque sous-service écosystémique (Production – cultures, prairies, espaces verts, forêts) a sa propre fonction d’interprétation.</w:t>
      </w:r>
    </w:p>
  </w:footnote>
  <w:footnote w:id="6">
    <w:p w14:paraId="52D5CAB2" w14:textId="07B6DD59" w:rsidR="000D25A8" w:rsidRPr="002D2CE7" w:rsidRDefault="000D25A8" w:rsidP="000D25A8">
      <w:pPr>
        <w:pStyle w:val="Notedebasdepage"/>
      </w:pPr>
      <w:r w:rsidRPr="00436690">
        <w:rPr>
          <w:rStyle w:val="Appelnotedebasdep"/>
        </w:rPr>
        <w:footnoteRef/>
      </w:r>
      <w:r>
        <w:t xml:space="preserve"> </w:t>
      </w:r>
      <w:r w:rsidR="00E3669D" w:rsidRPr="00E3669D">
        <w:t>Extraction des éléments minéraux disponibles dans les terres agricoles</w:t>
      </w:r>
      <w:r>
        <w:t xml:space="preserve">, </w:t>
      </w:r>
      <w:r w:rsidR="009D00CC" w:rsidRPr="009D00CC">
        <w:t>Compendium Wallon des méthodes d'Échantillonnage et d'Analyse (CWEA)</w:t>
      </w:r>
      <w:r>
        <w:t>, 10/12/2023.</w:t>
      </w:r>
    </w:p>
  </w:footnote>
  <w:footnote w:id="7">
    <w:p w14:paraId="1A219279" w14:textId="1C90E94B" w:rsidR="00B90382" w:rsidRPr="00B90382" w:rsidRDefault="00B90382">
      <w:pPr>
        <w:pStyle w:val="Notedebasdepage"/>
      </w:pPr>
      <w:r>
        <w:rPr>
          <w:rStyle w:val="Appelnotedebasdep"/>
        </w:rPr>
        <w:footnoteRef/>
      </w:r>
      <w:r>
        <w:t xml:space="preserve"> </w:t>
      </w:r>
      <w:r w:rsidRPr="00F43615">
        <w:t>Chaque sous-service écosystémique (Production – cultures, prairies, espaces verts, forêts) a sa propre fonction d’interprétation.</w:t>
      </w:r>
    </w:p>
  </w:footnote>
  <w:footnote w:id="8">
    <w:p w14:paraId="0233A308" w14:textId="12CF8B86" w:rsidR="00E355DD" w:rsidRPr="00E355DD" w:rsidRDefault="00E355DD">
      <w:pPr>
        <w:pStyle w:val="Notedebasdepage"/>
      </w:pPr>
      <w:r w:rsidRPr="00436690">
        <w:rPr>
          <w:rStyle w:val="Appelnotedebasdep"/>
        </w:rPr>
        <w:footnoteRef/>
      </w:r>
      <w:r>
        <w:t xml:space="preserve"> Il faut toutefois surveiller avec prudence l’expansion potentielle de l’espèce au sein de la zone.</w:t>
      </w:r>
    </w:p>
  </w:footnote>
  <w:footnote w:id="9">
    <w:p w14:paraId="72A2066D" w14:textId="26C7FA49" w:rsidR="00B90382" w:rsidRPr="00B90382" w:rsidRDefault="00B90382">
      <w:pPr>
        <w:pStyle w:val="Notedebasdepage"/>
      </w:pPr>
      <w:r>
        <w:rPr>
          <w:rStyle w:val="Appelnotedebasdep"/>
        </w:rPr>
        <w:footnoteRef/>
      </w:r>
      <w:r>
        <w:t xml:space="preserve"> </w:t>
      </w:r>
      <w:r w:rsidRPr="00F43615">
        <w:t>Chaque sous-service écosystémique (Production – cultures, prairies, espaces verts, forêts) a sa propre fonction d’interprétation.</w:t>
      </w:r>
    </w:p>
  </w:footnote>
  <w:footnote w:id="10">
    <w:p w14:paraId="3B8097D9" w14:textId="7D424DC4" w:rsidR="00826FC6" w:rsidRPr="00826FC6" w:rsidRDefault="00826FC6">
      <w:pPr>
        <w:pStyle w:val="Notedebasdepage"/>
      </w:pPr>
      <w:r w:rsidRPr="00436690">
        <w:rPr>
          <w:rStyle w:val="Appelnotedebasdep"/>
        </w:rPr>
        <w:footnoteRef/>
      </w:r>
      <w:r>
        <w:t xml:space="preserve"> </w:t>
      </w:r>
      <w:r w:rsidR="00241FD8">
        <w:t xml:space="preserve">Source citée par le Joint Research Center (page Soil Hydraulic Properties) </w:t>
      </w:r>
      <w:r w:rsidR="009D4244">
        <w:t xml:space="preserve">sur </w:t>
      </w:r>
      <w:hyperlink r:id="rId1" w:history="1">
        <w:r w:rsidR="009D4244" w:rsidRPr="006C5942">
          <w:rPr>
            <w:rStyle w:val="Lienhypertexte"/>
          </w:rPr>
          <w:t>https://esdac.jrc.ec.europa.eu/themes/soil-hydraulic-properties</w:t>
        </w:r>
      </w:hyperlink>
      <w:r w:rsidR="009D4244">
        <w:t xml:space="preserve"> </w:t>
      </w:r>
    </w:p>
  </w:footnote>
  <w:footnote w:id="11">
    <w:p w14:paraId="203BFB1E" w14:textId="0A33D6B7" w:rsidR="00B90382" w:rsidRPr="00B90382" w:rsidRDefault="00B90382">
      <w:pPr>
        <w:pStyle w:val="Notedebasdepage"/>
      </w:pPr>
      <w:r>
        <w:rPr>
          <w:rStyle w:val="Appelnotedebasdep"/>
        </w:rPr>
        <w:footnoteRef/>
      </w:r>
      <w:r>
        <w:t xml:space="preserve"> </w:t>
      </w:r>
      <w:r w:rsidRPr="00F43615">
        <w:t>Chaque sous-service écosystémique (Production – cultures, prairies, espaces verts, forêts) a sa propre fonction d’interprétation.</w:t>
      </w:r>
    </w:p>
  </w:footnote>
  <w:footnote w:id="12">
    <w:p w14:paraId="7EC3BBFF" w14:textId="7342C60F" w:rsidR="00F31599" w:rsidRPr="00F31599" w:rsidRDefault="00F31599">
      <w:pPr>
        <w:pStyle w:val="Notedebasdepage"/>
      </w:pPr>
      <w:r w:rsidRPr="00436690">
        <w:rPr>
          <w:rStyle w:val="Appelnotedebasdep"/>
        </w:rPr>
        <w:footnoteRef/>
      </w:r>
      <w:r>
        <w:t xml:space="preserve"> Partie C du Guide de Référence pour l’Étude de Risque (GRER), qui vise à présenter </w:t>
      </w:r>
      <w:r w:rsidR="00C93ADB">
        <w:t xml:space="preserve">la </w:t>
      </w:r>
      <w:r w:rsidR="00C93ADB" w:rsidRPr="00C93ADB">
        <w:t>méthodologie d'évaluation des risques pour les eaux souterraines (risques de lessivage et de « dispersion »)</w:t>
      </w:r>
      <w:r w:rsidR="00C93ADB">
        <w:t xml:space="preserve">, accessible via </w:t>
      </w:r>
      <w:hyperlink r:id="rId2" w:history="1">
        <w:r w:rsidR="00C93ADB" w:rsidRPr="00C801B7">
          <w:rPr>
            <w:rStyle w:val="Lienhypertexte"/>
          </w:rPr>
          <w:t>https://environnement.wallonie.be/home/milieux/sol/les-professionnels-du-sol/experts-et-labos/outils-de-reference/cwbp/etude-de-risque.html</w:t>
        </w:r>
      </w:hyperlink>
      <w:r w:rsidR="00C93ADB">
        <w:t xml:space="preserve">. </w:t>
      </w:r>
    </w:p>
  </w:footnote>
  <w:footnote w:id="13">
    <w:p w14:paraId="7BC4A2B2" w14:textId="77777777" w:rsidR="00B11E09" w:rsidRPr="00D05D5F" w:rsidRDefault="00B11E09" w:rsidP="00B11E09">
      <w:r w:rsidRPr="00436690">
        <w:rPr>
          <w:rStyle w:val="Appelnotedebasdep"/>
        </w:rPr>
        <w:footnoteRef/>
      </w:r>
      <w:r>
        <w:t xml:space="preserve"> Adopter une valeur de FD ajustée selon le type de nappe abouterait à une valeur de VS</w:t>
      </w:r>
      <w:r>
        <w:rPr>
          <w:vertAlign w:val="subscript"/>
        </w:rPr>
        <w:t>N ajustée</w:t>
      </w:r>
      <w:r>
        <w:t xml:space="preserve"> différente pour un même sol selon le type d’aquifère sous-jacent, ce qui a peu de sens vu l’objectif ici recherché (lié au sol).</w:t>
      </w:r>
    </w:p>
  </w:footnote>
  <w:footnote w:id="14">
    <w:p w14:paraId="316A902C" w14:textId="66212B0D" w:rsidR="00A8587E" w:rsidRPr="00A8587E" w:rsidRDefault="00A8587E">
      <w:pPr>
        <w:pStyle w:val="Notedebasdepage"/>
        <w:rPr>
          <w:lang w:val="fr-FR"/>
        </w:rPr>
      </w:pPr>
      <w:r w:rsidRPr="00436690">
        <w:rPr>
          <w:rStyle w:val="Appelnotedebasdep"/>
        </w:rPr>
        <w:footnoteRef/>
      </w:r>
      <w:r>
        <w:t xml:space="preserve"> </w:t>
      </w:r>
      <w:hyperlink r:id="rId3" w:history="1">
        <w:r w:rsidRPr="006C5942">
          <w:rPr>
            <w:rStyle w:val="Lienhypertexte"/>
          </w:rPr>
          <w:t>https://geoportail.wallonie.be/catalogue/c4d60ce7-b412-497b-86ff-bfa21283dc80.html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CC81" w14:textId="35B4ED58" w:rsidR="0051203A" w:rsidRDefault="004E37AB">
    <w:pPr>
      <w:pStyle w:val="En-tte"/>
    </w:pPr>
    <w:r>
      <w:rPr>
        <w:noProof/>
      </w:rPr>
      <mc:AlternateContent>
        <mc:Choice Requires="wps">
          <w:drawing>
            <wp:anchor distT="0" distB="0" distL="114300" distR="114300" simplePos="0" relativeHeight="251660288" behindDoc="0" locked="0" layoutInCell="0" allowOverlap="1" wp14:anchorId="23FECFC3" wp14:editId="41D630E4">
              <wp:simplePos x="0" y="0"/>
              <wp:positionH relativeFrom="margin">
                <wp:align>left</wp:align>
              </wp:positionH>
              <wp:positionV relativeFrom="topMargin">
                <wp:align>center</wp:align>
              </wp:positionV>
              <wp:extent cx="5943600" cy="173736"/>
              <wp:effectExtent l="0" t="0" r="0" b="635"/>
              <wp:wrapNone/>
              <wp:docPr id="220" name="Zone de text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CEEE5" w14:textId="0B329DC6" w:rsidR="004E37AB" w:rsidRPr="00F50C6B" w:rsidRDefault="00F50C6B">
                          <w:pPr>
                            <w:spacing w:after="0" w:line="240" w:lineRule="auto"/>
                            <w:jc w:val="right"/>
                            <w:rPr>
                              <w:lang w:val="fr-FR"/>
                            </w:rPr>
                          </w:pPr>
                          <w:r>
                            <w:rPr>
                              <w:lang w:val="fr-FR"/>
                            </w:rPr>
                            <w:t>Guide méthodologique IQSW-pro</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3FECFC3" id="_x0000_t202" coordsize="21600,21600" o:spt="202" path="m,l,21600r21600,l21600,xe">
              <v:stroke joinstyle="miter"/>
              <v:path gradientshapeok="t" o:connecttype="rect"/>
            </v:shapetype>
            <v:shape id="Zone de texte 229" o:spid="_x0000_s1026" type="#_x0000_t202" style="position:absolute;left:0;text-align:left;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615CEEE5" w14:textId="0B329DC6" w:rsidR="004E37AB" w:rsidRPr="00F50C6B" w:rsidRDefault="00F50C6B">
                    <w:pPr>
                      <w:spacing w:after="0" w:line="240" w:lineRule="auto"/>
                      <w:jc w:val="right"/>
                      <w:rPr>
                        <w:lang w:val="fr-FR"/>
                      </w:rPr>
                    </w:pPr>
                    <w:r>
                      <w:rPr>
                        <w:lang w:val="fr-FR"/>
                      </w:rPr>
                      <w:t>Guide méthodologique IQSW-pro</w:t>
                    </w:r>
                  </w:p>
                </w:txbxContent>
              </v:textbox>
              <w10:wrap anchorx="margin" anchory="margin"/>
            </v:shape>
          </w:pict>
        </mc:Fallback>
      </mc:AlternateContent>
    </w:r>
    <w:r>
      <w:rPr>
        <w:noProof/>
      </w:rPr>
      <mc:AlternateContent>
        <mc:Choice Requires="wps">
          <w:drawing>
            <wp:anchor distT="0" distB="0" distL="114300" distR="114300" simplePos="0" relativeHeight="251657216" behindDoc="0" locked="0" layoutInCell="0" allowOverlap="1" wp14:anchorId="0A13407E" wp14:editId="335A40F1">
              <wp:simplePos x="0" y="0"/>
              <wp:positionH relativeFrom="page">
                <wp:align>right</wp:align>
              </wp:positionH>
              <wp:positionV relativeFrom="topMargin">
                <wp:align>center</wp:align>
              </wp:positionV>
              <wp:extent cx="911860" cy="170815"/>
              <wp:effectExtent l="0" t="0" r="0" b="635"/>
              <wp:wrapNone/>
              <wp:docPr id="221" name="Zone de texte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9BA823"/>
                      </a:solidFill>
                      <a:ln>
                        <a:noFill/>
                      </a:ln>
                    </wps:spPr>
                    <wps:txbx>
                      <w:txbxContent>
                        <w:p w14:paraId="4545A693" w14:textId="703E5F6C" w:rsidR="004E37AB" w:rsidRDefault="004E37AB">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0A13407E" id="Zone de texte 231" o:spid="_x0000_s1027" type="#_x0000_t202" style="position:absolute;left:0;text-align:left;margin-left:20.6pt;margin-top:0;width:71.8pt;height:13.45pt;z-index:251657216;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" o:allowincell="f" fillcolor="#9ba823" stroked="f">
              <v:textbox style="mso-fit-shape-to-text:t" inset=",0,,0">
                <w:txbxContent>
                  <w:p w14:paraId="4545A693" w14:textId="703E5F6C" w:rsidR="004E37AB" w:rsidRDefault="004E37AB">
                    <w:pPr>
                      <w:spacing w:after="0" w:line="240" w:lineRule="auto"/>
                      <w:rPr>
                        <w:color w:val="FFFFFF" w:themeColor="background1"/>
                      </w:rPr>
                    </w:pP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54AF04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176817E0"/>
    <w:multiLevelType w:val="hybridMultilevel"/>
    <w:tmpl w:val="07B2738A"/>
    <w:lvl w:ilvl="0" w:tplc="F87C530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94A50A5"/>
    <w:multiLevelType w:val="multilevel"/>
    <w:tmpl w:val="CAA6F960"/>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1.%3."/>
      <w:lvlJc w:val="left"/>
      <w:pPr>
        <w:ind w:left="2160" w:hanging="360"/>
      </w:pPr>
      <w:rPr>
        <w:rFonts w:hint="default"/>
      </w:rPr>
    </w:lvl>
    <w:lvl w:ilvl="3">
      <w:start w:val="1"/>
      <w:numFmt w:val="decimal"/>
      <w:pStyle w:val="Titre4"/>
      <w:lvlText w:val="1.1.1.%4."/>
      <w:lvlJc w:val="left"/>
      <w:pPr>
        <w:ind w:left="2880" w:hanging="360"/>
      </w:pPr>
      <w:rPr>
        <w:rFonts w:hint="default"/>
      </w:rPr>
    </w:lvl>
    <w:lvl w:ilvl="4">
      <w:start w:val="1"/>
      <w:numFmt w:val="none"/>
      <w:pStyle w:val="Titre5"/>
      <w:lvlText w:val=""/>
      <w:lvlJc w:val="left"/>
      <w:pPr>
        <w:ind w:left="3600" w:hanging="360"/>
      </w:pPr>
      <w:rPr>
        <w:rFont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03A6566"/>
    <w:multiLevelType w:val="hybridMultilevel"/>
    <w:tmpl w:val="A12CBB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41B329F"/>
    <w:multiLevelType w:val="hybridMultilevel"/>
    <w:tmpl w:val="7244141C"/>
    <w:lvl w:ilvl="0" w:tplc="3012A7EE">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0A85957"/>
    <w:multiLevelType w:val="hybridMultilevel"/>
    <w:tmpl w:val="428074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742A3566"/>
    <w:multiLevelType w:val="multilevel"/>
    <w:tmpl w:val="DE22436C"/>
    <w:lvl w:ilvl="0">
      <w:start w:val="1"/>
      <w:numFmt w:val="decimal"/>
      <w:lvlText w:val="%1."/>
      <w:lvlJc w:val="left"/>
      <w:pPr>
        <w:ind w:left="675" w:hanging="675"/>
      </w:pPr>
      <w:rPr>
        <w:rFonts w:hint="default"/>
      </w:rPr>
    </w:lvl>
    <w:lvl w:ilvl="1">
      <w:start w:val="1"/>
      <w:numFmt w:val="decimal"/>
      <w:lvlText w:val="%1.%2."/>
      <w:lvlJc w:val="left"/>
      <w:pPr>
        <w:ind w:left="720" w:hanging="720"/>
      </w:pPr>
      <w:rPr>
        <w:rFonts w:ascii="Calibri" w:hAnsi="Calibri" w:cs="Calibri"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6EA492D"/>
    <w:multiLevelType w:val="hybridMultilevel"/>
    <w:tmpl w:val="DEBA246E"/>
    <w:lvl w:ilvl="0" w:tplc="3012A7EE">
      <w:start w:val="3"/>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7CB035FB"/>
    <w:multiLevelType w:val="multilevel"/>
    <w:tmpl w:val="3878DE06"/>
    <w:styleLink w:val="Listeactuelle1"/>
    <w:lvl w:ilvl="0">
      <w:start w:val="1"/>
      <w:numFmt w:val="decimal"/>
      <w:lvlText w:val="%1."/>
      <w:lvlJc w:val="left"/>
      <w:pPr>
        <w:ind w:left="720" w:hanging="360"/>
      </w:pPr>
      <w:rPr>
        <w:rFonts w:ascii="Calibri" w:eastAsiaTheme="majorEastAsia" w:hAnsi="Calibri" w:cstheme="majorBid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16cid:durableId="1079600889">
    <w:abstractNumId w:val="2"/>
  </w:num>
  <w:num w:numId="2" w16cid:durableId="799231427">
    <w:abstractNumId w:val="8"/>
  </w:num>
  <w:num w:numId="3" w16cid:durableId="1445617990">
    <w:abstractNumId w:val="6"/>
  </w:num>
  <w:num w:numId="4" w16cid:durableId="245695621">
    <w:abstractNumId w:val="7"/>
  </w:num>
  <w:num w:numId="5" w16cid:durableId="1670600875">
    <w:abstractNumId w:val="5"/>
  </w:num>
  <w:num w:numId="6" w16cid:durableId="2021540939">
    <w:abstractNumId w:val="3"/>
  </w:num>
  <w:num w:numId="7" w16cid:durableId="1864636441">
    <w:abstractNumId w:val="4"/>
  </w:num>
  <w:num w:numId="8" w16cid:durableId="2037341876">
    <w:abstractNumId w:val="0"/>
  </w:num>
  <w:num w:numId="9" w16cid:durableId="50031288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03A"/>
    <w:rsid w:val="00001066"/>
    <w:rsid w:val="00001C66"/>
    <w:rsid w:val="0000294D"/>
    <w:rsid w:val="0000352D"/>
    <w:rsid w:val="00004040"/>
    <w:rsid w:val="00004707"/>
    <w:rsid w:val="000059BE"/>
    <w:rsid w:val="00005D14"/>
    <w:rsid w:val="00006DB2"/>
    <w:rsid w:val="0000762B"/>
    <w:rsid w:val="00007667"/>
    <w:rsid w:val="00007C87"/>
    <w:rsid w:val="000100FD"/>
    <w:rsid w:val="00010291"/>
    <w:rsid w:val="00010820"/>
    <w:rsid w:val="0001197B"/>
    <w:rsid w:val="00011C3C"/>
    <w:rsid w:val="0001265A"/>
    <w:rsid w:val="0001294B"/>
    <w:rsid w:val="00012AA7"/>
    <w:rsid w:val="00012D54"/>
    <w:rsid w:val="00012DBE"/>
    <w:rsid w:val="00013272"/>
    <w:rsid w:val="000132B8"/>
    <w:rsid w:val="00013ECE"/>
    <w:rsid w:val="000145A5"/>
    <w:rsid w:val="000148EF"/>
    <w:rsid w:val="000149A8"/>
    <w:rsid w:val="000149C6"/>
    <w:rsid w:val="000154ED"/>
    <w:rsid w:val="00015655"/>
    <w:rsid w:val="00015861"/>
    <w:rsid w:val="000159A6"/>
    <w:rsid w:val="00015B51"/>
    <w:rsid w:val="00015FF5"/>
    <w:rsid w:val="00016379"/>
    <w:rsid w:val="0001696A"/>
    <w:rsid w:val="000171B6"/>
    <w:rsid w:val="00017DD2"/>
    <w:rsid w:val="00020060"/>
    <w:rsid w:val="0002079A"/>
    <w:rsid w:val="000209DE"/>
    <w:rsid w:val="00020CC4"/>
    <w:rsid w:val="00020E65"/>
    <w:rsid w:val="00020EB3"/>
    <w:rsid w:val="00021EBF"/>
    <w:rsid w:val="00022007"/>
    <w:rsid w:val="000224AA"/>
    <w:rsid w:val="00023085"/>
    <w:rsid w:val="00023385"/>
    <w:rsid w:val="000234AD"/>
    <w:rsid w:val="00023891"/>
    <w:rsid w:val="00023DA9"/>
    <w:rsid w:val="00024405"/>
    <w:rsid w:val="0002445E"/>
    <w:rsid w:val="00024810"/>
    <w:rsid w:val="000255DF"/>
    <w:rsid w:val="00025CCE"/>
    <w:rsid w:val="00025E78"/>
    <w:rsid w:val="00026F75"/>
    <w:rsid w:val="00027968"/>
    <w:rsid w:val="00027AA6"/>
    <w:rsid w:val="00030771"/>
    <w:rsid w:val="00030846"/>
    <w:rsid w:val="00030CBA"/>
    <w:rsid w:val="0003177C"/>
    <w:rsid w:val="00031CF8"/>
    <w:rsid w:val="00031FAC"/>
    <w:rsid w:val="00032143"/>
    <w:rsid w:val="00032A62"/>
    <w:rsid w:val="00032B22"/>
    <w:rsid w:val="00032D0A"/>
    <w:rsid w:val="000332CB"/>
    <w:rsid w:val="0003353A"/>
    <w:rsid w:val="000353F2"/>
    <w:rsid w:val="0003569C"/>
    <w:rsid w:val="000357DD"/>
    <w:rsid w:val="00035F92"/>
    <w:rsid w:val="00036A23"/>
    <w:rsid w:val="000377D3"/>
    <w:rsid w:val="00037AE6"/>
    <w:rsid w:val="00037CD1"/>
    <w:rsid w:val="00037E8A"/>
    <w:rsid w:val="00040703"/>
    <w:rsid w:val="00040766"/>
    <w:rsid w:val="000408EC"/>
    <w:rsid w:val="00040A3C"/>
    <w:rsid w:val="0004115A"/>
    <w:rsid w:val="000411B3"/>
    <w:rsid w:val="0004177F"/>
    <w:rsid w:val="00041800"/>
    <w:rsid w:val="00041A10"/>
    <w:rsid w:val="00041D9F"/>
    <w:rsid w:val="00042CD8"/>
    <w:rsid w:val="000434BC"/>
    <w:rsid w:val="000436F2"/>
    <w:rsid w:val="00043D8F"/>
    <w:rsid w:val="00043EDD"/>
    <w:rsid w:val="00044431"/>
    <w:rsid w:val="00044A08"/>
    <w:rsid w:val="00044C0E"/>
    <w:rsid w:val="00045414"/>
    <w:rsid w:val="00045449"/>
    <w:rsid w:val="0004599F"/>
    <w:rsid w:val="00045B08"/>
    <w:rsid w:val="00045BE3"/>
    <w:rsid w:val="000466BB"/>
    <w:rsid w:val="00046B41"/>
    <w:rsid w:val="00046D39"/>
    <w:rsid w:val="00047546"/>
    <w:rsid w:val="00047BC6"/>
    <w:rsid w:val="00047CCF"/>
    <w:rsid w:val="00050851"/>
    <w:rsid w:val="000508C6"/>
    <w:rsid w:val="00050BE5"/>
    <w:rsid w:val="00050F1C"/>
    <w:rsid w:val="00050FC8"/>
    <w:rsid w:val="00051500"/>
    <w:rsid w:val="00051FA0"/>
    <w:rsid w:val="000532FC"/>
    <w:rsid w:val="00053AB4"/>
    <w:rsid w:val="00053B7C"/>
    <w:rsid w:val="0005416C"/>
    <w:rsid w:val="00054304"/>
    <w:rsid w:val="00054335"/>
    <w:rsid w:val="00054E89"/>
    <w:rsid w:val="00054EFA"/>
    <w:rsid w:val="0005522D"/>
    <w:rsid w:val="000554EF"/>
    <w:rsid w:val="00056031"/>
    <w:rsid w:val="00056296"/>
    <w:rsid w:val="000568E3"/>
    <w:rsid w:val="000571F9"/>
    <w:rsid w:val="00057288"/>
    <w:rsid w:val="0005733D"/>
    <w:rsid w:val="0005742F"/>
    <w:rsid w:val="000574FF"/>
    <w:rsid w:val="000577C6"/>
    <w:rsid w:val="0005790F"/>
    <w:rsid w:val="00057C21"/>
    <w:rsid w:val="000601F7"/>
    <w:rsid w:val="0006034D"/>
    <w:rsid w:val="00060879"/>
    <w:rsid w:val="00060BA4"/>
    <w:rsid w:val="0006164F"/>
    <w:rsid w:val="000619EF"/>
    <w:rsid w:val="00061B37"/>
    <w:rsid w:val="00061BE7"/>
    <w:rsid w:val="000624AD"/>
    <w:rsid w:val="0006252C"/>
    <w:rsid w:val="000626B8"/>
    <w:rsid w:val="00062D8F"/>
    <w:rsid w:val="00062E63"/>
    <w:rsid w:val="000631CD"/>
    <w:rsid w:val="000637BB"/>
    <w:rsid w:val="00064065"/>
    <w:rsid w:val="00064448"/>
    <w:rsid w:val="00064981"/>
    <w:rsid w:val="00064AB2"/>
    <w:rsid w:val="0006524B"/>
    <w:rsid w:val="00065B27"/>
    <w:rsid w:val="000661A3"/>
    <w:rsid w:val="00066505"/>
    <w:rsid w:val="0006684F"/>
    <w:rsid w:val="00067261"/>
    <w:rsid w:val="000714F7"/>
    <w:rsid w:val="00071504"/>
    <w:rsid w:val="00071C0F"/>
    <w:rsid w:val="000720C5"/>
    <w:rsid w:val="0007306A"/>
    <w:rsid w:val="000735DD"/>
    <w:rsid w:val="00073FBB"/>
    <w:rsid w:val="00074261"/>
    <w:rsid w:val="0007443E"/>
    <w:rsid w:val="0007461C"/>
    <w:rsid w:val="00074952"/>
    <w:rsid w:val="00074CB6"/>
    <w:rsid w:val="00075AC5"/>
    <w:rsid w:val="000760C6"/>
    <w:rsid w:val="00076150"/>
    <w:rsid w:val="0007686B"/>
    <w:rsid w:val="000769C6"/>
    <w:rsid w:val="00076B81"/>
    <w:rsid w:val="00076EB7"/>
    <w:rsid w:val="000772C0"/>
    <w:rsid w:val="00077462"/>
    <w:rsid w:val="00077A78"/>
    <w:rsid w:val="00077F1F"/>
    <w:rsid w:val="0008021B"/>
    <w:rsid w:val="00080246"/>
    <w:rsid w:val="00081C68"/>
    <w:rsid w:val="00082201"/>
    <w:rsid w:val="000828BE"/>
    <w:rsid w:val="00082CBF"/>
    <w:rsid w:val="00082D71"/>
    <w:rsid w:val="00082FB8"/>
    <w:rsid w:val="0008305C"/>
    <w:rsid w:val="00083D93"/>
    <w:rsid w:val="000848E8"/>
    <w:rsid w:val="00084FC0"/>
    <w:rsid w:val="0008503F"/>
    <w:rsid w:val="0008519F"/>
    <w:rsid w:val="000856C9"/>
    <w:rsid w:val="00085CB7"/>
    <w:rsid w:val="00086651"/>
    <w:rsid w:val="0008789E"/>
    <w:rsid w:val="00087D58"/>
    <w:rsid w:val="00087DF7"/>
    <w:rsid w:val="00090F50"/>
    <w:rsid w:val="00091021"/>
    <w:rsid w:val="00092263"/>
    <w:rsid w:val="00092860"/>
    <w:rsid w:val="000929CD"/>
    <w:rsid w:val="0009321A"/>
    <w:rsid w:val="000932A3"/>
    <w:rsid w:val="0009351D"/>
    <w:rsid w:val="0009372D"/>
    <w:rsid w:val="00093758"/>
    <w:rsid w:val="000937CF"/>
    <w:rsid w:val="00094086"/>
    <w:rsid w:val="00094567"/>
    <w:rsid w:val="00095291"/>
    <w:rsid w:val="00095933"/>
    <w:rsid w:val="00095D4E"/>
    <w:rsid w:val="00096497"/>
    <w:rsid w:val="00096873"/>
    <w:rsid w:val="00096E85"/>
    <w:rsid w:val="00097612"/>
    <w:rsid w:val="00097B59"/>
    <w:rsid w:val="00097C0D"/>
    <w:rsid w:val="000A01AA"/>
    <w:rsid w:val="000A01E0"/>
    <w:rsid w:val="000A0208"/>
    <w:rsid w:val="000A08F8"/>
    <w:rsid w:val="000A104B"/>
    <w:rsid w:val="000A1B91"/>
    <w:rsid w:val="000A2458"/>
    <w:rsid w:val="000A2BB8"/>
    <w:rsid w:val="000A2F34"/>
    <w:rsid w:val="000A3F5C"/>
    <w:rsid w:val="000A4227"/>
    <w:rsid w:val="000A43B7"/>
    <w:rsid w:val="000A4433"/>
    <w:rsid w:val="000A4712"/>
    <w:rsid w:val="000A481B"/>
    <w:rsid w:val="000A484A"/>
    <w:rsid w:val="000A4AAF"/>
    <w:rsid w:val="000A4F42"/>
    <w:rsid w:val="000A56F2"/>
    <w:rsid w:val="000A58D6"/>
    <w:rsid w:val="000A592E"/>
    <w:rsid w:val="000A5994"/>
    <w:rsid w:val="000A5F4B"/>
    <w:rsid w:val="000A6332"/>
    <w:rsid w:val="000A6E48"/>
    <w:rsid w:val="000A6FCA"/>
    <w:rsid w:val="000A7E27"/>
    <w:rsid w:val="000B085F"/>
    <w:rsid w:val="000B1654"/>
    <w:rsid w:val="000B190E"/>
    <w:rsid w:val="000B1B5A"/>
    <w:rsid w:val="000B1BD0"/>
    <w:rsid w:val="000B1DF5"/>
    <w:rsid w:val="000B2243"/>
    <w:rsid w:val="000B224C"/>
    <w:rsid w:val="000B29F6"/>
    <w:rsid w:val="000B2F21"/>
    <w:rsid w:val="000B4118"/>
    <w:rsid w:val="000B4599"/>
    <w:rsid w:val="000B4FB6"/>
    <w:rsid w:val="000B51D9"/>
    <w:rsid w:val="000B52F5"/>
    <w:rsid w:val="000B5E63"/>
    <w:rsid w:val="000B7CF8"/>
    <w:rsid w:val="000B7D1B"/>
    <w:rsid w:val="000C018E"/>
    <w:rsid w:val="000C0232"/>
    <w:rsid w:val="000C044A"/>
    <w:rsid w:val="000C0A98"/>
    <w:rsid w:val="000C1A6D"/>
    <w:rsid w:val="000C1AF5"/>
    <w:rsid w:val="000C1BD2"/>
    <w:rsid w:val="000C1FA2"/>
    <w:rsid w:val="000C38E8"/>
    <w:rsid w:val="000C3AC6"/>
    <w:rsid w:val="000C3BC8"/>
    <w:rsid w:val="000C4896"/>
    <w:rsid w:val="000C4D05"/>
    <w:rsid w:val="000C4DEA"/>
    <w:rsid w:val="000C527B"/>
    <w:rsid w:val="000C579D"/>
    <w:rsid w:val="000C5A0F"/>
    <w:rsid w:val="000C5A99"/>
    <w:rsid w:val="000C63AF"/>
    <w:rsid w:val="000C6444"/>
    <w:rsid w:val="000C687B"/>
    <w:rsid w:val="000C69D1"/>
    <w:rsid w:val="000C6A7B"/>
    <w:rsid w:val="000C757F"/>
    <w:rsid w:val="000C759D"/>
    <w:rsid w:val="000C786F"/>
    <w:rsid w:val="000D0500"/>
    <w:rsid w:val="000D0F9C"/>
    <w:rsid w:val="000D181A"/>
    <w:rsid w:val="000D25A8"/>
    <w:rsid w:val="000D2AE3"/>
    <w:rsid w:val="000D2C0F"/>
    <w:rsid w:val="000D3493"/>
    <w:rsid w:val="000D36C2"/>
    <w:rsid w:val="000D3B7F"/>
    <w:rsid w:val="000D4001"/>
    <w:rsid w:val="000D4386"/>
    <w:rsid w:val="000D4836"/>
    <w:rsid w:val="000D4A72"/>
    <w:rsid w:val="000D59CF"/>
    <w:rsid w:val="000D65EB"/>
    <w:rsid w:val="000D65EE"/>
    <w:rsid w:val="000D6845"/>
    <w:rsid w:val="000D7739"/>
    <w:rsid w:val="000E0A9C"/>
    <w:rsid w:val="000E0BBD"/>
    <w:rsid w:val="000E0CA1"/>
    <w:rsid w:val="000E1711"/>
    <w:rsid w:val="000E1D98"/>
    <w:rsid w:val="000E1DF7"/>
    <w:rsid w:val="000E1E1B"/>
    <w:rsid w:val="000E2E6E"/>
    <w:rsid w:val="000E3415"/>
    <w:rsid w:val="000E3938"/>
    <w:rsid w:val="000E3E02"/>
    <w:rsid w:val="000E3E10"/>
    <w:rsid w:val="000E3F63"/>
    <w:rsid w:val="000E4747"/>
    <w:rsid w:val="000E489F"/>
    <w:rsid w:val="000E4BC0"/>
    <w:rsid w:val="000E4D2B"/>
    <w:rsid w:val="000E530C"/>
    <w:rsid w:val="000E5E44"/>
    <w:rsid w:val="000E6286"/>
    <w:rsid w:val="000E6289"/>
    <w:rsid w:val="000E7D0F"/>
    <w:rsid w:val="000F00CA"/>
    <w:rsid w:val="000F02E9"/>
    <w:rsid w:val="000F1B0D"/>
    <w:rsid w:val="000F1B8A"/>
    <w:rsid w:val="000F25C7"/>
    <w:rsid w:val="000F2CC5"/>
    <w:rsid w:val="000F2FFC"/>
    <w:rsid w:val="000F3625"/>
    <w:rsid w:val="000F38A3"/>
    <w:rsid w:val="000F3FAA"/>
    <w:rsid w:val="000F4DBE"/>
    <w:rsid w:val="000F5718"/>
    <w:rsid w:val="000F5C3B"/>
    <w:rsid w:val="000F6258"/>
    <w:rsid w:val="000F6E17"/>
    <w:rsid w:val="000F70E1"/>
    <w:rsid w:val="000F7744"/>
    <w:rsid w:val="000F7FB1"/>
    <w:rsid w:val="00100DB9"/>
    <w:rsid w:val="00101236"/>
    <w:rsid w:val="0010199A"/>
    <w:rsid w:val="00101C82"/>
    <w:rsid w:val="00102042"/>
    <w:rsid w:val="00102550"/>
    <w:rsid w:val="00102560"/>
    <w:rsid w:val="00103388"/>
    <w:rsid w:val="00103896"/>
    <w:rsid w:val="001038B3"/>
    <w:rsid w:val="001038C1"/>
    <w:rsid w:val="00104C3A"/>
    <w:rsid w:val="0010513B"/>
    <w:rsid w:val="001064C8"/>
    <w:rsid w:val="00106823"/>
    <w:rsid w:val="001068C0"/>
    <w:rsid w:val="00106DC0"/>
    <w:rsid w:val="00107905"/>
    <w:rsid w:val="00107989"/>
    <w:rsid w:val="00107DA1"/>
    <w:rsid w:val="00110176"/>
    <w:rsid w:val="0011112F"/>
    <w:rsid w:val="0011114F"/>
    <w:rsid w:val="00111B96"/>
    <w:rsid w:val="001128B0"/>
    <w:rsid w:val="00112BFE"/>
    <w:rsid w:val="001130DF"/>
    <w:rsid w:val="0011373E"/>
    <w:rsid w:val="00113E92"/>
    <w:rsid w:val="00114349"/>
    <w:rsid w:val="00114476"/>
    <w:rsid w:val="00114AD5"/>
    <w:rsid w:val="00114B42"/>
    <w:rsid w:val="00114F28"/>
    <w:rsid w:val="00115448"/>
    <w:rsid w:val="00115548"/>
    <w:rsid w:val="0011555B"/>
    <w:rsid w:val="00115CAE"/>
    <w:rsid w:val="00115DCB"/>
    <w:rsid w:val="00115E8F"/>
    <w:rsid w:val="00116548"/>
    <w:rsid w:val="001168FF"/>
    <w:rsid w:val="00116C8B"/>
    <w:rsid w:val="00116DB6"/>
    <w:rsid w:val="0011717B"/>
    <w:rsid w:val="0011728A"/>
    <w:rsid w:val="0011736B"/>
    <w:rsid w:val="00117980"/>
    <w:rsid w:val="00117A94"/>
    <w:rsid w:val="0011894E"/>
    <w:rsid w:val="0012038D"/>
    <w:rsid w:val="0012164B"/>
    <w:rsid w:val="0012193C"/>
    <w:rsid w:val="00122E18"/>
    <w:rsid w:val="00123263"/>
    <w:rsid w:val="001232D0"/>
    <w:rsid w:val="00124B17"/>
    <w:rsid w:val="00124BA8"/>
    <w:rsid w:val="00125808"/>
    <w:rsid w:val="00126005"/>
    <w:rsid w:val="00126490"/>
    <w:rsid w:val="00126A14"/>
    <w:rsid w:val="00126F9C"/>
    <w:rsid w:val="001271CB"/>
    <w:rsid w:val="0012799A"/>
    <w:rsid w:val="001279EA"/>
    <w:rsid w:val="00127A41"/>
    <w:rsid w:val="00127B1D"/>
    <w:rsid w:val="00130055"/>
    <w:rsid w:val="001302AF"/>
    <w:rsid w:val="00130509"/>
    <w:rsid w:val="00130A1E"/>
    <w:rsid w:val="00130B19"/>
    <w:rsid w:val="001314A2"/>
    <w:rsid w:val="00131E10"/>
    <w:rsid w:val="00132105"/>
    <w:rsid w:val="001323E2"/>
    <w:rsid w:val="001323F0"/>
    <w:rsid w:val="001331D5"/>
    <w:rsid w:val="00133877"/>
    <w:rsid w:val="00134699"/>
    <w:rsid w:val="0013519A"/>
    <w:rsid w:val="0013532E"/>
    <w:rsid w:val="00135E8D"/>
    <w:rsid w:val="00136E04"/>
    <w:rsid w:val="00137203"/>
    <w:rsid w:val="001375D6"/>
    <w:rsid w:val="00137898"/>
    <w:rsid w:val="00137AE6"/>
    <w:rsid w:val="00137FD6"/>
    <w:rsid w:val="00140C8D"/>
    <w:rsid w:val="001423D9"/>
    <w:rsid w:val="00143096"/>
    <w:rsid w:val="00143138"/>
    <w:rsid w:val="0014313F"/>
    <w:rsid w:val="001436E3"/>
    <w:rsid w:val="0014377D"/>
    <w:rsid w:val="001437C0"/>
    <w:rsid w:val="00143BEF"/>
    <w:rsid w:val="0014459C"/>
    <w:rsid w:val="00144D55"/>
    <w:rsid w:val="001451DE"/>
    <w:rsid w:val="0014550A"/>
    <w:rsid w:val="00145576"/>
    <w:rsid w:val="00145647"/>
    <w:rsid w:val="00145878"/>
    <w:rsid w:val="00145A43"/>
    <w:rsid w:val="00145B8C"/>
    <w:rsid w:val="00145E17"/>
    <w:rsid w:val="0014617D"/>
    <w:rsid w:val="001464A1"/>
    <w:rsid w:val="00146EAB"/>
    <w:rsid w:val="0014734E"/>
    <w:rsid w:val="001478D6"/>
    <w:rsid w:val="00147950"/>
    <w:rsid w:val="00147AC4"/>
    <w:rsid w:val="00147D6E"/>
    <w:rsid w:val="00147E39"/>
    <w:rsid w:val="001502BC"/>
    <w:rsid w:val="00150326"/>
    <w:rsid w:val="001505B9"/>
    <w:rsid w:val="001506C4"/>
    <w:rsid w:val="00150D33"/>
    <w:rsid w:val="00150E6A"/>
    <w:rsid w:val="00150F87"/>
    <w:rsid w:val="001513A5"/>
    <w:rsid w:val="0015147A"/>
    <w:rsid w:val="001514E8"/>
    <w:rsid w:val="00151629"/>
    <w:rsid w:val="00151A98"/>
    <w:rsid w:val="001525B8"/>
    <w:rsid w:val="001528CE"/>
    <w:rsid w:val="00152DFD"/>
    <w:rsid w:val="00153084"/>
    <w:rsid w:val="00153127"/>
    <w:rsid w:val="0015319F"/>
    <w:rsid w:val="001533F8"/>
    <w:rsid w:val="00153B38"/>
    <w:rsid w:val="00153F74"/>
    <w:rsid w:val="001543DC"/>
    <w:rsid w:val="00155420"/>
    <w:rsid w:val="00155855"/>
    <w:rsid w:val="00156751"/>
    <w:rsid w:val="001568A9"/>
    <w:rsid w:val="00157535"/>
    <w:rsid w:val="00160505"/>
    <w:rsid w:val="001606BD"/>
    <w:rsid w:val="001606E6"/>
    <w:rsid w:val="00160792"/>
    <w:rsid w:val="001608D5"/>
    <w:rsid w:val="00160903"/>
    <w:rsid w:val="00160E08"/>
    <w:rsid w:val="00161384"/>
    <w:rsid w:val="00161739"/>
    <w:rsid w:val="001620D3"/>
    <w:rsid w:val="001626AA"/>
    <w:rsid w:val="001627F4"/>
    <w:rsid w:val="00162883"/>
    <w:rsid w:val="0016289D"/>
    <w:rsid w:val="00162A12"/>
    <w:rsid w:val="00162DBF"/>
    <w:rsid w:val="00163B5F"/>
    <w:rsid w:val="001640B6"/>
    <w:rsid w:val="0016556F"/>
    <w:rsid w:val="00165D8C"/>
    <w:rsid w:val="00166A8E"/>
    <w:rsid w:val="00166CA9"/>
    <w:rsid w:val="001672EC"/>
    <w:rsid w:val="00167B04"/>
    <w:rsid w:val="00167C2B"/>
    <w:rsid w:val="001701A2"/>
    <w:rsid w:val="0017140C"/>
    <w:rsid w:val="001717A3"/>
    <w:rsid w:val="00171FBB"/>
    <w:rsid w:val="00172A00"/>
    <w:rsid w:val="00173F14"/>
    <w:rsid w:val="00174180"/>
    <w:rsid w:val="00174553"/>
    <w:rsid w:val="00175350"/>
    <w:rsid w:val="00175627"/>
    <w:rsid w:val="00175906"/>
    <w:rsid w:val="0017598D"/>
    <w:rsid w:val="00175E4C"/>
    <w:rsid w:val="00176076"/>
    <w:rsid w:val="00176C25"/>
    <w:rsid w:val="001774B9"/>
    <w:rsid w:val="0017777D"/>
    <w:rsid w:val="00177925"/>
    <w:rsid w:val="00177953"/>
    <w:rsid w:val="0017ADEF"/>
    <w:rsid w:val="00180568"/>
    <w:rsid w:val="0018089A"/>
    <w:rsid w:val="00180EFD"/>
    <w:rsid w:val="00181C45"/>
    <w:rsid w:val="00181D4B"/>
    <w:rsid w:val="0018289F"/>
    <w:rsid w:val="00182E0F"/>
    <w:rsid w:val="00183169"/>
    <w:rsid w:val="00183BFC"/>
    <w:rsid w:val="00184B45"/>
    <w:rsid w:val="00184FAC"/>
    <w:rsid w:val="001855B2"/>
    <w:rsid w:val="0018567A"/>
    <w:rsid w:val="00185CDA"/>
    <w:rsid w:val="00185E99"/>
    <w:rsid w:val="001866A4"/>
    <w:rsid w:val="0018710B"/>
    <w:rsid w:val="00187868"/>
    <w:rsid w:val="00190277"/>
    <w:rsid w:val="00190288"/>
    <w:rsid w:val="001906A0"/>
    <w:rsid w:val="00190764"/>
    <w:rsid w:val="00190FF2"/>
    <w:rsid w:val="00192799"/>
    <w:rsid w:val="001929D2"/>
    <w:rsid w:val="00192AAB"/>
    <w:rsid w:val="00192AC8"/>
    <w:rsid w:val="00192B0C"/>
    <w:rsid w:val="00192C42"/>
    <w:rsid w:val="00193783"/>
    <w:rsid w:val="00193907"/>
    <w:rsid w:val="00193DEB"/>
    <w:rsid w:val="00193EDB"/>
    <w:rsid w:val="00193F59"/>
    <w:rsid w:val="00194381"/>
    <w:rsid w:val="001944F2"/>
    <w:rsid w:val="00194D3D"/>
    <w:rsid w:val="00194DDE"/>
    <w:rsid w:val="00195286"/>
    <w:rsid w:val="00195713"/>
    <w:rsid w:val="00195A36"/>
    <w:rsid w:val="001960BD"/>
    <w:rsid w:val="001961B4"/>
    <w:rsid w:val="00196588"/>
    <w:rsid w:val="001969D5"/>
    <w:rsid w:val="00196FAF"/>
    <w:rsid w:val="00197AEB"/>
    <w:rsid w:val="00197BA0"/>
    <w:rsid w:val="001A09B7"/>
    <w:rsid w:val="001A0E2F"/>
    <w:rsid w:val="001A0FCC"/>
    <w:rsid w:val="001A11E6"/>
    <w:rsid w:val="001A1257"/>
    <w:rsid w:val="001A12DA"/>
    <w:rsid w:val="001A13E1"/>
    <w:rsid w:val="001A1813"/>
    <w:rsid w:val="001A2205"/>
    <w:rsid w:val="001A2677"/>
    <w:rsid w:val="001A3F44"/>
    <w:rsid w:val="001A431F"/>
    <w:rsid w:val="001A449F"/>
    <w:rsid w:val="001A610C"/>
    <w:rsid w:val="001A6717"/>
    <w:rsid w:val="001A6728"/>
    <w:rsid w:val="001A6D2E"/>
    <w:rsid w:val="001A7627"/>
    <w:rsid w:val="001A7C0D"/>
    <w:rsid w:val="001B04FC"/>
    <w:rsid w:val="001B08C1"/>
    <w:rsid w:val="001B0A2A"/>
    <w:rsid w:val="001B0D4A"/>
    <w:rsid w:val="001B0D98"/>
    <w:rsid w:val="001B0E14"/>
    <w:rsid w:val="001B1E1D"/>
    <w:rsid w:val="001B2067"/>
    <w:rsid w:val="001B2B1D"/>
    <w:rsid w:val="001B3522"/>
    <w:rsid w:val="001B3E13"/>
    <w:rsid w:val="001B407C"/>
    <w:rsid w:val="001B409F"/>
    <w:rsid w:val="001B4191"/>
    <w:rsid w:val="001B430C"/>
    <w:rsid w:val="001B44AC"/>
    <w:rsid w:val="001B49FB"/>
    <w:rsid w:val="001B5DBF"/>
    <w:rsid w:val="001B63AF"/>
    <w:rsid w:val="001B68D0"/>
    <w:rsid w:val="001B6CE3"/>
    <w:rsid w:val="001B6FA5"/>
    <w:rsid w:val="001B74DF"/>
    <w:rsid w:val="001B7AD0"/>
    <w:rsid w:val="001C0293"/>
    <w:rsid w:val="001C0541"/>
    <w:rsid w:val="001C056F"/>
    <w:rsid w:val="001C064F"/>
    <w:rsid w:val="001C06AC"/>
    <w:rsid w:val="001C1B19"/>
    <w:rsid w:val="001C1C2C"/>
    <w:rsid w:val="001C2061"/>
    <w:rsid w:val="001C20E6"/>
    <w:rsid w:val="001C2230"/>
    <w:rsid w:val="001C2DC2"/>
    <w:rsid w:val="001C2F0B"/>
    <w:rsid w:val="001C332E"/>
    <w:rsid w:val="001C391B"/>
    <w:rsid w:val="001C3A11"/>
    <w:rsid w:val="001C3A22"/>
    <w:rsid w:val="001C4420"/>
    <w:rsid w:val="001C4783"/>
    <w:rsid w:val="001C561C"/>
    <w:rsid w:val="001C626A"/>
    <w:rsid w:val="001C6505"/>
    <w:rsid w:val="001C6643"/>
    <w:rsid w:val="001C66CE"/>
    <w:rsid w:val="001C6732"/>
    <w:rsid w:val="001C6911"/>
    <w:rsid w:val="001C6D21"/>
    <w:rsid w:val="001C6F06"/>
    <w:rsid w:val="001C7379"/>
    <w:rsid w:val="001C740F"/>
    <w:rsid w:val="001C7526"/>
    <w:rsid w:val="001C767E"/>
    <w:rsid w:val="001C778B"/>
    <w:rsid w:val="001C779C"/>
    <w:rsid w:val="001D0591"/>
    <w:rsid w:val="001D0846"/>
    <w:rsid w:val="001D0BC8"/>
    <w:rsid w:val="001D0C58"/>
    <w:rsid w:val="001D0E34"/>
    <w:rsid w:val="001D0EC9"/>
    <w:rsid w:val="001D1AD3"/>
    <w:rsid w:val="001D1AD9"/>
    <w:rsid w:val="001D1C12"/>
    <w:rsid w:val="001D222D"/>
    <w:rsid w:val="001D264C"/>
    <w:rsid w:val="001D26AE"/>
    <w:rsid w:val="001D3863"/>
    <w:rsid w:val="001D3916"/>
    <w:rsid w:val="001D46FB"/>
    <w:rsid w:val="001D4C77"/>
    <w:rsid w:val="001D4E19"/>
    <w:rsid w:val="001D4F31"/>
    <w:rsid w:val="001D5455"/>
    <w:rsid w:val="001D5CB6"/>
    <w:rsid w:val="001D60BA"/>
    <w:rsid w:val="001D60C8"/>
    <w:rsid w:val="001D615E"/>
    <w:rsid w:val="001D648F"/>
    <w:rsid w:val="001D685A"/>
    <w:rsid w:val="001D72D8"/>
    <w:rsid w:val="001D74B7"/>
    <w:rsid w:val="001E05D0"/>
    <w:rsid w:val="001E0E2E"/>
    <w:rsid w:val="001E1024"/>
    <w:rsid w:val="001E1A0D"/>
    <w:rsid w:val="001E1A80"/>
    <w:rsid w:val="001E1B54"/>
    <w:rsid w:val="001E1C75"/>
    <w:rsid w:val="001E2787"/>
    <w:rsid w:val="001E2863"/>
    <w:rsid w:val="001E2CE4"/>
    <w:rsid w:val="001E3A16"/>
    <w:rsid w:val="001E3C00"/>
    <w:rsid w:val="001E3C85"/>
    <w:rsid w:val="001E456C"/>
    <w:rsid w:val="001E4745"/>
    <w:rsid w:val="001E4C1D"/>
    <w:rsid w:val="001E5953"/>
    <w:rsid w:val="001E635D"/>
    <w:rsid w:val="001E6858"/>
    <w:rsid w:val="001E6A9A"/>
    <w:rsid w:val="001E7609"/>
    <w:rsid w:val="001F0247"/>
    <w:rsid w:val="001F111E"/>
    <w:rsid w:val="001F12E0"/>
    <w:rsid w:val="001F1506"/>
    <w:rsid w:val="001F24E0"/>
    <w:rsid w:val="001F24FE"/>
    <w:rsid w:val="001F2D1C"/>
    <w:rsid w:val="001F2FFD"/>
    <w:rsid w:val="001F32D3"/>
    <w:rsid w:val="001F3372"/>
    <w:rsid w:val="001F35F0"/>
    <w:rsid w:val="001F3BCE"/>
    <w:rsid w:val="001F4078"/>
    <w:rsid w:val="001F42A2"/>
    <w:rsid w:val="001F45AC"/>
    <w:rsid w:val="001F56F2"/>
    <w:rsid w:val="001F5FDF"/>
    <w:rsid w:val="001F6473"/>
    <w:rsid w:val="001F64E3"/>
    <w:rsid w:val="001F65F2"/>
    <w:rsid w:val="001F6E3C"/>
    <w:rsid w:val="001F77E4"/>
    <w:rsid w:val="001F7ADC"/>
    <w:rsid w:val="00200256"/>
    <w:rsid w:val="002002E2"/>
    <w:rsid w:val="002006F8"/>
    <w:rsid w:val="0020197D"/>
    <w:rsid w:val="002024CE"/>
    <w:rsid w:val="00202748"/>
    <w:rsid w:val="002040FB"/>
    <w:rsid w:val="0020451F"/>
    <w:rsid w:val="002046A5"/>
    <w:rsid w:val="00204C1E"/>
    <w:rsid w:val="0020533E"/>
    <w:rsid w:val="0020541F"/>
    <w:rsid w:val="002056D2"/>
    <w:rsid w:val="0020594B"/>
    <w:rsid w:val="00205ED9"/>
    <w:rsid w:val="002065A7"/>
    <w:rsid w:val="00206EA0"/>
    <w:rsid w:val="0021086E"/>
    <w:rsid w:val="00210D78"/>
    <w:rsid w:val="0021101F"/>
    <w:rsid w:val="00211300"/>
    <w:rsid w:val="00211330"/>
    <w:rsid w:val="00211597"/>
    <w:rsid w:val="00211DB4"/>
    <w:rsid w:val="00212A21"/>
    <w:rsid w:val="00212D05"/>
    <w:rsid w:val="00212EC9"/>
    <w:rsid w:val="00213FB4"/>
    <w:rsid w:val="0021405A"/>
    <w:rsid w:val="002142E6"/>
    <w:rsid w:val="00214EF0"/>
    <w:rsid w:val="00215645"/>
    <w:rsid w:val="0021577C"/>
    <w:rsid w:val="002158EE"/>
    <w:rsid w:val="00215909"/>
    <w:rsid w:val="002159D6"/>
    <w:rsid w:val="00215CFD"/>
    <w:rsid w:val="00215D15"/>
    <w:rsid w:val="0021610D"/>
    <w:rsid w:val="0021638A"/>
    <w:rsid w:val="0021659F"/>
    <w:rsid w:val="00216AF7"/>
    <w:rsid w:val="00216CCB"/>
    <w:rsid w:val="00217190"/>
    <w:rsid w:val="002172EC"/>
    <w:rsid w:val="0022002E"/>
    <w:rsid w:val="002206A7"/>
    <w:rsid w:val="00220840"/>
    <w:rsid w:val="00220D02"/>
    <w:rsid w:val="00221844"/>
    <w:rsid w:val="00221D9D"/>
    <w:rsid w:val="00222557"/>
    <w:rsid w:val="00223671"/>
    <w:rsid w:val="002238DC"/>
    <w:rsid w:val="00223CFC"/>
    <w:rsid w:val="00223E97"/>
    <w:rsid w:val="00223EDE"/>
    <w:rsid w:val="00223F7B"/>
    <w:rsid w:val="002247E8"/>
    <w:rsid w:val="00224B24"/>
    <w:rsid w:val="00224F12"/>
    <w:rsid w:val="0022525C"/>
    <w:rsid w:val="0022535A"/>
    <w:rsid w:val="002254E3"/>
    <w:rsid w:val="0022583F"/>
    <w:rsid w:val="00226476"/>
    <w:rsid w:val="002264D3"/>
    <w:rsid w:val="00226CD1"/>
    <w:rsid w:val="002279F2"/>
    <w:rsid w:val="00227AF3"/>
    <w:rsid w:val="0023032E"/>
    <w:rsid w:val="002304E5"/>
    <w:rsid w:val="00230797"/>
    <w:rsid w:val="002308F4"/>
    <w:rsid w:val="00230C55"/>
    <w:rsid w:val="002313DB"/>
    <w:rsid w:val="002315F4"/>
    <w:rsid w:val="0023163D"/>
    <w:rsid w:val="00231A45"/>
    <w:rsid w:val="00231A77"/>
    <w:rsid w:val="00231F18"/>
    <w:rsid w:val="00232414"/>
    <w:rsid w:val="00232500"/>
    <w:rsid w:val="00232979"/>
    <w:rsid w:val="00232B84"/>
    <w:rsid w:val="00232D92"/>
    <w:rsid w:val="00232E07"/>
    <w:rsid w:val="00232E61"/>
    <w:rsid w:val="00232F43"/>
    <w:rsid w:val="00233204"/>
    <w:rsid w:val="002335C9"/>
    <w:rsid w:val="0023398E"/>
    <w:rsid w:val="00233DB8"/>
    <w:rsid w:val="002342DC"/>
    <w:rsid w:val="002357D8"/>
    <w:rsid w:val="00235C6C"/>
    <w:rsid w:val="00235D39"/>
    <w:rsid w:val="002360AB"/>
    <w:rsid w:val="00236AB5"/>
    <w:rsid w:val="0023709E"/>
    <w:rsid w:val="00237598"/>
    <w:rsid w:val="002401E9"/>
    <w:rsid w:val="00240377"/>
    <w:rsid w:val="00240423"/>
    <w:rsid w:val="002404D6"/>
    <w:rsid w:val="00240AF6"/>
    <w:rsid w:val="00240D22"/>
    <w:rsid w:val="00241BCC"/>
    <w:rsid w:val="00241C7A"/>
    <w:rsid w:val="00241FD8"/>
    <w:rsid w:val="002429EC"/>
    <w:rsid w:val="00243057"/>
    <w:rsid w:val="002437CB"/>
    <w:rsid w:val="0024441C"/>
    <w:rsid w:val="0024449F"/>
    <w:rsid w:val="0024452B"/>
    <w:rsid w:val="002445F5"/>
    <w:rsid w:val="00244C00"/>
    <w:rsid w:val="00244C53"/>
    <w:rsid w:val="00245884"/>
    <w:rsid w:val="002460F0"/>
    <w:rsid w:val="0024694E"/>
    <w:rsid w:val="00246D1D"/>
    <w:rsid w:val="00247002"/>
    <w:rsid w:val="002479C7"/>
    <w:rsid w:val="00247B49"/>
    <w:rsid w:val="002506CA"/>
    <w:rsid w:val="00250C58"/>
    <w:rsid w:val="00251095"/>
    <w:rsid w:val="002516CE"/>
    <w:rsid w:val="00251821"/>
    <w:rsid w:val="00251CFC"/>
    <w:rsid w:val="00251EFC"/>
    <w:rsid w:val="002524A2"/>
    <w:rsid w:val="00252EF4"/>
    <w:rsid w:val="00253016"/>
    <w:rsid w:val="002531E1"/>
    <w:rsid w:val="0025331D"/>
    <w:rsid w:val="00253903"/>
    <w:rsid w:val="00253B0B"/>
    <w:rsid w:val="00253E0D"/>
    <w:rsid w:val="00253F02"/>
    <w:rsid w:val="00253F54"/>
    <w:rsid w:val="00254332"/>
    <w:rsid w:val="002544BE"/>
    <w:rsid w:val="002559F2"/>
    <w:rsid w:val="00255E60"/>
    <w:rsid w:val="00255F33"/>
    <w:rsid w:val="00256928"/>
    <w:rsid w:val="00256EF5"/>
    <w:rsid w:val="002578D1"/>
    <w:rsid w:val="002579B6"/>
    <w:rsid w:val="00257E38"/>
    <w:rsid w:val="002600AD"/>
    <w:rsid w:val="00260E67"/>
    <w:rsid w:val="00261496"/>
    <w:rsid w:val="00261794"/>
    <w:rsid w:val="002619BB"/>
    <w:rsid w:val="00261A1B"/>
    <w:rsid w:val="00261C30"/>
    <w:rsid w:val="00261CE1"/>
    <w:rsid w:val="002621D1"/>
    <w:rsid w:val="002625F9"/>
    <w:rsid w:val="00262B53"/>
    <w:rsid w:val="00263472"/>
    <w:rsid w:val="002639DF"/>
    <w:rsid w:val="00263C94"/>
    <w:rsid w:val="00264005"/>
    <w:rsid w:val="00264712"/>
    <w:rsid w:val="0026500A"/>
    <w:rsid w:val="002652F6"/>
    <w:rsid w:val="002666D6"/>
    <w:rsid w:val="00266715"/>
    <w:rsid w:val="00266716"/>
    <w:rsid w:val="00266D4D"/>
    <w:rsid w:val="00266E88"/>
    <w:rsid w:val="0026760A"/>
    <w:rsid w:val="00270AC3"/>
    <w:rsid w:val="0027101B"/>
    <w:rsid w:val="00271453"/>
    <w:rsid w:val="0027173C"/>
    <w:rsid w:val="00271DF4"/>
    <w:rsid w:val="00272310"/>
    <w:rsid w:val="00272700"/>
    <w:rsid w:val="00273639"/>
    <w:rsid w:val="002738EB"/>
    <w:rsid w:val="00273CF1"/>
    <w:rsid w:val="00274242"/>
    <w:rsid w:val="0027448F"/>
    <w:rsid w:val="00274B45"/>
    <w:rsid w:val="002751FA"/>
    <w:rsid w:val="0027544F"/>
    <w:rsid w:val="00275565"/>
    <w:rsid w:val="002755CD"/>
    <w:rsid w:val="002766BD"/>
    <w:rsid w:val="002768AC"/>
    <w:rsid w:val="00276B75"/>
    <w:rsid w:val="00276C07"/>
    <w:rsid w:val="00276C4A"/>
    <w:rsid w:val="00276CA2"/>
    <w:rsid w:val="002776CB"/>
    <w:rsid w:val="00277AA8"/>
    <w:rsid w:val="002806B4"/>
    <w:rsid w:val="002807D0"/>
    <w:rsid w:val="0028085E"/>
    <w:rsid w:val="00280976"/>
    <w:rsid w:val="0028097A"/>
    <w:rsid w:val="00281475"/>
    <w:rsid w:val="002815AF"/>
    <w:rsid w:val="00282B6B"/>
    <w:rsid w:val="00282C4F"/>
    <w:rsid w:val="00283043"/>
    <w:rsid w:val="002830D7"/>
    <w:rsid w:val="0028312E"/>
    <w:rsid w:val="00283BDB"/>
    <w:rsid w:val="00284329"/>
    <w:rsid w:val="00285057"/>
    <w:rsid w:val="00285DD4"/>
    <w:rsid w:val="0028619F"/>
    <w:rsid w:val="002865A4"/>
    <w:rsid w:val="0028666A"/>
    <w:rsid w:val="0028683D"/>
    <w:rsid w:val="00286972"/>
    <w:rsid w:val="00286B27"/>
    <w:rsid w:val="00287584"/>
    <w:rsid w:val="00287DE3"/>
    <w:rsid w:val="00290E4D"/>
    <w:rsid w:val="00291296"/>
    <w:rsid w:val="00291360"/>
    <w:rsid w:val="00292E52"/>
    <w:rsid w:val="00292FBE"/>
    <w:rsid w:val="002934E3"/>
    <w:rsid w:val="002936C3"/>
    <w:rsid w:val="00293EF0"/>
    <w:rsid w:val="00294553"/>
    <w:rsid w:val="00294686"/>
    <w:rsid w:val="002948EB"/>
    <w:rsid w:val="00295654"/>
    <w:rsid w:val="00296208"/>
    <w:rsid w:val="00296A1A"/>
    <w:rsid w:val="00296DC3"/>
    <w:rsid w:val="002975CC"/>
    <w:rsid w:val="0029BD5B"/>
    <w:rsid w:val="002A09FF"/>
    <w:rsid w:val="002A1824"/>
    <w:rsid w:val="002A1DAA"/>
    <w:rsid w:val="002A1DD5"/>
    <w:rsid w:val="002A1E40"/>
    <w:rsid w:val="002A1FE1"/>
    <w:rsid w:val="002A2787"/>
    <w:rsid w:val="002A2F02"/>
    <w:rsid w:val="002A388E"/>
    <w:rsid w:val="002A3B09"/>
    <w:rsid w:val="002A3D72"/>
    <w:rsid w:val="002A471B"/>
    <w:rsid w:val="002A5932"/>
    <w:rsid w:val="002A59B0"/>
    <w:rsid w:val="002A71E8"/>
    <w:rsid w:val="002A7CFB"/>
    <w:rsid w:val="002B03B1"/>
    <w:rsid w:val="002B0E02"/>
    <w:rsid w:val="002B1137"/>
    <w:rsid w:val="002B11D3"/>
    <w:rsid w:val="002B1423"/>
    <w:rsid w:val="002B1D33"/>
    <w:rsid w:val="002B268D"/>
    <w:rsid w:val="002B2CA2"/>
    <w:rsid w:val="002B2D01"/>
    <w:rsid w:val="002B3049"/>
    <w:rsid w:val="002B345A"/>
    <w:rsid w:val="002B35A6"/>
    <w:rsid w:val="002B40D4"/>
    <w:rsid w:val="002B410D"/>
    <w:rsid w:val="002B4718"/>
    <w:rsid w:val="002B4E55"/>
    <w:rsid w:val="002B522F"/>
    <w:rsid w:val="002B52A6"/>
    <w:rsid w:val="002B5400"/>
    <w:rsid w:val="002B5825"/>
    <w:rsid w:val="002B59A7"/>
    <w:rsid w:val="002B5DFE"/>
    <w:rsid w:val="002B6231"/>
    <w:rsid w:val="002B6C81"/>
    <w:rsid w:val="002B6D51"/>
    <w:rsid w:val="002B6DAE"/>
    <w:rsid w:val="002B77DF"/>
    <w:rsid w:val="002B7BD1"/>
    <w:rsid w:val="002B7BE2"/>
    <w:rsid w:val="002B7C20"/>
    <w:rsid w:val="002B7CFC"/>
    <w:rsid w:val="002B7EEB"/>
    <w:rsid w:val="002C0201"/>
    <w:rsid w:val="002C035E"/>
    <w:rsid w:val="002C1226"/>
    <w:rsid w:val="002C1676"/>
    <w:rsid w:val="002C1CEA"/>
    <w:rsid w:val="002C1D4C"/>
    <w:rsid w:val="002C22AD"/>
    <w:rsid w:val="002C23BB"/>
    <w:rsid w:val="002C2418"/>
    <w:rsid w:val="002C2A40"/>
    <w:rsid w:val="002C373B"/>
    <w:rsid w:val="002C3C18"/>
    <w:rsid w:val="002C425A"/>
    <w:rsid w:val="002C47E6"/>
    <w:rsid w:val="002C4B63"/>
    <w:rsid w:val="002C4D3B"/>
    <w:rsid w:val="002C4F5E"/>
    <w:rsid w:val="002C53B8"/>
    <w:rsid w:val="002C53C2"/>
    <w:rsid w:val="002C59E4"/>
    <w:rsid w:val="002C5C39"/>
    <w:rsid w:val="002C694C"/>
    <w:rsid w:val="002C6C9A"/>
    <w:rsid w:val="002C70F5"/>
    <w:rsid w:val="002C7E54"/>
    <w:rsid w:val="002D0294"/>
    <w:rsid w:val="002D03F1"/>
    <w:rsid w:val="002D05F7"/>
    <w:rsid w:val="002D0A70"/>
    <w:rsid w:val="002D0BFF"/>
    <w:rsid w:val="002D1734"/>
    <w:rsid w:val="002D2CE7"/>
    <w:rsid w:val="002D2D09"/>
    <w:rsid w:val="002D2D24"/>
    <w:rsid w:val="002D2D34"/>
    <w:rsid w:val="002D41FF"/>
    <w:rsid w:val="002D43E1"/>
    <w:rsid w:val="002D4679"/>
    <w:rsid w:val="002D48D9"/>
    <w:rsid w:val="002D49C6"/>
    <w:rsid w:val="002D57CC"/>
    <w:rsid w:val="002D593E"/>
    <w:rsid w:val="002D5C61"/>
    <w:rsid w:val="002D6A5D"/>
    <w:rsid w:val="002D7242"/>
    <w:rsid w:val="002D72DA"/>
    <w:rsid w:val="002D766B"/>
    <w:rsid w:val="002D7744"/>
    <w:rsid w:val="002D7839"/>
    <w:rsid w:val="002D78F7"/>
    <w:rsid w:val="002D790A"/>
    <w:rsid w:val="002D7C19"/>
    <w:rsid w:val="002D7C97"/>
    <w:rsid w:val="002E00B9"/>
    <w:rsid w:val="002E02A5"/>
    <w:rsid w:val="002E0384"/>
    <w:rsid w:val="002E045A"/>
    <w:rsid w:val="002E05F5"/>
    <w:rsid w:val="002E0F5A"/>
    <w:rsid w:val="002E1479"/>
    <w:rsid w:val="002E1C3B"/>
    <w:rsid w:val="002E20A1"/>
    <w:rsid w:val="002E21BE"/>
    <w:rsid w:val="002E2717"/>
    <w:rsid w:val="002E31FC"/>
    <w:rsid w:val="002E3BF5"/>
    <w:rsid w:val="002E3C97"/>
    <w:rsid w:val="002E3DAD"/>
    <w:rsid w:val="002E41D3"/>
    <w:rsid w:val="002E42F9"/>
    <w:rsid w:val="002E43FD"/>
    <w:rsid w:val="002E4C9D"/>
    <w:rsid w:val="002E4DEE"/>
    <w:rsid w:val="002E5225"/>
    <w:rsid w:val="002E539F"/>
    <w:rsid w:val="002E6F3F"/>
    <w:rsid w:val="002E746F"/>
    <w:rsid w:val="002E7C53"/>
    <w:rsid w:val="002F01CC"/>
    <w:rsid w:val="002F033D"/>
    <w:rsid w:val="002F0629"/>
    <w:rsid w:val="002F0783"/>
    <w:rsid w:val="002F0882"/>
    <w:rsid w:val="002F0E00"/>
    <w:rsid w:val="002F0F27"/>
    <w:rsid w:val="002F12E9"/>
    <w:rsid w:val="002F13A2"/>
    <w:rsid w:val="002F163C"/>
    <w:rsid w:val="002F1C3A"/>
    <w:rsid w:val="002F1CFB"/>
    <w:rsid w:val="002F21B9"/>
    <w:rsid w:val="002F2339"/>
    <w:rsid w:val="002F2BBB"/>
    <w:rsid w:val="002F3828"/>
    <w:rsid w:val="002F428F"/>
    <w:rsid w:val="002F4EEF"/>
    <w:rsid w:val="002F5973"/>
    <w:rsid w:val="002F5BF8"/>
    <w:rsid w:val="002F5CF9"/>
    <w:rsid w:val="002F6214"/>
    <w:rsid w:val="002F6329"/>
    <w:rsid w:val="002F6404"/>
    <w:rsid w:val="002F69C1"/>
    <w:rsid w:val="00300459"/>
    <w:rsid w:val="003028F8"/>
    <w:rsid w:val="00303208"/>
    <w:rsid w:val="00303C48"/>
    <w:rsid w:val="0030468A"/>
    <w:rsid w:val="0030488C"/>
    <w:rsid w:val="003049D9"/>
    <w:rsid w:val="00304D8E"/>
    <w:rsid w:val="0030589A"/>
    <w:rsid w:val="00306074"/>
    <w:rsid w:val="0030611B"/>
    <w:rsid w:val="003064A6"/>
    <w:rsid w:val="00306AE9"/>
    <w:rsid w:val="00306EC8"/>
    <w:rsid w:val="0030740A"/>
    <w:rsid w:val="00307BC9"/>
    <w:rsid w:val="00307ED0"/>
    <w:rsid w:val="0031018F"/>
    <w:rsid w:val="003108D9"/>
    <w:rsid w:val="00310975"/>
    <w:rsid w:val="003110B5"/>
    <w:rsid w:val="0031145C"/>
    <w:rsid w:val="00311503"/>
    <w:rsid w:val="0031237F"/>
    <w:rsid w:val="00312807"/>
    <w:rsid w:val="0031297D"/>
    <w:rsid w:val="00312EA2"/>
    <w:rsid w:val="00312EAD"/>
    <w:rsid w:val="00312FB4"/>
    <w:rsid w:val="003136D9"/>
    <w:rsid w:val="00313899"/>
    <w:rsid w:val="003142D9"/>
    <w:rsid w:val="003144B6"/>
    <w:rsid w:val="003144C8"/>
    <w:rsid w:val="00314761"/>
    <w:rsid w:val="00314C25"/>
    <w:rsid w:val="00314C37"/>
    <w:rsid w:val="00314D61"/>
    <w:rsid w:val="00314EEA"/>
    <w:rsid w:val="003151B9"/>
    <w:rsid w:val="003158BB"/>
    <w:rsid w:val="003160FD"/>
    <w:rsid w:val="00316981"/>
    <w:rsid w:val="00316A78"/>
    <w:rsid w:val="00316E1F"/>
    <w:rsid w:val="0031708A"/>
    <w:rsid w:val="00317101"/>
    <w:rsid w:val="00317A11"/>
    <w:rsid w:val="00320345"/>
    <w:rsid w:val="00320610"/>
    <w:rsid w:val="00321E6A"/>
    <w:rsid w:val="00322102"/>
    <w:rsid w:val="0032237A"/>
    <w:rsid w:val="003223EB"/>
    <w:rsid w:val="003234C6"/>
    <w:rsid w:val="0032376F"/>
    <w:rsid w:val="00323789"/>
    <w:rsid w:val="0032390C"/>
    <w:rsid w:val="0032401D"/>
    <w:rsid w:val="003245BE"/>
    <w:rsid w:val="00324695"/>
    <w:rsid w:val="00324886"/>
    <w:rsid w:val="0032499A"/>
    <w:rsid w:val="00325116"/>
    <w:rsid w:val="0032559C"/>
    <w:rsid w:val="00325760"/>
    <w:rsid w:val="0032582E"/>
    <w:rsid w:val="00325EDF"/>
    <w:rsid w:val="0032623E"/>
    <w:rsid w:val="00326484"/>
    <w:rsid w:val="0032669B"/>
    <w:rsid w:val="00327096"/>
    <w:rsid w:val="00327490"/>
    <w:rsid w:val="00327F00"/>
    <w:rsid w:val="0033086E"/>
    <w:rsid w:val="00331163"/>
    <w:rsid w:val="0033182B"/>
    <w:rsid w:val="00331A70"/>
    <w:rsid w:val="0033240C"/>
    <w:rsid w:val="0033273D"/>
    <w:rsid w:val="00332936"/>
    <w:rsid w:val="00333016"/>
    <w:rsid w:val="00333071"/>
    <w:rsid w:val="003331CA"/>
    <w:rsid w:val="003335AB"/>
    <w:rsid w:val="00333852"/>
    <w:rsid w:val="00333DE6"/>
    <w:rsid w:val="00334DE4"/>
    <w:rsid w:val="00334E4A"/>
    <w:rsid w:val="00335731"/>
    <w:rsid w:val="00335FE6"/>
    <w:rsid w:val="00336398"/>
    <w:rsid w:val="0033708F"/>
    <w:rsid w:val="003408D5"/>
    <w:rsid w:val="003410C6"/>
    <w:rsid w:val="003412C1"/>
    <w:rsid w:val="003420EA"/>
    <w:rsid w:val="003424A2"/>
    <w:rsid w:val="00342B76"/>
    <w:rsid w:val="00342E69"/>
    <w:rsid w:val="003430F1"/>
    <w:rsid w:val="003431CD"/>
    <w:rsid w:val="00343231"/>
    <w:rsid w:val="003435BF"/>
    <w:rsid w:val="00343898"/>
    <w:rsid w:val="0034426E"/>
    <w:rsid w:val="00344315"/>
    <w:rsid w:val="0034537C"/>
    <w:rsid w:val="00345A69"/>
    <w:rsid w:val="00345C53"/>
    <w:rsid w:val="00345DA8"/>
    <w:rsid w:val="003462A8"/>
    <w:rsid w:val="003469D5"/>
    <w:rsid w:val="00346B2E"/>
    <w:rsid w:val="00346C4A"/>
    <w:rsid w:val="003472A3"/>
    <w:rsid w:val="00347579"/>
    <w:rsid w:val="00347859"/>
    <w:rsid w:val="00347B8B"/>
    <w:rsid w:val="00347D0A"/>
    <w:rsid w:val="00350FB8"/>
    <w:rsid w:val="00351190"/>
    <w:rsid w:val="003513E1"/>
    <w:rsid w:val="00352D6C"/>
    <w:rsid w:val="0035317F"/>
    <w:rsid w:val="003536C9"/>
    <w:rsid w:val="00353AC1"/>
    <w:rsid w:val="00353C28"/>
    <w:rsid w:val="00353FB6"/>
    <w:rsid w:val="003543CA"/>
    <w:rsid w:val="00354696"/>
    <w:rsid w:val="00354BEC"/>
    <w:rsid w:val="00354E9E"/>
    <w:rsid w:val="00355BEE"/>
    <w:rsid w:val="00355FA3"/>
    <w:rsid w:val="00356FF1"/>
    <w:rsid w:val="00357DA4"/>
    <w:rsid w:val="00360233"/>
    <w:rsid w:val="0036047D"/>
    <w:rsid w:val="00360B0E"/>
    <w:rsid w:val="00360C7A"/>
    <w:rsid w:val="00361860"/>
    <w:rsid w:val="00361BF8"/>
    <w:rsid w:val="0036310F"/>
    <w:rsid w:val="00363863"/>
    <w:rsid w:val="00363D2C"/>
    <w:rsid w:val="00363FA3"/>
    <w:rsid w:val="00364308"/>
    <w:rsid w:val="003652A2"/>
    <w:rsid w:val="00365AF0"/>
    <w:rsid w:val="00365CD4"/>
    <w:rsid w:val="00366F25"/>
    <w:rsid w:val="0036708C"/>
    <w:rsid w:val="00367451"/>
    <w:rsid w:val="0036758F"/>
    <w:rsid w:val="0036775E"/>
    <w:rsid w:val="00367BDF"/>
    <w:rsid w:val="00367D0E"/>
    <w:rsid w:val="003700E7"/>
    <w:rsid w:val="00370772"/>
    <w:rsid w:val="0037195A"/>
    <w:rsid w:val="003722F4"/>
    <w:rsid w:val="003726A2"/>
    <w:rsid w:val="00372A32"/>
    <w:rsid w:val="00372E2E"/>
    <w:rsid w:val="00373590"/>
    <w:rsid w:val="00373896"/>
    <w:rsid w:val="00373A72"/>
    <w:rsid w:val="00373A9D"/>
    <w:rsid w:val="00373AD4"/>
    <w:rsid w:val="003740F9"/>
    <w:rsid w:val="003752FD"/>
    <w:rsid w:val="00375514"/>
    <w:rsid w:val="003758E8"/>
    <w:rsid w:val="00375B9A"/>
    <w:rsid w:val="00375D0A"/>
    <w:rsid w:val="00375DE1"/>
    <w:rsid w:val="00376004"/>
    <w:rsid w:val="00376159"/>
    <w:rsid w:val="003771E3"/>
    <w:rsid w:val="00377A1A"/>
    <w:rsid w:val="0038000A"/>
    <w:rsid w:val="00381BD6"/>
    <w:rsid w:val="00381C96"/>
    <w:rsid w:val="00381E64"/>
    <w:rsid w:val="00382BE7"/>
    <w:rsid w:val="00382C4F"/>
    <w:rsid w:val="00382EE5"/>
    <w:rsid w:val="00383598"/>
    <w:rsid w:val="00383DAA"/>
    <w:rsid w:val="00383DF0"/>
    <w:rsid w:val="00383F86"/>
    <w:rsid w:val="00384261"/>
    <w:rsid w:val="00384E84"/>
    <w:rsid w:val="003856F9"/>
    <w:rsid w:val="00385FFB"/>
    <w:rsid w:val="003863D0"/>
    <w:rsid w:val="00386559"/>
    <w:rsid w:val="003869F4"/>
    <w:rsid w:val="00386B16"/>
    <w:rsid w:val="0038739C"/>
    <w:rsid w:val="00387696"/>
    <w:rsid w:val="00387A66"/>
    <w:rsid w:val="00387D2D"/>
    <w:rsid w:val="00390055"/>
    <w:rsid w:val="00390200"/>
    <w:rsid w:val="00390595"/>
    <w:rsid w:val="00390704"/>
    <w:rsid w:val="00390965"/>
    <w:rsid w:val="00390E72"/>
    <w:rsid w:val="00391D91"/>
    <w:rsid w:val="00393461"/>
    <w:rsid w:val="00393C05"/>
    <w:rsid w:val="00393FE8"/>
    <w:rsid w:val="00394C59"/>
    <w:rsid w:val="00395216"/>
    <w:rsid w:val="00395F76"/>
    <w:rsid w:val="00395F78"/>
    <w:rsid w:val="003960C5"/>
    <w:rsid w:val="0039632F"/>
    <w:rsid w:val="0039749B"/>
    <w:rsid w:val="003974CB"/>
    <w:rsid w:val="00397681"/>
    <w:rsid w:val="003A0C16"/>
    <w:rsid w:val="003A0DF4"/>
    <w:rsid w:val="003A0E83"/>
    <w:rsid w:val="003A158D"/>
    <w:rsid w:val="003A15BD"/>
    <w:rsid w:val="003A185B"/>
    <w:rsid w:val="003A1A36"/>
    <w:rsid w:val="003A21FB"/>
    <w:rsid w:val="003A2C6E"/>
    <w:rsid w:val="003A378E"/>
    <w:rsid w:val="003A3CBF"/>
    <w:rsid w:val="003A48A6"/>
    <w:rsid w:val="003A5802"/>
    <w:rsid w:val="003A6372"/>
    <w:rsid w:val="003A71FC"/>
    <w:rsid w:val="003A73DF"/>
    <w:rsid w:val="003A75E2"/>
    <w:rsid w:val="003A761F"/>
    <w:rsid w:val="003A7761"/>
    <w:rsid w:val="003A79D5"/>
    <w:rsid w:val="003A7C03"/>
    <w:rsid w:val="003A7E10"/>
    <w:rsid w:val="003B0803"/>
    <w:rsid w:val="003B08FB"/>
    <w:rsid w:val="003B1179"/>
    <w:rsid w:val="003B1370"/>
    <w:rsid w:val="003B14A0"/>
    <w:rsid w:val="003B1600"/>
    <w:rsid w:val="003B161E"/>
    <w:rsid w:val="003B2B7C"/>
    <w:rsid w:val="003B2D91"/>
    <w:rsid w:val="003B37BF"/>
    <w:rsid w:val="003B41E7"/>
    <w:rsid w:val="003B4658"/>
    <w:rsid w:val="003B5157"/>
    <w:rsid w:val="003B5A59"/>
    <w:rsid w:val="003B5B4E"/>
    <w:rsid w:val="003B5E96"/>
    <w:rsid w:val="003B67FB"/>
    <w:rsid w:val="003B7918"/>
    <w:rsid w:val="003B7B33"/>
    <w:rsid w:val="003B7B6B"/>
    <w:rsid w:val="003C05AA"/>
    <w:rsid w:val="003C0AE6"/>
    <w:rsid w:val="003C12BF"/>
    <w:rsid w:val="003C1E93"/>
    <w:rsid w:val="003C23A1"/>
    <w:rsid w:val="003C3622"/>
    <w:rsid w:val="003C37B6"/>
    <w:rsid w:val="003C395B"/>
    <w:rsid w:val="003C3B29"/>
    <w:rsid w:val="003C4658"/>
    <w:rsid w:val="003C4F78"/>
    <w:rsid w:val="003C5FB1"/>
    <w:rsid w:val="003C626B"/>
    <w:rsid w:val="003C6A9C"/>
    <w:rsid w:val="003C6D21"/>
    <w:rsid w:val="003C6FF8"/>
    <w:rsid w:val="003C7801"/>
    <w:rsid w:val="003C7DD9"/>
    <w:rsid w:val="003D0194"/>
    <w:rsid w:val="003D062C"/>
    <w:rsid w:val="003D09C0"/>
    <w:rsid w:val="003D0A1D"/>
    <w:rsid w:val="003D0CF9"/>
    <w:rsid w:val="003D0F40"/>
    <w:rsid w:val="003D1C31"/>
    <w:rsid w:val="003D1CE2"/>
    <w:rsid w:val="003D1DEF"/>
    <w:rsid w:val="003D1E08"/>
    <w:rsid w:val="003D2072"/>
    <w:rsid w:val="003D20C5"/>
    <w:rsid w:val="003D25DB"/>
    <w:rsid w:val="003D2818"/>
    <w:rsid w:val="003D292A"/>
    <w:rsid w:val="003D2A79"/>
    <w:rsid w:val="003D2EE0"/>
    <w:rsid w:val="003D323E"/>
    <w:rsid w:val="003D32BD"/>
    <w:rsid w:val="003D32C4"/>
    <w:rsid w:val="003D369C"/>
    <w:rsid w:val="003D4102"/>
    <w:rsid w:val="003D4157"/>
    <w:rsid w:val="003D4217"/>
    <w:rsid w:val="003D4776"/>
    <w:rsid w:val="003D4D49"/>
    <w:rsid w:val="003D4E1C"/>
    <w:rsid w:val="003D5C80"/>
    <w:rsid w:val="003D5C84"/>
    <w:rsid w:val="003D62F2"/>
    <w:rsid w:val="003D634F"/>
    <w:rsid w:val="003D654E"/>
    <w:rsid w:val="003D66E2"/>
    <w:rsid w:val="003D6FEB"/>
    <w:rsid w:val="003D7731"/>
    <w:rsid w:val="003D782B"/>
    <w:rsid w:val="003E0375"/>
    <w:rsid w:val="003E098A"/>
    <w:rsid w:val="003E121F"/>
    <w:rsid w:val="003E1761"/>
    <w:rsid w:val="003E24EF"/>
    <w:rsid w:val="003E2897"/>
    <w:rsid w:val="003E32CF"/>
    <w:rsid w:val="003E357A"/>
    <w:rsid w:val="003E3888"/>
    <w:rsid w:val="003E3E9D"/>
    <w:rsid w:val="003E3EBF"/>
    <w:rsid w:val="003E43E6"/>
    <w:rsid w:val="003E4582"/>
    <w:rsid w:val="003E4739"/>
    <w:rsid w:val="003E56C7"/>
    <w:rsid w:val="003E5B5F"/>
    <w:rsid w:val="003E5DF8"/>
    <w:rsid w:val="003E6B2C"/>
    <w:rsid w:val="003E737A"/>
    <w:rsid w:val="003F020E"/>
    <w:rsid w:val="003F0374"/>
    <w:rsid w:val="003F0E5F"/>
    <w:rsid w:val="003F0EB2"/>
    <w:rsid w:val="003F1F27"/>
    <w:rsid w:val="003F2202"/>
    <w:rsid w:val="003F226E"/>
    <w:rsid w:val="003F2415"/>
    <w:rsid w:val="003F241D"/>
    <w:rsid w:val="003F2C0C"/>
    <w:rsid w:val="003F31D8"/>
    <w:rsid w:val="003F3C6B"/>
    <w:rsid w:val="003F4262"/>
    <w:rsid w:val="003F526D"/>
    <w:rsid w:val="003F57E1"/>
    <w:rsid w:val="003F5A7B"/>
    <w:rsid w:val="003F5F01"/>
    <w:rsid w:val="003F6609"/>
    <w:rsid w:val="003F6E56"/>
    <w:rsid w:val="003F6FAE"/>
    <w:rsid w:val="003F7421"/>
    <w:rsid w:val="003F7731"/>
    <w:rsid w:val="003F7C4F"/>
    <w:rsid w:val="003F7F51"/>
    <w:rsid w:val="00400092"/>
    <w:rsid w:val="00400639"/>
    <w:rsid w:val="004007CE"/>
    <w:rsid w:val="00400A64"/>
    <w:rsid w:val="00401221"/>
    <w:rsid w:val="00401A93"/>
    <w:rsid w:val="00401D59"/>
    <w:rsid w:val="00401FB8"/>
    <w:rsid w:val="00402131"/>
    <w:rsid w:val="004023C7"/>
    <w:rsid w:val="004024B7"/>
    <w:rsid w:val="004027FE"/>
    <w:rsid w:val="00402968"/>
    <w:rsid w:val="00402A02"/>
    <w:rsid w:val="00403184"/>
    <w:rsid w:val="004034B5"/>
    <w:rsid w:val="004043D5"/>
    <w:rsid w:val="00404E11"/>
    <w:rsid w:val="004054D5"/>
    <w:rsid w:val="00405BC2"/>
    <w:rsid w:val="0040641B"/>
    <w:rsid w:val="00406577"/>
    <w:rsid w:val="00411C89"/>
    <w:rsid w:val="00412369"/>
    <w:rsid w:val="004126FE"/>
    <w:rsid w:val="00412A5C"/>
    <w:rsid w:val="0041317D"/>
    <w:rsid w:val="0041354D"/>
    <w:rsid w:val="00413D29"/>
    <w:rsid w:val="00414399"/>
    <w:rsid w:val="004156AD"/>
    <w:rsid w:val="00415FFF"/>
    <w:rsid w:val="00416272"/>
    <w:rsid w:val="0041643C"/>
    <w:rsid w:val="0041651A"/>
    <w:rsid w:val="00416B90"/>
    <w:rsid w:val="0041707C"/>
    <w:rsid w:val="00417110"/>
    <w:rsid w:val="00421531"/>
    <w:rsid w:val="00421DD5"/>
    <w:rsid w:val="00423651"/>
    <w:rsid w:val="00423996"/>
    <w:rsid w:val="00423C23"/>
    <w:rsid w:val="00423F4C"/>
    <w:rsid w:val="00424332"/>
    <w:rsid w:val="00424E80"/>
    <w:rsid w:val="0042551B"/>
    <w:rsid w:val="004259AF"/>
    <w:rsid w:val="00426283"/>
    <w:rsid w:val="00427931"/>
    <w:rsid w:val="00427F36"/>
    <w:rsid w:val="004306AE"/>
    <w:rsid w:val="00430704"/>
    <w:rsid w:val="004307ED"/>
    <w:rsid w:val="004309CE"/>
    <w:rsid w:val="00430DB0"/>
    <w:rsid w:val="00431010"/>
    <w:rsid w:val="004317A3"/>
    <w:rsid w:val="00431D15"/>
    <w:rsid w:val="00432233"/>
    <w:rsid w:val="00432908"/>
    <w:rsid w:val="00432A1C"/>
    <w:rsid w:val="00432A7D"/>
    <w:rsid w:val="00433542"/>
    <w:rsid w:val="004335D3"/>
    <w:rsid w:val="004335FB"/>
    <w:rsid w:val="004338F7"/>
    <w:rsid w:val="0043394B"/>
    <w:rsid w:val="00433F8E"/>
    <w:rsid w:val="004340E6"/>
    <w:rsid w:val="004340EF"/>
    <w:rsid w:val="00434C7D"/>
    <w:rsid w:val="004350DD"/>
    <w:rsid w:val="004357E9"/>
    <w:rsid w:val="0043592E"/>
    <w:rsid w:val="004359D7"/>
    <w:rsid w:val="00435DE1"/>
    <w:rsid w:val="004362E2"/>
    <w:rsid w:val="00436332"/>
    <w:rsid w:val="00436690"/>
    <w:rsid w:val="00436DD7"/>
    <w:rsid w:val="00437152"/>
    <w:rsid w:val="0043716A"/>
    <w:rsid w:val="00437B6A"/>
    <w:rsid w:val="00437C8C"/>
    <w:rsid w:val="00437F08"/>
    <w:rsid w:val="00440024"/>
    <w:rsid w:val="00440CA2"/>
    <w:rsid w:val="00440F15"/>
    <w:rsid w:val="00441D34"/>
    <w:rsid w:val="00441D9A"/>
    <w:rsid w:val="00442200"/>
    <w:rsid w:val="0044288C"/>
    <w:rsid w:val="0044299A"/>
    <w:rsid w:val="00442C57"/>
    <w:rsid w:val="00442E9E"/>
    <w:rsid w:val="004444C9"/>
    <w:rsid w:val="004456AF"/>
    <w:rsid w:val="00445A32"/>
    <w:rsid w:val="00445E7A"/>
    <w:rsid w:val="0044626D"/>
    <w:rsid w:val="004463C7"/>
    <w:rsid w:val="00446944"/>
    <w:rsid w:val="00446C47"/>
    <w:rsid w:val="0044715F"/>
    <w:rsid w:val="00447402"/>
    <w:rsid w:val="0045017E"/>
    <w:rsid w:val="00450383"/>
    <w:rsid w:val="004503EC"/>
    <w:rsid w:val="00450A39"/>
    <w:rsid w:val="00450E33"/>
    <w:rsid w:val="004514DF"/>
    <w:rsid w:val="004515A0"/>
    <w:rsid w:val="0045163C"/>
    <w:rsid w:val="00451F24"/>
    <w:rsid w:val="0045298A"/>
    <w:rsid w:val="00452D69"/>
    <w:rsid w:val="00452D8C"/>
    <w:rsid w:val="00453497"/>
    <w:rsid w:val="00453537"/>
    <w:rsid w:val="0045423E"/>
    <w:rsid w:val="00454285"/>
    <w:rsid w:val="004548EC"/>
    <w:rsid w:val="004549A9"/>
    <w:rsid w:val="00454A50"/>
    <w:rsid w:val="00454CB6"/>
    <w:rsid w:val="00455702"/>
    <w:rsid w:val="00455866"/>
    <w:rsid w:val="00455922"/>
    <w:rsid w:val="0045613C"/>
    <w:rsid w:val="00457D7B"/>
    <w:rsid w:val="00460498"/>
    <w:rsid w:val="0046076C"/>
    <w:rsid w:val="00460C15"/>
    <w:rsid w:val="00460EEE"/>
    <w:rsid w:val="00461B0D"/>
    <w:rsid w:val="00461B54"/>
    <w:rsid w:val="004622EF"/>
    <w:rsid w:val="004629B7"/>
    <w:rsid w:val="00462E05"/>
    <w:rsid w:val="0046331E"/>
    <w:rsid w:val="00464436"/>
    <w:rsid w:val="00464F88"/>
    <w:rsid w:val="00465039"/>
    <w:rsid w:val="00465A43"/>
    <w:rsid w:val="004664F1"/>
    <w:rsid w:val="004665E7"/>
    <w:rsid w:val="00466669"/>
    <w:rsid w:val="00466D12"/>
    <w:rsid w:val="0046723B"/>
    <w:rsid w:val="00467681"/>
    <w:rsid w:val="00467881"/>
    <w:rsid w:val="004679A3"/>
    <w:rsid w:val="00467F05"/>
    <w:rsid w:val="0047031E"/>
    <w:rsid w:val="00470EF8"/>
    <w:rsid w:val="00470F36"/>
    <w:rsid w:val="00471009"/>
    <w:rsid w:val="004712D2"/>
    <w:rsid w:val="00472F64"/>
    <w:rsid w:val="00473153"/>
    <w:rsid w:val="004732B1"/>
    <w:rsid w:val="0047354D"/>
    <w:rsid w:val="00473AB3"/>
    <w:rsid w:val="00474379"/>
    <w:rsid w:val="004747FE"/>
    <w:rsid w:val="004754A4"/>
    <w:rsid w:val="00475529"/>
    <w:rsid w:val="00475A89"/>
    <w:rsid w:val="00475CF4"/>
    <w:rsid w:val="00476119"/>
    <w:rsid w:val="00476BD0"/>
    <w:rsid w:val="00476F81"/>
    <w:rsid w:val="0047726C"/>
    <w:rsid w:val="004772CA"/>
    <w:rsid w:val="004773F2"/>
    <w:rsid w:val="00477B3C"/>
    <w:rsid w:val="004805BC"/>
    <w:rsid w:val="00480654"/>
    <w:rsid w:val="00480D2C"/>
    <w:rsid w:val="00481784"/>
    <w:rsid w:val="004819F6"/>
    <w:rsid w:val="00481BC9"/>
    <w:rsid w:val="00481FC7"/>
    <w:rsid w:val="00482DFA"/>
    <w:rsid w:val="004834CA"/>
    <w:rsid w:val="00483858"/>
    <w:rsid w:val="00483ACA"/>
    <w:rsid w:val="004847BE"/>
    <w:rsid w:val="00484BE0"/>
    <w:rsid w:val="00484E0A"/>
    <w:rsid w:val="00485216"/>
    <w:rsid w:val="00485491"/>
    <w:rsid w:val="00485838"/>
    <w:rsid w:val="004858C9"/>
    <w:rsid w:val="004858D7"/>
    <w:rsid w:val="00485CF2"/>
    <w:rsid w:val="00485D60"/>
    <w:rsid w:val="00487213"/>
    <w:rsid w:val="004906DC"/>
    <w:rsid w:val="00491604"/>
    <w:rsid w:val="00491883"/>
    <w:rsid w:val="0049189D"/>
    <w:rsid w:val="004918F8"/>
    <w:rsid w:val="00491E60"/>
    <w:rsid w:val="004920DE"/>
    <w:rsid w:val="0049308C"/>
    <w:rsid w:val="0049353F"/>
    <w:rsid w:val="004937EF"/>
    <w:rsid w:val="00493A0D"/>
    <w:rsid w:val="0049495E"/>
    <w:rsid w:val="00495616"/>
    <w:rsid w:val="00495BFB"/>
    <w:rsid w:val="00496B99"/>
    <w:rsid w:val="004971E3"/>
    <w:rsid w:val="004975F3"/>
    <w:rsid w:val="00497945"/>
    <w:rsid w:val="004A056A"/>
    <w:rsid w:val="004A0C0B"/>
    <w:rsid w:val="004A0E78"/>
    <w:rsid w:val="004A0E7B"/>
    <w:rsid w:val="004A13F6"/>
    <w:rsid w:val="004A15B2"/>
    <w:rsid w:val="004A1603"/>
    <w:rsid w:val="004A1E3E"/>
    <w:rsid w:val="004A23B1"/>
    <w:rsid w:val="004A346D"/>
    <w:rsid w:val="004A3E8E"/>
    <w:rsid w:val="004A439D"/>
    <w:rsid w:val="004A4B79"/>
    <w:rsid w:val="004A4F07"/>
    <w:rsid w:val="004A52C3"/>
    <w:rsid w:val="004A54BF"/>
    <w:rsid w:val="004A591C"/>
    <w:rsid w:val="004A5BF2"/>
    <w:rsid w:val="004A6040"/>
    <w:rsid w:val="004A61B1"/>
    <w:rsid w:val="004A6A3D"/>
    <w:rsid w:val="004A71ED"/>
    <w:rsid w:val="004A7A87"/>
    <w:rsid w:val="004A7B21"/>
    <w:rsid w:val="004A7C30"/>
    <w:rsid w:val="004A7E7E"/>
    <w:rsid w:val="004A7EF0"/>
    <w:rsid w:val="004B005A"/>
    <w:rsid w:val="004B05A3"/>
    <w:rsid w:val="004B0CC9"/>
    <w:rsid w:val="004B155B"/>
    <w:rsid w:val="004B2140"/>
    <w:rsid w:val="004B2445"/>
    <w:rsid w:val="004B2895"/>
    <w:rsid w:val="004B291E"/>
    <w:rsid w:val="004B3816"/>
    <w:rsid w:val="004B38B0"/>
    <w:rsid w:val="004B3AF1"/>
    <w:rsid w:val="004B3DC8"/>
    <w:rsid w:val="004B3E2F"/>
    <w:rsid w:val="004B503E"/>
    <w:rsid w:val="004B50E5"/>
    <w:rsid w:val="004B6BE5"/>
    <w:rsid w:val="004B7436"/>
    <w:rsid w:val="004B753A"/>
    <w:rsid w:val="004B7DF8"/>
    <w:rsid w:val="004C09AB"/>
    <w:rsid w:val="004C0A94"/>
    <w:rsid w:val="004C0DE4"/>
    <w:rsid w:val="004C1728"/>
    <w:rsid w:val="004C1D54"/>
    <w:rsid w:val="004C1ECB"/>
    <w:rsid w:val="004C201C"/>
    <w:rsid w:val="004C2621"/>
    <w:rsid w:val="004C2EDC"/>
    <w:rsid w:val="004C38C4"/>
    <w:rsid w:val="004C3AF1"/>
    <w:rsid w:val="004C4500"/>
    <w:rsid w:val="004C56D7"/>
    <w:rsid w:val="004C5911"/>
    <w:rsid w:val="004C5AAA"/>
    <w:rsid w:val="004C5E57"/>
    <w:rsid w:val="004C5ED9"/>
    <w:rsid w:val="004C616B"/>
    <w:rsid w:val="004C6545"/>
    <w:rsid w:val="004C6A21"/>
    <w:rsid w:val="004C6CB2"/>
    <w:rsid w:val="004C6D4A"/>
    <w:rsid w:val="004C727B"/>
    <w:rsid w:val="004C7A4A"/>
    <w:rsid w:val="004C7A92"/>
    <w:rsid w:val="004C7FE7"/>
    <w:rsid w:val="004D0223"/>
    <w:rsid w:val="004D0931"/>
    <w:rsid w:val="004D178A"/>
    <w:rsid w:val="004D1BC9"/>
    <w:rsid w:val="004D1F0E"/>
    <w:rsid w:val="004D251F"/>
    <w:rsid w:val="004D2835"/>
    <w:rsid w:val="004D297D"/>
    <w:rsid w:val="004D342E"/>
    <w:rsid w:val="004D3F7C"/>
    <w:rsid w:val="004D492D"/>
    <w:rsid w:val="004D5523"/>
    <w:rsid w:val="004D57D6"/>
    <w:rsid w:val="004D6852"/>
    <w:rsid w:val="004D7184"/>
    <w:rsid w:val="004D7233"/>
    <w:rsid w:val="004D7BED"/>
    <w:rsid w:val="004D7CE2"/>
    <w:rsid w:val="004D7D73"/>
    <w:rsid w:val="004D7EE9"/>
    <w:rsid w:val="004E001A"/>
    <w:rsid w:val="004E00BD"/>
    <w:rsid w:val="004E02A5"/>
    <w:rsid w:val="004E0533"/>
    <w:rsid w:val="004E0AA3"/>
    <w:rsid w:val="004E151F"/>
    <w:rsid w:val="004E1DEF"/>
    <w:rsid w:val="004E2488"/>
    <w:rsid w:val="004E34B4"/>
    <w:rsid w:val="004E37AB"/>
    <w:rsid w:val="004E3AD4"/>
    <w:rsid w:val="004E417D"/>
    <w:rsid w:val="004E4E14"/>
    <w:rsid w:val="004E52A9"/>
    <w:rsid w:val="004E5493"/>
    <w:rsid w:val="004E5728"/>
    <w:rsid w:val="004E5C5A"/>
    <w:rsid w:val="004E5D9F"/>
    <w:rsid w:val="004E5F55"/>
    <w:rsid w:val="004E6804"/>
    <w:rsid w:val="004E6938"/>
    <w:rsid w:val="004F0509"/>
    <w:rsid w:val="004F0549"/>
    <w:rsid w:val="004F069D"/>
    <w:rsid w:val="004F0AF7"/>
    <w:rsid w:val="004F0E6E"/>
    <w:rsid w:val="004F0EF3"/>
    <w:rsid w:val="004F1265"/>
    <w:rsid w:val="004F1925"/>
    <w:rsid w:val="004F1D5D"/>
    <w:rsid w:val="004F1E9A"/>
    <w:rsid w:val="004F2748"/>
    <w:rsid w:val="004F2815"/>
    <w:rsid w:val="004F3486"/>
    <w:rsid w:val="004F3683"/>
    <w:rsid w:val="004F40D1"/>
    <w:rsid w:val="004F4228"/>
    <w:rsid w:val="004F4AFD"/>
    <w:rsid w:val="004F55C1"/>
    <w:rsid w:val="004F5D3F"/>
    <w:rsid w:val="004F68C4"/>
    <w:rsid w:val="004F7729"/>
    <w:rsid w:val="00500007"/>
    <w:rsid w:val="00500A1A"/>
    <w:rsid w:val="00500A55"/>
    <w:rsid w:val="005014B6"/>
    <w:rsid w:val="0050182F"/>
    <w:rsid w:val="005019E0"/>
    <w:rsid w:val="00501A01"/>
    <w:rsid w:val="00501EE5"/>
    <w:rsid w:val="005021F0"/>
    <w:rsid w:val="00502670"/>
    <w:rsid w:val="00502BD3"/>
    <w:rsid w:val="00502F77"/>
    <w:rsid w:val="0050305A"/>
    <w:rsid w:val="0050338D"/>
    <w:rsid w:val="0050347D"/>
    <w:rsid w:val="005045D4"/>
    <w:rsid w:val="005046F1"/>
    <w:rsid w:val="00505754"/>
    <w:rsid w:val="00505A21"/>
    <w:rsid w:val="00505EC2"/>
    <w:rsid w:val="005061D1"/>
    <w:rsid w:val="005068D0"/>
    <w:rsid w:val="00506A5A"/>
    <w:rsid w:val="00506AEF"/>
    <w:rsid w:val="00507221"/>
    <w:rsid w:val="00507326"/>
    <w:rsid w:val="00507691"/>
    <w:rsid w:val="005077A1"/>
    <w:rsid w:val="00510253"/>
    <w:rsid w:val="0051099E"/>
    <w:rsid w:val="0051100D"/>
    <w:rsid w:val="005110FA"/>
    <w:rsid w:val="005111E0"/>
    <w:rsid w:val="00511658"/>
    <w:rsid w:val="00511A7D"/>
    <w:rsid w:val="0051203A"/>
    <w:rsid w:val="005130CB"/>
    <w:rsid w:val="005130E1"/>
    <w:rsid w:val="005133CA"/>
    <w:rsid w:val="00513FAE"/>
    <w:rsid w:val="005141E9"/>
    <w:rsid w:val="00514426"/>
    <w:rsid w:val="00514EB7"/>
    <w:rsid w:val="00515454"/>
    <w:rsid w:val="005154CC"/>
    <w:rsid w:val="00515EC7"/>
    <w:rsid w:val="00516097"/>
    <w:rsid w:val="00516153"/>
    <w:rsid w:val="005163B2"/>
    <w:rsid w:val="0051646B"/>
    <w:rsid w:val="005167FC"/>
    <w:rsid w:val="00516801"/>
    <w:rsid w:val="00516DE3"/>
    <w:rsid w:val="00520225"/>
    <w:rsid w:val="005204F0"/>
    <w:rsid w:val="00521C74"/>
    <w:rsid w:val="00521CFC"/>
    <w:rsid w:val="00521F1C"/>
    <w:rsid w:val="005229A9"/>
    <w:rsid w:val="00522AAE"/>
    <w:rsid w:val="00523145"/>
    <w:rsid w:val="005232AF"/>
    <w:rsid w:val="005235B7"/>
    <w:rsid w:val="00523AD9"/>
    <w:rsid w:val="00523B13"/>
    <w:rsid w:val="00523B88"/>
    <w:rsid w:val="00523E5F"/>
    <w:rsid w:val="00523FBB"/>
    <w:rsid w:val="00524378"/>
    <w:rsid w:val="005251EF"/>
    <w:rsid w:val="00525291"/>
    <w:rsid w:val="005252AA"/>
    <w:rsid w:val="00525542"/>
    <w:rsid w:val="00525CB4"/>
    <w:rsid w:val="00526198"/>
    <w:rsid w:val="00526357"/>
    <w:rsid w:val="00526CA6"/>
    <w:rsid w:val="00526EDD"/>
    <w:rsid w:val="005275DC"/>
    <w:rsid w:val="005278AB"/>
    <w:rsid w:val="0053036C"/>
    <w:rsid w:val="0053040D"/>
    <w:rsid w:val="00530AF8"/>
    <w:rsid w:val="00531454"/>
    <w:rsid w:val="00531914"/>
    <w:rsid w:val="00531AEA"/>
    <w:rsid w:val="00531FC4"/>
    <w:rsid w:val="00532038"/>
    <w:rsid w:val="00532089"/>
    <w:rsid w:val="00532375"/>
    <w:rsid w:val="0053242F"/>
    <w:rsid w:val="005325CF"/>
    <w:rsid w:val="00532AF9"/>
    <w:rsid w:val="00532FD7"/>
    <w:rsid w:val="005332C8"/>
    <w:rsid w:val="00534134"/>
    <w:rsid w:val="00535645"/>
    <w:rsid w:val="005365BB"/>
    <w:rsid w:val="00536FD2"/>
    <w:rsid w:val="005379B4"/>
    <w:rsid w:val="00537C27"/>
    <w:rsid w:val="00537CC7"/>
    <w:rsid w:val="00540970"/>
    <w:rsid w:val="00540F3D"/>
    <w:rsid w:val="0054190E"/>
    <w:rsid w:val="00541DBE"/>
    <w:rsid w:val="005420B7"/>
    <w:rsid w:val="005423BE"/>
    <w:rsid w:val="005427A3"/>
    <w:rsid w:val="00543639"/>
    <w:rsid w:val="00543CEC"/>
    <w:rsid w:val="00544469"/>
    <w:rsid w:val="005451A5"/>
    <w:rsid w:val="005455B5"/>
    <w:rsid w:val="005455EA"/>
    <w:rsid w:val="0054587A"/>
    <w:rsid w:val="005458D4"/>
    <w:rsid w:val="00545D3A"/>
    <w:rsid w:val="00546CA5"/>
    <w:rsid w:val="00547A12"/>
    <w:rsid w:val="005502AF"/>
    <w:rsid w:val="0055030B"/>
    <w:rsid w:val="00550970"/>
    <w:rsid w:val="00550DEE"/>
    <w:rsid w:val="00551069"/>
    <w:rsid w:val="00551154"/>
    <w:rsid w:val="00551E13"/>
    <w:rsid w:val="00551F80"/>
    <w:rsid w:val="005520A5"/>
    <w:rsid w:val="00552C9D"/>
    <w:rsid w:val="00553765"/>
    <w:rsid w:val="005537D0"/>
    <w:rsid w:val="005538B3"/>
    <w:rsid w:val="00553C5D"/>
    <w:rsid w:val="00554A2C"/>
    <w:rsid w:val="00554B47"/>
    <w:rsid w:val="00554F07"/>
    <w:rsid w:val="00555768"/>
    <w:rsid w:val="00555C73"/>
    <w:rsid w:val="00555D58"/>
    <w:rsid w:val="00556ADF"/>
    <w:rsid w:val="00557069"/>
    <w:rsid w:val="0055744F"/>
    <w:rsid w:val="00557693"/>
    <w:rsid w:val="0056028C"/>
    <w:rsid w:val="005603AD"/>
    <w:rsid w:val="00560570"/>
    <w:rsid w:val="00562647"/>
    <w:rsid w:val="00562B66"/>
    <w:rsid w:val="00562E50"/>
    <w:rsid w:val="005636F3"/>
    <w:rsid w:val="005639D6"/>
    <w:rsid w:val="00563A40"/>
    <w:rsid w:val="00563AB9"/>
    <w:rsid w:val="00563EC2"/>
    <w:rsid w:val="00563ED2"/>
    <w:rsid w:val="005643F0"/>
    <w:rsid w:val="00564433"/>
    <w:rsid w:val="005644E9"/>
    <w:rsid w:val="00564BD6"/>
    <w:rsid w:val="00565136"/>
    <w:rsid w:val="0056616F"/>
    <w:rsid w:val="0056701C"/>
    <w:rsid w:val="00567294"/>
    <w:rsid w:val="00567FE7"/>
    <w:rsid w:val="0057012F"/>
    <w:rsid w:val="00570688"/>
    <w:rsid w:val="0057083E"/>
    <w:rsid w:val="00570AF7"/>
    <w:rsid w:val="00571E0F"/>
    <w:rsid w:val="00573307"/>
    <w:rsid w:val="0057401E"/>
    <w:rsid w:val="00574033"/>
    <w:rsid w:val="005742FE"/>
    <w:rsid w:val="00574ECF"/>
    <w:rsid w:val="00575372"/>
    <w:rsid w:val="00575B03"/>
    <w:rsid w:val="00575D64"/>
    <w:rsid w:val="0057656D"/>
    <w:rsid w:val="0057779E"/>
    <w:rsid w:val="005779C8"/>
    <w:rsid w:val="00577C8B"/>
    <w:rsid w:val="0058104B"/>
    <w:rsid w:val="00581531"/>
    <w:rsid w:val="00581657"/>
    <w:rsid w:val="005824CF"/>
    <w:rsid w:val="00583050"/>
    <w:rsid w:val="00583392"/>
    <w:rsid w:val="00584369"/>
    <w:rsid w:val="00584CA2"/>
    <w:rsid w:val="00585D2B"/>
    <w:rsid w:val="00585FEF"/>
    <w:rsid w:val="005862F7"/>
    <w:rsid w:val="00586C10"/>
    <w:rsid w:val="005872B2"/>
    <w:rsid w:val="00587C1D"/>
    <w:rsid w:val="00587EC6"/>
    <w:rsid w:val="00591102"/>
    <w:rsid w:val="005912A6"/>
    <w:rsid w:val="00592081"/>
    <w:rsid w:val="0059280D"/>
    <w:rsid w:val="0059302B"/>
    <w:rsid w:val="0059332D"/>
    <w:rsid w:val="00593CB4"/>
    <w:rsid w:val="0059439A"/>
    <w:rsid w:val="0059516C"/>
    <w:rsid w:val="005964FF"/>
    <w:rsid w:val="005967DC"/>
    <w:rsid w:val="00596FA1"/>
    <w:rsid w:val="0059730B"/>
    <w:rsid w:val="0059769E"/>
    <w:rsid w:val="00597A59"/>
    <w:rsid w:val="005A055D"/>
    <w:rsid w:val="005A08E2"/>
    <w:rsid w:val="005A0ED0"/>
    <w:rsid w:val="005A129E"/>
    <w:rsid w:val="005A1458"/>
    <w:rsid w:val="005A25A8"/>
    <w:rsid w:val="005A2BBD"/>
    <w:rsid w:val="005A3620"/>
    <w:rsid w:val="005A3791"/>
    <w:rsid w:val="005A3D7B"/>
    <w:rsid w:val="005A4045"/>
    <w:rsid w:val="005A4168"/>
    <w:rsid w:val="005A51EE"/>
    <w:rsid w:val="005A6131"/>
    <w:rsid w:val="005A69D1"/>
    <w:rsid w:val="005A77EC"/>
    <w:rsid w:val="005B00D3"/>
    <w:rsid w:val="005B0209"/>
    <w:rsid w:val="005B0245"/>
    <w:rsid w:val="005B0550"/>
    <w:rsid w:val="005B0836"/>
    <w:rsid w:val="005B1F1B"/>
    <w:rsid w:val="005B284B"/>
    <w:rsid w:val="005B28D9"/>
    <w:rsid w:val="005B2E8D"/>
    <w:rsid w:val="005B2EF5"/>
    <w:rsid w:val="005B2EF8"/>
    <w:rsid w:val="005B4FF3"/>
    <w:rsid w:val="005B53C5"/>
    <w:rsid w:val="005B566C"/>
    <w:rsid w:val="005B5A3F"/>
    <w:rsid w:val="005B5D27"/>
    <w:rsid w:val="005B6429"/>
    <w:rsid w:val="005B6D62"/>
    <w:rsid w:val="005B7295"/>
    <w:rsid w:val="005B74BF"/>
    <w:rsid w:val="005C0166"/>
    <w:rsid w:val="005C05BF"/>
    <w:rsid w:val="005C0874"/>
    <w:rsid w:val="005C0900"/>
    <w:rsid w:val="005C0AE3"/>
    <w:rsid w:val="005C102D"/>
    <w:rsid w:val="005C106C"/>
    <w:rsid w:val="005C14D2"/>
    <w:rsid w:val="005C176A"/>
    <w:rsid w:val="005C1F20"/>
    <w:rsid w:val="005C32C2"/>
    <w:rsid w:val="005C34E5"/>
    <w:rsid w:val="005C3F9B"/>
    <w:rsid w:val="005C4122"/>
    <w:rsid w:val="005C482F"/>
    <w:rsid w:val="005C4E39"/>
    <w:rsid w:val="005C510B"/>
    <w:rsid w:val="005C5307"/>
    <w:rsid w:val="005C6785"/>
    <w:rsid w:val="005C726A"/>
    <w:rsid w:val="005C7B09"/>
    <w:rsid w:val="005C7C81"/>
    <w:rsid w:val="005C7DC7"/>
    <w:rsid w:val="005C7E23"/>
    <w:rsid w:val="005C7F5A"/>
    <w:rsid w:val="005C7F85"/>
    <w:rsid w:val="005D0773"/>
    <w:rsid w:val="005D0788"/>
    <w:rsid w:val="005D0AED"/>
    <w:rsid w:val="005D0B54"/>
    <w:rsid w:val="005D224B"/>
    <w:rsid w:val="005D2967"/>
    <w:rsid w:val="005D2D45"/>
    <w:rsid w:val="005D3942"/>
    <w:rsid w:val="005D3A06"/>
    <w:rsid w:val="005D405D"/>
    <w:rsid w:val="005D486B"/>
    <w:rsid w:val="005D4E3E"/>
    <w:rsid w:val="005D525C"/>
    <w:rsid w:val="005D58AD"/>
    <w:rsid w:val="005D5E33"/>
    <w:rsid w:val="005D6863"/>
    <w:rsid w:val="005D6A52"/>
    <w:rsid w:val="005D6D0A"/>
    <w:rsid w:val="005D6D57"/>
    <w:rsid w:val="005D7578"/>
    <w:rsid w:val="005E0589"/>
    <w:rsid w:val="005E11E3"/>
    <w:rsid w:val="005E1408"/>
    <w:rsid w:val="005E178A"/>
    <w:rsid w:val="005E1A2A"/>
    <w:rsid w:val="005E22DC"/>
    <w:rsid w:val="005E272E"/>
    <w:rsid w:val="005E27EF"/>
    <w:rsid w:val="005E291F"/>
    <w:rsid w:val="005E2A10"/>
    <w:rsid w:val="005E31B8"/>
    <w:rsid w:val="005E4284"/>
    <w:rsid w:val="005E458B"/>
    <w:rsid w:val="005E4711"/>
    <w:rsid w:val="005E47CD"/>
    <w:rsid w:val="005E4A1C"/>
    <w:rsid w:val="005E5327"/>
    <w:rsid w:val="005E534E"/>
    <w:rsid w:val="005E576F"/>
    <w:rsid w:val="005E5AD3"/>
    <w:rsid w:val="005E5C24"/>
    <w:rsid w:val="005E5E7F"/>
    <w:rsid w:val="005E604F"/>
    <w:rsid w:val="005E6CA4"/>
    <w:rsid w:val="005E6F0E"/>
    <w:rsid w:val="005E7283"/>
    <w:rsid w:val="005E73B5"/>
    <w:rsid w:val="005E7CBC"/>
    <w:rsid w:val="005F05CA"/>
    <w:rsid w:val="005F0761"/>
    <w:rsid w:val="005F0885"/>
    <w:rsid w:val="005F1140"/>
    <w:rsid w:val="005F1167"/>
    <w:rsid w:val="005F1A97"/>
    <w:rsid w:val="005F1E68"/>
    <w:rsid w:val="005F20BE"/>
    <w:rsid w:val="005F2237"/>
    <w:rsid w:val="005F24B1"/>
    <w:rsid w:val="005F26FC"/>
    <w:rsid w:val="005F28DD"/>
    <w:rsid w:val="005F28EA"/>
    <w:rsid w:val="005F2D93"/>
    <w:rsid w:val="005F333C"/>
    <w:rsid w:val="005F345D"/>
    <w:rsid w:val="005F348D"/>
    <w:rsid w:val="005F3949"/>
    <w:rsid w:val="005F3A3E"/>
    <w:rsid w:val="005F4CFB"/>
    <w:rsid w:val="005F51F5"/>
    <w:rsid w:val="005F54C6"/>
    <w:rsid w:val="005F5609"/>
    <w:rsid w:val="005F5A25"/>
    <w:rsid w:val="005F63EE"/>
    <w:rsid w:val="005F667C"/>
    <w:rsid w:val="005F69D9"/>
    <w:rsid w:val="005F6B32"/>
    <w:rsid w:val="005F6CC0"/>
    <w:rsid w:val="005F6E18"/>
    <w:rsid w:val="005F7DF2"/>
    <w:rsid w:val="005F7ED7"/>
    <w:rsid w:val="006001B3"/>
    <w:rsid w:val="00600451"/>
    <w:rsid w:val="00600670"/>
    <w:rsid w:val="006006F6"/>
    <w:rsid w:val="00600DB1"/>
    <w:rsid w:val="006022FD"/>
    <w:rsid w:val="00602CAE"/>
    <w:rsid w:val="00602ECE"/>
    <w:rsid w:val="00603032"/>
    <w:rsid w:val="00604C45"/>
    <w:rsid w:val="00604FCA"/>
    <w:rsid w:val="00605048"/>
    <w:rsid w:val="006052FA"/>
    <w:rsid w:val="006054CC"/>
    <w:rsid w:val="006054EE"/>
    <w:rsid w:val="00606127"/>
    <w:rsid w:val="006061F1"/>
    <w:rsid w:val="00606579"/>
    <w:rsid w:val="00606AE5"/>
    <w:rsid w:val="00606BB0"/>
    <w:rsid w:val="00606DB7"/>
    <w:rsid w:val="0060724E"/>
    <w:rsid w:val="006074CA"/>
    <w:rsid w:val="00607CF0"/>
    <w:rsid w:val="006102FD"/>
    <w:rsid w:val="0061036C"/>
    <w:rsid w:val="00611490"/>
    <w:rsid w:val="00611638"/>
    <w:rsid w:val="00611828"/>
    <w:rsid w:val="00611C37"/>
    <w:rsid w:val="006120DC"/>
    <w:rsid w:val="0061246A"/>
    <w:rsid w:val="00612553"/>
    <w:rsid w:val="00613713"/>
    <w:rsid w:val="00613CE0"/>
    <w:rsid w:val="006143DE"/>
    <w:rsid w:val="006146F4"/>
    <w:rsid w:val="00614BD6"/>
    <w:rsid w:val="00614CA4"/>
    <w:rsid w:val="0061532D"/>
    <w:rsid w:val="0061570C"/>
    <w:rsid w:val="00616339"/>
    <w:rsid w:val="00616709"/>
    <w:rsid w:val="00616D8B"/>
    <w:rsid w:val="006170F6"/>
    <w:rsid w:val="006177A2"/>
    <w:rsid w:val="0061796D"/>
    <w:rsid w:val="00617CEF"/>
    <w:rsid w:val="0061BDF3"/>
    <w:rsid w:val="00620336"/>
    <w:rsid w:val="00620558"/>
    <w:rsid w:val="00620C83"/>
    <w:rsid w:val="00620CF5"/>
    <w:rsid w:val="006221B6"/>
    <w:rsid w:val="0062357B"/>
    <w:rsid w:val="00623903"/>
    <w:rsid w:val="00624181"/>
    <w:rsid w:val="00624757"/>
    <w:rsid w:val="0062479F"/>
    <w:rsid w:val="00624901"/>
    <w:rsid w:val="00624BA1"/>
    <w:rsid w:val="006255B2"/>
    <w:rsid w:val="00625C2C"/>
    <w:rsid w:val="00625C92"/>
    <w:rsid w:val="00626231"/>
    <w:rsid w:val="00626273"/>
    <w:rsid w:val="00626511"/>
    <w:rsid w:val="00626C40"/>
    <w:rsid w:val="006271DE"/>
    <w:rsid w:val="00627BB2"/>
    <w:rsid w:val="00627BF4"/>
    <w:rsid w:val="00627EDF"/>
    <w:rsid w:val="00630426"/>
    <w:rsid w:val="00630586"/>
    <w:rsid w:val="006305D0"/>
    <w:rsid w:val="00630911"/>
    <w:rsid w:val="006309FD"/>
    <w:rsid w:val="006316D5"/>
    <w:rsid w:val="006316E9"/>
    <w:rsid w:val="00631BE6"/>
    <w:rsid w:val="00631D8B"/>
    <w:rsid w:val="00632027"/>
    <w:rsid w:val="0063216B"/>
    <w:rsid w:val="0063296E"/>
    <w:rsid w:val="00632F11"/>
    <w:rsid w:val="00633359"/>
    <w:rsid w:val="00633FCF"/>
    <w:rsid w:val="00634261"/>
    <w:rsid w:val="00634733"/>
    <w:rsid w:val="006348F8"/>
    <w:rsid w:val="00634AB9"/>
    <w:rsid w:val="00634C41"/>
    <w:rsid w:val="00635759"/>
    <w:rsid w:val="00635881"/>
    <w:rsid w:val="00635E0C"/>
    <w:rsid w:val="00636515"/>
    <w:rsid w:val="006365C3"/>
    <w:rsid w:val="006368E4"/>
    <w:rsid w:val="006372D7"/>
    <w:rsid w:val="00637823"/>
    <w:rsid w:val="00637A98"/>
    <w:rsid w:val="00637F60"/>
    <w:rsid w:val="0064048D"/>
    <w:rsid w:val="0064065E"/>
    <w:rsid w:val="00640C7E"/>
    <w:rsid w:val="00640FD8"/>
    <w:rsid w:val="0064146C"/>
    <w:rsid w:val="006422FD"/>
    <w:rsid w:val="0064257D"/>
    <w:rsid w:val="00642751"/>
    <w:rsid w:val="00642858"/>
    <w:rsid w:val="006428DA"/>
    <w:rsid w:val="0064391E"/>
    <w:rsid w:val="00643FEB"/>
    <w:rsid w:val="006454C5"/>
    <w:rsid w:val="00645760"/>
    <w:rsid w:val="00646BC2"/>
    <w:rsid w:val="00647007"/>
    <w:rsid w:val="00647087"/>
    <w:rsid w:val="006472FD"/>
    <w:rsid w:val="0064741C"/>
    <w:rsid w:val="00647D21"/>
    <w:rsid w:val="00647F71"/>
    <w:rsid w:val="0065036A"/>
    <w:rsid w:val="006506C3"/>
    <w:rsid w:val="00650859"/>
    <w:rsid w:val="00650C40"/>
    <w:rsid w:val="00650FB0"/>
    <w:rsid w:val="006516F5"/>
    <w:rsid w:val="00651939"/>
    <w:rsid w:val="00651FB8"/>
    <w:rsid w:val="00652067"/>
    <w:rsid w:val="00652562"/>
    <w:rsid w:val="00652794"/>
    <w:rsid w:val="006528B1"/>
    <w:rsid w:val="00652BFC"/>
    <w:rsid w:val="00652E0E"/>
    <w:rsid w:val="00653D2B"/>
    <w:rsid w:val="00653D87"/>
    <w:rsid w:val="00653EC5"/>
    <w:rsid w:val="0065414D"/>
    <w:rsid w:val="006552DA"/>
    <w:rsid w:val="0065543A"/>
    <w:rsid w:val="00655483"/>
    <w:rsid w:val="006557B9"/>
    <w:rsid w:val="0065698E"/>
    <w:rsid w:val="00656BA6"/>
    <w:rsid w:val="0065708D"/>
    <w:rsid w:val="006575EB"/>
    <w:rsid w:val="006579AE"/>
    <w:rsid w:val="006602E6"/>
    <w:rsid w:val="0066074B"/>
    <w:rsid w:val="0066091F"/>
    <w:rsid w:val="006614B5"/>
    <w:rsid w:val="006624A4"/>
    <w:rsid w:val="00662BE0"/>
    <w:rsid w:val="0066380F"/>
    <w:rsid w:val="00663863"/>
    <w:rsid w:val="00663958"/>
    <w:rsid w:val="00663B0E"/>
    <w:rsid w:val="00664677"/>
    <w:rsid w:val="0066565B"/>
    <w:rsid w:val="00665D2F"/>
    <w:rsid w:val="00666ADB"/>
    <w:rsid w:val="006674F4"/>
    <w:rsid w:val="00667B3E"/>
    <w:rsid w:val="00667CDC"/>
    <w:rsid w:val="00667E6A"/>
    <w:rsid w:val="00667F0F"/>
    <w:rsid w:val="0067058B"/>
    <w:rsid w:val="006705D5"/>
    <w:rsid w:val="00670E0D"/>
    <w:rsid w:val="00670FC0"/>
    <w:rsid w:val="00671043"/>
    <w:rsid w:val="00671608"/>
    <w:rsid w:val="0067272B"/>
    <w:rsid w:val="006728DF"/>
    <w:rsid w:val="00673AE3"/>
    <w:rsid w:val="00673AEA"/>
    <w:rsid w:val="00674009"/>
    <w:rsid w:val="00674AD5"/>
    <w:rsid w:val="00674BF8"/>
    <w:rsid w:val="006755F1"/>
    <w:rsid w:val="00675758"/>
    <w:rsid w:val="00675E5B"/>
    <w:rsid w:val="00676233"/>
    <w:rsid w:val="00677067"/>
    <w:rsid w:val="00677179"/>
    <w:rsid w:val="006772BF"/>
    <w:rsid w:val="0068063C"/>
    <w:rsid w:val="0068066B"/>
    <w:rsid w:val="006808B1"/>
    <w:rsid w:val="006812EF"/>
    <w:rsid w:val="00682914"/>
    <w:rsid w:val="00682A85"/>
    <w:rsid w:val="006831C8"/>
    <w:rsid w:val="0068330F"/>
    <w:rsid w:val="00683407"/>
    <w:rsid w:val="0068349E"/>
    <w:rsid w:val="00683A67"/>
    <w:rsid w:val="006855FE"/>
    <w:rsid w:val="00685A05"/>
    <w:rsid w:val="00685F25"/>
    <w:rsid w:val="006863CA"/>
    <w:rsid w:val="00686532"/>
    <w:rsid w:val="00686812"/>
    <w:rsid w:val="00686DB4"/>
    <w:rsid w:val="00687A16"/>
    <w:rsid w:val="00687B32"/>
    <w:rsid w:val="00687EED"/>
    <w:rsid w:val="00687FCF"/>
    <w:rsid w:val="006902A0"/>
    <w:rsid w:val="006903C7"/>
    <w:rsid w:val="006904EC"/>
    <w:rsid w:val="00690697"/>
    <w:rsid w:val="00690D0A"/>
    <w:rsid w:val="00691525"/>
    <w:rsid w:val="00691C2A"/>
    <w:rsid w:val="006925D7"/>
    <w:rsid w:val="00692FCD"/>
    <w:rsid w:val="00693339"/>
    <w:rsid w:val="006933CF"/>
    <w:rsid w:val="0069340D"/>
    <w:rsid w:val="0069346A"/>
    <w:rsid w:val="0069386E"/>
    <w:rsid w:val="00693AA1"/>
    <w:rsid w:val="00693BE5"/>
    <w:rsid w:val="00693E9D"/>
    <w:rsid w:val="00693F91"/>
    <w:rsid w:val="00694503"/>
    <w:rsid w:val="006947FC"/>
    <w:rsid w:val="00694DED"/>
    <w:rsid w:val="00694ECD"/>
    <w:rsid w:val="00695B81"/>
    <w:rsid w:val="00695D10"/>
    <w:rsid w:val="00696650"/>
    <w:rsid w:val="00696E5B"/>
    <w:rsid w:val="00697E03"/>
    <w:rsid w:val="006A02B2"/>
    <w:rsid w:val="006A06A9"/>
    <w:rsid w:val="006A0E3F"/>
    <w:rsid w:val="006A10C8"/>
    <w:rsid w:val="006A19E3"/>
    <w:rsid w:val="006A209F"/>
    <w:rsid w:val="006A2926"/>
    <w:rsid w:val="006A2E2E"/>
    <w:rsid w:val="006A2F9E"/>
    <w:rsid w:val="006A3626"/>
    <w:rsid w:val="006A3DCD"/>
    <w:rsid w:val="006A4307"/>
    <w:rsid w:val="006A45E9"/>
    <w:rsid w:val="006A460F"/>
    <w:rsid w:val="006A4C93"/>
    <w:rsid w:val="006A4DC0"/>
    <w:rsid w:val="006A5A28"/>
    <w:rsid w:val="006A5C81"/>
    <w:rsid w:val="006A6196"/>
    <w:rsid w:val="006A6B8E"/>
    <w:rsid w:val="006A73F9"/>
    <w:rsid w:val="006A782A"/>
    <w:rsid w:val="006A7DD6"/>
    <w:rsid w:val="006B0BFF"/>
    <w:rsid w:val="006B1242"/>
    <w:rsid w:val="006B1C11"/>
    <w:rsid w:val="006B231D"/>
    <w:rsid w:val="006B2436"/>
    <w:rsid w:val="006B28E5"/>
    <w:rsid w:val="006B312A"/>
    <w:rsid w:val="006B33B0"/>
    <w:rsid w:val="006B3CE0"/>
    <w:rsid w:val="006B3F22"/>
    <w:rsid w:val="006B407E"/>
    <w:rsid w:val="006B4359"/>
    <w:rsid w:val="006B449F"/>
    <w:rsid w:val="006B45C0"/>
    <w:rsid w:val="006B4F81"/>
    <w:rsid w:val="006B533A"/>
    <w:rsid w:val="006B5608"/>
    <w:rsid w:val="006B5AB0"/>
    <w:rsid w:val="006B5C22"/>
    <w:rsid w:val="006B6013"/>
    <w:rsid w:val="006B72A6"/>
    <w:rsid w:val="006B73DE"/>
    <w:rsid w:val="006B75CF"/>
    <w:rsid w:val="006B76F4"/>
    <w:rsid w:val="006B7D19"/>
    <w:rsid w:val="006B7F6C"/>
    <w:rsid w:val="006C02A6"/>
    <w:rsid w:val="006C1377"/>
    <w:rsid w:val="006C13C1"/>
    <w:rsid w:val="006C1913"/>
    <w:rsid w:val="006C24AD"/>
    <w:rsid w:val="006C25F0"/>
    <w:rsid w:val="006C2744"/>
    <w:rsid w:val="006C2949"/>
    <w:rsid w:val="006C29FF"/>
    <w:rsid w:val="006C2A59"/>
    <w:rsid w:val="006C3031"/>
    <w:rsid w:val="006C3C48"/>
    <w:rsid w:val="006C3CBB"/>
    <w:rsid w:val="006C3D2F"/>
    <w:rsid w:val="006C3E43"/>
    <w:rsid w:val="006C3F20"/>
    <w:rsid w:val="006C4B6C"/>
    <w:rsid w:val="006C5260"/>
    <w:rsid w:val="006C54F6"/>
    <w:rsid w:val="006C5555"/>
    <w:rsid w:val="006C63F0"/>
    <w:rsid w:val="006C6941"/>
    <w:rsid w:val="006C6D1F"/>
    <w:rsid w:val="006C7E51"/>
    <w:rsid w:val="006D05F7"/>
    <w:rsid w:val="006D0E0A"/>
    <w:rsid w:val="006D113A"/>
    <w:rsid w:val="006D18CD"/>
    <w:rsid w:val="006D1F9F"/>
    <w:rsid w:val="006D3EC2"/>
    <w:rsid w:val="006D4568"/>
    <w:rsid w:val="006D45C8"/>
    <w:rsid w:val="006D49C5"/>
    <w:rsid w:val="006D5964"/>
    <w:rsid w:val="006D5A24"/>
    <w:rsid w:val="006D5AEA"/>
    <w:rsid w:val="006D6469"/>
    <w:rsid w:val="006D6D40"/>
    <w:rsid w:val="006D6F7F"/>
    <w:rsid w:val="006D7026"/>
    <w:rsid w:val="006D7292"/>
    <w:rsid w:val="006D769B"/>
    <w:rsid w:val="006D76EE"/>
    <w:rsid w:val="006D77C4"/>
    <w:rsid w:val="006E011B"/>
    <w:rsid w:val="006E054E"/>
    <w:rsid w:val="006E0820"/>
    <w:rsid w:val="006E08A0"/>
    <w:rsid w:val="006E109B"/>
    <w:rsid w:val="006E153F"/>
    <w:rsid w:val="006E1826"/>
    <w:rsid w:val="006E1A0F"/>
    <w:rsid w:val="006E1D5F"/>
    <w:rsid w:val="006E1E73"/>
    <w:rsid w:val="006E1ED2"/>
    <w:rsid w:val="006E29D2"/>
    <w:rsid w:val="006E2B73"/>
    <w:rsid w:val="006E34A9"/>
    <w:rsid w:val="006E3CDD"/>
    <w:rsid w:val="006E4751"/>
    <w:rsid w:val="006E6041"/>
    <w:rsid w:val="006E60CA"/>
    <w:rsid w:val="006E61E2"/>
    <w:rsid w:val="006E6263"/>
    <w:rsid w:val="006E64F7"/>
    <w:rsid w:val="006E6C62"/>
    <w:rsid w:val="006E73C0"/>
    <w:rsid w:val="006E7D7C"/>
    <w:rsid w:val="006F03EB"/>
    <w:rsid w:val="006F040B"/>
    <w:rsid w:val="006F0D3E"/>
    <w:rsid w:val="006F0DEF"/>
    <w:rsid w:val="006F1367"/>
    <w:rsid w:val="006F1672"/>
    <w:rsid w:val="006F16AD"/>
    <w:rsid w:val="006F1D1E"/>
    <w:rsid w:val="006F1E15"/>
    <w:rsid w:val="006F1F22"/>
    <w:rsid w:val="006F24D5"/>
    <w:rsid w:val="006F276F"/>
    <w:rsid w:val="006F2C36"/>
    <w:rsid w:val="006F2DBD"/>
    <w:rsid w:val="006F2F53"/>
    <w:rsid w:val="006F3315"/>
    <w:rsid w:val="006F370E"/>
    <w:rsid w:val="006F375F"/>
    <w:rsid w:val="006F3D26"/>
    <w:rsid w:val="006F4355"/>
    <w:rsid w:val="006F5005"/>
    <w:rsid w:val="006F501B"/>
    <w:rsid w:val="006F50EE"/>
    <w:rsid w:val="006F53BE"/>
    <w:rsid w:val="006F5574"/>
    <w:rsid w:val="006F5621"/>
    <w:rsid w:val="006F5855"/>
    <w:rsid w:val="006F5892"/>
    <w:rsid w:val="006F5AB5"/>
    <w:rsid w:val="006F6F00"/>
    <w:rsid w:val="006F7191"/>
    <w:rsid w:val="006F77E7"/>
    <w:rsid w:val="00700264"/>
    <w:rsid w:val="0070036E"/>
    <w:rsid w:val="00701725"/>
    <w:rsid w:val="00701A5E"/>
    <w:rsid w:val="00701AA3"/>
    <w:rsid w:val="00701CC2"/>
    <w:rsid w:val="00702017"/>
    <w:rsid w:val="007028D2"/>
    <w:rsid w:val="00703AAF"/>
    <w:rsid w:val="00703FCB"/>
    <w:rsid w:val="00704F21"/>
    <w:rsid w:val="007050FD"/>
    <w:rsid w:val="00705979"/>
    <w:rsid w:val="00706878"/>
    <w:rsid w:val="00706A2D"/>
    <w:rsid w:val="00706A87"/>
    <w:rsid w:val="00707047"/>
    <w:rsid w:val="00707937"/>
    <w:rsid w:val="00707B10"/>
    <w:rsid w:val="00707EFE"/>
    <w:rsid w:val="007105E8"/>
    <w:rsid w:val="0071092F"/>
    <w:rsid w:val="007116FF"/>
    <w:rsid w:val="00711FBE"/>
    <w:rsid w:val="0071293A"/>
    <w:rsid w:val="007129BF"/>
    <w:rsid w:val="00712AB8"/>
    <w:rsid w:val="00712EDD"/>
    <w:rsid w:val="00712F3B"/>
    <w:rsid w:val="007131C6"/>
    <w:rsid w:val="00713461"/>
    <w:rsid w:val="00713519"/>
    <w:rsid w:val="00713734"/>
    <w:rsid w:val="00714521"/>
    <w:rsid w:val="00714805"/>
    <w:rsid w:val="00715591"/>
    <w:rsid w:val="007155F2"/>
    <w:rsid w:val="00715A75"/>
    <w:rsid w:val="00715F27"/>
    <w:rsid w:val="007166C0"/>
    <w:rsid w:val="00716F0C"/>
    <w:rsid w:val="00717A5E"/>
    <w:rsid w:val="00717D4D"/>
    <w:rsid w:val="007206A7"/>
    <w:rsid w:val="00720A12"/>
    <w:rsid w:val="007218B5"/>
    <w:rsid w:val="0072209A"/>
    <w:rsid w:val="007224C8"/>
    <w:rsid w:val="00722559"/>
    <w:rsid w:val="00722711"/>
    <w:rsid w:val="00722729"/>
    <w:rsid w:val="00722B1A"/>
    <w:rsid w:val="00724183"/>
    <w:rsid w:val="0072419A"/>
    <w:rsid w:val="0072437A"/>
    <w:rsid w:val="00724A86"/>
    <w:rsid w:val="00724BF5"/>
    <w:rsid w:val="00724F68"/>
    <w:rsid w:val="0072524A"/>
    <w:rsid w:val="0072543F"/>
    <w:rsid w:val="00726FDF"/>
    <w:rsid w:val="00727328"/>
    <w:rsid w:val="00727C5F"/>
    <w:rsid w:val="00731091"/>
    <w:rsid w:val="00731184"/>
    <w:rsid w:val="0073122C"/>
    <w:rsid w:val="0073144B"/>
    <w:rsid w:val="00732221"/>
    <w:rsid w:val="00732E14"/>
    <w:rsid w:val="0073314E"/>
    <w:rsid w:val="00733837"/>
    <w:rsid w:val="007342F6"/>
    <w:rsid w:val="0073563B"/>
    <w:rsid w:val="00735899"/>
    <w:rsid w:val="00735CD5"/>
    <w:rsid w:val="00735DFB"/>
    <w:rsid w:val="007364B5"/>
    <w:rsid w:val="007366B5"/>
    <w:rsid w:val="00736930"/>
    <w:rsid w:val="0073771B"/>
    <w:rsid w:val="00740385"/>
    <w:rsid w:val="007405B1"/>
    <w:rsid w:val="00740B2E"/>
    <w:rsid w:val="00740B82"/>
    <w:rsid w:val="00740BDA"/>
    <w:rsid w:val="00740E1D"/>
    <w:rsid w:val="00741920"/>
    <w:rsid w:val="00741A20"/>
    <w:rsid w:val="00742434"/>
    <w:rsid w:val="00742D0D"/>
    <w:rsid w:val="00742D72"/>
    <w:rsid w:val="0074309F"/>
    <w:rsid w:val="007433FC"/>
    <w:rsid w:val="00743D7F"/>
    <w:rsid w:val="00745024"/>
    <w:rsid w:val="007450A2"/>
    <w:rsid w:val="0074541C"/>
    <w:rsid w:val="007458C3"/>
    <w:rsid w:val="00745F92"/>
    <w:rsid w:val="00746E85"/>
    <w:rsid w:val="00747305"/>
    <w:rsid w:val="0074732D"/>
    <w:rsid w:val="00750006"/>
    <w:rsid w:val="007507C6"/>
    <w:rsid w:val="00750B15"/>
    <w:rsid w:val="00750B70"/>
    <w:rsid w:val="0075147D"/>
    <w:rsid w:val="007516C9"/>
    <w:rsid w:val="00751F0B"/>
    <w:rsid w:val="007522C5"/>
    <w:rsid w:val="0075260E"/>
    <w:rsid w:val="0075290A"/>
    <w:rsid w:val="00752F97"/>
    <w:rsid w:val="00753738"/>
    <w:rsid w:val="00753C15"/>
    <w:rsid w:val="007543DD"/>
    <w:rsid w:val="00754468"/>
    <w:rsid w:val="0075446F"/>
    <w:rsid w:val="0075457A"/>
    <w:rsid w:val="007551B5"/>
    <w:rsid w:val="007554D9"/>
    <w:rsid w:val="00756163"/>
    <w:rsid w:val="00757091"/>
    <w:rsid w:val="007574CF"/>
    <w:rsid w:val="00757DAC"/>
    <w:rsid w:val="0076033C"/>
    <w:rsid w:val="007603A7"/>
    <w:rsid w:val="007612B9"/>
    <w:rsid w:val="00761879"/>
    <w:rsid w:val="00762C58"/>
    <w:rsid w:val="00763B73"/>
    <w:rsid w:val="00763E72"/>
    <w:rsid w:val="0076406C"/>
    <w:rsid w:val="007647A4"/>
    <w:rsid w:val="00765745"/>
    <w:rsid w:val="007659A2"/>
    <w:rsid w:val="007661BA"/>
    <w:rsid w:val="007665A8"/>
    <w:rsid w:val="007669A1"/>
    <w:rsid w:val="00766A80"/>
    <w:rsid w:val="00766ABB"/>
    <w:rsid w:val="007677C6"/>
    <w:rsid w:val="007703FA"/>
    <w:rsid w:val="007710B6"/>
    <w:rsid w:val="007720AA"/>
    <w:rsid w:val="0077237B"/>
    <w:rsid w:val="0077259A"/>
    <w:rsid w:val="007726DC"/>
    <w:rsid w:val="00772DF4"/>
    <w:rsid w:val="0077358D"/>
    <w:rsid w:val="007738FA"/>
    <w:rsid w:val="0077397D"/>
    <w:rsid w:val="007744B1"/>
    <w:rsid w:val="0077457F"/>
    <w:rsid w:val="00774D27"/>
    <w:rsid w:val="00775112"/>
    <w:rsid w:val="007758C2"/>
    <w:rsid w:val="00775A23"/>
    <w:rsid w:val="00776B80"/>
    <w:rsid w:val="00776BB4"/>
    <w:rsid w:val="00776D4C"/>
    <w:rsid w:val="00776FEA"/>
    <w:rsid w:val="0077712C"/>
    <w:rsid w:val="007772E5"/>
    <w:rsid w:val="00777447"/>
    <w:rsid w:val="00777955"/>
    <w:rsid w:val="00777EBE"/>
    <w:rsid w:val="0078053B"/>
    <w:rsid w:val="007808CB"/>
    <w:rsid w:val="00780946"/>
    <w:rsid w:val="007821BD"/>
    <w:rsid w:val="00783372"/>
    <w:rsid w:val="0078376A"/>
    <w:rsid w:val="0078396D"/>
    <w:rsid w:val="00783BC7"/>
    <w:rsid w:val="00784418"/>
    <w:rsid w:val="00784553"/>
    <w:rsid w:val="00784AB4"/>
    <w:rsid w:val="00784AB6"/>
    <w:rsid w:val="0078583F"/>
    <w:rsid w:val="00786451"/>
    <w:rsid w:val="00786CFC"/>
    <w:rsid w:val="0078751C"/>
    <w:rsid w:val="0078786C"/>
    <w:rsid w:val="00787F5D"/>
    <w:rsid w:val="007901DF"/>
    <w:rsid w:val="007902AF"/>
    <w:rsid w:val="00791846"/>
    <w:rsid w:val="00791C1F"/>
    <w:rsid w:val="0079221C"/>
    <w:rsid w:val="00792814"/>
    <w:rsid w:val="007928B4"/>
    <w:rsid w:val="00792BD7"/>
    <w:rsid w:val="00793035"/>
    <w:rsid w:val="007930AD"/>
    <w:rsid w:val="00793470"/>
    <w:rsid w:val="00793825"/>
    <w:rsid w:val="00793AD3"/>
    <w:rsid w:val="007940A8"/>
    <w:rsid w:val="007940D3"/>
    <w:rsid w:val="007948C5"/>
    <w:rsid w:val="00794AF3"/>
    <w:rsid w:val="00796A33"/>
    <w:rsid w:val="0079784D"/>
    <w:rsid w:val="007978D0"/>
    <w:rsid w:val="00797CCF"/>
    <w:rsid w:val="00797F5D"/>
    <w:rsid w:val="007A027B"/>
    <w:rsid w:val="007A0318"/>
    <w:rsid w:val="007A0B4A"/>
    <w:rsid w:val="007A11D5"/>
    <w:rsid w:val="007A1352"/>
    <w:rsid w:val="007A1E4C"/>
    <w:rsid w:val="007A2A3B"/>
    <w:rsid w:val="007A2B06"/>
    <w:rsid w:val="007A2E85"/>
    <w:rsid w:val="007A334F"/>
    <w:rsid w:val="007A3DD6"/>
    <w:rsid w:val="007A3DE3"/>
    <w:rsid w:val="007A4610"/>
    <w:rsid w:val="007A4BC2"/>
    <w:rsid w:val="007A4C52"/>
    <w:rsid w:val="007A5ABF"/>
    <w:rsid w:val="007A5C09"/>
    <w:rsid w:val="007A6781"/>
    <w:rsid w:val="007A678A"/>
    <w:rsid w:val="007A6E48"/>
    <w:rsid w:val="007A7312"/>
    <w:rsid w:val="007A7EF2"/>
    <w:rsid w:val="007B0F06"/>
    <w:rsid w:val="007B13C9"/>
    <w:rsid w:val="007B217D"/>
    <w:rsid w:val="007B2282"/>
    <w:rsid w:val="007B2665"/>
    <w:rsid w:val="007B27F2"/>
    <w:rsid w:val="007B2991"/>
    <w:rsid w:val="007B3032"/>
    <w:rsid w:val="007B3938"/>
    <w:rsid w:val="007B3D06"/>
    <w:rsid w:val="007B42C4"/>
    <w:rsid w:val="007B4936"/>
    <w:rsid w:val="007B4A6A"/>
    <w:rsid w:val="007B4D75"/>
    <w:rsid w:val="007B5E6D"/>
    <w:rsid w:val="007B6140"/>
    <w:rsid w:val="007B777A"/>
    <w:rsid w:val="007B7912"/>
    <w:rsid w:val="007B7C85"/>
    <w:rsid w:val="007C00F7"/>
    <w:rsid w:val="007C0184"/>
    <w:rsid w:val="007C0A23"/>
    <w:rsid w:val="007C1112"/>
    <w:rsid w:val="007C2410"/>
    <w:rsid w:val="007C2AFB"/>
    <w:rsid w:val="007C2E3E"/>
    <w:rsid w:val="007C3450"/>
    <w:rsid w:val="007C427F"/>
    <w:rsid w:val="007C4536"/>
    <w:rsid w:val="007C4EA1"/>
    <w:rsid w:val="007C4FFF"/>
    <w:rsid w:val="007C52D6"/>
    <w:rsid w:val="007C57A4"/>
    <w:rsid w:val="007C5CE6"/>
    <w:rsid w:val="007C68C1"/>
    <w:rsid w:val="007C6C14"/>
    <w:rsid w:val="007D007E"/>
    <w:rsid w:val="007D0165"/>
    <w:rsid w:val="007D095B"/>
    <w:rsid w:val="007D0C81"/>
    <w:rsid w:val="007D0D4D"/>
    <w:rsid w:val="007D1D91"/>
    <w:rsid w:val="007D1F7D"/>
    <w:rsid w:val="007D23CD"/>
    <w:rsid w:val="007D26E2"/>
    <w:rsid w:val="007D27EB"/>
    <w:rsid w:val="007D282B"/>
    <w:rsid w:val="007D2891"/>
    <w:rsid w:val="007D28B3"/>
    <w:rsid w:val="007D314D"/>
    <w:rsid w:val="007D3784"/>
    <w:rsid w:val="007D38CF"/>
    <w:rsid w:val="007D3A96"/>
    <w:rsid w:val="007D4029"/>
    <w:rsid w:val="007D485D"/>
    <w:rsid w:val="007D4E3C"/>
    <w:rsid w:val="007D54D1"/>
    <w:rsid w:val="007D558F"/>
    <w:rsid w:val="007D6409"/>
    <w:rsid w:val="007D6926"/>
    <w:rsid w:val="007D77CE"/>
    <w:rsid w:val="007D79C6"/>
    <w:rsid w:val="007E0023"/>
    <w:rsid w:val="007E05B7"/>
    <w:rsid w:val="007E0A86"/>
    <w:rsid w:val="007E1363"/>
    <w:rsid w:val="007E186B"/>
    <w:rsid w:val="007E1924"/>
    <w:rsid w:val="007E269B"/>
    <w:rsid w:val="007E364E"/>
    <w:rsid w:val="007E420F"/>
    <w:rsid w:val="007E4233"/>
    <w:rsid w:val="007E46B7"/>
    <w:rsid w:val="007E489E"/>
    <w:rsid w:val="007E519F"/>
    <w:rsid w:val="007E524F"/>
    <w:rsid w:val="007E52B7"/>
    <w:rsid w:val="007E5430"/>
    <w:rsid w:val="007E567B"/>
    <w:rsid w:val="007E65FE"/>
    <w:rsid w:val="007E6A47"/>
    <w:rsid w:val="007E6B09"/>
    <w:rsid w:val="007E7103"/>
    <w:rsid w:val="007E762E"/>
    <w:rsid w:val="007E78CD"/>
    <w:rsid w:val="007E7CFA"/>
    <w:rsid w:val="007E7D27"/>
    <w:rsid w:val="007F0358"/>
    <w:rsid w:val="007F08DD"/>
    <w:rsid w:val="007F0B0D"/>
    <w:rsid w:val="007F0D21"/>
    <w:rsid w:val="007F0EAF"/>
    <w:rsid w:val="007F1342"/>
    <w:rsid w:val="007F183E"/>
    <w:rsid w:val="007F1D8E"/>
    <w:rsid w:val="007F2A30"/>
    <w:rsid w:val="007F322D"/>
    <w:rsid w:val="007F340B"/>
    <w:rsid w:val="007F36C3"/>
    <w:rsid w:val="007F389D"/>
    <w:rsid w:val="007F3B5F"/>
    <w:rsid w:val="007F4326"/>
    <w:rsid w:val="007F43FE"/>
    <w:rsid w:val="007F47E8"/>
    <w:rsid w:val="007F47F3"/>
    <w:rsid w:val="007F544F"/>
    <w:rsid w:val="007F573C"/>
    <w:rsid w:val="007F5C9F"/>
    <w:rsid w:val="007F616D"/>
    <w:rsid w:val="007F674C"/>
    <w:rsid w:val="007F6878"/>
    <w:rsid w:val="007F7280"/>
    <w:rsid w:val="007F75BF"/>
    <w:rsid w:val="007F7C35"/>
    <w:rsid w:val="007F7E1E"/>
    <w:rsid w:val="007F7F5F"/>
    <w:rsid w:val="00800A59"/>
    <w:rsid w:val="00800C3C"/>
    <w:rsid w:val="00800DA8"/>
    <w:rsid w:val="00800F35"/>
    <w:rsid w:val="008012A4"/>
    <w:rsid w:val="00801E55"/>
    <w:rsid w:val="008020D4"/>
    <w:rsid w:val="00802F9F"/>
    <w:rsid w:val="008034C9"/>
    <w:rsid w:val="008042C1"/>
    <w:rsid w:val="0080439A"/>
    <w:rsid w:val="008048B6"/>
    <w:rsid w:val="0080503D"/>
    <w:rsid w:val="008051A8"/>
    <w:rsid w:val="00806344"/>
    <w:rsid w:val="008069D7"/>
    <w:rsid w:val="00806A9B"/>
    <w:rsid w:val="00807132"/>
    <w:rsid w:val="00807A24"/>
    <w:rsid w:val="00807A92"/>
    <w:rsid w:val="00810D78"/>
    <w:rsid w:val="00811EF6"/>
    <w:rsid w:val="00811F7C"/>
    <w:rsid w:val="008121C3"/>
    <w:rsid w:val="00812A92"/>
    <w:rsid w:val="00812B7B"/>
    <w:rsid w:val="00812EDC"/>
    <w:rsid w:val="00813201"/>
    <w:rsid w:val="00813B31"/>
    <w:rsid w:val="00814487"/>
    <w:rsid w:val="00814B95"/>
    <w:rsid w:val="00815681"/>
    <w:rsid w:val="0081593C"/>
    <w:rsid w:val="00815ABB"/>
    <w:rsid w:val="008166D3"/>
    <w:rsid w:val="0081679B"/>
    <w:rsid w:val="0081683D"/>
    <w:rsid w:val="00816AF1"/>
    <w:rsid w:val="00816C01"/>
    <w:rsid w:val="00816F11"/>
    <w:rsid w:val="0081703A"/>
    <w:rsid w:val="008171D4"/>
    <w:rsid w:val="0082000E"/>
    <w:rsid w:val="00820B05"/>
    <w:rsid w:val="008212BA"/>
    <w:rsid w:val="008214D5"/>
    <w:rsid w:val="00821799"/>
    <w:rsid w:val="00821BB7"/>
    <w:rsid w:val="00822337"/>
    <w:rsid w:val="00822639"/>
    <w:rsid w:val="00822659"/>
    <w:rsid w:val="00822EC3"/>
    <w:rsid w:val="00823028"/>
    <w:rsid w:val="008230BA"/>
    <w:rsid w:val="0082328C"/>
    <w:rsid w:val="00823E9F"/>
    <w:rsid w:val="00824534"/>
    <w:rsid w:val="008253A1"/>
    <w:rsid w:val="008254B0"/>
    <w:rsid w:val="00825A43"/>
    <w:rsid w:val="00825B00"/>
    <w:rsid w:val="00825B08"/>
    <w:rsid w:val="00825F39"/>
    <w:rsid w:val="00825F7A"/>
    <w:rsid w:val="0082641C"/>
    <w:rsid w:val="0082682B"/>
    <w:rsid w:val="00826FC6"/>
    <w:rsid w:val="00827652"/>
    <w:rsid w:val="00827759"/>
    <w:rsid w:val="008278B0"/>
    <w:rsid w:val="00827B01"/>
    <w:rsid w:val="00830024"/>
    <w:rsid w:val="0083023B"/>
    <w:rsid w:val="00830473"/>
    <w:rsid w:val="008311E6"/>
    <w:rsid w:val="00831B7A"/>
    <w:rsid w:val="00831BFB"/>
    <w:rsid w:val="00831C0D"/>
    <w:rsid w:val="00831F97"/>
    <w:rsid w:val="0083343C"/>
    <w:rsid w:val="0083355F"/>
    <w:rsid w:val="00833750"/>
    <w:rsid w:val="00833ABC"/>
    <w:rsid w:val="00833DD2"/>
    <w:rsid w:val="008342D4"/>
    <w:rsid w:val="008347B6"/>
    <w:rsid w:val="00834ED1"/>
    <w:rsid w:val="00835703"/>
    <w:rsid w:val="00835834"/>
    <w:rsid w:val="00835A1E"/>
    <w:rsid w:val="0083634D"/>
    <w:rsid w:val="008363F9"/>
    <w:rsid w:val="0083659C"/>
    <w:rsid w:val="00836659"/>
    <w:rsid w:val="008379CC"/>
    <w:rsid w:val="00837B40"/>
    <w:rsid w:val="00840133"/>
    <w:rsid w:val="008402FA"/>
    <w:rsid w:val="00840AA4"/>
    <w:rsid w:val="0084104B"/>
    <w:rsid w:val="00841292"/>
    <w:rsid w:val="008419DC"/>
    <w:rsid w:val="00841DC7"/>
    <w:rsid w:val="008423C9"/>
    <w:rsid w:val="008425DD"/>
    <w:rsid w:val="00842656"/>
    <w:rsid w:val="00842977"/>
    <w:rsid w:val="00842B30"/>
    <w:rsid w:val="00843068"/>
    <w:rsid w:val="008430C7"/>
    <w:rsid w:val="00843CEC"/>
    <w:rsid w:val="00844143"/>
    <w:rsid w:val="00844E31"/>
    <w:rsid w:val="00844F83"/>
    <w:rsid w:val="0084572F"/>
    <w:rsid w:val="00846141"/>
    <w:rsid w:val="008463DC"/>
    <w:rsid w:val="0084657F"/>
    <w:rsid w:val="00846C40"/>
    <w:rsid w:val="008470AE"/>
    <w:rsid w:val="008475FE"/>
    <w:rsid w:val="00847EF5"/>
    <w:rsid w:val="00847FBE"/>
    <w:rsid w:val="00850343"/>
    <w:rsid w:val="00850CEF"/>
    <w:rsid w:val="00851534"/>
    <w:rsid w:val="00851E61"/>
    <w:rsid w:val="00852A1A"/>
    <w:rsid w:val="00852F6E"/>
    <w:rsid w:val="00853290"/>
    <w:rsid w:val="0085344D"/>
    <w:rsid w:val="00853EC4"/>
    <w:rsid w:val="00854119"/>
    <w:rsid w:val="00854303"/>
    <w:rsid w:val="00854C38"/>
    <w:rsid w:val="00854D9D"/>
    <w:rsid w:val="00854EC7"/>
    <w:rsid w:val="0085577A"/>
    <w:rsid w:val="00855865"/>
    <w:rsid w:val="00855C91"/>
    <w:rsid w:val="008562C0"/>
    <w:rsid w:val="0085711D"/>
    <w:rsid w:val="0085737A"/>
    <w:rsid w:val="00857449"/>
    <w:rsid w:val="00857824"/>
    <w:rsid w:val="00857A07"/>
    <w:rsid w:val="00857DA9"/>
    <w:rsid w:val="00857DCB"/>
    <w:rsid w:val="008605B7"/>
    <w:rsid w:val="00861349"/>
    <w:rsid w:val="008613D1"/>
    <w:rsid w:val="00861598"/>
    <w:rsid w:val="008618B5"/>
    <w:rsid w:val="00861A7D"/>
    <w:rsid w:val="00861B51"/>
    <w:rsid w:val="00861D29"/>
    <w:rsid w:val="00861DAE"/>
    <w:rsid w:val="00862297"/>
    <w:rsid w:val="00862D14"/>
    <w:rsid w:val="00862DD1"/>
    <w:rsid w:val="008630A2"/>
    <w:rsid w:val="00863166"/>
    <w:rsid w:val="008632B8"/>
    <w:rsid w:val="008635CC"/>
    <w:rsid w:val="008646A6"/>
    <w:rsid w:val="00864882"/>
    <w:rsid w:val="0086524B"/>
    <w:rsid w:val="0086527F"/>
    <w:rsid w:val="00866A5D"/>
    <w:rsid w:val="008672F6"/>
    <w:rsid w:val="008678D2"/>
    <w:rsid w:val="00867DE8"/>
    <w:rsid w:val="00867E8F"/>
    <w:rsid w:val="008707B8"/>
    <w:rsid w:val="00870E7B"/>
    <w:rsid w:val="0087188C"/>
    <w:rsid w:val="00871956"/>
    <w:rsid w:val="00871C15"/>
    <w:rsid w:val="00871E3B"/>
    <w:rsid w:val="008732BD"/>
    <w:rsid w:val="008736C1"/>
    <w:rsid w:val="00873848"/>
    <w:rsid w:val="00873EF6"/>
    <w:rsid w:val="0087421D"/>
    <w:rsid w:val="008744DD"/>
    <w:rsid w:val="008746FB"/>
    <w:rsid w:val="008747CB"/>
    <w:rsid w:val="00874847"/>
    <w:rsid w:val="00874910"/>
    <w:rsid w:val="00874A03"/>
    <w:rsid w:val="008753B2"/>
    <w:rsid w:val="00875D27"/>
    <w:rsid w:val="00876101"/>
    <w:rsid w:val="008762E6"/>
    <w:rsid w:val="008770D5"/>
    <w:rsid w:val="00877D6D"/>
    <w:rsid w:val="00880489"/>
    <w:rsid w:val="00881033"/>
    <w:rsid w:val="00881435"/>
    <w:rsid w:val="008816BA"/>
    <w:rsid w:val="008819B0"/>
    <w:rsid w:val="00881ADB"/>
    <w:rsid w:val="00882B27"/>
    <w:rsid w:val="00883850"/>
    <w:rsid w:val="00883F73"/>
    <w:rsid w:val="0088442D"/>
    <w:rsid w:val="00884567"/>
    <w:rsid w:val="008849DB"/>
    <w:rsid w:val="0088576F"/>
    <w:rsid w:val="008860F4"/>
    <w:rsid w:val="0088678C"/>
    <w:rsid w:val="00886961"/>
    <w:rsid w:val="00886F6E"/>
    <w:rsid w:val="008871B3"/>
    <w:rsid w:val="00887A5F"/>
    <w:rsid w:val="00887E3E"/>
    <w:rsid w:val="008901F3"/>
    <w:rsid w:val="00890993"/>
    <w:rsid w:val="00890B3E"/>
    <w:rsid w:val="0089186E"/>
    <w:rsid w:val="0089199F"/>
    <w:rsid w:val="008919C9"/>
    <w:rsid w:val="008919CB"/>
    <w:rsid w:val="00891C5D"/>
    <w:rsid w:val="00891CBB"/>
    <w:rsid w:val="00892410"/>
    <w:rsid w:val="00892569"/>
    <w:rsid w:val="008925DF"/>
    <w:rsid w:val="00892709"/>
    <w:rsid w:val="0089278B"/>
    <w:rsid w:val="00892791"/>
    <w:rsid w:val="008928AB"/>
    <w:rsid w:val="008928B9"/>
    <w:rsid w:val="00892909"/>
    <w:rsid w:val="00892B27"/>
    <w:rsid w:val="008932E6"/>
    <w:rsid w:val="008935C9"/>
    <w:rsid w:val="008939E9"/>
    <w:rsid w:val="00893FEF"/>
    <w:rsid w:val="0089454F"/>
    <w:rsid w:val="00894626"/>
    <w:rsid w:val="008946CD"/>
    <w:rsid w:val="008948DB"/>
    <w:rsid w:val="00894B6C"/>
    <w:rsid w:val="008953EF"/>
    <w:rsid w:val="00895E56"/>
    <w:rsid w:val="00895E9D"/>
    <w:rsid w:val="00896513"/>
    <w:rsid w:val="00896B63"/>
    <w:rsid w:val="00896C8C"/>
    <w:rsid w:val="008976EC"/>
    <w:rsid w:val="00897E85"/>
    <w:rsid w:val="00897F42"/>
    <w:rsid w:val="008A008F"/>
    <w:rsid w:val="008A0234"/>
    <w:rsid w:val="008A08F2"/>
    <w:rsid w:val="008A11CC"/>
    <w:rsid w:val="008A144F"/>
    <w:rsid w:val="008A1E08"/>
    <w:rsid w:val="008A2380"/>
    <w:rsid w:val="008A25E7"/>
    <w:rsid w:val="008A331C"/>
    <w:rsid w:val="008A3711"/>
    <w:rsid w:val="008A3F34"/>
    <w:rsid w:val="008A4582"/>
    <w:rsid w:val="008A4DB8"/>
    <w:rsid w:val="008A4E60"/>
    <w:rsid w:val="008A53B7"/>
    <w:rsid w:val="008A6719"/>
    <w:rsid w:val="008A6E03"/>
    <w:rsid w:val="008A71B5"/>
    <w:rsid w:val="008A7616"/>
    <w:rsid w:val="008A7FE9"/>
    <w:rsid w:val="008B072D"/>
    <w:rsid w:val="008B094A"/>
    <w:rsid w:val="008B171E"/>
    <w:rsid w:val="008B1CF4"/>
    <w:rsid w:val="008B1EBB"/>
    <w:rsid w:val="008B228D"/>
    <w:rsid w:val="008B2B08"/>
    <w:rsid w:val="008B3CB5"/>
    <w:rsid w:val="008B3E2F"/>
    <w:rsid w:val="008B486F"/>
    <w:rsid w:val="008B5C10"/>
    <w:rsid w:val="008B6EA8"/>
    <w:rsid w:val="008B7B11"/>
    <w:rsid w:val="008C070D"/>
    <w:rsid w:val="008C0E7C"/>
    <w:rsid w:val="008C155B"/>
    <w:rsid w:val="008C1DA4"/>
    <w:rsid w:val="008C2404"/>
    <w:rsid w:val="008C34E0"/>
    <w:rsid w:val="008C39CA"/>
    <w:rsid w:val="008C48C8"/>
    <w:rsid w:val="008C5362"/>
    <w:rsid w:val="008C5D08"/>
    <w:rsid w:val="008C5EC1"/>
    <w:rsid w:val="008C6387"/>
    <w:rsid w:val="008C643D"/>
    <w:rsid w:val="008C68C2"/>
    <w:rsid w:val="008C7112"/>
    <w:rsid w:val="008C773D"/>
    <w:rsid w:val="008C7971"/>
    <w:rsid w:val="008D05CB"/>
    <w:rsid w:val="008D08AF"/>
    <w:rsid w:val="008D0A7E"/>
    <w:rsid w:val="008D21B4"/>
    <w:rsid w:val="008D2269"/>
    <w:rsid w:val="008D2487"/>
    <w:rsid w:val="008D27F1"/>
    <w:rsid w:val="008D293B"/>
    <w:rsid w:val="008D2AF7"/>
    <w:rsid w:val="008D48AF"/>
    <w:rsid w:val="008D4947"/>
    <w:rsid w:val="008D4CDF"/>
    <w:rsid w:val="008D4FB0"/>
    <w:rsid w:val="008D5F70"/>
    <w:rsid w:val="008D60EC"/>
    <w:rsid w:val="008D6B55"/>
    <w:rsid w:val="008D6D61"/>
    <w:rsid w:val="008D7A99"/>
    <w:rsid w:val="008D7AFF"/>
    <w:rsid w:val="008D7E57"/>
    <w:rsid w:val="008D7F77"/>
    <w:rsid w:val="008D7FE0"/>
    <w:rsid w:val="008D7FF8"/>
    <w:rsid w:val="008E009B"/>
    <w:rsid w:val="008E013D"/>
    <w:rsid w:val="008E0171"/>
    <w:rsid w:val="008E03DA"/>
    <w:rsid w:val="008E18B1"/>
    <w:rsid w:val="008E1C5B"/>
    <w:rsid w:val="008E1CE1"/>
    <w:rsid w:val="008E2043"/>
    <w:rsid w:val="008E326C"/>
    <w:rsid w:val="008E3AA8"/>
    <w:rsid w:val="008E3C88"/>
    <w:rsid w:val="008E4264"/>
    <w:rsid w:val="008E4502"/>
    <w:rsid w:val="008E4580"/>
    <w:rsid w:val="008E4ABD"/>
    <w:rsid w:val="008E4AD4"/>
    <w:rsid w:val="008E4FCD"/>
    <w:rsid w:val="008E5830"/>
    <w:rsid w:val="008E634C"/>
    <w:rsid w:val="008E6434"/>
    <w:rsid w:val="008E67DF"/>
    <w:rsid w:val="008E7C1B"/>
    <w:rsid w:val="008F0090"/>
    <w:rsid w:val="008F0929"/>
    <w:rsid w:val="008F0CFC"/>
    <w:rsid w:val="008F1F37"/>
    <w:rsid w:val="008F2304"/>
    <w:rsid w:val="008F340E"/>
    <w:rsid w:val="008F360A"/>
    <w:rsid w:val="008F37CB"/>
    <w:rsid w:val="008F3B86"/>
    <w:rsid w:val="008F4419"/>
    <w:rsid w:val="008F4674"/>
    <w:rsid w:val="008F4A43"/>
    <w:rsid w:val="008F4BCB"/>
    <w:rsid w:val="008F4FFC"/>
    <w:rsid w:val="008F52AE"/>
    <w:rsid w:val="008F5384"/>
    <w:rsid w:val="008F554D"/>
    <w:rsid w:val="008F5E9B"/>
    <w:rsid w:val="008F6118"/>
    <w:rsid w:val="008F6312"/>
    <w:rsid w:val="008F6BB3"/>
    <w:rsid w:val="008F70C3"/>
    <w:rsid w:val="008F761A"/>
    <w:rsid w:val="008F7834"/>
    <w:rsid w:val="009000E7"/>
    <w:rsid w:val="009008CC"/>
    <w:rsid w:val="009011FB"/>
    <w:rsid w:val="009017A9"/>
    <w:rsid w:val="009017AB"/>
    <w:rsid w:val="00901878"/>
    <w:rsid w:val="00901B98"/>
    <w:rsid w:val="00901F24"/>
    <w:rsid w:val="009020A8"/>
    <w:rsid w:val="00902200"/>
    <w:rsid w:val="0090278C"/>
    <w:rsid w:val="00902C8A"/>
    <w:rsid w:val="00903867"/>
    <w:rsid w:val="00904346"/>
    <w:rsid w:val="00904574"/>
    <w:rsid w:val="00904E09"/>
    <w:rsid w:val="00905311"/>
    <w:rsid w:val="0090545B"/>
    <w:rsid w:val="00905B4D"/>
    <w:rsid w:val="00905C8C"/>
    <w:rsid w:val="00905EEC"/>
    <w:rsid w:val="00905FEA"/>
    <w:rsid w:val="00906141"/>
    <w:rsid w:val="00906CB6"/>
    <w:rsid w:val="00907350"/>
    <w:rsid w:val="00907C81"/>
    <w:rsid w:val="00907F4D"/>
    <w:rsid w:val="00910633"/>
    <w:rsid w:val="009106CD"/>
    <w:rsid w:val="0091264A"/>
    <w:rsid w:val="0091293D"/>
    <w:rsid w:val="0091296C"/>
    <w:rsid w:val="00912F15"/>
    <w:rsid w:val="00912FAD"/>
    <w:rsid w:val="00913FBF"/>
    <w:rsid w:val="0091431E"/>
    <w:rsid w:val="00914B81"/>
    <w:rsid w:val="00914E10"/>
    <w:rsid w:val="00914E59"/>
    <w:rsid w:val="00914EFC"/>
    <w:rsid w:val="009151D7"/>
    <w:rsid w:val="00915341"/>
    <w:rsid w:val="009157DA"/>
    <w:rsid w:val="0091581E"/>
    <w:rsid w:val="00915BCA"/>
    <w:rsid w:val="00915FD6"/>
    <w:rsid w:val="00916251"/>
    <w:rsid w:val="00916826"/>
    <w:rsid w:val="00916AB5"/>
    <w:rsid w:val="00917451"/>
    <w:rsid w:val="009174EB"/>
    <w:rsid w:val="00917C63"/>
    <w:rsid w:val="00917D90"/>
    <w:rsid w:val="00920266"/>
    <w:rsid w:val="009204FC"/>
    <w:rsid w:val="00920D3D"/>
    <w:rsid w:val="009213D5"/>
    <w:rsid w:val="00921C96"/>
    <w:rsid w:val="00921C98"/>
    <w:rsid w:val="00921FB6"/>
    <w:rsid w:val="0092234C"/>
    <w:rsid w:val="009227B9"/>
    <w:rsid w:val="00922BB0"/>
    <w:rsid w:val="009233B3"/>
    <w:rsid w:val="009234C0"/>
    <w:rsid w:val="00924430"/>
    <w:rsid w:val="00925421"/>
    <w:rsid w:val="00925CB2"/>
    <w:rsid w:val="0092600B"/>
    <w:rsid w:val="009261B2"/>
    <w:rsid w:val="00926298"/>
    <w:rsid w:val="009271EE"/>
    <w:rsid w:val="00927B0B"/>
    <w:rsid w:val="00927B81"/>
    <w:rsid w:val="00931058"/>
    <w:rsid w:val="00931621"/>
    <w:rsid w:val="00931BF0"/>
    <w:rsid w:val="00932121"/>
    <w:rsid w:val="00933874"/>
    <w:rsid w:val="00933ADA"/>
    <w:rsid w:val="00933CD6"/>
    <w:rsid w:val="00933FB9"/>
    <w:rsid w:val="009346C6"/>
    <w:rsid w:val="00934C96"/>
    <w:rsid w:val="0093528F"/>
    <w:rsid w:val="009355D4"/>
    <w:rsid w:val="009356A9"/>
    <w:rsid w:val="00935ECE"/>
    <w:rsid w:val="0093670F"/>
    <w:rsid w:val="00936804"/>
    <w:rsid w:val="00936B70"/>
    <w:rsid w:val="00936E66"/>
    <w:rsid w:val="009370DD"/>
    <w:rsid w:val="00937DC9"/>
    <w:rsid w:val="009405D0"/>
    <w:rsid w:val="0094068D"/>
    <w:rsid w:val="009407F2"/>
    <w:rsid w:val="009408E7"/>
    <w:rsid w:val="0094140F"/>
    <w:rsid w:val="00941631"/>
    <w:rsid w:val="00941A5E"/>
    <w:rsid w:val="00941AE8"/>
    <w:rsid w:val="00942D14"/>
    <w:rsid w:val="00943333"/>
    <w:rsid w:val="009436DB"/>
    <w:rsid w:val="0094392F"/>
    <w:rsid w:val="00943DBA"/>
    <w:rsid w:val="009441E7"/>
    <w:rsid w:val="0094523B"/>
    <w:rsid w:val="009457B3"/>
    <w:rsid w:val="009458FB"/>
    <w:rsid w:val="00945B4D"/>
    <w:rsid w:val="00945C3B"/>
    <w:rsid w:val="00945F6B"/>
    <w:rsid w:val="009460C7"/>
    <w:rsid w:val="009461AA"/>
    <w:rsid w:val="00946BA7"/>
    <w:rsid w:val="0094724E"/>
    <w:rsid w:val="00947526"/>
    <w:rsid w:val="009477F3"/>
    <w:rsid w:val="009478DD"/>
    <w:rsid w:val="00947B39"/>
    <w:rsid w:val="00947CE6"/>
    <w:rsid w:val="00947DC8"/>
    <w:rsid w:val="00947E6F"/>
    <w:rsid w:val="0095057F"/>
    <w:rsid w:val="00950888"/>
    <w:rsid w:val="00950D6A"/>
    <w:rsid w:val="00951589"/>
    <w:rsid w:val="009527B7"/>
    <w:rsid w:val="0095330B"/>
    <w:rsid w:val="00954A4D"/>
    <w:rsid w:val="00954EBB"/>
    <w:rsid w:val="00955215"/>
    <w:rsid w:val="0095566C"/>
    <w:rsid w:val="00955871"/>
    <w:rsid w:val="00955AE5"/>
    <w:rsid w:val="0095661F"/>
    <w:rsid w:val="0096035A"/>
    <w:rsid w:val="00960BDD"/>
    <w:rsid w:val="00960EC2"/>
    <w:rsid w:val="00961F9D"/>
    <w:rsid w:val="009627DC"/>
    <w:rsid w:val="00962821"/>
    <w:rsid w:val="00962E31"/>
    <w:rsid w:val="0096326A"/>
    <w:rsid w:val="00963479"/>
    <w:rsid w:val="00963B6C"/>
    <w:rsid w:val="00963BE7"/>
    <w:rsid w:val="00963FD1"/>
    <w:rsid w:val="009642D7"/>
    <w:rsid w:val="0096481A"/>
    <w:rsid w:val="00964954"/>
    <w:rsid w:val="009649BE"/>
    <w:rsid w:val="009656F3"/>
    <w:rsid w:val="00965EBC"/>
    <w:rsid w:val="009660A9"/>
    <w:rsid w:val="0096628C"/>
    <w:rsid w:val="00966742"/>
    <w:rsid w:val="00966772"/>
    <w:rsid w:val="009667D7"/>
    <w:rsid w:val="00966F4A"/>
    <w:rsid w:val="00967A31"/>
    <w:rsid w:val="00967BFB"/>
    <w:rsid w:val="00970E75"/>
    <w:rsid w:val="009733C8"/>
    <w:rsid w:val="00973617"/>
    <w:rsid w:val="009737E6"/>
    <w:rsid w:val="009739BB"/>
    <w:rsid w:val="00973FF8"/>
    <w:rsid w:val="009746A2"/>
    <w:rsid w:val="00974A2A"/>
    <w:rsid w:val="00974B16"/>
    <w:rsid w:val="00974C01"/>
    <w:rsid w:val="00974C6A"/>
    <w:rsid w:val="00974D96"/>
    <w:rsid w:val="00975625"/>
    <w:rsid w:val="009767CA"/>
    <w:rsid w:val="00977177"/>
    <w:rsid w:val="0097725F"/>
    <w:rsid w:val="0097770B"/>
    <w:rsid w:val="0098008F"/>
    <w:rsid w:val="00980370"/>
    <w:rsid w:val="009803B7"/>
    <w:rsid w:val="0098129C"/>
    <w:rsid w:val="00981E3A"/>
    <w:rsid w:val="0098217D"/>
    <w:rsid w:val="009821BF"/>
    <w:rsid w:val="00982655"/>
    <w:rsid w:val="009835D7"/>
    <w:rsid w:val="00983654"/>
    <w:rsid w:val="009837B8"/>
    <w:rsid w:val="009838F5"/>
    <w:rsid w:val="00984752"/>
    <w:rsid w:val="00985485"/>
    <w:rsid w:val="009855E8"/>
    <w:rsid w:val="00986212"/>
    <w:rsid w:val="00986482"/>
    <w:rsid w:val="0098665A"/>
    <w:rsid w:val="009876FD"/>
    <w:rsid w:val="00987BD8"/>
    <w:rsid w:val="00990793"/>
    <w:rsid w:val="0099141F"/>
    <w:rsid w:val="00991A04"/>
    <w:rsid w:val="00991B38"/>
    <w:rsid w:val="00991E74"/>
    <w:rsid w:val="00991F7D"/>
    <w:rsid w:val="00992574"/>
    <w:rsid w:val="00992755"/>
    <w:rsid w:val="00992E8E"/>
    <w:rsid w:val="009932A0"/>
    <w:rsid w:val="00993A55"/>
    <w:rsid w:val="00994021"/>
    <w:rsid w:val="0099445E"/>
    <w:rsid w:val="0099572C"/>
    <w:rsid w:val="00995BB8"/>
    <w:rsid w:val="00995E0B"/>
    <w:rsid w:val="0099606A"/>
    <w:rsid w:val="009960D6"/>
    <w:rsid w:val="009966D8"/>
    <w:rsid w:val="009968BA"/>
    <w:rsid w:val="00996BE7"/>
    <w:rsid w:val="00997245"/>
    <w:rsid w:val="009976A0"/>
    <w:rsid w:val="0099777B"/>
    <w:rsid w:val="0099782E"/>
    <w:rsid w:val="00997972"/>
    <w:rsid w:val="009A01CC"/>
    <w:rsid w:val="009A04C2"/>
    <w:rsid w:val="009A2321"/>
    <w:rsid w:val="009A251B"/>
    <w:rsid w:val="009A27CE"/>
    <w:rsid w:val="009A2C85"/>
    <w:rsid w:val="009A335D"/>
    <w:rsid w:val="009A35B0"/>
    <w:rsid w:val="009A3656"/>
    <w:rsid w:val="009A39CD"/>
    <w:rsid w:val="009A3CE0"/>
    <w:rsid w:val="009A3F32"/>
    <w:rsid w:val="009A4821"/>
    <w:rsid w:val="009A49E5"/>
    <w:rsid w:val="009A4A18"/>
    <w:rsid w:val="009A4F67"/>
    <w:rsid w:val="009A4FDD"/>
    <w:rsid w:val="009A52CC"/>
    <w:rsid w:val="009A55B5"/>
    <w:rsid w:val="009A57C4"/>
    <w:rsid w:val="009A5DFB"/>
    <w:rsid w:val="009A5FC2"/>
    <w:rsid w:val="009A6111"/>
    <w:rsid w:val="009A6570"/>
    <w:rsid w:val="009A7252"/>
    <w:rsid w:val="009A7D10"/>
    <w:rsid w:val="009A7FA1"/>
    <w:rsid w:val="009B0D76"/>
    <w:rsid w:val="009B128A"/>
    <w:rsid w:val="009B19E2"/>
    <w:rsid w:val="009B309E"/>
    <w:rsid w:val="009B3EB5"/>
    <w:rsid w:val="009B40B7"/>
    <w:rsid w:val="009B4C78"/>
    <w:rsid w:val="009B5112"/>
    <w:rsid w:val="009B5835"/>
    <w:rsid w:val="009B5AE0"/>
    <w:rsid w:val="009B5E26"/>
    <w:rsid w:val="009B5F57"/>
    <w:rsid w:val="009B6B0C"/>
    <w:rsid w:val="009B7E04"/>
    <w:rsid w:val="009C084A"/>
    <w:rsid w:val="009C0979"/>
    <w:rsid w:val="009C09DC"/>
    <w:rsid w:val="009C0D2E"/>
    <w:rsid w:val="009C1237"/>
    <w:rsid w:val="009C20BC"/>
    <w:rsid w:val="009C2809"/>
    <w:rsid w:val="009C2BC8"/>
    <w:rsid w:val="009C2D96"/>
    <w:rsid w:val="009C2F49"/>
    <w:rsid w:val="009C3F06"/>
    <w:rsid w:val="009C4691"/>
    <w:rsid w:val="009C4C22"/>
    <w:rsid w:val="009C4D62"/>
    <w:rsid w:val="009C4EC4"/>
    <w:rsid w:val="009C5354"/>
    <w:rsid w:val="009C5413"/>
    <w:rsid w:val="009C5654"/>
    <w:rsid w:val="009C5A2E"/>
    <w:rsid w:val="009C6742"/>
    <w:rsid w:val="009C699B"/>
    <w:rsid w:val="009C7311"/>
    <w:rsid w:val="009C7D7E"/>
    <w:rsid w:val="009D00CC"/>
    <w:rsid w:val="009D059C"/>
    <w:rsid w:val="009D05A1"/>
    <w:rsid w:val="009D08EE"/>
    <w:rsid w:val="009D0CB7"/>
    <w:rsid w:val="009D0E9E"/>
    <w:rsid w:val="009D0E9F"/>
    <w:rsid w:val="009D12B2"/>
    <w:rsid w:val="009D1BFD"/>
    <w:rsid w:val="009D1CB0"/>
    <w:rsid w:val="009D239D"/>
    <w:rsid w:val="009D2BCC"/>
    <w:rsid w:val="009D31CB"/>
    <w:rsid w:val="009D3503"/>
    <w:rsid w:val="009D3530"/>
    <w:rsid w:val="009D3EC4"/>
    <w:rsid w:val="009D3F4C"/>
    <w:rsid w:val="009D40FD"/>
    <w:rsid w:val="009D4244"/>
    <w:rsid w:val="009D4644"/>
    <w:rsid w:val="009D49A7"/>
    <w:rsid w:val="009D49FA"/>
    <w:rsid w:val="009D4A1B"/>
    <w:rsid w:val="009D4C48"/>
    <w:rsid w:val="009D51BC"/>
    <w:rsid w:val="009D5C22"/>
    <w:rsid w:val="009D6A33"/>
    <w:rsid w:val="009D6B6C"/>
    <w:rsid w:val="009D6D13"/>
    <w:rsid w:val="009D7155"/>
    <w:rsid w:val="009D73FE"/>
    <w:rsid w:val="009D7E9E"/>
    <w:rsid w:val="009D7F81"/>
    <w:rsid w:val="009E01DA"/>
    <w:rsid w:val="009E164F"/>
    <w:rsid w:val="009E1D1E"/>
    <w:rsid w:val="009E203A"/>
    <w:rsid w:val="009E2100"/>
    <w:rsid w:val="009E217B"/>
    <w:rsid w:val="009E279F"/>
    <w:rsid w:val="009E31EC"/>
    <w:rsid w:val="009E3D3D"/>
    <w:rsid w:val="009E41D0"/>
    <w:rsid w:val="009E4896"/>
    <w:rsid w:val="009E4C10"/>
    <w:rsid w:val="009E5978"/>
    <w:rsid w:val="009E59FE"/>
    <w:rsid w:val="009E5D4E"/>
    <w:rsid w:val="009E5D53"/>
    <w:rsid w:val="009E5DCD"/>
    <w:rsid w:val="009E65DF"/>
    <w:rsid w:val="009E6B8C"/>
    <w:rsid w:val="009E6D33"/>
    <w:rsid w:val="009E702D"/>
    <w:rsid w:val="009E7486"/>
    <w:rsid w:val="009E7850"/>
    <w:rsid w:val="009E794C"/>
    <w:rsid w:val="009F01CD"/>
    <w:rsid w:val="009F0B21"/>
    <w:rsid w:val="009F128D"/>
    <w:rsid w:val="009F1409"/>
    <w:rsid w:val="009F14C2"/>
    <w:rsid w:val="009F1CAB"/>
    <w:rsid w:val="009F1CB5"/>
    <w:rsid w:val="009F1CD2"/>
    <w:rsid w:val="009F31CE"/>
    <w:rsid w:val="009F345E"/>
    <w:rsid w:val="009F348F"/>
    <w:rsid w:val="009F3978"/>
    <w:rsid w:val="009F3AC9"/>
    <w:rsid w:val="009F42FB"/>
    <w:rsid w:val="009F4EEF"/>
    <w:rsid w:val="009F58D2"/>
    <w:rsid w:val="009F610F"/>
    <w:rsid w:val="009F66E6"/>
    <w:rsid w:val="00A00849"/>
    <w:rsid w:val="00A017CA"/>
    <w:rsid w:val="00A019F3"/>
    <w:rsid w:val="00A02187"/>
    <w:rsid w:val="00A025C1"/>
    <w:rsid w:val="00A03169"/>
    <w:rsid w:val="00A03175"/>
    <w:rsid w:val="00A035E6"/>
    <w:rsid w:val="00A0393C"/>
    <w:rsid w:val="00A03ADD"/>
    <w:rsid w:val="00A04566"/>
    <w:rsid w:val="00A049C5"/>
    <w:rsid w:val="00A055F3"/>
    <w:rsid w:val="00A05B01"/>
    <w:rsid w:val="00A062F1"/>
    <w:rsid w:val="00A07652"/>
    <w:rsid w:val="00A07F33"/>
    <w:rsid w:val="00A11227"/>
    <w:rsid w:val="00A1146F"/>
    <w:rsid w:val="00A11E48"/>
    <w:rsid w:val="00A13208"/>
    <w:rsid w:val="00A13435"/>
    <w:rsid w:val="00A13A1F"/>
    <w:rsid w:val="00A13C1C"/>
    <w:rsid w:val="00A1408B"/>
    <w:rsid w:val="00A147C5"/>
    <w:rsid w:val="00A150BF"/>
    <w:rsid w:val="00A15372"/>
    <w:rsid w:val="00A1578F"/>
    <w:rsid w:val="00A15B1C"/>
    <w:rsid w:val="00A15F54"/>
    <w:rsid w:val="00A16E3B"/>
    <w:rsid w:val="00A170C5"/>
    <w:rsid w:val="00A17A1A"/>
    <w:rsid w:val="00A20751"/>
    <w:rsid w:val="00A20787"/>
    <w:rsid w:val="00A212FA"/>
    <w:rsid w:val="00A216BE"/>
    <w:rsid w:val="00A21927"/>
    <w:rsid w:val="00A21E2F"/>
    <w:rsid w:val="00A21F80"/>
    <w:rsid w:val="00A22A3D"/>
    <w:rsid w:val="00A23550"/>
    <w:rsid w:val="00A238DF"/>
    <w:rsid w:val="00A24159"/>
    <w:rsid w:val="00A24278"/>
    <w:rsid w:val="00A246D8"/>
    <w:rsid w:val="00A248E5"/>
    <w:rsid w:val="00A24C44"/>
    <w:rsid w:val="00A250D5"/>
    <w:rsid w:val="00A2570D"/>
    <w:rsid w:val="00A257BE"/>
    <w:rsid w:val="00A257EA"/>
    <w:rsid w:val="00A25C09"/>
    <w:rsid w:val="00A25DF2"/>
    <w:rsid w:val="00A2681F"/>
    <w:rsid w:val="00A268D5"/>
    <w:rsid w:val="00A27553"/>
    <w:rsid w:val="00A279E5"/>
    <w:rsid w:val="00A3008C"/>
    <w:rsid w:val="00A316E7"/>
    <w:rsid w:val="00A31B0D"/>
    <w:rsid w:val="00A31DC3"/>
    <w:rsid w:val="00A32C83"/>
    <w:rsid w:val="00A335C9"/>
    <w:rsid w:val="00A348F6"/>
    <w:rsid w:val="00A34C77"/>
    <w:rsid w:val="00A351CD"/>
    <w:rsid w:val="00A3627F"/>
    <w:rsid w:val="00A3721B"/>
    <w:rsid w:val="00A37DDC"/>
    <w:rsid w:val="00A37EC5"/>
    <w:rsid w:val="00A37EF0"/>
    <w:rsid w:val="00A37F87"/>
    <w:rsid w:val="00A37F8B"/>
    <w:rsid w:val="00A37FA1"/>
    <w:rsid w:val="00A401AB"/>
    <w:rsid w:val="00A40DD8"/>
    <w:rsid w:val="00A4152A"/>
    <w:rsid w:val="00A415B8"/>
    <w:rsid w:val="00A41A5F"/>
    <w:rsid w:val="00A41D75"/>
    <w:rsid w:val="00A41EFB"/>
    <w:rsid w:val="00A420C0"/>
    <w:rsid w:val="00A43448"/>
    <w:rsid w:val="00A43FBE"/>
    <w:rsid w:val="00A44ECE"/>
    <w:rsid w:val="00A45033"/>
    <w:rsid w:val="00A46820"/>
    <w:rsid w:val="00A47493"/>
    <w:rsid w:val="00A47BFC"/>
    <w:rsid w:val="00A50242"/>
    <w:rsid w:val="00A5035B"/>
    <w:rsid w:val="00A50439"/>
    <w:rsid w:val="00A51355"/>
    <w:rsid w:val="00A51885"/>
    <w:rsid w:val="00A52264"/>
    <w:rsid w:val="00A52713"/>
    <w:rsid w:val="00A5274B"/>
    <w:rsid w:val="00A53E65"/>
    <w:rsid w:val="00A549ED"/>
    <w:rsid w:val="00A54B11"/>
    <w:rsid w:val="00A54DF5"/>
    <w:rsid w:val="00A55235"/>
    <w:rsid w:val="00A554EE"/>
    <w:rsid w:val="00A5568A"/>
    <w:rsid w:val="00A55D0A"/>
    <w:rsid w:val="00A55DA6"/>
    <w:rsid w:val="00A55EC9"/>
    <w:rsid w:val="00A55F4F"/>
    <w:rsid w:val="00A563A0"/>
    <w:rsid w:val="00A563B9"/>
    <w:rsid w:val="00A57021"/>
    <w:rsid w:val="00A572E6"/>
    <w:rsid w:val="00A579B4"/>
    <w:rsid w:val="00A57E5D"/>
    <w:rsid w:val="00A6008D"/>
    <w:rsid w:val="00A6096A"/>
    <w:rsid w:val="00A60DFE"/>
    <w:rsid w:val="00A60E2B"/>
    <w:rsid w:val="00A6102C"/>
    <w:rsid w:val="00A6149F"/>
    <w:rsid w:val="00A616A1"/>
    <w:rsid w:val="00A617BF"/>
    <w:rsid w:val="00A61A1E"/>
    <w:rsid w:val="00A62312"/>
    <w:rsid w:val="00A62944"/>
    <w:rsid w:val="00A62F6F"/>
    <w:rsid w:val="00A6312F"/>
    <w:rsid w:val="00A6332C"/>
    <w:rsid w:val="00A63966"/>
    <w:rsid w:val="00A64266"/>
    <w:rsid w:val="00A6492A"/>
    <w:rsid w:val="00A64B25"/>
    <w:rsid w:val="00A64B98"/>
    <w:rsid w:val="00A65BB5"/>
    <w:rsid w:val="00A65BBE"/>
    <w:rsid w:val="00A65E7C"/>
    <w:rsid w:val="00A66415"/>
    <w:rsid w:val="00A668B8"/>
    <w:rsid w:val="00A6693A"/>
    <w:rsid w:val="00A66E88"/>
    <w:rsid w:val="00A67000"/>
    <w:rsid w:val="00A67C72"/>
    <w:rsid w:val="00A67EA2"/>
    <w:rsid w:val="00A67EA5"/>
    <w:rsid w:val="00A7000E"/>
    <w:rsid w:val="00A70070"/>
    <w:rsid w:val="00A70518"/>
    <w:rsid w:val="00A70CDA"/>
    <w:rsid w:val="00A71233"/>
    <w:rsid w:val="00A71DDC"/>
    <w:rsid w:val="00A71E92"/>
    <w:rsid w:val="00A71EF6"/>
    <w:rsid w:val="00A725D3"/>
    <w:rsid w:val="00A72B07"/>
    <w:rsid w:val="00A72FE3"/>
    <w:rsid w:val="00A7310F"/>
    <w:rsid w:val="00A74117"/>
    <w:rsid w:val="00A744B5"/>
    <w:rsid w:val="00A744E1"/>
    <w:rsid w:val="00A74E81"/>
    <w:rsid w:val="00A75F28"/>
    <w:rsid w:val="00A767E1"/>
    <w:rsid w:val="00A76BC1"/>
    <w:rsid w:val="00A7716E"/>
    <w:rsid w:val="00A771A7"/>
    <w:rsid w:val="00A80442"/>
    <w:rsid w:val="00A81101"/>
    <w:rsid w:val="00A81493"/>
    <w:rsid w:val="00A8156C"/>
    <w:rsid w:val="00A8199E"/>
    <w:rsid w:val="00A82AF0"/>
    <w:rsid w:val="00A82BE6"/>
    <w:rsid w:val="00A82F78"/>
    <w:rsid w:val="00A837A5"/>
    <w:rsid w:val="00A837F0"/>
    <w:rsid w:val="00A84189"/>
    <w:rsid w:val="00A84343"/>
    <w:rsid w:val="00A84957"/>
    <w:rsid w:val="00A84E54"/>
    <w:rsid w:val="00A853BE"/>
    <w:rsid w:val="00A856D6"/>
    <w:rsid w:val="00A8587E"/>
    <w:rsid w:val="00A8610E"/>
    <w:rsid w:val="00A86597"/>
    <w:rsid w:val="00A870EF"/>
    <w:rsid w:val="00A875DC"/>
    <w:rsid w:val="00A87968"/>
    <w:rsid w:val="00A87F28"/>
    <w:rsid w:val="00A90922"/>
    <w:rsid w:val="00A90F70"/>
    <w:rsid w:val="00A915B2"/>
    <w:rsid w:val="00A91B43"/>
    <w:rsid w:val="00A91D1E"/>
    <w:rsid w:val="00A9235E"/>
    <w:rsid w:val="00A924E8"/>
    <w:rsid w:val="00A928ED"/>
    <w:rsid w:val="00A92A2A"/>
    <w:rsid w:val="00A92CB4"/>
    <w:rsid w:val="00A93546"/>
    <w:rsid w:val="00A939BE"/>
    <w:rsid w:val="00A93E7D"/>
    <w:rsid w:val="00A94059"/>
    <w:rsid w:val="00A948B7"/>
    <w:rsid w:val="00A948FE"/>
    <w:rsid w:val="00A95190"/>
    <w:rsid w:val="00A954FC"/>
    <w:rsid w:val="00A960F0"/>
    <w:rsid w:val="00A9624B"/>
    <w:rsid w:val="00A965E7"/>
    <w:rsid w:val="00A96AB7"/>
    <w:rsid w:val="00A96D7C"/>
    <w:rsid w:val="00A96F48"/>
    <w:rsid w:val="00A973A8"/>
    <w:rsid w:val="00A973AD"/>
    <w:rsid w:val="00AA0DCD"/>
    <w:rsid w:val="00AA12B7"/>
    <w:rsid w:val="00AA17CF"/>
    <w:rsid w:val="00AA1C2C"/>
    <w:rsid w:val="00AA1F74"/>
    <w:rsid w:val="00AA229C"/>
    <w:rsid w:val="00AA2480"/>
    <w:rsid w:val="00AA2A4B"/>
    <w:rsid w:val="00AA2D49"/>
    <w:rsid w:val="00AA308F"/>
    <w:rsid w:val="00AA37E9"/>
    <w:rsid w:val="00AA392C"/>
    <w:rsid w:val="00AA4152"/>
    <w:rsid w:val="00AA4E83"/>
    <w:rsid w:val="00AA541B"/>
    <w:rsid w:val="00AA56CB"/>
    <w:rsid w:val="00AA5ED5"/>
    <w:rsid w:val="00AA5FB5"/>
    <w:rsid w:val="00AA63C8"/>
    <w:rsid w:val="00AA6589"/>
    <w:rsid w:val="00AA6930"/>
    <w:rsid w:val="00AA6CA0"/>
    <w:rsid w:val="00AA6F8C"/>
    <w:rsid w:val="00AA705E"/>
    <w:rsid w:val="00AB0106"/>
    <w:rsid w:val="00AB0CA5"/>
    <w:rsid w:val="00AB0DE0"/>
    <w:rsid w:val="00AB0F36"/>
    <w:rsid w:val="00AB1380"/>
    <w:rsid w:val="00AB1385"/>
    <w:rsid w:val="00AB15C9"/>
    <w:rsid w:val="00AB19BD"/>
    <w:rsid w:val="00AB2E46"/>
    <w:rsid w:val="00AB2F27"/>
    <w:rsid w:val="00AB300F"/>
    <w:rsid w:val="00AB31EC"/>
    <w:rsid w:val="00AB3584"/>
    <w:rsid w:val="00AB3D51"/>
    <w:rsid w:val="00AB4296"/>
    <w:rsid w:val="00AB507B"/>
    <w:rsid w:val="00AB54B6"/>
    <w:rsid w:val="00AB581D"/>
    <w:rsid w:val="00AB5AF4"/>
    <w:rsid w:val="00AB5BC1"/>
    <w:rsid w:val="00AB5CD3"/>
    <w:rsid w:val="00AB66CE"/>
    <w:rsid w:val="00AB7A2F"/>
    <w:rsid w:val="00AC02AE"/>
    <w:rsid w:val="00AC050A"/>
    <w:rsid w:val="00AC0982"/>
    <w:rsid w:val="00AC105C"/>
    <w:rsid w:val="00AC12C1"/>
    <w:rsid w:val="00AC1435"/>
    <w:rsid w:val="00AC1605"/>
    <w:rsid w:val="00AC1A27"/>
    <w:rsid w:val="00AC1E6A"/>
    <w:rsid w:val="00AC221A"/>
    <w:rsid w:val="00AC2EDA"/>
    <w:rsid w:val="00AC3069"/>
    <w:rsid w:val="00AC3189"/>
    <w:rsid w:val="00AC3D17"/>
    <w:rsid w:val="00AC3D26"/>
    <w:rsid w:val="00AC56F7"/>
    <w:rsid w:val="00AC6182"/>
    <w:rsid w:val="00AC7114"/>
    <w:rsid w:val="00AC7249"/>
    <w:rsid w:val="00AC740D"/>
    <w:rsid w:val="00AC7876"/>
    <w:rsid w:val="00AC7AE6"/>
    <w:rsid w:val="00ACDC4D"/>
    <w:rsid w:val="00AD0582"/>
    <w:rsid w:val="00AD0768"/>
    <w:rsid w:val="00AD0839"/>
    <w:rsid w:val="00AD0B4C"/>
    <w:rsid w:val="00AD0F1B"/>
    <w:rsid w:val="00AD16A9"/>
    <w:rsid w:val="00AD1BE3"/>
    <w:rsid w:val="00AD23A8"/>
    <w:rsid w:val="00AD2A4F"/>
    <w:rsid w:val="00AD2DA1"/>
    <w:rsid w:val="00AD3653"/>
    <w:rsid w:val="00AD3D7B"/>
    <w:rsid w:val="00AD3E45"/>
    <w:rsid w:val="00AD3EBC"/>
    <w:rsid w:val="00AD4C07"/>
    <w:rsid w:val="00AD4EDE"/>
    <w:rsid w:val="00AD553F"/>
    <w:rsid w:val="00AD55EB"/>
    <w:rsid w:val="00AD581C"/>
    <w:rsid w:val="00AD5E29"/>
    <w:rsid w:val="00AD5E43"/>
    <w:rsid w:val="00AD659E"/>
    <w:rsid w:val="00AD70B0"/>
    <w:rsid w:val="00AD7DD0"/>
    <w:rsid w:val="00AD7E83"/>
    <w:rsid w:val="00AD7F43"/>
    <w:rsid w:val="00AE054A"/>
    <w:rsid w:val="00AE07FC"/>
    <w:rsid w:val="00AE08F1"/>
    <w:rsid w:val="00AE0C49"/>
    <w:rsid w:val="00AE0E11"/>
    <w:rsid w:val="00AE13E8"/>
    <w:rsid w:val="00AE1D2B"/>
    <w:rsid w:val="00AE1EE1"/>
    <w:rsid w:val="00AE22F8"/>
    <w:rsid w:val="00AE2561"/>
    <w:rsid w:val="00AE28A2"/>
    <w:rsid w:val="00AE32D1"/>
    <w:rsid w:val="00AE4629"/>
    <w:rsid w:val="00AE48F1"/>
    <w:rsid w:val="00AE4B5B"/>
    <w:rsid w:val="00AE5B63"/>
    <w:rsid w:val="00AE6299"/>
    <w:rsid w:val="00AE63E4"/>
    <w:rsid w:val="00AE6A32"/>
    <w:rsid w:val="00AE710C"/>
    <w:rsid w:val="00AE73AF"/>
    <w:rsid w:val="00AE7428"/>
    <w:rsid w:val="00AE74C3"/>
    <w:rsid w:val="00AE78DE"/>
    <w:rsid w:val="00AE78ED"/>
    <w:rsid w:val="00AF088C"/>
    <w:rsid w:val="00AF1B33"/>
    <w:rsid w:val="00AF1B78"/>
    <w:rsid w:val="00AF1BD6"/>
    <w:rsid w:val="00AF1DD3"/>
    <w:rsid w:val="00AF32E3"/>
    <w:rsid w:val="00AF35BA"/>
    <w:rsid w:val="00AF35BC"/>
    <w:rsid w:val="00AF378B"/>
    <w:rsid w:val="00AF3CD7"/>
    <w:rsid w:val="00AF4801"/>
    <w:rsid w:val="00AF4C22"/>
    <w:rsid w:val="00AF4E20"/>
    <w:rsid w:val="00AF4F42"/>
    <w:rsid w:val="00AF5631"/>
    <w:rsid w:val="00AF5708"/>
    <w:rsid w:val="00AF6DBD"/>
    <w:rsid w:val="00AF727C"/>
    <w:rsid w:val="00B00713"/>
    <w:rsid w:val="00B01ACC"/>
    <w:rsid w:val="00B0259A"/>
    <w:rsid w:val="00B02DE1"/>
    <w:rsid w:val="00B034D1"/>
    <w:rsid w:val="00B03C7E"/>
    <w:rsid w:val="00B04BAC"/>
    <w:rsid w:val="00B04F37"/>
    <w:rsid w:val="00B0504E"/>
    <w:rsid w:val="00B05762"/>
    <w:rsid w:val="00B0591B"/>
    <w:rsid w:val="00B0619C"/>
    <w:rsid w:val="00B06281"/>
    <w:rsid w:val="00B06688"/>
    <w:rsid w:val="00B0688A"/>
    <w:rsid w:val="00B06FF6"/>
    <w:rsid w:val="00B07418"/>
    <w:rsid w:val="00B07836"/>
    <w:rsid w:val="00B07A29"/>
    <w:rsid w:val="00B07BC7"/>
    <w:rsid w:val="00B101F2"/>
    <w:rsid w:val="00B10809"/>
    <w:rsid w:val="00B11112"/>
    <w:rsid w:val="00B11E09"/>
    <w:rsid w:val="00B1220D"/>
    <w:rsid w:val="00B1233B"/>
    <w:rsid w:val="00B126D6"/>
    <w:rsid w:val="00B12AB2"/>
    <w:rsid w:val="00B1338B"/>
    <w:rsid w:val="00B138F3"/>
    <w:rsid w:val="00B1428E"/>
    <w:rsid w:val="00B1442A"/>
    <w:rsid w:val="00B14AC8"/>
    <w:rsid w:val="00B14CF8"/>
    <w:rsid w:val="00B15BBF"/>
    <w:rsid w:val="00B15F00"/>
    <w:rsid w:val="00B16285"/>
    <w:rsid w:val="00B16C84"/>
    <w:rsid w:val="00B179B9"/>
    <w:rsid w:val="00B17AD5"/>
    <w:rsid w:val="00B17CBE"/>
    <w:rsid w:val="00B200D7"/>
    <w:rsid w:val="00B203F9"/>
    <w:rsid w:val="00B20705"/>
    <w:rsid w:val="00B208F0"/>
    <w:rsid w:val="00B20955"/>
    <w:rsid w:val="00B20DC6"/>
    <w:rsid w:val="00B2139C"/>
    <w:rsid w:val="00B217F9"/>
    <w:rsid w:val="00B21A78"/>
    <w:rsid w:val="00B220BB"/>
    <w:rsid w:val="00B224FD"/>
    <w:rsid w:val="00B22789"/>
    <w:rsid w:val="00B22930"/>
    <w:rsid w:val="00B23534"/>
    <w:rsid w:val="00B23D03"/>
    <w:rsid w:val="00B24016"/>
    <w:rsid w:val="00B242D7"/>
    <w:rsid w:val="00B25348"/>
    <w:rsid w:val="00B25943"/>
    <w:rsid w:val="00B26347"/>
    <w:rsid w:val="00B266B1"/>
    <w:rsid w:val="00B26831"/>
    <w:rsid w:val="00B2720B"/>
    <w:rsid w:val="00B27716"/>
    <w:rsid w:val="00B30904"/>
    <w:rsid w:val="00B30C42"/>
    <w:rsid w:val="00B31AFB"/>
    <w:rsid w:val="00B329B3"/>
    <w:rsid w:val="00B32E51"/>
    <w:rsid w:val="00B33472"/>
    <w:rsid w:val="00B33972"/>
    <w:rsid w:val="00B353E5"/>
    <w:rsid w:val="00B3607E"/>
    <w:rsid w:val="00B364BA"/>
    <w:rsid w:val="00B3662C"/>
    <w:rsid w:val="00B36D3E"/>
    <w:rsid w:val="00B37796"/>
    <w:rsid w:val="00B37AF6"/>
    <w:rsid w:val="00B37D7E"/>
    <w:rsid w:val="00B40B38"/>
    <w:rsid w:val="00B41692"/>
    <w:rsid w:val="00B4223B"/>
    <w:rsid w:val="00B4235A"/>
    <w:rsid w:val="00B42B3F"/>
    <w:rsid w:val="00B43CBD"/>
    <w:rsid w:val="00B4417D"/>
    <w:rsid w:val="00B4427C"/>
    <w:rsid w:val="00B452FC"/>
    <w:rsid w:val="00B454EA"/>
    <w:rsid w:val="00B45A97"/>
    <w:rsid w:val="00B46249"/>
    <w:rsid w:val="00B46A87"/>
    <w:rsid w:val="00B47130"/>
    <w:rsid w:val="00B4756E"/>
    <w:rsid w:val="00B47E9E"/>
    <w:rsid w:val="00B5004C"/>
    <w:rsid w:val="00B50359"/>
    <w:rsid w:val="00B50C9B"/>
    <w:rsid w:val="00B50EB0"/>
    <w:rsid w:val="00B51184"/>
    <w:rsid w:val="00B512FB"/>
    <w:rsid w:val="00B5285A"/>
    <w:rsid w:val="00B53072"/>
    <w:rsid w:val="00B53EA1"/>
    <w:rsid w:val="00B53F00"/>
    <w:rsid w:val="00B549DF"/>
    <w:rsid w:val="00B54DE6"/>
    <w:rsid w:val="00B55369"/>
    <w:rsid w:val="00B55905"/>
    <w:rsid w:val="00B55938"/>
    <w:rsid w:val="00B55F01"/>
    <w:rsid w:val="00B561E9"/>
    <w:rsid w:val="00B562EB"/>
    <w:rsid w:val="00B571C3"/>
    <w:rsid w:val="00B57338"/>
    <w:rsid w:val="00B578AC"/>
    <w:rsid w:val="00B6105E"/>
    <w:rsid w:val="00B613FE"/>
    <w:rsid w:val="00B6158A"/>
    <w:rsid w:val="00B61B30"/>
    <w:rsid w:val="00B621DD"/>
    <w:rsid w:val="00B6236E"/>
    <w:rsid w:val="00B62647"/>
    <w:rsid w:val="00B6267A"/>
    <w:rsid w:val="00B62AB9"/>
    <w:rsid w:val="00B62DF2"/>
    <w:rsid w:val="00B62E8D"/>
    <w:rsid w:val="00B632D4"/>
    <w:rsid w:val="00B634B7"/>
    <w:rsid w:val="00B63684"/>
    <w:rsid w:val="00B6402E"/>
    <w:rsid w:val="00B641B9"/>
    <w:rsid w:val="00B6443E"/>
    <w:rsid w:val="00B66473"/>
    <w:rsid w:val="00B67007"/>
    <w:rsid w:val="00B7064A"/>
    <w:rsid w:val="00B706E3"/>
    <w:rsid w:val="00B70F3E"/>
    <w:rsid w:val="00B71BD9"/>
    <w:rsid w:val="00B72355"/>
    <w:rsid w:val="00B7295F"/>
    <w:rsid w:val="00B73906"/>
    <w:rsid w:val="00B74538"/>
    <w:rsid w:val="00B74A56"/>
    <w:rsid w:val="00B75BE6"/>
    <w:rsid w:val="00B764FB"/>
    <w:rsid w:val="00B769DF"/>
    <w:rsid w:val="00B7C037"/>
    <w:rsid w:val="00B80679"/>
    <w:rsid w:val="00B80AEC"/>
    <w:rsid w:val="00B8126C"/>
    <w:rsid w:val="00B8140F"/>
    <w:rsid w:val="00B815E5"/>
    <w:rsid w:val="00B81720"/>
    <w:rsid w:val="00B81C4B"/>
    <w:rsid w:val="00B82703"/>
    <w:rsid w:val="00B82819"/>
    <w:rsid w:val="00B837E5"/>
    <w:rsid w:val="00B840EB"/>
    <w:rsid w:val="00B8452A"/>
    <w:rsid w:val="00B850A7"/>
    <w:rsid w:val="00B854D0"/>
    <w:rsid w:val="00B854E5"/>
    <w:rsid w:val="00B85B44"/>
    <w:rsid w:val="00B8619C"/>
    <w:rsid w:val="00B86938"/>
    <w:rsid w:val="00B872EC"/>
    <w:rsid w:val="00B90382"/>
    <w:rsid w:val="00B909BE"/>
    <w:rsid w:val="00B90F38"/>
    <w:rsid w:val="00B91575"/>
    <w:rsid w:val="00B92A31"/>
    <w:rsid w:val="00B92D09"/>
    <w:rsid w:val="00B92DF5"/>
    <w:rsid w:val="00B93047"/>
    <w:rsid w:val="00B93067"/>
    <w:rsid w:val="00B935D2"/>
    <w:rsid w:val="00B936F5"/>
    <w:rsid w:val="00B9377A"/>
    <w:rsid w:val="00B93ACD"/>
    <w:rsid w:val="00B948F5"/>
    <w:rsid w:val="00B94A0A"/>
    <w:rsid w:val="00B94C4C"/>
    <w:rsid w:val="00B94E98"/>
    <w:rsid w:val="00B96309"/>
    <w:rsid w:val="00B965A9"/>
    <w:rsid w:val="00B96C32"/>
    <w:rsid w:val="00B975DC"/>
    <w:rsid w:val="00BA02A1"/>
    <w:rsid w:val="00BA05B4"/>
    <w:rsid w:val="00BA06E6"/>
    <w:rsid w:val="00BA112C"/>
    <w:rsid w:val="00BA1211"/>
    <w:rsid w:val="00BA1523"/>
    <w:rsid w:val="00BA155F"/>
    <w:rsid w:val="00BA1C2F"/>
    <w:rsid w:val="00BA1D2E"/>
    <w:rsid w:val="00BA20CA"/>
    <w:rsid w:val="00BA238F"/>
    <w:rsid w:val="00BA3021"/>
    <w:rsid w:val="00BA31F0"/>
    <w:rsid w:val="00BA3373"/>
    <w:rsid w:val="00BA33BB"/>
    <w:rsid w:val="00BA394B"/>
    <w:rsid w:val="00BA4005"/>
    <w:rsid w:val="00BA40A3"/>
    <w:rsid w:val="00BA41EA"/>
    <w:rsid w:val="00BA43BA"/>
    <w:rsid w:val="00BA4457"/>
    <w:rsid w:val="00BA4F99"/>
    <w:rsid w:val="00BA5545"/>
    <w:rsid w:val="00BA58FD"/>
    <w:rsid w:val="00BA6B8E"/>
    <w:rsid w:val="00BA6FB6"/>
    <w:rsid w:val="00BA773F"/>
    <w:rsid w:val="00BA7B15"/>
    <w:rsid w:val="00BA7DAC"/>
    <w:rsid w:val="00BA7F70"/>
    <w:rsid w:val="00BB033F"/>
    <w:rsid w:val="00BB04B7"/>
    <w:rsid w:val="00BB0666"/>
    <w:rsid w:val="00BB088A"/>
    <w:rsid w:val="00BB08BD"/>
    <w:rsid w:val="00BB0D58"/>
    <w:rsid w:val="00BB0EAD"/>
    <w:rsid w:val="00BB1147"/>
    <w:rsid w:val="00BB1243"/>
    <w:rsid w:val="00BB346B"/>
    <w:rsid w:val="00BB370A"/>
    <w:rsid w:val="00BB375B"/>
    <w:rsid w:val="00BB397C"/>
    <w:rsid w:val="00BB3CBB"/>
    <w:rsid w:val="00BB3DFF"/>
    <w:rsid w:val="00BB3FCE"/>
    <w:rsid w:val="00BB3FE5"/>
    <w:rsid w:val="00BB4C86"/>
    <w:rsid w:val="00BB5282"/>
    <w:rsid w:val="00BB5319"/>
    <w:rsid w:val="00BB5C6F"/>
    <w:rsid w:val="00BB5C82"/>
    <w:rsid w:val="00BB5D52"/>
    <w:rsid w:val="00BB5FC6"/>
    <w:rsid w:val="00BB6534"/>
    <w:rsid w:val="00BB6B96"/>
    <w:rsid w:val="00BB6C01"/>
    <w:rsid w:val="00BB75EF"/>
    <w:rsid w:val="00BB7CED"/>
    <w:rsid w:val="00BC089F"/>
    <w:rsid w:val="00BC0E20"/>
    <w:rsid w:val="00BC1006"/>
    <w:rsid w:val="00BC12C5"/>
    <w:rsid w:val="00BC14B3"/>
    <w:rsid w:val="00BC1737"/>
    <w:rsid w:val="00BC2902"/>
    <w:rsid w:val="00BC2D22"/>
    <w:rsid w:val="00BC2E16"/>
    <w:rsid w:val="00BC30DC"/>
    <w:rsid w:val="00BC30EF"/>
    <w:rsid w:val="00BC4433"/>
    <w:rsid w:val="00BC44EA"/>
    <w:rsid w:val="00BC459A"/>
    <w:rsid w:val="00BC477C"/>
    <w:rsid w:val="00BC4B3D"/>
    <w:rsid w:val="00BC4D35"/>
    <w:rsid w:val="00BC5115"/>
    <w:rsid w:val="00BC5586"/>
    <w:rsid w:val="00BC5656"/>
    <w:rsid w:val="00BC577F"/>
    <w:rsid w:val="00BC5958"/>
    <w:rsid w:val="00BC5C5A"/>
    <w:rsid w:val="00BC640D"/>
    <w:rsid w:val="00BC662C"/>
    <w:rsid w:val="00BC69C4"/>
    <w:rsid w:val="00BC6CF4"/>
    <w:rsid w:val="00BC7372"/>
    <w:rsid w:val="00BC7888"/>
    <w:rsid w:val="00BC7CE9"/>
    <w:rsid w:val="00BD02C9"/>
    <w:rsid w:val="00BD02E3"/>
    <w:rsid w:val="00BD0C33"/>
    <w:rsid w:val="00BD157F"/>
    <w:rsid w:val="00BD1A1B"/>
    <w:rsid w:val="00BD23A7"/>
    <w:rsid w:val="00BD25E8"/>
    <w:rsid w:val="00BD26C2"/>
    <w:rsid w:val="00BD2818"/>
    <w:rsid w:val="00BD2DB0"/>
    <w:rsid w:val="00BD396E"/>
    <w:rsid w:val="00BD3C80"/>
    <w:rsid w:val="00BD402E"/>
    <w:rsid w:val="00BD4409"/>
    <w:rsid w:val="00BD47F7"/>
    <w:rsid w:val="00BD4D54"/>
    <w:rsid w:val="00BD5017"/>
    <w:rsid w:val="00BD5390"/>
    <w:rsid w:val="00BD5E15"/>
    <w:rsid w:val="00BD779A"/>
    <w:rsid w:val="00BE032A"/>
    <w:rsid w:val="00BE0B95"/>
    <w:rsid w:val="00BE16F5"/>
    <w:rsid w:val="00BE1828"/>
    <w:rsid w:val="00BE1A4C"/>
    <w:rsid w:val="00BE1B43"/>
    <w:rsid w:val="00BE2A24"/>
    <w:rsid w:val="00BE3439"/>
    <w:rsid w:val="00BE3516"/>
    <w:rsid w:val="00BE379E"/>
    <w:rsid w:val="00BE3D51"/>
    <w:rsid w:val="00BE3DBF"/>
    <w:rsid w:val="00BE44AF"/>
    <w:rsid w:val="00BE6FF7"/>
    <w:rsid w:val="00BE7549"/>
    <w:rsid w:val="00BE76DA"/>
    <w:rsid w:val="00BF011F"/>
    <w:rsid w:val="00BF076A"/>
    <w:rsid w:val="00BF0A96"/>
    <w:rsid w:val="00BF0D5D"/>
    <w:rsid w:val="00BF11A4"/>
    <w:rsid w:val="00BF1C00"/>
    <w:rsid w:val="00BF263F"/>
    <w:rsid w:val="00BF2AAA"/>
    <w:rsid w:val="00BF3690"/>
    <w:rsid w:val="00BF3894"/>
    <w:rsid w:val="00BF3CAF"/>
    <w:rsid w:val="00BF3F22"/>
    <w:rsid w:val="00BF40F4"/>
    <w:rsid w:val="00BF4456"/>
    <w:rsid w:val="00BF4516"/>
    <w:rsid w:val="00BF48DF"/>
    <w:rsid w:val="00BF49BB"/>
    <w:rsid w:val="00BF4D99"/>
    <w:rsid w:val="00BF52C5"/>
    <w:rsid w:val="00BF55A1"/>
    <w:rsid w:val="00BF5EF7"/>
    <w:rsid w:val="00BF61F9"/>
    <w:rsid w:val="00BF6323"/>
    <w:rsid w:val="00BF6371"/>
    <w:rsid w:val="00BF6F14"/>
    <w:rsid w:val="00BF7199"/>
    <w:rsid w:val="00BF7C19"/>
    <w:rsid w:val="00BF7FF2"/>
    <w:rsid w:val="00C00019"/>
    <w:rsid w:val="00C0080B"/>
    <w:rsid w:val="00C00D38"/>
    <w:rsid w:val="00C00DAA"/>
    <w:rsid w:val="00C00E64"/>
    <w:rsid w:val="00C022EE"/>
    <w:rsid w:val="00C02660"/>
    <w:rsid w:val="00C02935"/>
    <w:rsid w:val="00C02A58"/>
    <w:rsid w:val="00C02DDF"/>
    <w:rsid w:val="00C0337C"/>
    <w:rsid w:val="00C033F7"/>
    <w:rsid w:val="00C03ABE"/>
    <w:rsid w:val="00C03C8D"/>
    <w:rsid w:val="00C03E8F"/>
    <w:rsid w:val="00C040B5"/>
    <w:rsid w:val="00C05564"/>
    <w:rsid w:val="00C05C11"/>
    <w:rsid w:val="00C05E48"/>
    <w:rsid w:val="00C06432"/>
    <w:rsid w:val="00C06472"/>
    <w:rsid w:val="00C0697E"/>
    <w:rsid w:val="00C06A36"/>
    <w:rsid w:val="00C0712C"/>
    <w:rsid w:val="00C073DC"/>
    <w:rsid w:val="00C0751F"/>
    <w:rsid w:val="00C079D6"/>
    <w:rsid w:val="00C103DD"/>
    <w:rsid w:val="00C10720"/>
    <w:rsid w:val="00C10AA3"/>
    <w:rsid w:val="00C10C0C"/>
    <w:rsid w:val="00C10F62"/>
    <w:rsid w:val="00C11216"/>
    <w:rsid w:val="00C117A2"/>
    <w:rsid w:val="00C119A1"/>
    <w:rsid w:val="00C11EFC"/>
    <w:rsid w:val="00C12279"/>
    <w:rsid w:val="00C1231B"/>
    <w:rsid w:val="00C12DA2"/>
    <w:rsid w:val="00C13702"/>
    <w:rsid w:val="00C1390C"/>
    <w:rsid w:val="00C14148"/>
    <w:rsid w:val="00C14257"/>
    <w:rsid w:val="00C142C8"/>
    <w:rsid w:val="00C14AD4"/>
    <w:rsid w:val="00C150FF"/>
    <w:rsid w:val="00C156AC"/>
    <w:rsid w:val="00C15714"/>
    <w:rsid w:val="00C16197"/>
    <w:rsid w:val="00C16300"/>
    <w:rsid w:val="00C1685B"/>
    <w:rsid w:val="00C16A7C"/>
    <w:rsid w:val="00C17492"/>
    <w:rsid w:val="00C17A4C"/>
    <w:rsid w:val="00C204D2"/>
    <w:rsid w:val="00C20A4B"/>
    <w:rsid w:val="00C20F47"/>
    <w:rsid w:val="00C2103C"/>
    <w:rsid w:val="00C211BB"/>
    <w:rsid w:val="00C2147D"/>
    <w:rsid w:val="00C2198D"/>
    <w:rsid w:val="00C21E59"/>
    <w:rsid w:val="00C22238"/>
    <w:rsid w:val="00C22736"/>
    <w:rsid w:val="00C22895"/>
    <w:rsid w:val="00C230C7"/>
    <w:rsid w:val="00C2336D"/>
    <w:rsid w:val="00C2350E"/>
    <w:rsid w:val="00C2390F"/>
    <w:rsid w:val="00C23A2C"/>
    <w:rsid w:val="00C23B49"/>
    <w:rsid w:val="00C241E4"/>
    <w:rsid w:val="00C2424C"/>
    <w:rsid w:val="00C247BE"/>
    <w:rsid w:val="00C24FF3"/>
    <w:rsid w:val="00C25527"/>
    <w:rsid w:val="00C25E87"/>
    <w:rsid w:val="00C25FB5"/>
    <w:rsid w:val="00C26C01"/>
    <w:rsid w:val="00C26D53"/>
    <w:rsid w:val="00C26F64"/>
    <w:rsid w:val="00C27CA8"/>
    <w:rsid w:val="00C30215"/>
    <w:rsid w:val="00C303B9"/>
    <w:rsid w:val="00C30712"/>
    <w:rsid w:val="00C30AF8"/>
    <w:rsid w:val="00C30BAD"/>
    <w:rsid w:val="00C30E04"/>
    <w:rsid w:val="00C31352"/>
    <w:rsid w:val="00C316BD"/>
    <w:rsid w:val="00C31CA1"/>
    <w:rsid w:val="00C324F8"/>
    <w:rsid w:val="00C32CC1"/>
    <w:rsid w:val="00C33412"/>
    <w:rsid w:val="00C33D27"/>
    <w:rsid w:val="00C35654"/>
    <w:rsid w:val="00C3569F"/>
    <w:rsid w:val="00C358E7"/>
    <w:rsid w:val="00C36BC7"/>
    <w:rsid w:val="00C36CDD"/>
    <w:rsid w:val="00C36D9E"/>
    <w:rsid w:val="00C3720F"/>
    <w:rsid w:val="00C37384"/>
    <w:rsid w:val="00C3792C"/>
    <w:rsid w:val="00C37D3F"/>
    <w:rsid w:val="00C402E0"/>
    <w:rsid w:val="00C40493"/>
    <w:rsid w:val="00C406C4"/>
    <w:rsid w:val="00C40ED0"/>
    <w:rsid w:val="00C410E6"/>
    <w:rsid w:val="00C41496"/>
    <w:rsid w:val="00C416A4"/>
    <w:rsid w:val="00C418D0"/>
    <w:rsid w:val="00C420CA"/>
    <w:rsid w:val="00C422B5"/>
    <w:rsid w:val="00C42438"/>
    <w:rsid w:val="00C426CF"/>
    <w:rsid w:val="00C4273C"/>
    <w:rsid w:val="00C42831"/>
    <w:rsid w:val="00C42D06"/>
    <w:rsid w:val="00C42E17"/>
    <w:rsid w:val="00C4357B"/>
    <w:rsid w:val="00C43756"/>
    <w:rsid w:val="00C4397C"/>
    <w:rsid w:val="00C43D82"/>
    <w:rsid w:val="00C43EAA"/>
    <w:rsid w:val="00C44006"/>
    <w:rsid w:val="00C443D1"/>
    <w:rsid w:val="00C4460B"/>
    <w:rsid w:val="00C4477D"/>
    <w:rsid w:val="00C44F4B"/>
    <w:rsid w:val="00C4516C"/>
    <w:rsid w:val="00C4547D"/>
    <w:rsid w:val="00C454E3"/>
    <w:rsid w:val="00C45EAE"/>
    <w:rsid w:val="00C45F07"/>
    <w:rsid w:val="00C47493"/>
    <w:rsid w:val="00C5039B"/>
    <w:rsid w:val="00C50BD3"/>
    <w:rsid w:val="00C514D5"/>
    <w:rsid w:val="00C514E4"/>
    <w:rsid w:val="00C51B03"/>
    <w:rsid w:val="00C51B82"/>
    <w:rsid w:val="00C51DBB"/>
    <w:rsid w:val="00C51E4E"/>
    <w:rsid w:val="00C52278"/>
    <w:rsid w:val="00C52C57"/>
    <w:rsid w:val="00C52FF6"/>
    <w:rsid w:val="00C53FA1"/>
    <w:rsid w:val="00C54F08"/>
    <w:rsid w:val="00C550CD"/>
    <w:rsid w:val="00C551B6"/>
    <w:rsid w:val="00C556DA"/>
    <w:rsid w:val="00C55BBB"/>
    <w:rsid w:val="00C55F84"/>
    <w:rsid w:val="00C56B2C"/>
    <w:rsid w:val="00C5753A"/>
    <w:rsid w:val="00C60BD7"/>
    <w:rsid w:val="00C61B02"/>
    <w:rsid w:val="00C61E07"/>
    <w:rsid w:val="00C622FC"/>
    <w:rsid w:val="00C623EE"/>
    <w:rsid w:val="00C62CC8"/>
    <w:rsid w:val="00C63657"/>
    <w:rsid w:val="00C637AA"/>
    <w:rsid w:val="00C63AFC"/>
    <w:rsid w:val="00C63EC9"/>
    <w:rsid w:val="00C64351"/>
    <w:rsid w:val="00C64A17"/>
    <w:rsid w:val="00C64A3B"/>
    <w:rsid w:val="00C650D4"/>
    <w:rsid w:val="00C6567B"/>
    <w:rsid w:val="00C656A6"/>
    <w:rsid w:val="00C65B1D"/>
    <w:rsid w:val="00C66240"/>
    <w:rsid w:val="00C66860"/>
    <w:rsid w:val="00C66A0D"/>
    <w:rsid w:val="00C67086"/>
    <w:rsid w:val="00C67391"/>
    <w:rsid w:val="00C67450"/>
    <w:rsid w:val="00C67663"/>
    <w:rsid w:val="00C677B1"/>
    <w:rsid w:val="00C6A7E1"/>
    <w:rsid w:val="00C7044B"/>
    <w:rsid w:val="00C70DC6"/>
    <w:rsid w:val="00C72628"/>
    <w:rsid w:val="00C72794"/>
    <w:rsid w:val="00C72F18"/>
    <w:rsid w:val="00C7340B"/>
    <w:rsid w:val="00C73A05"/>
    <w:rsid w:val="00C73B42"/>
    <w:rsid w:val="00C73EE8"/>
    <w:rsid w:val="00C73FAF"/>
    <w:rsid w:val="00C74250"/>
    <w:rsid w:val="00C752F5"/>
    <w:rsid w:val="00C765B1"/>
    <w:rsid w:val="00C7666A"/>
    <w:rsid w:val="00C767F3"/>
    <w:rsid w:val="00C76E0C"/>
    <w:rsid w:val="00C76EFF"/>
    <w:rsid w:val="00C776ED"/>
    <w:rsid w:val="00C77F17"/>
    <w:rsid w:val="00C80000"/>
    <w:rsid w:val="00C8041F"/>
    <w:rsid w:val="00C80765"/>
    <w:rsid w:val="00C808EF"/>
    <w:rsid w:val="00C80D07"/>
    <w:rsid w:val="00C81627"/>
    <w:rsid w:val="00C81A43"/>
    <w:rsid w:val="00C81F6F"/>
    <w:rsid w:val="00C81F92"/>
    <w:rsid w:val="00C8231E"/>
    <w:rsid w:val="00C826F6"/>
    <w:rsid w:val="00C82C0F"/>
    <w:rsid w:val="00C82C5D"/>
    <w:rsid w:val="00C82D0E"/>
    <w:rsid w:val="00C8349D"/>
    <w:rsid w:val="00C83B53"/>
    <w:rsid w:val="00C83DF8"/>
    <w:rsid w:val="00C848A1"/>
    <w:rsid w:val="00C84991"/>
    <w:rsid w:val="00C84AEB"/>
    <w:rsid w:val="00C859DE"/>
    <w:rsid w:val="00C85A21"/>
    <w:rsid w:val="00C86456"/>
    <w:rsid w:val="00C86609"/>
    <w:rsid w:val="00C8674B"/>
    <w:rsid w:val="00C86D66"/>
    <w:rsid w:val="00C87189"/>
    <w:rsid w:val="00C872F9"/>
    <w:rsid w:val="00C873CE"/>
    <w:rsid w:val="00C874AD"/>
    <w:rsid w:val="00C877E4"/>
    <w:rsid w:val="00C87B27"/>
    <w:rsid w:val="00C87D63"/>
    <w:rsid w:val="00C90327"/>
    <w:rsid w:val="00C903AA"/>
    <w:rsid w:val="00C90529"/>
    <w:rsid w:val="00C9055B"/>
    <w:rsid w:val="00C9107D"/>
    <w:rsid w:val="00C917CF"/>
    <w:rsid w:val="00C91A26"/>
    <w:rsid w:val="00C91AA8"/>
    <w:rsid w:val="00C91E38"/>
    <w:rsid w:val="00C929E8"/>
    <w:rsid w:val="00C93ADB"/>
    <w:rsid w:val="00C93C93"/>
    <w:rsid w:val="00C94454"/>
    <w:rsid w:val="00C94676"/>
    <w:rsid w:val="00C946B4"/>
    <w:rsid w:val="00C9480A"/>
    <w:rsid w:val="00C94C75"/>
    <w:rsid w:val="00C94CF7"/>
    <w:rsid w:val="00C950B4"/>
    <w:rsid w:val="00C95332"/>
    <w:rsid w:val="00C95457"/>
    <w:rsid w:val="00C9581E"/>
    <w:rsid w:val="00C95BB1"/>
    <w:rsid w:val="00C95D19"/>
    <w:rsid w:val="00C960B5"/>
    <w:rsid w:val="00C9612D"/>
    <w:rsid w:val="00C96501"/>
    <w:rsid w:val="00C96F6B"/>
    <w:rsid w:val="00C97046"/>
    <w:rsid w:val="00C974E8"/>
    <w:rsid w:val="00CA0ED1"/>
    <w:rsid w:val="00CA1F55"/>
    <w:rsid w:val="00CA20C2"/>
    <w:rsid w:val="00CA28DC"/>
    <w:rsid w:val="00CA292B"/>
    <w:rsid w:val="00CA2A5C"/>
    <w:rsid w:val="00CA2B55"/>
    <w:rsid w:val="00CA33A3"/>
    <w:rsid w:val="00CA3719"/>
    <w:rsid w:val="00CA409C"/>
    <w:rsid w:val="00CA4428"/>
    <w:rsid w:val="00CA4513"/>
    <w:rsid w:val="00CA4BE3"/>
    <w:rsid w:val="00CA4CD4"/>
    <w:rsid w:val="00CA4F32"/>
    <w:rsid w:val="00CA52B3"/>
    <w:rsid w:val="00CA5B59"/>
    <w:rsid w:val="00CA5F10"/>
    <w:rsid w:val="00CA630C"/>
    <w:rsid w:val="00CA6469"/>
    <w:rsid w:val="00CA6ACA"/>
    <w:rsid w:val="00CA7638"/>
    <w:rsid w:val="00CA7814"/>
    <w:rsid w:val="00CA7DAD"/>
    <w:rsid w:val="00CA7EE7"/>
    <w:rsid w:val="00CB02C5"/>
    <w:rsid w:val="00CB0570"/>
    <w:rsid w:val="00CB063A"/>
    <w:rsid w:val="00CB0956"/>
    <w:rsid w:val="00CB0D2E"/>
    <w:rsid w:val="00CB0D70"/>
    <w:rsid w:val="00CB188E"/>
    <w:rsid w:val="00CB21AF"/>
    <w:rsid w:val="00CB30E2"/>
    <w:rsid w:val="00CB3644"/>
    <w:rsid w:val="00CB3A9A"/>
    <w:rsid w:val="00CB3D3F"/>
    <w:rsid w:val="00CB4654"/>
    <w:rsid w:val="00CB4703"/>
    <w:rsid w:val="00CB4FF9"/>
    <w:rsid w:val="00CB5017"/>
    <w:rsid w:val="00CB55B2"/>
    <w:rsid w:val="00CB5E37"/>
    <w:rsid w:val="00CB5F20"/>
    <w:rsid w:val="00CB6D24"/>
    <w:rsid w:val="00CB7119"/>
    <w:rsid w:val="00CB7132"/>
    <w:rsid w:val="00CB715B"/>
    <w:rsid w:val="00CB7CE0"/>
    <w:rsid w:val="00CC00BD"/>
    <w:rsid w:val="00CC057B"/>
    <w:rsid w:val="00CC0970"/>
    <w:rsid w:val="00CC09AA"/>
    <w:rsid w:val="00CC10B0"/>
    <w:rsid w:val="00CC1461"/>
    <w:rsid w:val="00CC20E1"/>
    <w:rsid w:val="00CC215B"/>
    <w:rsid w:val="00CC250D"/>
    <w:rsid w:val="00CC528C"/>
    <w:rsid w:val="00CC5BE1"/>
    <w:rsid w:val="00CC65BF"/>
    <w:rsid w:val="00CC6C6B"/>
    <w:rsid w:val="00CC70C6"/>
    <w:rsid w:val="00CC726A"/>
    <w:rsid w:val="00CC75D5"/>
    <w:rsid w:val="00CD0027"/>
    <w:rsid w:val="00CD0408"/>
    <w:rsid w:val="00CD07E5"/>
    <w:rsid w:val="00CD1363"/>
    <w:rsid w:val="00CD166D"/>
    <w:rsid w:val="00CD1779"/>
    <w:rsid w:val="00CD18FE"/>
    <w:rsid w:val="00CD1B6A"/>
    <w:rsid w:val="00CD1D59"/>
    <w:rsid w:val="00CD1EAE"/>
    <w:rsid w:val="00CD20F1"/>
    <w:rsid w:val="00CD21A7"/>
    <w:rsid w:val="00CD2788"/>
    <w:rsid w:val="00CD2898"/>
    <w:rsid w:val="00CD2DFC"/>
    <w:rsid w:val="00CD2EF0"/>
    <w:rsid w:val="00CD2FE7"/>
    <w:rsid w:val="00CD3CB4"/>
    <w:rsid w:val="00CD3F2D"/>
    <w:rsid w:val="00CD3FC8"/>
    <w:rsid w:val="00CD4370"/>
    <w:rsid w:val="00CD4417"/>
    <w:rsid w:val="00CD4E1C"/>
    <w:rsid w:val="00CD558F"/>
    <w:rsid w:val="00CD5987"/>
    <w:rsid w:val="00CD5B99"/>
    <w:rsid w:val="00CD5F0E"/>
    <w:rsid w:val="00CD6216"/>
    <w:rsid w:val="00CD6290"/>
    <w:rsid w:val="00CD678D"/>
    <w:rsid w:val="00CD6E46"/>
    <w:rsid w:val="00CD79A7"/>
    <w:rsid w:val="00CD7E9A"/>
    <w:rsid w:val="00CE00B6"/>
    <w:rsid w:val="00CE06F1"/>
    <w:rsid w:val="00CE0714"/>
    <w:rsid w:val="00CE0779"/>
    <w:rsid w:val="00CE082C"/>
    <w:rsid w:val="00CE0D0A"/>
    <w:rsid w:val="00CE1B61"/>
    <w:rsid w:val="00CE2630"/>
    <w:rsid w:val="00CE2CD3"/>
    <w:rsid w:val="00CE30B3"/>
    <w:rsid w:val="00CE34F1"/>
    <w:rsid w:val="00CE3BE5"/>
    <w:rsid w:val="00CE4258"/>
    <w:rsid w:val="00CE4EF0"/>
    <w:rsid w:val="00CE516D"/>
    <w:rsid w:val="00CE6474"/>
    <w:rsid w:val="00CE662C"/>
    <w:rsid w:val="00CE6CB4"/>
    <w:rsid w:val="00CE730B"/>
    <w:rsid w:val="00CF01D5"/>
    <w:rsid w:val="00CF0256"/>
    <w:rsid w:val="00CF0600"/>
    <w:rsid w:val="00CF11F6"/>
    <w:rsid w:val="00CF12B7"/>
    <w:rsid w:val="00CF1FF7"/>
    <w:rsid w:val="00CF1FFF"/>
    <w:rsid w:val="00CF20AD"/>
    <w:rsid w:val="00CF219D"/>
    <w:rsid w:val="00CF2A68"/>
    <w:rsid w:val="00CF2C3C"/>
    <w:rsid w:val="00CF2F5B"/>
    <w:rsid w:val="00CF3385"/>
    <w:rsid w:val="00CF3B99"/>
    <w:rsid w:val="00CF4968"/>
    <w:rsid w:val="00CF4A34"/>
    <w:rsid w:val="00CF4C0F"/>
    <w:rsid w:val="00CF588C"/>
    <w:rsid w:val="00CF5FBB"/>
    <w:rsid w:val="00CF63AA"/>
    <w:rsid w:val="00CF65F9"/>
    <w:rsid w:val="00CF6979"/>
    <w:rsid w:val="00CF72F7"/>
    <w:rsid w:val="00CF7672"/>
    <w:rsid w:val="00D001E2"/>
    <w:rsid w:val="00D00534"/>
    <w:rsid w:val="00D00A83"/>
    <w:rsid w:val="00D00CC7"/>
    <w:rsid w:val="00D016B3"/>
    <w:rsid w:val="00D02637"/>
    <w:rsid w:val="00D03C89"/>
    <w:rsid w:val="00D0455F"/>
    <w:rsid w:val="00D049FB"/>
    <w:rsid w:val="00D04E95"/>
    <w:rsid w:val="00D051CA"/>
    <w:rsid w:val="00D05467"/>
    <w:rsid w:val="00D05598"/>
    <w:rsid w:val="00D056AD"/>
    <w:rsid w:val="00D056E3"/>
    <w:rsid w:val="00D05D5F"/>
    <w:rsid w:val="00D05FBF"/>
    <w:rsid w:val="00D05FDE"/>
    <w:rsid w:val="00D061B8"/>
    <w:rsid w:val="00D0649D"/>
    <w:rsid w:val="00D0653E"/>
    <w:rsid w:val="00D06A2F"/>
    <w:rsid w:val="00D06BBF"/>
    <w:rsid w:val="00D070DD"/>
    <w:rsid w:val="00D07282"/>
    <w:rsid w:val="00D072F7"/>
    <w:rsid w:val="00D07516"/>
    <w:rsid w:val="00D07873"/>
    <w:rsid w:val="00D07FC6"/>
    <w:rsid w:val="00D103AC"/>
    <w:rsid w:val="00D104A7"/>
    <w:rsid w:val="00D108F0"/>
    <w:rsid w:val="00D10BFC"/>
    <w:rsid w:val="00D10D06"/>
    <w:rsid w:val="00D11C09"/>
    <w:rsid w:val="00D1215C"/>
    <w:rsid w:val="00D126BF"/>
    <w:rsid w:val="00D12C18"/>
    <w:rsid w:val="00D12DDF"/>
    <w:rsid w:val="00D12EEE"/>
    <w:rsid w:val="00D12F6B"/>
    <w:rsid w:val="00D1333B"/>
    <w:rsid w:val="00D136E6"/>
    <w:rsid w:val="00D137A8"/>
    <w:rsid w:val="00D13C9B"/>
    <w:rsid w:val="00D14661"/>
    <w:rsid w:val="00D1520E"/>
    <w:rsid w:val="00D1547E"/>
    <w:rsid w:val="00D15BAB"/>
    <w:rsid w:val="00D15EDD"/>
    <w:rsid w:val="00D16C18"/>
    <w:rsid w:val="00D173C0"/>
    <w:rsid w:val="00D173DA"/>
    <w:rsid w:val="00D1741C"/>
    <w:rsid w:val="00D17430"/>
    <w:rsid w:val="00D17E07"/>
    <w:rsid w:val="00D203A1"/>
    <w:rsid w:val="00D20F30"/>
    <w:rsid w:val="00D216AC"/>
    <w:rsid w:val="00D22E1E"/>
    <w:rsid w:val="00D22EBD"/>
    <w:rsid w:val="00D231C2"/>
    <w:rsid w:val="00D235C9"/>
    <w:rsid w:val="00D23A71"/>
    <w:rsid w:val="00D23CD4"/>
    <w:rsid w:val="00D2412B"/>
    <w:rsid w:val="00D24334"/>
    <w:rsid w:val="00D244E2"/>
    <w:rsid w:val="00D24BD8"/>
    <w:rsid w:val="00D24D7A"/>
    <w:rsid w:val="00D25292"/>
    <w:rsid w:val="00D25497"/>
    <w:rsid w:val="00D25593"/>
    <w:rsid w:val="00D25B63"/>
    <w:rsid w:val="00D266A6"/>
    <w:rsid w:val="00D266E2"/>
    <w:rsid w:val="00D26A20"/>
    <w:rsid w:val="00D27032"/>
    <w:rsid w:val="00D27120"/>
    <w:rsid w:val="00D273A9"/>
    <w:rsid w:val="00D300FF"/>
    <w:rsid w:val="00D307CE"/>
    <w:rsid w:val="00D3095A"/>
    <w:rsid w:val="00D30FB8"/>
    <w:rsid w:val="00D31087"/>
    <w:rsid w:val="00D31C67"/>
    <w:rsid w:val="00D32B5D"/>
    <w:rsid w:val="00D32BE8"/>
    <w:rsid w:val="00D32C07"/>
    <w:rsid w:val="00D33269"/>
    <w:rsid w:val="00D33C50"/>
    <w:rsid w:val="00D33DA6"/>
    <w:rsid w:val="00D3402A"/>
    <w:rsid w:val="00D34648"/>
    <w:rsid w:val="00D34A91"/>
    <w:rsid w:val="00D34D72"/>
    <w:rsid w:val="00D35068"/>
    <w:rsid w:val="00D35088"/>
    <w:rsid w:val="00D3565E"/>
    <w:rsid w:val="00D35BE2"/>
    <w:rsid w:val="00D36880"/>
    <w:rsid w:val="00D36B4E"/>
    <w:rsid w:val="00D37264"/>
    <w:rsid w:val="00D378BC"/>
    <w:rsid w:val="00D37BC4"/>
    <w:rsid w:val="00D40257"/>
    <w:rsid w:val="00D40AF6"/>
    <w:rsid w:val="00D41282"/>
    <w:rsid w:val="00D419D6"/>
    <w:rsid w:val="00D41D36"/>
    <w:rsid w:val="00D41D8C"/>
    <w:rsid w:val="00D42439"/>
    <w:rsid w:val="00D42736"/>
    <w:rsid w:val="00D430BC"/>
    <w:rsid w:val="00D431EE"/>
    <w:rsid w:val="00D4369E"/>
    <w:rsid w:val="00D43AFA"/>
    <w:rsid w:val="00D4483E"/>
    <w:rsid w:val="00D448EA"/>
    <w:rsid w:val="00D450BB"/>
    <w:rsid w:val="00D4515F"/>
    <w:rsid w:val="00D45850"/>
    <w:rsid w:val="00D45898"/>
    <w:rsid w:val="00D474A0"/>
    <w:rsid w:val="00D504DE"/>
    <w:rsid w:val="00D50C09"/>
    <w:rsid w:val="00D51D52"/>
    <w:rsid w:val="00D51E42"/>
    <w:rsid w:val="00D5211F"/>
    <w:rsid w:val="00D522F1"/>
    <w:rsid w:val="00D5306D"/>
    <w:rsid w:val="00D5318F"/>
    <w:rsid w:val="00D5395A"/>
    <w:rsid w:val="00D53B09"/>
    <w:rsid w:val="00D55802"/>
    <w:rsid w:val="00D56253"/>
    <w:rsid w:val="00D56293"/>
    <w:rsid w:val="00D563AA"/>
    <w:rsid w:val="00D564A8"/>
    <w:rsid w:val="00D56C86"/>
    <w:rsid w:val="00D56DE8"/>
    <w:rsid w:val="00D57996"/>
    <w:rsid w:val="00D57A5E"/>
    <w:rsid w:val="00D57C65"/>
    <w:rsid w:val="00D57F1F"/>
    <w:rsid w:val="00D604A6"/>
    <w:rsid w:val="00D60E21"/>
    <w:rsid w:val="00D6104D"/>
    <w:rsid w:val="00D61B56"/>
    <w:rsid w:val="00D61F10"/>
    <w:rsid w:val="00D6257F"/>
    <w:rsid w:val="00D62681"/>
    <w:rsid w:val="00D6268D"/>
    <w:rsid w:val="00D62D05"/>
    <w:rsid w:val="00D62DAA"/>
    <w:rsid w:val="00D63052"/>
    <w:rsid w:val="00D6307A"/>
    <w:rsid w:val="00D630B8"/>
    <w:rsid w:val="00D63896"/>
    <w:rsid w:val="00D63F00"/>
    <w:rsid w:val="00D64C4B"/>
    <w:rsid w:val="00D64D38"/>
    <w:rsid w:val="00D658DB"/>
    <w:rsid w:val="00D65AAC"/>
    <w:rsid w:val="00D6642A"/>
    <w:rsid w:val="00D669A4"/>
    <w:rsid w:val="00D6709B"/>
    <w:rsid w:val="00D67B59"/>
    <w:rsid w:val="00D67C66"/>
    <w:rsid w:val="00D67EB5"/>
    <w:rsid w:val="00D70130"/>
    <w:rsid w:val="00D703D4"/>
    <w:rsid w:val="00D71865"/>
    <w:rsid w:val="00D7381A"/>
    <w:rsid w:val="00D73AA4"/>
    <w:rsid w:val="00D74544"/>
    <w:rsid w:val="00D74DCF"/>
    <w:rsid w:val="00D7519F"/>
    <w:rsid w:val="00D755B2"/>
    <w:rsid w:val="00D758CF"/>
    <w:rsid w:val="00D7597C"/>
    <w:rsid w:val="00D75C37"/>
    <w:rsid w:val="00D76B18"/>
    <w:rsid w:val="00D76CC5"/>
    <w:rsid w:val="00D76D56"/>
    <w:rsid w:val="00D771BE"/>
    <w:rsid w:val="00D772E9"/>
    <w:rsid w:val="00D775C9"/>
    <w:rsid w:val="00D80814"/>
    <w:rsid w:val="00D815C8"/>
    <w:rsid w:val="00D828F6"/>
    <w:rsid w:val="00D82D67"/>
    <w:rsid w:val="00D82EF7"/>
    <w:rsid w:val="00D8315B"/>
    <w:rsid w:val="00D835EC"/>
    <w:rsid w:val="00D8372D"/>
    <w:rsid w:val="00D83E17"/>
    <w:rsid w:val="00D84B96"/>
    <w:rsid w:val="00D8555C"/>
    <w:rsid w:val="00D85A01"/>
    <w:rsid w:val="00D85EAB"/>
    <w:rsid w:val="00D85F50"/>
    <w:rsid w:val="00D85FA9"/>
    <w:rsid w:val="00D865C9"/>
    <w:rsid w:val="00D86996"/>
    <w:rsid w:val="00D9077B"/>
    <w:rsid w:val="00D90A37"/>
    <w:rsid w:val="00D91119"/>
    <w:rsid w:val="00D91BA2"/>
    <w:rsid w:val="00D920A2"/>
    <w:rsid w:val="00D9232E"/>
    <w:rsid w:val="00D92851"/>
    <w:rsid w:val="00D9351B"/>
    <w:rsid w:val="00D958FE"/>
    <w:rsid w:val="00D96062"/>
    <w:rsid w:val="00D963D7"/>
    <w:rsid w:val="00D96550"/>
    <w:rsid w:val="00D96867"/>
    <w:rsid w:val="00D96E43"/>
    <w:rsid w:val="00D97331"/>
    <w:rsid w:val="00D976EC"/>
    <w:rsid w:val="00D979AF"/>
    <w:rsid w:val="00D97AF7"/>
    <w:rsid w:val="00D97C7C"/>
    <w:rsid w:val="00DA0021"/>
    <w:rsid w:val="00DA0240"/>
    <w:rsid w:val="00DA10A8"/>
    <w:rsid w:val="00DA15A6"/>
    <w:rsid w:val="00DA17B5"/>
    <w:rsid w:val="00DA1862"/>
    <w:rsid w:val="00DA1DB7"/>
    <w:rsid w:val="00DA270D"/>
    <w:rsid w:val="00DA293A"/>
    <w:rsid w:val="00DA2F5C"/>
    <w:rsid w:val="00DA35CF"/>
    <w:rsid w:val="00DA37F0"/>
    <w:rsid w:val="00DA3AFB"/>
    <w:rsid w:val="00DA407A"/>
    <w:rsid w:val="00DA409C"/>
    <w:rsid w:val="00DA41C4"/>
    <w:rsid w:val="00DA4D3B"/>
    <w:rsid w:val="00DA5179"/>
    <w:rsid w:val="00DA5A62"/>
    <w:rsid w:val="00DA5D59"/>
    <w:rsid w:val="00DA686B"/>
    <w:rsid w:val="00DA6B31"/>
    <w:rsid w:val="00DA6BD9"/>
    <w:rsid w:val="00DA729B"/>
    <w:rsid w:val="00DA72A6"/>
    <w:rsid w:val="00DA77BB"/>
    <w:rsid w:val="00DA7B68"/>
    <w:rsid w:val="00DA7C68"/>
    <w:rsid w:val="00DA7CCA"/>
    <w:rsid w:val="00DA7F2D"/>
    <w:rsid w:val="00DB01FC"/>
    <w:rsid w:val="00DB0A7A"/>
    <w:rsid w:val="00DB0ABE"/>
    <w:rsid w:val="00DB0AF8"/>
    <w:rsid w:val="00DB1706"/>
    <w:rsid w:val="00DB19A8"/>
    <w:rsid w:val="00DB2481"/>
    <w:rsid w:val="00DB395D"/>
    <w:rsid w:val="00DB41A8"/>
    <w:rsid w:val="00DB48C0"/>
    <w:rsid w:val="00DB4E6A"/>
    <w:rsid w:val="00DB5600"/>
    <w:rsid w:val="00DB5CB4"/>
    <w:rsid w:val="00DB5FB8"/>
    <w:rsid w:val="00DB63AF"/>
    <w:rsid w:val="00DB64EF"/>
    <w:rsid w:val="00DB6A36"/>
    <w:rsid w:val="00DB7AF9"/>
    <w:rsid w:val="00DB7B51"/>
    <w:rsid w:val="00DC008C"/>
    <w:rsid w:val="00DC0333"/>
    <w:rsid w:val="00DC03B5"/>
    <w:rsid w:val="00DC0420"/>
    <w:rsid w:val="00DC0CB8"/>
    <w:rsid w:val="00DC1403"/>
    <w:rsid w:val="00DC3607"/>
    <w:rsid w:val="00DC416F"/>
    <w:rsid w:val="00DC5487"/>
    <w:rsid w:val="00DC59D6"/>
    <w:rsid w:val="00DC5AB8"/>
    <w:rsid w:val="00DC628C"/>
    <w:rsid w:val="00DC6C9D"/>
    <w:rsid w:val="00DC6DDE"/>
    <w:rsid w:val="00DC6E1A"/>
    <w:rsid w:val="00DC7258"/>
    <w:rsid w:val="00DC72F6"/>
    <w:rsid w:val="00DC7A00"/>
    <w:rsid w:val="00DC7D41"/>
    <w:rsid w:val="00DC7D47"/>
    <w:rsid w:val="00DD06DE"/>
    <w:rsid w:val="00DD1459"/>
    <w:rsid w:val="00DD18D8"/>
    <w:rsid w:val="00DD27C2"/>
    <w:rsid w:val="00DD28AB"/>
    <w:rsid w:val="00DD2AD5"/>
    <w:rsid w:val="00DD2ADC"/>
    <w:rsid w:val="00DD333C"/>
    <w:rsid w:val="00DD3A2A"/>
    <w:rsid w:val="00DD3E58"/>
    <w:rsid w:val="00DD4C86"/>
    <w:rsid w:val="00DD56FC"/>
    <w:rsid w:val="00DD5BFE"/>
    <w:rsid w:val="00DD77DB"/>
    <w:rsid w:val="00DE098C"/>
    <w:rsid w:val="00DE0995"/>
    <w:rsid w:val="00DE26DE"/>
    <w:rsid w:val="00DE28F1"/>
    <w:rsid w:val="00DE2A7A"/>
    <w:rsid w:val="00DE2D93"/>
    <w:rsid w:val="00DE300C"/>
    <w:rsid w:val="00DE3299"/>
    <w:rsid w:val="00DE334D"/>
    <w:rsid w:val="00DE36AA"/>
    <w:rsid w:val="00DE3875"/>
    <w:rsid w:val="00DE4110"/>
    <w:rsid w:val="00DE4550"/>
    <w:rsid w:val="00DE45DA"/>
    <w:rsid w:val="00DE479A"/>
    <w:rsid w:val="00DE5512"/>
    <w:rsid w:val="00DE5CA8"/>
    <w:rsid w:val="00DE5FB1"/>
    <w:rsid w:val="00DE6486"/>
    <w:rsid w:val="00DE659E"/>
    <w:rsid w:val="00DE6A28"/>
    <w:rsid w:val="00DE7196"/>
    <w:rsid w:val="00DE736D"/>
    <w:rsid w:val="00DE74E7"/>
    <w:rsid w:val="00DE7B39"/>
    <w:rsid w:val="00DE7F10"/>
    <w:rsid w:val="00DF010C"/>
    <w:rsid w:val="00DF19CC"/>
    <w:rsid w:val="00DF1DAB"/>
    <w:rsid w:val="00DF2F79"/>
    <w:rsid w:val="00DF3DD5"/>
    <w:rsid w:val="00DF42B9"/>
    <w:rsid w:val="00DF4FC1"/>
    <w:rsid w:val="00DF5631"/>
    <w:rsid w:val="00DF58B0"/>
    <w:rsid w:val="00DF6710"/>
    <w:rsid w:val="00DF6B3F"/>
    <w:rsid w:val="00DF7533"/>
    <w:rsid w:val="00DF7629"/>
    <w:rsid w:val="00DF7B20"/>
    <w:rsid w:val="00E007B2"/>
    <w:rsid w:val="00E0081C"/>
    <w:rsid w:val="00E00E24"/>
    <w:rsid w:val="00E010AF"/>
    <w:rsid w:val="00E01720"/>
    <w:rsid w:val="00E01A8C"/>
    <w:rsid w:val="00E01F5C"/>
    <w:rsid w:val="00E0218D"/>
    <w:rsid w:val="00E02841"/>
    <w:rsid w:val="00E03509"/>
    <w:rsid w:val="00E03F23"/>
    <w:rsid w:val="00E0411C"/>
    <w:rsid w:val="00E04E92"/>
    <w:rsid w:val="00E053C3"/>
    <w:rsid w:val="00E062C2"/>
    <w:rsid w:val="00E06367"/>
    <w:rsid w:val="00E0646E"/>
    <w:rsid w:val="00E067EE"/>
    <w:rsid w:val="00E072A4"/>
    <w:rsid w:val="00E073C7"/>
    <w:rsid w:val="00E07643"/>
    <w:rsid w:val="00E07A3F"/>
    <w:rsid w:val="00E1030B"/>
    <w:rsid w:val="00E11E30"/>
    <w:rsid w:val="00E11FA0"/>
    <w:rsid w:val="00E125D5"/>
    <w:rsid w:val="00E12E8C"/>
    <w:rsid w:val="00E13163"/>
    <w:rsid w:val="00E132E5"/>
    <w:rsid w:val="00E13BB9"/>
    <w:rsid w:val="00E15350"/>
    <w:rsid w:val="00E15383"/>
    <w:rsid w:val="00E15523"/>
    <w:rsid w:val="00E15F64"/>
    <w:rsid w:val="00E16556"/>
    <w:rsid w:val="00E1681D"/>
    <w:rsid w:val="00E16F48"/>
    <w:rsid w:val="00E171EC"/>
    <w:rsid w:val="00E2000F"/>
    <w:rsid w:val="00E2050F"/>
    <w:rsid w:val="00E20767"/>
    <w:rsid w:val="00E209A3"/>
    <w:rsid w:val="00E20A2C"/>
    <w:rsid w:val="00E20A7A"/>
    <w:rsid w:val="00E21CE6"/>
    <w:rsid w:val="00E221AE"/>
    <w:rsid w:val="00E22675"/>
    <w:rsid w:val="00E22946"/>
    <w:rsid w:val="00E22E8E"/>
    <w:rsid w:val="00E2309A"/>
    <w:rsid w:val="00E23190"/>
    <w:rsid w:val="00E2325C"/>
    <w:rsid w:val="00E23369"/>
    <w:rsid w:val="00E23908"/>
    <w:rsid w:val="00E23F43"/>
    <w:rsid w:val="00E24F0A"/>
    <w:rsid w:val="00E25351"/>
    <w:rsid w:val="00E25EBD"/>
    <w:rsid w:val="00E25EC0"/>
    <w:rsid w:val="00E2624E"/>
    <w:rsid w:val="00E26379"/>
    <w:rsid w:val="00E26695"/>
    <w:rsid w:val="00E26DB0"/>
    <w:rsid w:val="00E26DDA"/>
    <w:rsid w:val="00E26F34"/>
    <w:rsid w:val="00E26F46"/>
    <w:rsid w:val="00E2725D"/>
    <w:rsid w:val="00E278EE"/>
    <w:rsid w:val="00E27D88"/>
    <w:rsid w:val="00E3001B"/>
    <w:rsid w:val="00E302C6"/>
    <w:rsid w:val="00E3095C"/>
    <w:rsid w:val="00E30F82"/>
    <w:rsid w:val="00E311CC"/>
    <w:rsid w:val="00E31224"/>
    <w:rsid w:val="00E3122C"/>
    <w:rsid w:val="00E31BCD"/>
    <w:rsid w:val="00E3216B"/>
    <w:rsid w:val="00E32F91"/>
    <w:rsid w:val="00E33695"/>
    <w:rsid w:val="00E338D5"/>
    <w:rsid w:val="00E33CC8"/>
    <w:rsid w:val="00E33EE5"/>
    <w:rsid w:val="00E342D4"/>
    <w:rsid w:val="00E347EF"/>
    <w:rsid w:val="00E34CC0"/>
    <w:rsid w:val="00E355DD"/>
    <w:rsid w:val="00E35CDD"/>
    <w:rsid w:val="00E35FCB"/>
    <w:rsid w:val="00E36175"/>
    <w:rsid w:val="00E36354"/>
    <w:rsid w:val="00E3669D"/>
    <w:rsid w:val="00E367B6"/>
    <w:rsid w:val="00E374D9"/>
    <w:rsid w:val="00E375BD"/>
    <w:rsid w:val="00E37762"/>
    <w:rsid w:val="00E40645"/>
    <w:rsid w:val="00E41222"/>
    <w:rsid w:val="00E41A13"/>
    <w:rsid w:val="00E41B56"/>
    <w:rsid w:val="00E421CC"/>
    <w:rsid w:val="00E42490"/>
    <w:rsid w:val="00E425E6"/>
    <w:rsid w:val="00E42C13"/>
    <w:rsid w:val="00E438BA"/>
    <w:rsid w:val="00E43C57"/>
    <w:rsid w:val="00E443D2"/>
    <w:rsid w:val="00E44966"/>
    <w:rsid w:val="00E44B96"/>
    <w:rsid w:val="00E45C0E"/>
    <w:rsid w:val="00E45E2D"/>
    <w:rsid w:val="00E46564"/>
    <w:rsid w:val="00E4673F"/>
    <w:rsid w:val="00E4681D"/>
    <w:rsid w:val="00E4707B"/>
    <w:rsid w:val="00E47416"/>
    <w:rsid w:val="00E4741A"/>
    <w:rsid w:val="00E47641"/>
    <w:rsid w:val="00E47BB4"/>
    <w:rsid w:val="00E50362"/>
    <w:rsid w:val="00E5039A"/>
    <w:rsid w:val="00E503D3"/>
    <w:rsid w:val="00E50CFC"/>
    <w:rsid w:val="00E5122F"/>
    <w:rsid w:val="00E51420"/>
    <w:rsid w:val="00E51D66"/>
    <w:rsid w:val="00E51E90"/>
    <w:rsid w:val="00E5234A"/>
    <w:rsid w:val="00E523BC"/>
    <w:rsid w:val="00E52599"/>
    <w:rsid w:val="00E52D1B"/>
    <w:rsid w:val="00E53A17"/>
    <w:rsid w:val="00E53CD7"/>
    <w:rsid w:val="00E53FA4"/>
    <w:rsid w:val="00E541ED"/>
    <w:rsid w:val="00E54CF4"/>
    <w:rsid w:val="00E54DA6"/>
    <w:rsid w:val="00E54ED6"/>
    <w:rsid w:val="00E54EEB"/>
    <w:rsid w:val="00E55582"/>
    <w:rsid w:val="00E56224"/>
    <w:rsid w:val="00E56413"/>
    <w:rsid w:val="00E566F3"/>
    <w:rsid w:val="00E57BE9"/>
    <w:rsid w:val="00E6011D"/>
    <w:rsid w:val="00E6063D"/>
    <w:rsid w:val="00E61394"/>
    <w:rsid w:val="00E619C7"/>
    <w:rsid w:val="00E61AE3"/>
    <w:rsid w:val="00E61CF9"/>
    <w:rsid w:val="00E6232A"/>
    <w:rsid w:val="00E626D5"/>
    <w:rsid w:val="00E62880"/>
    <w:rsid w:val="00E62E54"/>
    <w:rsid w:val="00E63C03"/>
    <w:rsid w:val="00E63CFF"/>
    <w:rsid w:val="00E63E18"/>
    <w:rsid w:val="00E642D5"/>
    <w:rsid w:val="00E645D0"/>
    <w:rsid w:val="00E64A74"/>
    <w:rsid w:val="00E64FCB"/>
    <w:rsid w:val="00E65003"/>
    <w:rsid w:val="00E65135"/>
    <w:rsid w:val="00E65336"/>
    <w:rsid w:val="00E65593"/>
    <w:rsid w:val="00E656E0"/>
    <w:rsid w:val="00E65965"/>
    <w:rsid w:val="00E66089"/>
    <w:rsid w:val="00E66B80"/>
    <w:rsid w:val="00E66C45"/>
    <w:rsid w:val="00E673AF"/>
    <w:rsid w:val="00E67485"/>
    <w:rsid w:val="00E67BEC"/>
    <w:rsid w:val="00E703FF"/>
    <w:rsid w:val="00E705E2"/>
    <w:rsid w:val="00E70DEB"/>
    <w:rsid w:val="00E71C0E"/>
    <w:rsid w:val="00E71D82"/>
    <w:rsid w:val="00E721C8"/>
    <w:rsid w:val="00E72471"/>
    <w:rsid w:val="00E73426"/>
    <w:rsid w:val="00E73AB7"/>
    <w:rsid w:val="00E73EBC"/>
    <w:rsid w:val="00E73ECB"/>
    <w:rsid w:val="00E7400C"/>
    <w:rsid w:val="00E74BE7"/>
    <w:rsid w:val="00E74C17"/>
    <w:rsid w:val="00E74D2D"/>
    <w:rsid w:val="00E75131"/>
    <w:rsid w:val="00E7514F"/>
    <w:rsid w:val="00E75CA9"/>
    <w:rsid w:val="00E771EF"/>
    <w:rsid w:val="00E773DD"/>
    <w:rsid w:val="00E776B7"/>
    <w:rsid w:val="00E80572"/>
    <w:rsid w:val="00E80718"/>
    <w:rsid w:val="00E80E53"/>
    <w:rsid w:val="00E80E9C"/>
    <w:rsid w:val="00E813CF"/>
    <w:rsid w:val="00E8144B"/>
    <w:rsid w:val="00E818DB"/>
    <w:rsid w:val="00E825F3"/>
    <w:rsid w:val="00E83254"/>
    <w:rsid w:val="00E845A3"/>
    <w:rsid w:val="00E846EF"/>
    <w:rsid w:val="00E85593"/>
    <w:rsid w:val="00E857FB"/>
    <w:rsid w:val="00E85EE3"/>
    <w:rsid w:val="00E86162"/>
    <w:rsid w:val="00E865A6"/>
    <w:rsid w:val="00E86608"/>
    <w:rsid w:val="00E86BBF"/>
    <w:rsid w:val="00E86EFE"/>
    <w:rsid w:val="00E875F3"/>
    <w:rsid w:val="00E87722"/>
    <w:rsid w:val="00E87F1B"/>
    <w:rsid w:val="00E90737"/>
    <w:rsid w:val="00E90745"/>
    <w:rsid w:val="00E909A4"/>
    <w:rsid w:val="00E90A2B"/>
    <w:rsid w:val="00E90A61"/>
    <w:rsid w:val="00E90D23"/>
    <w:rsid w:val="00E912C4"/>
    <w:rsid w:val="00E92464"/>
    <w:rsid w:val="00E92F50"/>
    <w:rsid w:val="00E9316A"/>
    <w:rsid w:val="00E932E4"/>
    <w:rsid w:val="00E93609"/>
    <w:rsid w:val="00E93F3F"/>
    <w:rsid w:val="00E9448C"/>
    <w:rsid w:val="00E94C43"/>
    <w:rsid w:val="00E95008"/>
    <w:rsid w:val="00E956D7"/>
    <w:rsid w:val="00E95B83"/>
    <w:rsid w:val="00E95E74"/>
    <w:rsid w:val="00E974AE"/>
    <w:rsid w:val="00E97C78"/>
    <w:rsid w:val="00E97F50"/>
    <w:rsid w:val="00EA0078"/>
    <w:rsid w:val="00EA039B"/>
    <w:rsid w:val="00EA0FF3"/>
    <w:rsid w:val="00EA1092"/>
    <w:rsid w:val="00EA1314"/>
    <w:rsid w:val="00EA131C"/>
    <w:rsid w:val="00EA18E1"/>
    <w:rsid w:val="00EA1C8D"/>
    <w:rsid w:val="00EA1F00"/>
    <w:rsid w:val="00EA2678"/>
    <w:rsid w:val="00EA2AFC"/>
    <w:rsid w:val="00EA3D16"/>
    <w:rsid w:val="00EA45A4"/>
    <w:rsid w:val="00EA4D84"/>
    <w:rsid w:val="00EA5DE3"/>
    <w:rsid w:val="00EA7FDD"/>
    <w:rsid w:val="00EB0197"/>
    <w:rsid w:val="00EB10E2"/>
    <w:rsid w:val="00EB10EE"/>
    <w:rsid w:val="00EB114A"/>
    <w:rsid w:val="00EB1430"/>
    <w:rsid w:val="00EB1FA8"/>
    <w:rsid w:val="00EB23B5"/>
    <w:rsid w:val="00EB2CD4"/>
    <w:rsid w:val="00EB32DC"/>
    <w:rsid w:val="00EB3994"/>
    <w:rsid w:val="00EB3C25"/>
    <w:rsid w:val="00EB3ED2"/>
    <w:rsid w:val="00EB53C4"/>
    <w:rsid w:val="00EB5CE3"/>
    <w:rsid w:val="00EB6154"/>
    <w:rsid w:val="00EB70D3"/>
    <w:rsid w:val="00EB745B"/>
    <w:rsid w:val="00EB7DF4"/>
    <w:rsid w:val="00EC0E85"/>
    <w:rsid w:val="00EC0FFD"/>
    <w:rsid w:val="00EC10F1"/>
    <w:rsid w:val="00EC1389"/>
    <w:rsid w:val="00EC18C7"/>
    <w:rsid w:val="00EC2A09"/>
    <w:rsid w:val="00EC376A"/>
    <w:rsid w:val="00EC3B85"/>
    <w:rsid w:val="00EC3F12"/>
    <w:rsid w:val="00EC4E92"/>
    <w:rsid w:val="00EC5925"/>
    <w:rsid w:val="00EC5BB9"/>
    <w:rsid w:val="00EC60C4"/>
    <w:rsid w:val="00EC65F6"/>
    <w:rsid w:val="00EC6632"/>
    <w:rsid w:val="00EC6B1A"/>
    <w:rsid w:val="00EC6CD2"/>
    <w:rsid w:val="00EC7326"/>
    <w:rsid w:val="00EC78CE"/>
    <w:rsid w:val="00ED011E"/>
    <w:rsid w:val="00ED05CA"/>
    <w:rsid w:val="00ED089B"/>
    <w:rsid w:val="00ED0EA4"/>
    <w:rsid w:val="00ED1D25"/>
    <w:rsid w:val="00ED1DE2"/>
    <w:rsid w:val="00ED215C"/>
    <w:rsid w:val="00ED22BE"/>
    <w:rsid w:val="00ED35A5"/>
    <w:rsid w:val="00ED36B6"/>
    <w:rsid w:val="00ED377F"/>
    <w:rsid w:val="00ED44AF"/>
    <w:rsid w:val="00ED533C"/>
    <w:rsid w:val="00ED59FF"/>
    <w:rsid w:val="00ED61F2"/>
    <w:rsid w:val="00ED663C"/>
    <w:rsid w:val="00ED6992"/>
    <w:rsid w:val="00ED6A22"/>
    <w:rsid w:val="00ED6EFC"/>
    <w:rsid w:val="00ED6F3F"/>
    <w:rsid w:val="00ED7075"/>
    <w:rsid w:val="00ED70C9"/>
    <w:rsid w:val="00ED738B"/>
    <w:rsid w:val="00ED7720"/>
    <w:rsid w:val="00ED7971"/>
    <w:rsid w:val="00ED7D00"/>
    <w:rsid w:val="00EE0A23"/>
    <w:rsid w:val="00EE11C5"/>
    <w:rsid w:val="00EE1627"/>
    <w:rsid w:val="00EE1F1B"/>
    <w:rsid w:val="00EE299A"/>
    <w:rsid w:val="00EE29C9"/>
    <w:rsid w:val="00EE2CA8"/>
    <w:rsid w:val="00EE2E32"/>
    <w:rsid w:val="00EE330C"/>
    <w:rsid w:val="00EE3319"/>
    <w:rsid w:val="00EE391C"/>
    <w:rsid w:val="00EE3B51"/>
    <w:rsid w:val="00EE40D7"/>
    <w:rsid w:val="00EE43CB"/>
    <w:rsid w:val="00EE5218"/>
    <w:rsid w:val="00EE5465"/>
    <w:rsid w:val="00EE551E"/>
    <w:rsid w:val="00EE557C"/>
    <w:rsid w:val="00EE5811"/>
    <w:rsid w:val="00EE5F06"/>
    <w:rsid w:val="00EE6291"/>
    <w:rsid w:val="00EE6343"/>
    <w:rsid w:val="00EE66A7"/>
    <w:rsid w:val="00EE7047"/>
    <w:rsid w:val="00EE70F3"/>
    <w:rsid w:val="00EE7823"/>
    <w:rsid w:val="00EE792D"/>
    <w:rsid w:val="00EE7B61"/>
    <w:rsid w:val="00EE7CC3"/>
    <w:rsid w:val="00EE7D08"/>
    <w:rsid w:val="00EE7D4A"/>
    <w:rsid w:val="00EF0379"/>
    <w:rsid w:val="00EF053A"/>
    <w:rsid w:val="00EF1284"/>
    <w:rsid w:val="00EF1E21"/>
    <w:rsid w:val="00EF1E4F"/>
    <w:rsid w:val="00EF1FCA"/>
    <w:rsid w:val="00EF28C3"/>
    <w:rsid w:val="00EF2CB2"/>
    <w:rsid w:val="00EF2D17"/>
    <w:rsid w:val="00EF3067"/>
    <w:rsid w:val="00EF30F6"/>
    <w:rsid w:val="00EF3430"/>
    <w:rsid w:val="00EF349B"/>
    <w:rsid w:val="00EF36A2"/>
    <w:rsid w:val="00EF3907"/>
    <w:rsid w:val="00EF39B3"/>
    <w:rsid w:val="00EF3E11"/>
    <w:rsid w:val="00EF4216"/>
    <w:rsid w:val="00EF44A9"/>
    <w:rsid w:val="00EF4689"/>
    <w:rsid w:val="00EF4DD7"/>
    <w:rsid w:val="00EF5B08"/>
    <w:rsid w:val="00EF6057"/>
    <w:rsid w:val="00EF6805"/>
    <w:rsid w:val="00EF7473"/>
    <w:rsid w:val="00EF78AA"/>
    <w:rsid w:val="00EF78B5"/>
    <w:rsid w:val="00EF7C02"/>
    <w:rsid w:val="00F0105C"/>
    <w:rsid w:val="00F0118A"/>
    <w:rsid w:val="00F01946"/>
    <w:rsid w:val="00F01A7E"/>
    <w:rsid w:val="00F01DD9"/>
    <w:rsid w:val="00F022F8"/>
    <w:rsid w:val="00F025BA"/>
    <w:rsid w:val="00F025EF"/>
    <w:rsid w:val="00F027D2"/>
    <w:rsid w:val="00F02C7A"/>
    <w:rsid w:val="00F02D9C"/>
    <w:rsid w:val="00F031CB"/>
    <w:rsid w:val="00F035E6"/>
    <w:rsid w:val="00F0393E"/>
    <w:rsid w:val="00F03A5C"/>
    <w:rsid w:val="00F042AD"/>
    <w:rsid w:val="00F0432F"/>
    <w:rsid w:val="00F05D44"/>
    <w:rsid w:val="00F0643F"/>
    <w:rsid w:val="00F06490"/>
    <w:rsid w:val="00F06A64"/>
    <w:rsid w:val="00F06B28"/>
    <w:rsid w:val="00F07255"/>
    <w:rsid w:val="00F0790F"/>
    <w:rsid w:val="00F07B4B"/>
    <w:rsid w:val="00F07BFF"/>
    <w:rsid w:val="00F104AA"/>
    <w:rsid w:val="00F10968"/>
    <w:rsid w:val="00F10EE0"/>
    <w:rsid w:val="00F11954"/>
    <w:rsid w:val="00F11A52"/>
    <w:rsid w:val="00F11CE4"/>
    <w:rsid w:val="00F12141"/>
    <w:rsid w:val="00F12248"/>
    <w:rsid w:val="00F1294D"/>
    <w:rsid w:val="00F1297B"/>
    <w:rsid w:val="00F12B95"/>
    <w:rsid w:val="00F13115"/>
    <w:rsid w:val="00F133B7"/>
    <w:rsid w:val="00F13DAA"/>
    <w:rsid w:val="00F13F50"/>
    <w:rsid w:val="00F14157"/>
    <w:rsid w:val="00F14927"/>
    <w:rsid w:val="00F14AC2"/>
    <w:rsid w:val="00F14FBB"/>
    <w:rsid w:val="00F151AD"/>
    <w:rsid w:val="00F153BF"/>
    <w:rsid w:val="00F15867"/>
    <w:rsid w:val="00F15CE2"/>
    <w:rsid w:val="00F16511"/>
    <w:rsid w:val="00F165AE"/>
    <w:rsid w:val="00F1708B"/>
    <w:rsid w:val="00F1791F"/>
    <w:rsid w:val="00F17C29"/>
    <w:rsid w:val="00F17C95"/>
    <w:rsid w:val="00F17E49"/>
    <w:rsid w:val="00F17F60"/>
    <w:rsid w:val="00F20C1B"/>
    <w:rsid w:val="00F20C44"/>
    <w:rsid w:val="00F214EF"/>
    <w:rsid w:val="00F218C8"/>
    <w:rsid w:val="00F22252"/>
    <w:rsid w:val="00F2257F"/>
    <w:rsid w:val="00F22AE2"/>
    <w:rsid w:val="00F2302A"/>
    <w:rsid w:val="00F234FE"/>
    <w:rsid w:val="00F23812"/>
    <w:rsid w:val="00F23A5D"/>
    <w:rsid w:val="00F23E8C"/>
    <w:rsid w:val="00F2410D"/>
    <w:rsid w:val="00F24885"/>
    <w:rsid w:val="00F2573D"/>
    <w:rsid w:val="00F25D02"/>
    <w:rsid w:val="00F2624E"/>
    <w:rsid w:val="00F26AD6"/>
    <w:rsid w:val="00F26E5E"/>
    <w:rsid w:val="00F26F91"/>
    <w:rsid w:val="00F271D0"/>
    <w:rsid w:val="00F30018"/>
    <w:rsid w:val="00F305F9"/>
    <w:rsid w:val="00F30766"/>
    <w:rsid w:val="00F30E41"/>
    <w:rsid w:val="00F312ED"/>
    <w:rsid w:val="00F31599"/>
    <w:rsid w:val="00F31748"/>
    <w:rsid w:val="00F324B0"/>
    <w:rsid w:val="00F32882"/>
    <w:rsid w:val="00F32A61"/>
    <w:rsid w:val="00F32AEB"/>
    <w:rsid w:val="00F3310B"/>
    <w:rsid w:val="00F33647"/>
    <w:rsid w:val="00F3423B"/>
    <w:rsid w:val="00F342A9"/>
    <w:rsid w:val="00F345F3"/>
    <w:rsid w:val="00F34FA9"/>
    <w:rsid w:val="00F35114"/>
    <w:rsid w:val="00F35D31"/>
    <w:rsid w:val="00F36330"/>
    <w:rsid w:val="00F363EC"/>
    <w:rsid w:val="00F364BE"/>
    <w:rsid w:val="00F36841"/>
    <w:rsid w:val="00F36B75"/>
    <w:rsid w:val="00F36B8B"/>
    <w:rsid w:val="00F36CA7"/>
    <w:rsid w:val="00F36E64"/>
    <w:rsid w:val="00F370FB"/>
    <w:rsid w:val="00F37616"/>
    <w:rsid w:val="00F377B4"/>
    <w:rsid w:val="00F40640"/>
    <w:rsid w:val="00F41FD0"/>
    <w:rsid w:val="00F42103"/>
    <w:rsid w:val="00F4237B"/>
    <w:rsid w:val="00F42687"/>
    <w:rsid w:val="00F42BE4"/>
    <w:rsid w:val="00F431A5"/>
    <w:rsid w:val="00F43615"/>
    <w:rsid w:val="00F43880"/>
    <w:rsid w:val="00F438DF"/>
    <w:rsid w:val="00F43A1B"/>
    <w:rsid w:val="00F43F83"/>
    <w:rsid w:val="00F44399"/>
    <w:rsid w:val="00F44BD4"/>
    <w:rsid w:val="00F4544C"/>
    <w:rsid w:val="00F4574C"/>
    <w:rsid w:val="00F4607F"/>
    <w:rsid w:val="00F4673D"/>
    <w:rsid w:val="00F46A6F"/>
    <w:rsid w:val="00F46AAA"/>
    <w:rsid w:val="00F46E1E"/>
    <w:rsid w:val="00F47154"/>
    <w:rsid w:val="00F47E96"/>
    <w:rsid w:val="00F502AE"/>
    <w:rsid w:val="00F502B7"/>
    <w:rsid w:val="00F50C6B"/>
    <w:rsid w:val="00F5101A"/>
    <w:rsid w:val="00F5126A"/>
    <w:rsid w:val="00F515A8"/>
    <w:rsid w:val="00F51FC7"/>
    <w:rsid w:val="00F53B2F"/>
    <w:rsid w:val="00F53F98"/>
    <w:rsid w:val="00F540ED"/>
    <w:rsid w:val="00F54295"/>
    <w:rsid w:val="00F544B3"/>
    <w:rsid w:val="00F54629"/>
    <w:rsid w:val="00F552F8"/>
    <w:rsid w:val="00F55488"/>
    <w:rsid w:val="00F5663A"/>
    <w:rsid w:val="00F5672E"/>
    <w:rsid w:val="00F575EB"/>
    <w:rsid w:val="00F57A30"/>
    <w:rsid w:val="00F57F61"/>
    <w:rsid w:val="00F600E1"/>
    <w:rsid w:val="00F60528"/>
    <w:rsid w:val="00F60634"/>
    <w:rsid w:val="00F606AE"/>
    <w:rsid w:val="00F6076C"/>
    <w:rsid w:val="00F6077E"/>
    <w:rsid w:val="00F607C6"/>
    <w:rsid w:val="00F60C88"/>
    <w:rsid w:val="00F614CF"/>
    <w:rsid w:val="00F619EF"/>
    <w:rsid w:val="00F6261D"/>
    <w:rsid w:val="00F63416"/>
    <w:rsid w:val="00F6378A"/>
    <w:rsid w:val="00F64D1C"/>
    <w:rsid w:val="00F64E33"/>
    <w:rsid w:val="00F64FF6"/>
    <w:rsid w:val="00F65C66"/>
    <w:rsid w:val="00F65D1B"/>
    <w:rsid w:val="00F66752"/>
    <w:rsid w:val="00F66B46"/>
    <w:rsid w:val="00F676D9"/>
    <w:rsid w:val="00F677E3"/>
    <w:rsid w:val="00F67815"/>
    <w:rsid w:val="00F67891"/>
    <w:rsid w:val="00F67986"/>
    <w:rsid w:val="00F6C7E9"/>
    <w:rsid w:val="00F701E2"/>
    <w:rsid w:val="00F70530"/>
    <w:rsid w:val="00F70624"/>
    <w:rsid w:val="00F70C76"/>
    <w:rsid w:val="00F70F4C"/>
    <w:rsid w:val="00F710D0"/>
    <w:rsid w:val="00F71673"/>
    <w:rsid w:val="00F71D98"/>
    <w:rsid w:val="00F7223A"/>
    <w:rsid w:val="00F7232F"/>
    <w:rsid w:val="00F72700"/>
    <w:rsid w:val="00F72F22"/>
    <w:rsid w:val="00F7333A"/>
    <w:rsid w:val="00F736E3"/>
    <w:rsid w:val="00F738B3"/>
    <w:rsid w:val="00F739F1"/>
    <w:rsid w:val="00F73A1C"/>
    <w:rsid w:val="00F7447B"/>
    <w:rsid w:val="00F7452D"/>
    <w:rsid w:val="00F74816"/>
    <w:rsid w:val="00F74BDE"/>
    <w:rsid w:val="00F75269"/>
    <w:rsid w:val="00F75802"/>
    <w:rsid w:val="00F75D74"/>
    <w:rsid w:val="00F75F65"/>
    <w:rsid w:val="00F7610A"/>
    <w:rsid w:val="00F762A8"/>
    <w:rsid w:val="00F76B44"/>
    <w:rsid w:val="00F76D99"/>
    <w:rsid w:val="00F76E43"/>
    <w:rsid w:val="00F76FBF"/>
    <w:rsid w:val="00F7714A"/>
    <w:rsid w:val="00F7725B"/>
    <w:rsid w:val="00F7753D"/>
    <w:rsid w:val="00F77D0C"/>
    <w:rsid w:val="00F80291"/>
    <w:rsid w:val="00F8054E"/>
    <w:rsid w:val="00F80A1B"/>
    <w:rsid w:val="00F811AF"/>
    <w:rsid w:val="00F81592"/>
    <w:rsid w:val="00F81C6C"/>
    <w:rsid w:val="00F81CE9"/>
    <w:rsid w:val="00F82235"/>
    <w:rsid w:val="00F82247"/>
    <w:rsid w:val="00F82587"/>
    <w:rsid w:val="00F83450"/>
    <w:rsid w:val="00F83A84"/>
    <w:rsid w:val="00F83ED2"/>
    <w:rsid w:val="00F84405"/>
    <w:rsid w:val="00F84A47"/>
    <w:rsid w:val="00F8562B"/>
    <w:rsid w:val="00F85896"/>
    <w:rsid w:val="00F866F0"/>
    <w:rsid w:val="00F86A0B"/>
    <w:rsid w:val="00F86F8B"/>
    <w:rsid w:val="00F87184"/>
    <w:rsid w:val="00F87625"/>
    <w:rsid w:val="00F878F7"/>
    <w:rsid w:val="00F87D8F"/>
    <w:rsid w:val="00F9007E"/>
    <w:rsid w:val="00F900EA"/>
    <w:rsid w:val="00F90507"/>
    <w:rsid w:val="00F90733"/>
    <w:rsid w:val="00F907F8"/>
    <w:rsid w:val="00F90F04"/>
    <w:rsid w:val="00F9104A"/>
    <w:rsid w:val="00F91119"/>
    <w:rsid w:val="00F92454"/>
    <w:rsid w:val="00F92474"/>
    <w:rsid w:val="00F9331A"/>
    <w:rsid w:val="00F934C1"/>
    <w:rsid w:val="00F938D9"/>
    <w:rsid w:val="00F939C7"/>
    <w:rsid w:val="00F93B3B"/>
    <w:rsid w:val="00F94619"/>
    <w:rsid w:val="00F947A6"/>
    <w:rsid w:val="00F947E2"/>
    <w:rsid w:val="00F95551"/>
    <w:rsid w:val="00F95A5D"/>
    <w:rsid w:val="00F95C7A"/>
    <w:rsid w:val="00F961A5"/>
    <w:rsid w:val="00F9633F"/>
    <w:rsid w:val="00F965B9"/>
    <w:rsid w:val="00F96918"/>
    <w:rsid w:val="00F97192"/>
    <w:rsid w:val="00F979CB"/>
    <w:rsid w:val="00F97A72"/>
    <w:rsid w:val="00FA026A"/>
    <w:rsid w:val="00FA0446"/>
    <w:rsid w:val="00FA0BBC"/>
    <w:rsid w:val="00FA0CF1"/>
    <w:rsid w:val="00FA0F8D"/>
    <w:rsid w:val="00FA128B"/>
    <w:rsid w:val="00FA165F"/>
    <w:rsid w:val="00FA1A72"/>
    <w:rsid w:val="00FA1A99"/>
    <w:rsid w:val="00FA1CC2"/>
    <w:rsid w:val="00FA1DD8"/>
    <w:rsid w:val="00FA28FC"/>
    <w:rsid w:val="00FA2AF3"/>
    <w:rsid w:val="00FA331D"/>
    <w:rsid w:val="00FA3447"/>
    <w:rsid w:val="00FA4805"/>
    <w:rsid w:val="00FA51EC"/>
    <w:rsid w:val="00FA5423"/>
    <w:rsid w:val="00FA66DB"/>
    <w:rsid w:val="00FA6A41"/>
    <w:rsid w:val="00FA6ACA"/>
    <w:rsid w:val="00FA6BD0"/>
    <w:rsid w:val="00FA6EDA"/>
    <w:rsid w:val="00FA70B1"/>
    <w:rsid w:val="00FA72A9"/>
    <w:rsid w:val="00FA7A9E"/>
    <w:rsid w:val="00FB0CD0"/>
    <w:rsid w:val="00FB1E82"/>
    <w:rsid w:val="00FB2658"/>
    <w:rsid w:val="00FB29F3"/>
    <w:rsid w:val="00FB351F"/>
    <w:rsid w:val="00FB3563"/>
    <w:rsid w:val="00FB402D"/>
    <w:rsid w:val="00FB477B"/>
    <w:rsid w:val="00FB4A39"/>
    <w:rsid w:val="00FB4C93"/>
    <w:rsid w:val="00FB4ED0"/>
    <w:rsid w:val="00FB547C"/>
    <w:rsid w:val="00FB5B8D"/>
    <w:rsid w:val="00FB6483"/>
    <w:rsid w:val="00FB72DD"/>
    <w:rsid w:val="00FB7B9F"/>
    <w:rsid w:val="00FB7D20"/>
    <w:rsid w:val="00FB7E17"/>
    <w:rsid w:val="00FC021B"/>
    <w:rsid w:val="00FC04B1"/>
    <w:rsid w:val="00FC0D32"/>
    <w:rsid w:val="00FC0F14"/>
    <w:rsid w:val="00FC1084"/>
    <w:rsid w:val="00FC14B7"/>
    <w:rsid w:val="00FC1502"/>
    <w:rsid w:val="00FC1733"/>
    <w:rsid w:val="00FC1D43"/>
    <w:rsid w:val="00FC23E9"/>
    <w:rsid w:val="00FC2499"/>
    <w:rsid w:val="00FC24FF"/>
    <w:rsid w:val="00FC269C"/>
    <w:rsid w:val="00FC2E8B"/>
    <w:rsid w:val="00FC2ECE"/>
    <w:rsid w:val="00FC2FD3"/>
    <w:rsid w:val="00FC3238"/>
    <w:rsid w:val="00FC37FB"/>
    <w:rsid w:val="00FC4655"/>
    <w:rsid w:val="00FC4C2B"/>
    <w:rsid w:val="00FC4C62"/>
    <w:rsid w:val="00FC5129"/>
    <w:rsid w:val="00FC5803"/>
    <w:rsid w:val="00FC58E7"/>
    <w:rsid w:val="00FC5B61"/>
    <w:rsid w:val="00FC5D6A"/>
    <w:rsid w:val="00FC6066"/>
    <w:rsid w:val="00FC657A"/>
    <w:rsid w:val="00FC6700"/>
    <w:rsid w:val="00FC6D13"/>
    <w:rsid w:val="00FC7206"/>
    <w:rsid w:val="00FC72F5"/>
    <w:rsid w:val="00FC7412"/>
    <w:rsid w:val="00FC7AB5"/>
    <w:rsid w:val="00FD0677"/>
    <w:rsid w:val="00FD0B41"/>
    <w:rsid w:val="00FD0D65"/>
    <w:rsid w:val="00FD150D"/>
    <w:rsid w:val="00FD3344"/>
    <w:rsid w:val="00FD391F"/>
    <w:rsid w:val="00FD4030"/>
    <w:rsid w:val="00FD4424"/>
    <w:rsid w:val="00FD47BD"/>
    <w:rsid w:val="00FD4AB0"/>
    <w:rsid w:val="00FD531D"/>
    <w:rsid w:val="00FD61F1"/>
    <w:rsid w:val="00FD7E34"/>
    <w:rsid w:val="00FE0996"/>
    <w:rsid w:val="00FE100F"/>
    <w:rsid w:val="00FE15BB"/>
    <w:rsid w:val="00FE18A7"/>
    <w:rsid w:val="00FE19EF"/>
    <w:rsid w:val="00FE22EA"/>
    <w:rsid w:val="00FE2333"/>
    <w:rsid w:val="00FE23D7"/>
    <w:rsid w:val="00FE23E4"/>
    <w:rsid w:val="00FE2515"/>
    <w:rsid w:val="00FE25B7"/>
    <w:rsid w:val="00FE2A49"/>
    <w:rsid w:val="00FE3E28"/>
    <w:rsid w:val="00FE5C27"/>
    <w:rsid w:val="00FE606C"/>
    <w:rsid w:val="00FE620F"/>
    <w:rsid w:val="00FE6357"/>
    <w:rsid w:val="00FE6660"/>
    <w:rsid w:val="00FE6F71"/>
    <w:rsid w:val="00FE730D"/>
    <w:rsid w:val="00FE746D"/>
    <w:rsid w:val="00FE7B09"/>
    <w:rsid w:val="00FF06F6"/>
    <w:rsid w:val="00FF1162"/>
    <w:rsid w:val="00FF12AA"/>
    <w:rsid w:val="00FF14D9"/>
    <w:rsid w:val="00FF239E"/>
    <w:rsid w:val="00FF23A0"/>
    <w:rsid w:val="00FF368F"/>
    <w:rsid w:val="00FF38FC"/>
    <w:rsid w:val="00FF3C78"/>
    <w:rsid w:val="00FF4395"/>
    <w:rsid w:val="00FF48D4"/>
    <w:rsid w:val="00FF49CC"/>
    <w:rsid w:val="00FF5EA9"/>
    <w:rsid w:val="00FF6DA3"/>
    <w:rsid w:val="012A55C5"/>
    <w:rsid w:val="0138BC31"/>
    <w:rsid w:val="013E260A"/>
    <w:rsid w:val="01435660"/>
    <w:rsid w:val="0152B414"/>
    <w:rsid w:val="01803989"/>
    <w:rsid w:val="0192879E"/>
    <w:rsid w:val="019AFE40"/>
    <w:rsid w:val="01EAFDAD"/>
    <w:rsid w:val="01F599BE"/>
    <w:rsid w:val="022E9580"/>
    <w:rsid w:val="02385D7E"/>
    <w:rsid w:val="023B5DB7"/>
    <w:rsid w:val="0252EAFA"/>
    <w:rsid w:val="0253FB57"/>
    <w:rsid w:val="027E90A7"/>
    <w:rsid w:val="02804E9E"/>
    <w:rsid w:val="0286AC5A"/>
    <w:rsid w:val="0291EC99"/>
    <w:rsid w:val="02976DDD"/>
    <w:rsid w:val="02AC388F"/>
    <w:rsid w:val="02B256DE"/>
    <w:rsid w:val="02B62570"/>
    <w:rsid w:val="02DA4C53"/>
    <w:rsid w:val="030C3056"/>
    <w:rsid w:val="03101FF5"/>
    <w:rsid w:val="0313C8B0"/>
    <w:rsid w:val="03148BD0"/>
    <w:rsid w:val="031CC7D5"/>
    <w:rsid w:val="031D9867"/>
    <w:rsid w:val="031F694C"/>
    <w:rsid w:val="03260910"/>
    <w:rsid w:val="032E2630"/>
    <w:rsid w:val="03369AA2"/>
    <w:rsid w:val="036E897D"/>
    <w:rsid w:val="03750568"/>
    <w:rsid w:val="0379F502"/>
    <w:rsid w:val="0381BD39"/>
    <w:rsid w:val="0388A3B2"/>
    <w:rsid w:val="038BA643"/>
    <w:rsid w:val="03AC91B7"/>
    <w:rsid w:val="03B795CB"/>
    <w:rsid w:val="03C3E45A"/>
    <w:rsid w:val="03DEEB30"/>
    <w:rsid w:val="041D4186"/>
    <w:rsid w:val="041FFBF1"/>
    <w:rsid w:val="0433DFAB"/>
    <w:rsid w:val="044ADDD6"/>
    <w:rsid w:val="04567520"/>
    <w:rsid w:val="045EC846"/>
    <w:rsid w:val="046B86F4"/>
    <w:rsid w:val="04785495"/>
    <w:rsid w:val="049F2B14"/>
    <w:rsid w:val="04B75F01"/>
    <w:rsid w:val="04CDF011"/>
    <w:rsid w:val="04D039C6"/>
    <w:rsid w:val="04DFABEA"/>
    <w:rsid w:val="04F1F44B"/>
    <w:rsid w:val="04F2D87B"/>
    <w:rsid w:val="0500B85E"/>
    <w:rsid w:val="05048CFF"/>
    <w:rsid w:val="055EBC18"/>
    <w:rsid w:val="05816FAA"/>
    <w:rsid w:val="058EA201"/>
    <w:rsid w:val="05932605"/>
    <w:rsid w:val="059D4FE6"/>
    <w:rsid w:val="05C1CB26"/>
    <w:rsid w:val="05D4B673"/>
    <w:rsid w:val="05D6B31D"/>
    <w:rsid w:val="05DFC168"/>
    <w:rsid w:val="05FF2A07"/>
    <w:rsid w:val="0630D188"/>
    <w:rsid w:val="063308C6"/>
    <w:rsid w:val="0647D063"/>
    <w:rsid w:val="06891656"/>
    <w:rsid w:val="06A9FD87"/>
    <w:rsid w:val="06B7C22C"/>
    <w:rsid w:val="06F72774"/>
    <w:rsid w:val="07360F26"/>
    <w:rsid w:val="073E1767"/>
    <w:rsid w:val="07402309"/>
    <w:rsid w:val="0756C3C6"/>
    <w:rsid w:val="076A32A5"/>
    <w:rsid w:val="07A850DC"/>
    <w:rsid w:val="07B250F7"/>
    <w:rsid w:val="07B3DBE4"/>
    <w:rsid w:val="07CB0BA9"/>
    <w:rsid w:val="07DBE49C"/>
    <w:rsid w:val="07F43EA1"/>
    <w:rsid w:val="07FB4750"/>
    <w:rsid w:val="081AE789"/>
    <w:rsid w:val="082847ED"/>
    <w:rsid w:val="083B0AA8"/>
    <w:rsid w:val="083C6137"/>
    <w:rsid w:val="083DFE1B"/>
    <w:rsid w:val="085B0858"/>
    <w:rsid w:val="088CF299"/>
    <w:rsid w:val="089C5960"/>
    <w:rsid w:val="08A2BA8E"/>
    <w:rsid w:val="08C383DE"/>
    <w:rsid w:val="08C451EA"/>
    <w:rsid w:val="08D81C3A"/>
    <w:rsid w:val="08DA31DC"/>
    <w:rsid w:val="08E3CAC2"/>
    <w:rsid w:val="08EB3D0D"/>
    <w:rsid w:val="09019E73"/>
    <w:rsid w:val="092936B7"/>
    <w:rsid w:val="0936B081"/>
    <w:rsid w:val="093978A3"/>
    <w:rsid w:val="095EB5DB"/>
    <w:rsid w:val="0961BA60"/>
    <w:rsid w:val="097BAC37"/>
    <w:rsid w:val="097DE4A2"/>
    <w:rsid w:val="098545FC"/>
    <w:rsid w:val="09948578"/>
    <w:rsid w:val="09BA55BA"/>
    <w:rsid w:val="09DE41D0"/>
    <w:rsid w:val="09FAB253"/>
    <w:rsid w:val="0A0571E8"/>
    <w:rsid w:val="0A276B7B"/>
    <w:rsid w:val="0A3DF556"/>
    <w:rsid w:val="0A41658A"/>
    <w:rsid w:val="0A447F18"/>
    <w:rsid w:val="0A47BDAE"/>
    <w:rsid w:val="0A4ECF36"/>
    <w:rsid w:val="0A598131"/>
    <w:rsid w:val="0A688FF7"/>
    <w:rsid w:val="0A8C9595"/>
    <w:rsid w:val="0A9533A4"/>
    <w:rsid w:val="0AED312E"/>
    <w:rsid w:val="0B0FD2D5"/>
    <w:rsid w:val="0B20454A"/>
    <w:rsid w:val="0B249F6D"/>
    <w:rsid w:val="0B309481"/>
    <w:rsid w:val="0B36342F"/>
    <w:rsid w:val="0B3C1D1C"/>
    <w:rsid w:val="0B795281"/>
    <w:rsid w:val="0BDE99A6"/>
    <w:rsid w:val="0BF72181"/>
    <w:rsid w:val="0BFE0236"/>
    <w:rsid w:val="0C0756B5"/>
    <w:rsid w:val="0C246459"/>
    <w:rsid w:val="0C337971"/>
    <w:rsid w:val="0C479CC0"/>
    <w:rsid w:val="0C4CB6DE"/>
    <w:rsid w:val="0C68D4C9"/>
    <w:rsid w:val="0C955875"/>
    <w:rsid w:val="0CA136B5"/>
    <w:rsid w:val="0CA3F6FB"/>
    <w:rsid w:val="0CA55A64"/>
    <w:rsid w:val="0CB7D6FD"/>
    <w:rsid w:val="0CBD9829"/>
    <w:rsid w:val="0CBE8C49"/>
    <w:rsid w:val="0CD668B4"/>
    <w:rsid w:val="0D14AD84"/>
    <w:rsid w:val="0D429C5E"/>
    <w:rsid w:val="0D64FC50"/>
    <w:rsid w:val="0D8F3375"/>
    <w:rsid w:val="0D900D50"/>
    <w:rsid w:val="0D95A797"/>
    <w:rsid w:val="0D9697D7"/>
    <w:rsid w:val="0D996D87"/>
    <w:rsid w:val="0DA6565D"/>
    <w:rsid w:val="0DA8409F"/>
    <w:rsid w:val="0DBA6C26"/>
    <w:rsid w:val="0DBE7626"/>
    <w:rsid w:val="0DC1F12F"/>
    <w:rsid w:val="0DD8C5B0"/>
    <w:rsid w:val="0DE52700"/>
    <w:rsid w:val="0DE5C5C3"/>
    <w:rsid w:val="0DEAFD85"/>
    <w:rsid w:val="0DF95065"/>
    <w:rsid w:val="0E1C5521"/>
    <w:rsid w:val="0E505DC5"/>
    <w:rsid w:val="0E6D0BB5"/>
    <w:rsid w:val="0E7BEC9B"/>
    <w:rsid w:val="0E8FE4D2"/>
    <w:rsid w:val="0E9F2FEB"/>
    <w:rsid w:val="0EBD37AA"/>
    <w:rsid w:val="0F0A1440"/>
    <w:rsid w:val="0F12E871"/>
    <w:rsid w:val="0F298137"/>
    <w:rsid w:val="0F4D62C8"/>
    <w:rsid w:val="0F8495DB"/>
    <w:rsid w:val="0F99FE1D"/>
    <w:rsid w:val="0FCE38AE"/>
    <w:rsid w:val="0FEDBA91"/>
    <w:rsid w:val="100A579B"/>
    <w:rsid w:val="1012EF9C"/>
    <w:rsid w:val="104C5CF3"/>
    <w:rsid w:val="104D0B86"/>
    <w:rsid w:val="105BB7FB"/>
    <w:rsid w:val="10788ECA"/>
    <w:rsid w:val="1087515D"/>
    <w:rsid w:val="1099FC62"/>
    <w:rsid w:val="10A8E445"/>
    <w:rsid w:val="10D69AB9"/>
    <w:rsid w:val="10DF977A"/>
    <w:rsid w:val="10E3EDFB"/>
    <w:rsid w:val="110F03CA"/>
    <w:rsid w:val="112188BA"/>
    <w:rsid w:val="11222B35"/>
    <w:rsid w:val="112CBC5D"/>
    <w:rsid w:val="1147F40D"/>
    <w:rsid w:val="1154ECDB"/>
    <w:rsid w:val="11579E8D"/>
    <w:rsid w:val="115D0481"/>
    <w:rsid w:val="116DD552"/>
    <w:rsid w:val="11AD6EF2"/>
    <w:rsid w:val="11CBA466"/>
    <w:rsid w:val="11D6B5A5"/>
    <w:rsid w:val="11E1FDBA"/>
    <w:rsid w:val="11EA8C3D"/>
    <w:rsid w:val="11ECDFC6"/>
    <w:rsid w:val="11F9D144"/>
    <w:rsid w:val="11FB0385"/>
    <w:rsid w:val="120B9CF2"/>
    <w:rsid w:val="120D7A24"/>
    <w:rsid w:val="1218602A"/>
    <w:rsid w:val="122ABB82"/>
    <w:rsid w:val="124F316C"/>
    <w:rsid w:val="12543F8F"/>
    <w:rsid w:val="128A4C72"/>
    <w:rsid w:val="12A72AA9"/>
    <w:rsid w:val="12CA3833"/>
    <w:rsid w:val="12D4C18E"/>
    <w:rsid w:val="12E392A2"/>
    <w:rsid w:val="12F89D86"/>
    <w:rsid w:val="13018E2E"/>
    <w:rsid w:val="131A7A0A"/>
    <w:rsid w:val="13242C90"/>
    <w:rsid w:val="132F7429"/>
    <w:rsid w:val="1330D234"/>
    <w:rsid w:val="136F21D2"/>
    <w:rsid w:val="13C11DB2"/>
    <w:rsid w:val="13CD2FD8"/>
    <w:rsid w:val="13DFA27A"/>
    <w:rsid w:val="141DA8DC"/>
    <w:rsid w:val="142D90AE"/>
    <w:rsid w:val="144CD3D0"/>
    <w:rsid w:val="1459C2EE"/>
    <w:rsid w:val="145C55ED"/>
    <w:rsid w:val="14607A82"/>
    <w:rsid w:val="146083B3"/>
    <w:rsid w:val="1465C819"/>
    <w:rsid w:val="1468F108"/>
    <w:rsid w:val="146D22B8"/>
    <w:rsid w:val="14875961"/>
    <w:rsid w:val="14A17C83"/>
    <w:rsid w:val="14A65E25"/>
    <w:rsid w:val="14AAFDAD"/>
    <w:rsid w:val="14E5C98D"/>
    <w:rsid w:val="14F6A21D"/>
    <w:rsid w:val="15367703"/>
    <w:rsid w:val="1558C106"/>
    <w:rsid w:val="156063A4"/>
    <w:rsid w:val="1561F368"/>
    <w:rsid w:val="157E09CA"/>
    <w:rsid w:val="157EEB1B"/>
    <w:rsid w:val="1598B690"/>
    <w:rsid w:val="15EB2234"/>
    <w:rsid w:val="1602CB58"/>
    <w:rsid w:val="1628D782"/>
    <w:rsid w:val="16378F52"/>
    <w:rsid w:val="16488213"/>
    <w:rsid w:val="165A6E44"/>
    <w:rsid w:val="165F2D77"/>
    <w:rsid w:val="16605462"/>
    <w:rsid w:val="166F305F"/>
    <w:rsid w:val="1670E1C1"/>
    <w:rsid w:val="16763317"/>
    <w:rsid w:val="16785B3C"/>
    <w:rsid w:val="169E832C"/>
    <w:rsid w:val="16B8102E"/>
    <w:rsid w:val="16CDB09A"/>
    <w:rsid w:val="16DA9C44"/>
    <w:rsid w:val="16FD4199"/>
    <w:rsid w:val="1702C469"/>
    <w:rsid w:val="17537F91"/>
    <w:rsid w:val="175AB854"/>
    <w:rsid w:val="1761E79C"/>
    <w:rsid w:val="1791F94B"/>
    <w:rsid w:val="179524F6"/>
    <w:rsid w:val="17A1FEC6"/>
    <w:rsid w:val="17AD2A78"/>
    <w:rsid w:val="17AD8307"/>
    <w:rsid w:val="17C0EA64"/>
    <w:rsid w:val="17C67056"/>
    <w:rsid w:val="17D6C090"/>
    <w:rsid w:val="18110F4D"/>
    <w:rsid w:val="181DD1FB"/>
    <w:rsid w:val="182AAB69"/>
    <w:rsid w:val="182AD664"/>
    <w:rsid w:val="182E7B24"/>
    <w:rsid w:val="186305EE"/>
    <w:rsid w:val="18894DC4"/>
    <w:rsid w:val="188F0357"/>
    <w:rsid w:val="18C77AB8"/>
    <w:rsid w:val="18DC6A22"/>
    <w:rsid w:val="18E49B1F"/>
    <w:rsid w:val="18F450B6"/>
    <w:rsid w:val="18FCE772"/>
    <w:rsid w:val="190BB584"/>
    <w:rsid w:val="19206A02"/>
    <w:rsid w:val="192FC855"/>
    <w:rsid w:val="19445301"/>
    <w:rsid w:val="1947C408"/>
    <w:rsid w:val="19581901"/>
    <w:rsid w:val="196C53A3"/>
    <w:rsid w:val="1973DC82"/>
    <w:rsid w:val="19989AAD"/>
    <w:rsid w:val="19AF748B"/>
    <w:rsid w:val="19D7DEFD"/>
    <w:rsid w:val="19E9D704"/>
    <w:rsid w:val="1A0B626B"/>
    <w:rsid w:val="1A14A61A"/>
    <w:rsid w:val="1A504705"/>
    <w:rsid w:val="1A589998"/>
    <w:rsid w:val="1A6E74F3"/>
    <w:rsid w:val="1A727E02"/>
    <w:rsid w:val="1A8347BA"/>
    <w:rsid w:val="1AB27D09"/>
    <w:rsid w:val="1ACB20F9"/>
    <w:rsid w:val="1B0FE650"/>
    <w:rsid w:val="1B115712"/>
    <w:rsid w:val="1B133F31"/>
    <w:rsid w:val="1B4945E4"/>
    <w:rsid w:val="1B4B9803"/>
    <w:rsid w:val="1B85A428"/>
    <w:rsid w:val="1BAE75F3"/>
    <w:rsid w:val="1BE6E370"/>
    <w:rsid w:val="1BF2A820"/>
    <w:rsid w:val="1BF62667"/>
    <w:rsid w:val="1C2C4449"/>
    <w:rsid w:val="1C4ADD37"/>
    <w:rsid w:val="1C830AE7"/>
    <w:rsid w:val="1C83774F"/>
    <w:rsid w:val="1CB9E714"/>
    <w:rsid w:val="1CBCCEA4"/>
    <w:rsid w:val="1CECF3DE"/>
    <w:rsid w:val="1D184491"/>
    <w:rsid w:val="1D23DFC5"/>
    <w:rsid w:val="1D3128FB"/>
    <w:rsid w:val="1D38DBFF"/>
    <w:rsid w:val="1D3D0D3B"/>
    <w:rsid w:val="1D3F6B1A"/>
    <w:rsid w:val="1D67D6C7"/>
    <w:rsid w:val="1D783CF0"/>
    <w:rsid w:val="1D8056F8"/>
    <w:rsid w:val="1D843C8A"/>
    <w:rsid w:val="1D96F021"/>
    <w:rsid w:val="1D98CF3D"/>
    <w:rsid w:val="1DE505D6"/>
    <w:rsid w:val="1DEE9A5D"/>
    <w:rsid w:val="1DF6749E"/>
    <w:rsid w:val="1E01509E"/>
    <w:rsid w:val="1E327721"/>
    <w:rsid w:val="1E3D3CDA"/>
    <w:rsid w:val="1E45F979"/>
    <w:rsid w:val="1E4B51E4"/>
    <w:rsid w:val="1E557537"/>
    <w:rsid w:val="1E654266"/>
    <w:rsid w:val="1EA8460F"/>
    <w:rsid w:val="1EB032D8"/>
    <w:rsid w:val="1EC98925"/>
    <w:rsid w:val="1F1FB9BB"/>
    <w:rsid w:val="1F4423E4"/>
    <w:rsid w:val="1F5F9CA0"/>
    <w:rsid w:val="1F618797"/>
    <w:rsid w:val="1F74615F"/>
    <w:rsid w:val="1F858D42"/>
    <w:rsid w:val="1F8D3B20"/>
    <w:rsid w:val="1FA34E3E"/>
    <w:rsid w:val="1FBC30BA"/>
    <w:rsid w:val="1FCFA236"/>
    <w:rsid w:val="1FD5C025"/>
    <w:rsid w:val="1FD8C4AE"/>
    <w:rsid w:val="1FE0634D"/>
    <w:rsid w:val="1FF3B346"/>
    <w:rsid w:val="200A3165"/>
    <w:rsid w:val="202868E3"/>
    <w:rsid w:val="2033F67C"/>
    <w:rsid w:val="20417BAB"/>
    <w:rsid w:val="2061071E"/>
    <w:rsid w:val="206762E7"/>
    <w:rsid w:val="20761FB1"/>
    <w:rsid w:val="207FA699"/>
    <w:rsid w:val="2088EED5"/>
    <w:rsid w:val="2099CCD4"/>
    <w:rsid w:val="20BFC468"/>
    <w:rsid w:val="20C486D1"/>
    <w:rsid w:val="20CB7561"/>
    <w:rsid w:val="20DA137F"/>
    <w:rsid w:val="20DE72A3"/>
    <w:rsid w:val="20E85BB0"/>
    <w:rsid w:val="20FA5B0D"/>
    <w:rsid w:val="210A85CE"/>
    <w:rsid w:val="21280972"/>
    <w:rsid w:val="2141B3E8"/>
    <w:rsid w:val="2188EE97"/>
    <w:rsid w:val="21B66032"/>
    <w:rsid w:val="21C143A0"/>
    <w:rsid w:val="21DBDF2D"/>
    <w:rsid w:val="22029E64"/>
    <w:rsid w:val="220FEF1C"/>
    <w:rsid w:val="222393F6"/>
    <w:rsid w:val="228B0521"/>
    <w:rsid w:val="2296B293"/>
    <w:rsid w:val="229766B9"/>
    <w:rsid w:val="22B4C31E"/>
    <w:rsid w:val="22B9A493"/>
    <w:rsid w:val="22E84AE4"/>
    <w:rsid w:val="2344B3DA"/>
    <w:rsid w:val="2344DFB5"/>
    <w:rsid w:val="2346FBC5"/>
    <w:rsid w:val="234E2016"/>
    <w:rsid w:val="2356B84F"/>
    <w:rsid w:val="23589FE8"/>
    <w:rsid w:val="235BC1FD"/>
    <w:rsid w:val="235CBD3E"/>
    <w:rsid w:val="237076B1"/>
    <w:rsid w:val="23820443"/>
    <w:rsid w:val="23A0A73D"/>
    <w:rsid w:val="23A6611E"/>
    <w:rsid w:val="23ADB1BB"/>
    <w:rsid w:val="23D155C9"/>
    <w:rsid w:val="23DCF134"/>
    <w:rsid w:val="23DF1C19"/>
    <w:rsid w:val="2413DCB5"/>
    <w:rsid w:val="24207A6B"/>
    <w:rsid w:val="243C4393"/>
    <w:rsid w:val="2457AD11"/>
    <w:rsid w:val="24683F82"/>
    <w:rsid w:val="2473EBF8"/>
    <w:rsid w:val="2475C684"/>
    <w:rsid w:val="2479803C"/>
    <w:rsid w:val="247C0910"/>
    <w:rsid w:val="2485788D"/>
    <w:rsid w:val="24A4C22B"/>
    <w:rsid w:val="24C8776A"/>
    <w:rsid w:val="24CA0C3B"/>
    <w:rsid w:val="24CD5D4D"/>
    <w:rsid w:val="24ED240F"/>
    <w:rsid w:val="25051F02"/>
    <w:rsid w:val="25121680"/>
    <w:rsid w:val="2516CF8F"/>
    <w:rsid w:val="2539E0AA"/>
    <w:rsid w:val="2548C1BB"/>
    <w:rsid w:val="2554E9D6"/>
    <w:rsid w:val="25609F72"/>
    <w:rsid w:val="25858463"/>
    <w:rsid w:val="25AD1E84"/>
    <w:rsid w:val="25BB7431"/>
    <w:rsid w:val="25BBEF94"/>
    <w:rsid w:val="25C922D5"/>
    <w:rsid w:val="25E33408"/>
    <w:rsid w:val="2609FACA"/>
    <w:rsid w:val="260BACBC"/>
    <w:rsid w:val="263CA7D8"/>
    <w:rsid w:val="26596FCD"/>
    <w:rsid w:val="2667B6EE"/>
    <w:rsid w:val="26FB2542"/>
    <w:rsid w:val="26FB3AE8"/>
    <w:rsid w:val="2710F889"/>
    <w:rsid w:val="272ACF39"/>
    <w:rsid w:val="2749A885"/>
    <w:rsid w:val="276D888A"/>
    <w:rsid w:val="277ADD79"/>
    <w:rsid w:val="277B3DCA"/>
    <w:rsid w:val="2784A689"/>
    <w:rsid w:val="279534F7"/>
    <w:rsid w:val="27B88087"/>
    <w:rsid w:val="27BA1DE0"/>
    <w:rsid w:val="27C09D9D"/>
    <w:rsid w:val="27C0E3D5"/>
    <w:rsid w:val="27C1A291"/>
    <w:rsid w:val="27CE2B7E"/>
    <w:rsid w:val="27D50056"/>
    <w:rsid w:val="27E140AC"/>
    <w:rsid w:val="27E198AB"/>
    <w:rsid w:val="27F79AFE"/>
    <w:rsid w:val="27FB233B"/>
    <w:rsid w:val="28238801"/>
    <w:rsid w:val="28315888"/>
    <w:rsid w:val="28653B47"/>
    <w:rsid w:val="288AD1B3"/>
    <w:rsid w:val="28CD4545"/>
    <w:rsid w:val="28D215D8"/>
    <w:rsid w:val="28EE56DC"/>
    <w:rsid w:val="28F21A8A"/>
    <w:rsid w:val="29629829"/>
    <w:rsid w:val="2980B8DE"/>
    <w:rsid w:val="29AA8C1C"/>
    <w:rsid w:val="29AD0BAB"/>
    <w:rsid w:val="29BB93F0"/>
    <w:rsid w:val="29C30FA5"/>
    <w:rsid w:val="29C6112E"/>
    <w:rsid w:val="29C79263"/>
    <w:rsid w:val="29C8E148"/>
    <w:rsid w:val="2A203572"/>
    <w:rsid w:val="2A257EA4"/>
    <w:rsid w:val="2A2E7F02"/>
    <w:rsid w:val="2A40393A"/>
    <w:rsid w:val="2A637291"/>
    <w:rsid w:val="2A652B7E"/>
    <w:rsid w:val="2A6D7B07"/>
    <w:rsid w:val="2A825E24"/>
    <w:rsid w:val="2A87401D"/>
    <w:rsid w:val="2A8AED82"/>
    <w:rsid w:val="2A9E31B8"/>
    <w:rsid w:val="2AE492B4"/>
    <w:rsid w:val="2AE5549D"/>
    <w:rsid w:val="2AED3D83"/>
    <w:rsid w:val="2B7B3C7C"/>
    <w:rsid w:val="2B863820"/>
    <w:rsid w:val="2BACA12D"/>
    <w:rsid w:val="2BD56146"/>
    <w:rsid w:val="2C273F40"/>
    <w:rsid w:val="2C39129F"/>
    <w:rsid w:val="2C3B3AFE"/>
    <w:rsid w:val="2C4C8506"/>
    <w:rsid w:val="2C7E2471"/>
    <w:rsid w:val="2C84EEA6"/>
    <w:rsid w:val="2C883521"/>
    <w:rsid w:val="2C8B0DF4"/>
    <w:rsid w:val="2C9EC160"/>
    <w:rsid w:val="2CA1636B"/>
    <w:rsid w:val="2CA9B7AA"/>
    <w:rsid w:val="2CAE9A79"/>
    <w:rsid w:val="2CC417ED"/>
    <w:rsid w:val="2CCDEF98"/>
    <w:rsid w:val="2CD32FA3"/>
    <w:rsid w:val="2CDC69F8"/>
    <w:rsid w:val="2CE6FEC1"/>
    <w:rsid w:val="2CF4067D"/>
    <w:rsid w:val="2CF45309"/>
    <w:rsid w:val="2CF4B532"/>
    <w:rsid w:val="2D0CC15C"/>
    <w:rsid w:val="2D1FAA41"/>
    <w:rsid w:val="2D339340"/>
    <w:rsid w:val="2D56BCAB"/>
    <w:rsid w:val="2D61FC1D"/>
    <w:rsid w:val="2D9AB703"/>
    <w:rsid w:val="2D9E6E63"/>
    <w:rsid w:val="2DB54E0E"/>
    <w:rsid w:val="2DC36735"/>
    <w:rsid w:val="2DED9AE8"/>
    <w:rsid w:val="2DF33BF2"/>
    <w:rsid w:val="2E0E172C"/>
    <w:rsid w:val="2E494D16"/>
    <w:rsid w:val="2E528374"/>
    <w:rsid w:val="2EB6BA31"/>
    <w:rsid w:val="2EBFF2A4"/>
    <w:rsid w:val="2ED8A7B7"/>
    <w:rsid w:val="2EDBD35C"/>
    <w:rsid w:val="2EFE4E75"/>
    <w:rsid w:val="2F25AD47"/>
    <w:rsid w:val="2F2BD438"/>
    <w:rsid w:val="2F4E45DC"/>
    <w:rsid w:val="2F5AC19A"/>
    <w:rsid w:val="2F72E397"/>
    <w:rsid w:val="2F79BEEA"/>
    <w:rsid w:val="2F7A43C5"/>
    <w:rsid w:val="2F8850B7"/>
    <w:rsid w:val="2F8FC6D3"/>
    <w:rsid w:val="2F9B8F8F"/>
    <w:rsid w:val="2FBAEEF4"/>
    <w:rsid w:val="2FD0BB05"/>
    <w:rsid w:val="2FD8F08E"/>
    <w:rsid w:val="2FDDCE32"/>
    <w:rsid w:val="2FEB64D3"/>
    <w:rsid w:val="2FFD9AEA"/>
    <w:rsid w:val="3012F62A"/>
    <w:rsid w:val="301AED7E"/>
    <w:rsid w:val="30274D1F"/>
    <w:rsid w:val="303BBA3D"/>
    <w:rsid w:val="306FFA1C"/>
    <w:rsid w:val="30782084"/>
    <w:rsid w:val="308A2496"/>
    <w:rsid w:val="3092622A"/>
    <w:rsid w:val="3094327C"/>
    <w:rsid w:val="30A5A42B"/>
    <w:rsid w:val="30C7857C"/>
    <w:rsid w:val="30EAC2DD"/>
    <w:rsid w:val="30F27BE0"/>
    <w:rsid w:val="3104773D"/>
    <w:rsid w:val="312AA50C"/>
    <w:rsid w:val="313028BE"/>
    <w:rsid w:val="313D5677"/>
    <w:rsid w:val="3148E609"/>
    <w:rsid w:val="31523885"/>
    <w:rsid w:val="3158152B"/>
    <w:rsid w:val="31637BE7"/>
    <w:rsid w:val="3164D3CB"/>
    <w:rsid w:val="316C7CA9"/>
    <w:rsid w:val="317CC3EF"/>
    <w:rsid w:val="318213F1"/>
    <w:rsid w:val="31A18B1B"/>
    <w:rsid w:val="31DB3ECD"/>
    <w:rsid w:val="31E8EDA9"/>
    <w:rsid w:val="31F57A9B"/>
    <w:rsid w:val="31FF8CD5"/>
    <w:rsid w:val="32014391"/>
    <w:rsid w:val="32404059"/>
    <w:rsid w:val="3244890D"/>
    <w:rsid w:val="324648BB"/>
    <w:rsid w:val="327319A3"/>
    <w:rsid w:val="328F2D0C"/>
    <w:rsid w:val="32B08F66"/>
    <w:rsid w:val="32D09968"/>
    <w:rsid w:val="32D5D51B"/>
    <w:rsid w:val="3303ACE5"/>
    <w:rsid w:val="33119447"/>
    <w:rsid w:val="3323928C"/>
    <w:rsid w:val="333368B3"/>
    <w:rsid w:val="333DE8E2"/>
    <w:rsid w:val="3349AB56"/>
    <w:rsid w:val="335F7A23"/>
    <w:rsid w:val="3360E78F"/>
    <w:rsid w:val="336BD9A0"/>
    <w:rsid w:val="338B251A"/>
    <w:rsid w:val="338E9E0F"/>
    <w:rsid w:val="33A95BBE"/>
    <w:rsid w:val="33AD3D4B"/>
    <w:rsid w:val="33B5D258"/>
    <w:rsid w:val="33B9E098"/>
    <w:rsid w:val="33F9ABB8"/>
    <w:rsid w:val="34190388"/>
    <w:rsid w:val="3419EBFE"/>
    <w:rsid w:val="342AFF3C"/>
    <w:rsid w:val="3434EA4C"/>
    <w:rsid w:val="3435F5D3"/>
    <w:rsid w:val="343835DD"/>
    <w:rsid w:val="3439CCC5"/>
    <w:rsid w:val="34471037"/>
    <w:rsid w:val="344A61DE"/>
    <w:rsid w:val="34784733"/>
    <w:rsid w:val="34885BAB"/>
    <w:rsid w:val="34A46B76"/>
    <w:rsid w:val="34D9B5E0"/>
    <w:rsid w:val="34E16FBE"/>
    <w:rsid w:val="34F7F35A"/>
    <w:rsid w:val="34FF10BE"/>
    <w:rsid w:val="350A3CC1"/>
    <w:rsid w:val="35104BBB"/>
    <w:rsid w:val="355284BB"/>
    <w:rsid w:val="3553888C"/>
    <w:rsid w:val="3554FAA7"/>
    <w:rsid w:val="356783D4"/>
    <w:rsid w:val="356FBFB6"/>
    <w:rsid w:val="35806984"/>
    <w:rsid w:val="35D9A08A"/>
    <w:rsid w:val="35DDBD34"/>
    <w:rsid w:val="3602E9B0"/>
    <w:rsid w:val="36C4A241"/>
    <w:rsid w:val="36DCFB9F"/>
    <w:rsid w:val="36E25711"/>
    <w:rsid w:val="370A9D10"/>
    <w:rsid w:val="37103F2D"/>
    <w:rsid w:val="372DE5AD"/>
    <w:rsid w:val="37492F7D"/>
    <w:rsid w:val="376957BE"/>
    <w:rsid w:val="377E5F1D"/>
    <w:rsid w:val="379A25D5"/>
    <w:rsid w:val="37B428D7"/>
    <w:rsid w:val="37BFFA0B"/>
    <w:rsid w:val="37C2664A"/>
    <w:rsid w:val="37CF0E85"/>
    <w:rsid w:val="37EB4202"/>
    <w:rsid w:val="3804C011"/>
    <w:rsid w:val="3808A96B"/>
    <w:rsid w:val="380ADA65"/>
    <w:rsid w:val="380AFB16"/>
    <w:rsid w:val="38156973"/>
    <w:rsid w:val="3818ED1D"/>
    <w:rsid w:val="382FFFB8"/>
    <w:rsid w:val="384F4FD9"/>
    <w:rsid w:val="386CC7F3"/>
    <w:rsid w:val="386FA748"/>
    <w:rsid w:val="38820F0A"/>
    <w:rsid w:val="38A513A4"/>
    <w:rsid w:val="38C84B46"/>
    <w:rsid w:val="38CBC089"/>
    <w:rsid w:val="38CC753C"/>
    <w:rsid w:val="38D16DB5"/>
    <w:rsid w:val="38FC3C72"/>
    <w:rsid w:val="3904D8DC"/>
    <w:rsid w:val="3947A460"/>
    <w:rsid w:val="398ADE70"/>
    <w:rsid w:val="3990808D"/>
    <w:rsid w:val="39C2839A"/>
    <w:rsid w:val="39E4EB8F"/>
    <w:rsid w:val="3A1AD462"/>
    <w:rsid w:val="3A1E4F66"/>
    <w:rsid w:val="3A30E047"/>
    <w:rsid w:val="3A490172"/>
    <w:rsid w:val="3A637B8F"/>
    <w:rsid w:val="3A6BF662"/>
    <w:rsid w:val="3A76A804"/>
    <w:rsid w:val="3A8B50B1"/>
    <w:rsid w:val="3A91DC68"/>
    <w:rsid w:val="3A9E4CF7"/>
    <w:rsid w:val="3AC9F340"/>
    <w:rsid w:val="3AEBF33A"/>
    <w:rsid w:val="3AF2C458"/>
    <w:rsid w:val="3AFF32B1"/>
    <w:rsid w:val="3B1861BA"/>
    <w:rsid w:val="3B1BDCA6"/>
    <w:rsid w:val="3B41D557"/>
    <w:rsid w:val="3B52B43D"/>
    <w:rsid w:val="3B56ECD2"/>
    <w:rsid w:val="3B57A7F3"/>
    <w:rsid w:val="3B5BADA4"/>
    <w:rsid w:val="3B6D679E"/>
    <w:rsid w:val="3B7E68DB"/>
    <w:rsid w:val="3B84E403"/>
    <w:rsid w:val="3B84ECC7"/>
    <w:rsid w:val="3B9B8EF8"/>
    <w:rsid w:val="3BAA3AC1"/>
    <w:rsid w:val="3BCDC813"/>
    <w:rsid w:val="3BD345D4"/>
    <w:rsid w:val="3BDC5C76"/>
    <w:rsid w:val="3BEA6A89"/>
    <w:rsid w:val="3BEED786"/>
    <w:rsid w:val="3BF3BE82"/>
    <w:rsid w:val="3BFE7A9A"/>
    <w:rsid w:val="3C2F6675"/>
    <w:rsid w:val="3C3E4558"/>
    <w:rsid w:val="3C42AACC"/>
    <w:rsid w:val="3C6B4946"/>
    <w:rsid w:val="3C7C7F0F"/>
    <w:rsid w:val="3C88F9C3"/>
    <w:rsid w:val="3CB680DF"/>
    <w:rsid w:val="3CBB849B"/>
    <w:rsid w:val="3CBBD540"/>
    <w:rsid w:val="3CCD5698"/>
    <w:rsid w:val="3CE46FE5"/>
    <w:rsid w:val="3CEAED6F"/>
    <w:rsid w:val="3CF32AC9"/>
    <w:rsid w:val="3D05ED5E"/>
    <w:rsid w:val="3D0C90CA"/>
    <w:rsid w:val="3D112FE5"/>
    <w:rsid w:val="3D11839A"/>
    <w:rsid w:val="3D197A61"/>
    <w:rsid w:val="3D1D3B84"/>
    <w:rsid w:val="3D3AE9EF"/>
    <w:rsid w:val="3D6B8150"/>
    <w:rsid w:val="3D700EE8"/>
    <w:rsid w:val="3D7226AD"/>
    <w:rsid w:val="3D7532A3"/>
    <w:rsid w:val="3D7953D0"/>
    <w:rsid w:val="3DD008CC"/>
    <w:rsid w:val="3DEE82CD"/>
    <w:rsid w:val="3DFBCFAB"/>
    <w:rsid w:val="3E18ACCE"/>
    <w:rsid w:val="3E49C3AF"/>
    <w:rsid w:val="3E5263D9"/>
    <w:rsid w:val="3E667F3D"/>
    <w:rsid w:val="3E72DA8F"/>
    <w:rsid w:val="3E86E995"/>
    <w:rsid w:val="3E96E6B0"/>
    <w:rsid w:val="3E9FED05"/>
    <w:rsid w:val="3EC073F7"/>
    <w:rsid w:val="3EC97744"/>
    <w:rsid w:val="3EDAE3E3"/>
    <w:rsid w:val="3EE542A4"/>
    <w:rsid w:val="3EE8636A"/>
    <w:rsid w:val="3EEFD860"/>
    <w:rsid w:val="3EF7644F"/>
    <w:rsid w:val="3F100463"/>
    <w:rsid w:val="3F17DBD6"/>
    <w:rsid w:val="3F2BE9BD"/>
    <w:rsid w:val="3F39D838"/>
    <w:rsid w:val="3F3C8BBB"/>
    <w:rsid w:val="3F574B2C"/>
    <w:rsid w:val="3F65921A"/>
    <w:rsid w:val="3F6F4B7D"/>
    <w:rsid w:val="3F82EECD"/>
    <w:rsid w:val="3F923CF5"/>
    <w:rsid w:val="3F92F029"/>
    <w:rsid w:val="3FBD531F"/>
    <w:rsid w:val="3FC89210"/>
    <w:rsid w:val="3FC909BA"/>
    <w:rsid w:val="3FCE6912"/>
    <w:rsid w:val="3FE6E61D"/>
    <w:rsid w:val="400B04B4"/>
    <w:rsid w:val="400C5545"/>
    <w:rsid w:val="40204AC6"/>
    <w:rsid w:val="4023C0D8"/>
    <w:rsid w:val="4043BD33"/>
    <w:rsid w:val="40577926"/>
    <w:rsid w:val="406A25C8"/>
    <w:rsid w:val="408ACEF3"/>
    <w:rsid w:val="40BBCC72"/>
    <w:rsid w:val="40BEBA18"/>
    <w:rsid w:val="40C36861"/>
    <w:rsid w:val="40E3859F"/>
    <w:rsid w:val="40F15C20"/>
    <w:rsid w:val="40FB9F44"/>
    <w:rsid w:val="410B8F8B"/>
    <w:rsid w:val="41284D6A"/>
    <w:rsid w:val="41554045"/>
    <w:rsid w:val="415C55C5"/>
    <w:rsid w:val="416E431E"/>
    <w:rsid w:val="418ED062"/>
    <w:rsid w:val="41E3F9F7"/>
    <w:rsid w:val="420689F9"/>
    <w:rsid w:val="4208989B"/>
    <w:rsid w:val="420EC9AA"/>
    <w:rsid w:val="42190A4F"/>
    <w:rsid w:val="422C98CB"/>
    <w:rsid w:val="425E8DF1"/>
    <w:rsid w:val="427D8C21"/>
    <w:rsid w:val="428B6C2D"/>
    <w:rsid w:val="429B7DA9"/>
    <w:rsid w:val="42C12B42"/>
    <w:rsid w:val="42D49057"/>
    <w:rsid w:val="42D86FE8"/>
    <w:rsid w:val="432170FA"/>
    <w:rsid w:val="43268EF1"/>
    <w:rsid w:val="43456347"/>
    <w:rsid w:val="434DBEB2"/>
    <w:rsid w:val="435CAC71"/>
    <w:rsid w:val="4369F44E"/>
    <w:rsid w:val="4385AB03"/>
    <w:rsid w:val="43C0FBF5"/>
    <w:rsid w:val="43C6D36E"/>
    <w:rsid w:val="43DF13FA"/>
    <w:rsid w:val="43F17AA3"/>
    <w:rsid w:val="43F2D740"/>
    <w:rsid w:val="4407A81E"/>
    <w:rsid w:val="44293CD4"/>
    <w:rsid w:val="442CB069"/>
    <w:rsid w:val="4435C2BF"/>
    <w:rsid w:val="4464BB90"/>
    <w:rsid w:val="44731B40"/>
    <w:rsid w:val="4487905B"/>
    <w:rsid w:val="448AA87A"/>
    <w:rsid w:val="449F05AB"/>
    <w:rsid w:val="44E72386"/>
    <w:rsid w:val="45046B99"/>
    <w:rsid w:val="450F39EE"/>
    <w:rsid w:val="45410A99"/>
    <w:rsid w:val="45452D09"/>
    <w:rsid w:val="455E77A7"/>
    <w:rsid w:val="456F7A79"/>
    <w:rsid w:val="457652D7"/>
    <w:rsid w:val="458FCEF0"/>
    <w:rsid w:val="45A49D4D"/>
    <w:rsid w:val="45A636A2"/>
    <w:rsid w:val="45B5BE2C"/>
    <w:rsid w:val="45B75266"/>
    <w:rsid w:val="45C659C2"/>
    <w:rsid w:val="45C7C2E0"/>
    <w:rsid w:val="45CABB20"/>
    <w:rsid w:val="45E28481"/>
    <w:rsid w:val="46074B9B"/>
    <w:rsid w:val="4666B1E8"/>
    <w:rsid w:val="467AA4C6"/>
    <w:rsid w:val="46805C1D"/>
    <w:rsid w:val="468B744F"/>
    <w:rsid w:val="46B3D22C"/>
    <w:rsid w:val="46B7A598"/>
    <w:rsid w:val="46C1102B"/>
    <w:rsid w:val="46C49E4E"/>
    <w:rsid w:val="46CCF872"/>
    <w:rsid w:val="4703AE87"/>
    <w:rsid w:val="471EC8AF"/>
    <w:rsid w:val="4731831C"/>
    <w:rsid w:val="47376628"/>
    <w:rsid w:val="47728934"/>
    <w:rsid w:val="4777FE72"/>
    <w:rsid w:val="47B4C4AD"/>
    <w:rsid w:val="47BF2CBC"/>
    <w:rsid w:val="47C904DD"/>
    <w:rsid w:val="47C9DFCC"/>
    <w:rsid w:val="47E91B81"/>
    <w:rsid w:val="47ED106C"/>
    <w:rsid w:val="47F1FF71"/>
    <w:rsid w:val="480BC87F"/>
    <w:rsid w:val="48115D82"/>
    <w:rsid w:val="48222D96"/>
    <w:rsid w:val="48476A73"/>
    <w:rsid w:val="4852DBBD"/>
    <w:rsid w:val="48666F51"/>
    <w:rsid w:val="486CCFB8"/>
    <w:rsid w:val="486D1F7E"/>
    <w:rsid w:val="486DBC37"/>
    <w:rsid w:val="48718A82"/>
    <w:rsid w:val="488614BC"/>
    <w:rsid w:val="489D7025"/>
    <w:rsid w:val="48A5E009"/>
    <w:rsid w:val="48D5F0B1"/>
    <w:rsid w:val="49572D92"/>
    <w:rsid w:val="495787EE"/>
    <w:rsid w:val="4970C3A0"/>
    <w:rsid w:val="49758E14"/>
    <w:rsid w:val="4978B5FA"/>
    <w:rsid w:val="4991A46B"/>
    <w:rsid w:val="49C0A6FC"/>
    <w:rsid w:val="49CE09A0"/>
    <w:rsid w:val="49D2E690"/>
    <w:rsid w:val="49DA1C2F"/>
    <w:rsid w:val="4A0842D9"/>
    <w:rsid w:val="4A2658BC"/>
    <w:rsid w:val="4A29C9DE"/>
    <w:rsid w:val="4A319A05"/>
    <w:rsid w:val="4A412BFA"/>
    <w:rsid w:val="4A523A67"/>
    <w:rsid w:val="4A58CC00"/>
    <w:rsid w:val="4A5B55B1"/>
    <w:rsid w:val="4A648EE9"/>
    <w:rsid w:val="4A736B18"/>
    <w:rsid w:val="4A9A4B8A"/>
    <w:rsid w:val="4AB9C55B"/>
    <w:rsid w:val="4ABE1865"/>
    <w:rsid w:val="4ACF2E1C"/>
    <w:rsid w:val="4AD0E62B"/>
    <w:rsid w:val="4AE1425E"/>
    <w:rsid w:val="4AFFB17B"/>
    <w:rsid w:val="4B151848"/>
    <w:rsid w:val="4B2BDF29"/>
    <w:rsid w:val="4B886A7A"/>
    <w:rsid w:val="4B9717F1"/>
    <w:rsid w:val="4BB753CA"/>
    <w:rsid w:val="4BB7DC45"/>
    <w:rsid w:val="4BB95AFC"/>
    <w:rsid w:val="4BC0B43F"/>
    <w:rsid w:val="4BCFCC1E"/>
    <w:rsid w:val="4BD08452"/>
    <w:rsid w:val="4BD64335"/>
    <w:rsid w:val="4C048DBA"/>
    <w:rsid w:val="4C07598A"/>
    <w:rsid w:val="4C111AD5"/>
    <w:rsid w:val="4C2BCDB0"/>
    <w:rsid w:val="4C3A03F2"/>
    <w:rsid w:val="4C49251A"/>
    <w:rsid w:val="4C4B19F9"/>
    <w:rsid w:val="4C63BB0B"/>
    <w:rsid w:val="4C72E83E"/>
    <w:rsid w:val="4C7739CE"/>
    <w:rsid w:val="4C8B261C"/>
    <w:rsid w:val="4CBF800F"/>
    <w:rsid w:val="4CCA8823"/>
    <w:rsid w:val="4CEB46FC"/>
    <w:rsid w:val="4CFFE468"/>
    <w:rsid w:val="4D0AE0EE"/>
    <w:rsid w:val="4D4EBEAB"/>
    <w:rsid w:val="4D6D04C3"/>
    <w:rsid w:val="4D821804"/>
    <w:rsid w:val="4D93073B"/>
    <w:rsid w:val="4DEDF207"/>
    <w:rsid w:val="4E021887"/>
    <w:rsid w:val="4E0C557A"/>
    <w:rsid w:val="4E0CD014"/>
    <w:rsid w:val="4E2E5760"/>
    <w:rsid w:val="4E4F41A5"/>
    <w:rsid w:val="4E51F864"/>
    <w:rsid w:val="4E535207"/>
    <w:rsid w:val="4E58C278"/>
    <w:rsid w:val="4E5F26CC"/>
    <w:rsid w:val="4E6BFE09"/>
    <w:rsid w:val="4E869820"/>
    <w:rsid w:val="4E9F82F4"/>
    <w:rsid w:val="4EA82ADF"/>
    <w:rsid w:val="4EAADA41"/>
    <w:rsid w:val="4EC82DFE"/>
    <w:rsid w:val="4EDF0810"/>
    <w:rsid w:val="4EF74627"/>
    <w:rsid w:val="4F11CA49"/>
    <w:rsid w:val="4F132F6E"/>
    <w:rsid w:val="4F50666F"/>
    <w:rsid w:val="4F7C61F0"/>
    <w:rsid w:val="4F7D3F25"/>
    <w:rsid w:val="4F930CF6"/>
    <w:rsid w:val="4FBA83F1"/>
    <w:rsid w:val="4FF18B2D"/>
    <w:rsid w:val="4FFAD85F"/>
    <w:rsid w:val="50098F0D"/>
    <w:rsid w:val="50360792"/>
    <w:rsid w:val="503C7375"/>
    <w:rsid w:val="503D72FC"/>
    <w:rsid w:val="508E657D"/>
    <w:rsid w:val="509FE8BE"/>
    <w:rsid w:val="50C5335C"/>
    <w:rsid w:val="50CBBF64"/>
    <w:rsid w:val="50D1252D"/>
    <w:rsid w:val="5104B090"/>
    <w:rsid w:val="510BCB20"/>
    <w:rsid w:val="513BE19E"/>
    <w:rsid w:val="51B4DC04"/>
    <w:rsid w:val="51B64D69"/>
    <w:rsid w:val="521A31FF"/>
    <w:rsid w:val="525A067E"/>
    <w:rsid w:val="5269B8EB"/>
    <w:rsid w:val="526F4F25"/>
    <w:rsid w:val="5287780C"/>
    <w:rsid w:val="529C2741"/>
    <w:rsid w:val="52CC0C2B"/>
    <w:rsid w:val="52E9BA93"/>
    <w:rsid w:val="52F5DE4E"/>
    <w:rsid w:val="52F95ED4"/>
    <w:rsid w:val="52FC4123"/>
    <w:rsid w:val="531632A2"/>
    <w:rsid w:val="53251560"/>
    <w:rsid w:val="5326AE94"/>
    <w:rsid w:val="53343E50"/>
    <w:rsid w:val="53392B7E"/>
    <w:rsid w:val="53464325"/>
    <w:rsid w:val="53683CF7"/>
    <w:rsid w:val="536FC708"/>
    <w:rsid w:val="53884B4A"/>
    <w:rsid w:val="53ACA8E4"/>
    <w:rsid w:val="53C7B495"/>
    <w:rsid w:val="53CF0A89"/>
    <w:rsid w:val="53DC4CCF"/>
    <w:rsid w:val="53F3A408"/>
    <w:rsid w:val="53FAEB5F"/>
    <w:rsid w:val="53FC9980"/>
    <w:rsid w:val="54071A26"/>
    <w:rsid w:val="540E032E"/>
    <w:rsid w:val="541815E9"/>
    <w:rsid w:val="541D56B7"/>
    <w:rsid w:val="54203559"/>
    <w:rsid w:val="5427F4D9"/>
    <w:rsid w:val="542B19A2"/>
    <w:rsid w:val="542F07F0"/>
    <w:rsid w:val="54320B0E"/>
    <w:rsid w:val="543815CD"/>
    <w:rsid w:val="5441E2DA"/>
    <w:rsid w:val="544A9896"/>
    <w:rsid w:val="544ECEBC"/>
    <w:rsid w:val="545DDB70"/>
    <w:rsid w:val="54629CC7"/>
    <w:rsid w:val="54867243"/>
    <w:rsid w:val="54A20FC2"/>
    <w:rsid w:val="54A391CF"/>
    <w:rsid w:val="54A777EC"/>
    <w:rsid w:val="54AC8B5D"/>
    <w:rsid w:val="54B04D24"/>
    <w:rsid w:val="54BD859A"/>
    <w:rsid w:val="54EA7BAC"/>
    <w:rsid w:val="551B41CC"/>
    <w:rsid w:val="5566121C"/>
    <w:rsid w:val="557F8A43"/>
    <w:rsid w:val="5587C359"/>
    <w:rsid w:val="55965690"/>
    <w:rsid w:val="5596CB7B"/>
    <w:rsid w:val="55994575"/>
    <w:rsid w:val="55AC19E3"/>
    <w:rsid w:val="55CE2192"/>
    <w:rsid w:val="55E2BC10"/>
    <w:rsid w:val="561A9564"/>
    <w:rsid w:val="564CC440"/>
    <w:rsid w:val="565589CA"/>
    <w:rsid w:val="567B49F8"/>
    <w:rsid w:val="567C944D"/>
    <w:rsid w:val="567D3B47"/>
    <w:rsid w:val="568B2AEC"/>
    <w:rsid w:val="5690376D"/>
    <w:rsid w:val="56938BF9"/>
    <w:rsid w:val="56A31EB6"/>
    <w:rsid w:val="56BC31D4"/>
    <w:rsid w:val="56BC850E"/>
    <w:rsid w:val="56EC33A1"/>
    <w:rsid w:val="56FC9B2D"/>
    <w:rsid w:val="571A38A8"/>
    <w:rsid w:val="57292A58"/>
    <w:rsid w:val="57408FAB"/>
    <w:rsid w:val="5749BEB6"/>
    <w:rsid w:val="575780E3"/>
    <w:rsid w:val="575D90EB"/>
    <w:rsid w:val="578A1AEC"/>
    <w:rsid w:val="57AD8948"/>
    <w:rsid w:val="57BED66A"/>
    <w:rsid w:val="57BEE078"/>
    <w:rsid w:val="57CD7487"/>
    <w:rsid w:val="57E856DE"/>
    <w:rsid w:val="57EC88D1"/>
    <w:rsid w:val="57F4A073"/>
    <w:rsid w:val="57FFB8A4"/>
    <w:rsid w:val="58038353"/>
    <w:rsid w:val="580B8720"/>
    <w:rsid w:val="580C81FF"/>
    <w:rsid w:val="5818A27D"/>
    <w:rsid w:val="583AD6D6"/>
    <w:rsid w:val="583AEBF7"/>
    <w:rsid w:val="5851B81A"/>
    <w:rsid w:val="58585B95"/>
    <w:rsid w:val="587F05B0"/>
    <w:rsid w:val="58819578"/>
    <w:rsid w:val="589D0E87"/>
    <w:rsid w:val="58A992BB"/>
    <w:rsid w:val="58B73C6D"/>
    <w:rsid w:val="58BC98D9"/>
    <w:rsid w:val="58BD2C8B"/>
    <w:rsid w:val="58C77B87"/>
    <w:rsid w:val="58E03BBA"/>
    <w:rsid w:val="58EC528D"/>
    <w:rsid w:val="58F6B075"/>
    <w:rsid w:val="590901C1"/>
    <w:rsid w:val="591EA882"/>
    <w:rsid w:val="5933EF1F"/>
    <w:rsid w:val="5938B22A"/>
    <w:rsid w:val="5956E9DB"/>
    <w:rsid w:val="5970BF97"/>
    <w:rsid w:val="597A9AC8"/>
    <w:rsid w:val="59972A5E"/>
    <w:rsid w:val="59CC3755"/>
    <w:rsid w:val="59CF8B7A"/>
    <w:rsid w:val="59E5F232"/>
    <w:rsid w:val="59EBD749"/>
    <w:rsid w:val="5A05D75D"/>
    <w:rsid w:val="5A0E3644"/>
    <w:rsid w:val="5A1C4F8E"/>
    <w:rsid w:val="5A28C065"/>
    <w:rsid w:val="5A322375"/>
    <w:rsid w:val="5A40100C"/>
    <w:rsid w:val="5A48D6D0"/>
    <w:rsid w:val="5A74D431"/>
    <w:rsid w:val="5A9C3F3A"/>
    <w:rsid w:val="5ACAFA47"/>
    <w:rsid w:val="5AE9B10A"/>
    <w:rsid w:val="5B02BB42"/>
    <w:rsid w:val="5B077BC0"/>
    <w:rsid w:val="5B0FBE98"/>
    <w:rsid w:val="5B318F4D"/>
    <w:rsid w:val="5B360DFD"/>
    <w:rsid w:val="5B6AC29A"/>
    <w:rsid w:val="5B6C7476"/>
    <w:rsid w:val="5B719907"/>
    <w:rsid w:val="5B903FE3"/>
    <w:rsid w:val="5BB0C802"/>
    <w:rsid w:val="5BB2C72F"/>
    <w:rsid w:val="5BC77D54"/>
    <w:rsid w:val="5BC99705"/>
    <w:rsid w:val="5BDAF3A2"/>
    <w:rsid w:val="5C05C79D"/>
    <w:rsid w:val="5C30BC87"/>
    <w:rsid w:val="5C3FD8B2"/>
    <w:rsid w:val="5C614721"/>
    <w:rsid w:val="5C67EF12"/>
    <w:rsid w:val="5C7BAAD6"/>
    <w:rsid w:val="5C92CC2E"/>
    <w:rsid w:val="5CA791FC"/>
    <w:rsid w:val="5CBB51E1"/>
    <w:rsid w:val="5CBC93B9"/>
    <w:rsid w:val="5CC0B38F"/>
    <w:rsid w:val="5CC8C0F7"/>
    <w:rsid w:val="5CD59D7B"/>
    <w:rsid w:val="5CD7E031"/>
    <w:rsid w:val="5CDDA404"/>
    <w:rsid w:val="5CF81C93"/>
    <w:rsid w:val="5D0135FF"/>
    <w:rsid w:val="5D0B6B94"/>
    <w:rsid w:val="5D1FA0B9"/>
    <w:rsid w:val="5D2367BA"/>
    <w:rsid w:val="5D6F409B"/>
    <w:rsid w:val="5DA16DA8"/>
    <w:rsid w:val="5DC06308"/>
    <w:rsid w:val="5DD73B8D"/>
    <w:rsid w:val="5DE666FA"/>
    <w:rsid w:val="5DEEB211"/>
    <w:rsid w:val="5DEF1311"/>
    <w:rsid w:val="5E00F6C1"/>
    <w:rsid w:val="5E30244F"/>
    <w:rsid w:val="5E673B65"/>
    <w:rsid w:val="5E7888EC"/>
    <w:rsid w:val="5E86AEAC"/>
    <w:rsid w:val="5E8F59F0"/>
    <w:rsid w:val="5EAC7A6D"/>
    <w:rsid w:val="5EC25445"/>
    <w:rsid w:val="5EC4DEF2"/>
    <w:rsid w:val="5F1B95D9"/>
    <w:rsid w:val="5F1FC085"/>
    <w:rsid w:val="5F22EC38"/>
    <w:rsid w:val="5F262162"/>
    <w:rsid w:val="5F2C673A"/>
    <w:rsid w:val="5F3DFA6E"/>
    <w:rsid w:val="5F703FCF"/>
    <w:rsid w:val="5F8240DD"/>
    <w:rsid w:val="5F94E03A"/>
    <w:rsid w:val="5F9AAF97"/>
    <w:rsid w:val="5FA913A1"/>
    <w:rsid w:val="5FA9EF6B"/>
    <w:rsid w:val="5FBC9F6E"/>
    <w:rsid w:val="60134ACB"/>
    <w:rsid w:val="6038A4F1"/>
    <w:rsid w:val="603ED667"/>
    <w:rsid w:val="6043BE71"/>
    <w:rsid w:val="6045F5CC"/>
    <w:rsid w:val="607A2626"/>
    <w:rsid w:val="60897022"/>
    <w:rsid w:val="608B0DE0"/>
    <w:rsid w:val="608C5678"/>
    <w:rsid w:val="60A4F641"/>
    <w:rsid w:val="60B70B94"/>
    <w:rsid w:val="60C2C7C2"/>
    <w:rsid w:val="60C5C062"/>
    <w:rsid w:val="60D32D92"/>
    <w:rsid w:val="612A3DF3"/>
    <w:rsid w:val="613FAB10"/>
    <w:rsid w:val="616371E3"/>
    <w:rsid w:val="616530B0"/>
    <w:rsid w:val="61859A45"/>
    <w:rsid w:val="61AA71D1"/>
    <w:rsid w:val="61B92731"/>
    <w:rsid w:val="6215FCFB"/>
    <w:rsid w:val="62260179"/>
    <w:rsid w:val="6244F93E"/>
    <w:rsid w:val="624FBC45"/>
    <w:rsid w:val="626301F7"/>
    <w:rsid w:val="6277097D"/>
    <w:rsid w:val="628E32FF"/>
    <w:rsid w:val="6290024F"/>
    <w:rsid w:val="6290EAE8"/>
    <w:rsid w:val="6292BB69"/>
    <w:rsid w:val="62B92D45"/>
    <w:rsid w:val="62E91F24"/>
    <w:rsid w:val="62EBA868"/>
    <w:rsid w:val="6303BFAC"/>
    <w:rsid w:val="63122063"/>
    <w:rsid w:val="632C71DF"/>
    <w:rsid w:val="63323CA3"/>
    <w:rsid w:val="63465AAD"/>
    <w:rsid w:val="635B320E"/>
    <w:rsid w:val="6364B1F9"/>
    <w:rsid w:val="63A54460"/>
    <w:rsid w:val="63AFC93C"/>
    <w:rsid w:val="63B0EB92"/>
    <w:rsid w:val="63B4624F"/>
    <w:rsid w:val="63E6F0A6"/>
    <w:rsid w:val="64028119"/>
    <w:rsid w:val="641E0F5B"/>
    <w:rsid w:val="643AF6A7"/>
    <w:rsid w:val="644AE46E"/>
    <w:rsid w:val="645C3678"/>
    <w:rsid w:val="64808CCB"/>
    <w:rsid w:val="64C00BA7"/>
    <w:rsid w:val="64C94C20"/>
    <w:rsid w:val="64CB511F"/>
    <w:rsid w:val="64D4DBCF"/>
    <w:rsid w:val="64D9B97D"/>
    <w:rsid w:val="64FFA9E4"/>
    <w:rsid w:val="655CD6D4"/>
    <w:rsid w:val="6563B1E7"/>
    <w:rsid w:val="65672D57"/>
    <w:rsid w:val="65816218"/>
    <w:rsid w:val="65BB1506"/>
    <w:rsid w:val="65FDBCD8"/>
    <w:rsid w:val="661CCABF"/>
    <w:rsid w:val="662B5C71"/>
    <w:rsid w:val="664F62D6"/>
    <w:rsid w:val="6659671F"/>
    <w:rsid w:val="668B981E"/>
    <w:rsid w:val="66965574"/>
    <w:rsid w:val="6697096B"/>
    <w:rsid w:val="66B5C82E"/>
    <w:rsid w:val="66DEB295"/>
    <w:rsid w:val="66E265BB"/>
    <w:rsid w:val="6720D905"/>
    <w:rsid w:val="672694A0"/>
    <w:rsid w:val="67379928"/>
    <w:rsid w:val="677E364A"/>
    <w:rsid w:val="67A06669"/>
    <w:rsid w:val="67A30B9E"/>
    <w:rsid w:val="67AC6500"/>
    <w:rsid w:val="67B42001"/>
    <w:rsid w:val="67C5137F"/>
    <w:rsid w:val="67DAE060"/>
    <w:rsid w:val="67F3D2F2"/>
    <w:rsid w:val="68004351"/>
    <w:rsid w:val="68167594"/>
    <w:rsid w:val="6820E52E"/>
    <w:rsid w:val="6821276B"/>
    <w:rsid w:val="6842E3F0"/>
    <w:rsid w:val="684B5089"/>
    <w:rsid w:val="6859C6BA"/>
    <w:rsid w:val="68612BAC"/>
    <w:rsid w:val="6861E57B"/>
    <w:rsid w:val="6883112A"/>
    <w:rsid w:val="6896DA6F"/>
    <w:rsid w:val="68A3E12C"/>
    <w:rsid w:val="68C7EF34"/>
    <w:rsid w:val="68E05138"/>
    <w:rsid w:val="68E0DFE1"/>
    <w:rsid w:val="68FCC4EE"/>
    <w:rsid w:val="6913E317"/>
    <w:rsid w:val="6918673C"/>
    <w:rsid w:val="69231323"/>
    <w:rsid w:val="69589AF5"/>
    <w:rsid w:val="69694E69"/>
    <w:rsid w:val="69728C07"/>
    <w:rsid w:val="6979A0E3"/>
    <w:rsid w:val="69984B25"/>
    <w:rsid w:val="69995274"/>
    <w:rsid w:val="69C20584"/>
    <w:rsid w:val="69C3E320"/>
    <w:rsid w:val="69D31483"/>
    <w:rsid w:val="69D33478"/>
    <w:rsid w:val="69FFC4CD"/>
    <w:rsid w:val="69FFFCD0"/>
    <w:rsid w:val="6A20FFA0"/>
    <w:rsid w:val="6A249ECB"/>
    <w:rsid w:val="6A3DF000"/>
    <w:rsid w:val="6A61A73D"/>
    <w:rsid w:val="6A70C717"/>
    <w:rsid w:val="6A93C19D"/>
    <w:rsid w:val="6AB59509"/>
    <w:rsid w:val="6AB78F48"/>
    <w:rsid w:val="6AE11EE8"/>
    <w:rsid w:val="6AEFCA8F"/>
    <w:rsid w:val="6AF116EE"/>
    <w:rsid w:val="6AFC7FDA"/>
    <w:rsid w:val="6B1774AA"/>
    <w:rsid w:val="6B2C2674"/>
    <w:rsid w:val="6B3C727B"/>
    <w:rsid w:val="6B543AF8"/>
    <w:rsid w:val="6B54A08A"/>
    <w:rsid w:val="6B5CD941"/>
    <w:rsid w:val="6B625FF0"/>
    <w:rsid w:val="6B8D9BAA"/>
    <w:rsid w:val="6BC6AA74"/>
    <w:rsid w:val="6BE70A3A"/>
    <w:rsid w:val="6BF49A18"/>
    <w:rsid w:val="6C09F139"/>
    <w:rsid w:val="6C16B0BF"/>
    <w:rsid w:val="6C361F77"/>
    <w:rsid w:val="6C38302D"/>
    <w:rsid w:val="6C58E853"/>
    <w:rsid w:val="6C9729B9"/>
    <w:rsid w:val="6CB535F6"/>
    <w:rsid w:val="6CB8E669"/>
    <w:rsid w:val="6CBF8276"/>
    <w:rsid w:val="6CD4B0E7"/>
    <w:rsid w:val="6CD724E0"/>
    <w:rsid w:val="6CEFC73C"/>
    <w:rsid w:val="6CF7F30F"/>
    <w:rsid w:val="6CF8D54C"/>
    <w:rsid w:val="6D1F07EF"/>
    <w:rsid w:val="6D34BC7D"/>
    <w:rsid w:val="6D488346"/>
    <w:rsid w:val="6D4B332C"/>
    <w:rsid w:val="6D523F33"/>
    <w:rsid w:val="6D5ACDF6"/>
    <w:rsid w:val="6D736758"/>
    <w:rsid w:val="6D7F5FBB"/>
    <w:rsid w:val="6D8AA0D8"/>
    <w:rsid w:val="6DAA35E0"/>
    <w:rsid w:val="6DB57A4E"/>
    <w:rsid w:val="6DB93D0F"/>
    <w:rsid w:val="6DC89DBB"/>
    <w:rsid w:val="6DE6F4D2"/>
    <w:rsid w:val="6DEA11E0"/>
    <w:rsid w:val="6DF547FA"/>
    <w:rsid w:val="6E04D588"/>
    <w:rsid w:val="6E0972AC"/>
    <w:rsid w:val="6E2790EF"/>
    <w:rsid w:val="6E3496CE"/>
    <w:rsid w:val="6E3C7D3E"/>
    <w:rsid w:val="6E4CCF18"/>
    <w:rsid w:val="6E703185"/>
    <w:rsid w:val="6E803328"/>
    <w:rsid w:val="6E8D76AC"/>
    <w:rsid w:val="6E9F91EB"/>
    <w:rsid w:val="6EA4244A"/>
    <w:rsid w:val="6EA8137C"/>
    <w:rsid w:val="6EB5E9F6"/>
    <w:rsid w:val="6EBA1FD4"/>
    <w:rsid w:val="6EC35D6C"/>
    <w:rsid w:val="6EC99441"/>
    <w:rsid w:val="6ED00CFD"/>
    <w:rsid w:val="6ED46D3F"/>
    <w:rsid w:val="6EEABDDB"/>
    <w:rsid w:val="6F58975D"/>
    <w:rsid w:val="6F5EB8BA"/>
    <w:rsid w:val="6F967A26"/>
    <w:rsid w:val="6FA0CEF7"/>
    <w:rsid w:val="6FA59997"/>
    <w:rsid w:val="6FB55CE2"/>
    <w:rsid w:val="6FCB76D7"/>
    <w:rsid w:val="6FDB930A"/>
    <w:rsid w:val="6FF09CEF"/>
    <w:rsid w:val="70136B8D"/>
    <w:rsid w:val="70344AED"/>
    <w:rsid w:val="703EAE80"/>
    <w:rsid w:val="70551282"/>
    <w:rsid w:val="7062ABF7"/>
    <w:rsid w:val="706D2F2D"/>
    <w:rsid w:val="70AB7D18"/>
    <w:rsid w:val="70ABE21E"/>
    <w:rsid w:val="70BD594F"/>
    <w:rsid w:val="70D23E04"/>
    <w:rsid w:val="70D79538"/>
    <w:rsid w:val="70EE0EA3"/>
    <w:rsid w:val="70F190E9"/>
    <w:rsid w:val="70F6CCF8"/>
    <w:rsid w:val="71482538"/>
    <w:rsid w:val="71A1F5C2"/>
    <w:rsid w:val="71B536C3"/>
    <w:rsid w:val="71C7A213"/>
    <w:rsid w:val="71F02DA2"/>
    <w:rsid w:val="7203AA8C"/>
    <w:rsid w:val="720D394B"/>
    <w:rsid w:val="7219DD6D"/>
    <w:rsid w:val="7252FACE"/>
    <w:rsid w:val="72654451"/>
    <w:rsid w:val="7293ADCB"/>
    <w:rsid w:val="72ADFEB9"/>
    <w:rsid w:val="72D48460"/>
    <w:rsid w:val="72E55953"/>
    <w:rsid w:val="72ED51D8"/>
    <w:rsid w:val="72F6B6C3"/>
    <w:rsid w:val="72FF4E8E"/>
    <w:rsid w:val="7313AAED"/>
    <w:rsid w:val="73264537"/>
    <w:rsid w:val="733A03B8"/>
    <w:rsid w:val="733ABF6D"/>
    <w:rsid w:val="733ACEA0"/>
    <w:rsid w:val="7364E533"/>
    <w:rsid w:val="73664791"/>
    <w:rsid w:val="7370A59F"/>
    <w:rsid w:val="73747BC9"/>
    <w:rsid w:val="7377F322"/>
    <w:rsid w:val="737EF2F1"/>
    <w:rsid w:val="73813A10"/>
    <w:rsid w:val="7387B8F2"/>
    <w:rsid w:val="738A212C"/>
    <w:rsid w:val="739188C4"/>
    <w:rsid w:val="739AA002"/>
    <w:rsid w:val="73A099B3"/>
    <w:rsid w:val="73A70E7F"/>
    <w:rsid w:val="73AF9A79"/>
    <w:rsid w:val="73CA87D4"/>
    <w:rsid w:val="74034CFD"/>
    <w:rsid w:val="74164C25"/>
    <w:rsid w:val="743B26DE"/>
    <w:rsid w:val="74753D02"/>
    <w:rsid w:val="74D06678"/>
    <w:rsid w:val="74F009F7"/>
    <w:rsid w:val="7504740D"/>
    <w:rsid w:val="75329DDC"/>
    <w:rsid w:val="753423E9"/>
    <w:rsid w:val="7546CA9E"/>
    <w:rsid w:val="754A3823"/>
    <w:rsid w:val="756CF48A"/>
    <w:rsid w:val="75874CE2"/>
    <w:rsid w:val="75B740B7"/>
    <w:rsid w:val="75C5FA3A"/>
    <w:rsid w:val="75C69742"/>
    <w:rsid w:val="75D341F7"/>
    <w:rsid w:val="75DDC355"/>
    <w:rsid w:val="76979118"/>
    <w:rsid w:val="769F5089"/>
    <w:rsid w:val="769FC54C"/>
    <w:rsid w:val="76B15EDE"/>
    <w:rsid w:val="76BD5DB3"/>
    <w:rsid w:val="76C5362C"/>
    <w:rsid w:val="76D37DB9"/>
    <w:rsid w:val="76D7297C"/>
    <w:rsid w:val="76D8712E"/>
    <w:rsid w:val="76E3D22F"/>
    <w:rsid w:val="76F01C65"/>
    <w:rsid w:val="76F094C3"/>
    <w:rsid w:val="76F24C69"/>
    <w:rsid w:val="76FB2222"/>
    <w:rsid w:val="77176BE2"/>
    <w:rsid w:val="771F2FA3"/>
    <w:rsid w:val="772B6DE7"/>
    <w:rsid w:val="773FCF2B"/>
    <w:rsid w:val="774A5979"/>
    <w:rsid w:val="7762D414"/>
    <w:rsid w:val="77753A3A"/>
    <w:rsid w:val="778948FA"/>
    <w:rsid w:val="779A58C9"/>
    <w:rsid w:val="77AB3390"/>
    <w:rsid w:val="77B77366"/>
    <w:rsid w:val="77C60C1A"/>
    <w:rsid w:val="77D2CBBF"/>
    <w:rsid w:val="77DE9C03"/>
    <w:rsid w:val="77F20F0B"/>
    <w:rsid w:val="78355DEF"/>
    <w:rsid w:val="7839C109"/>
    <w:rsid w:val="783EBDAC"/>
    <w:rsid w:val="7864389C"/>
    <w:rsid w:val="78663522"/>
    <w:rsid w:val="787E268E"/>
    <w:rsid w:val="78C5072A"/>
    <w:rsid w:val="78E7DC76"/>
    <w:rsid w:val="791A2EDD"/>
    <w:rsid w:val="792F1ABC"/>
    <w:rsid w:val="7938BE4F"/>
    <w:rsid w:val="794DD5A2"/>
    <w:rsid w:val="796352DE"/>
    <w:rsid w:val="797D118E"/>
    <w:rsid w:val="797DD9DA"/>
    <w:rsid w:val="797E6C57"/>
    <w:rsid w:val="798123EA"/>
    <w:rsid w:val="799436C3"/>
    <w:rsid w:val="799A13A5"/>
    <w:rsid w:val="799C820B"/>
    <w:rsid w:val="79C319BE"/>
    <w:rsid w:val="79D0B796"/>
    <w:rsid w:val="79E745ED"/>
    <w:rsid w:val="7A1024F7"/>
    <w:rsid w:val="7A22832D"/>
    <w:rsid w:val="7A4634C3"/>
    <w:rsid w:val="7A49D7CA"/>
    <w:rsid w:val="7A5ADBDE"/>
    <w:rsid w:val="7A5DC9E7"/>
    <w:rsid w:val="7A6CCF48"/>
    <w:rsid w:val="7A7E7401"/>
    <w:rsid w:val="7A8A2B7F"/>
    <w:rsid w:val="7A944DFB"/>
    <w:rsid w:val="7A999324"/>
    <w:rsid w:val="7A9C22D2"/>
    <w:rsid w:val="7AC2604A"/>
    <w:rsid w:val="7AE38508"/>
    <w:rsid w:val="7AE5CFCA"/>
    <w:rsid w:val="7AF072FC"/>
    <w:rsid w:val="7AF255DF"/>
    <w:rsid w:val="7B241677"/>
    <w:rsid w:val="7B436B43"/>
    <w:rsid w:val="7B7673A2"/>
    <w:rsid w:val="7B8265B2"/>
    <w:rsid w:val="7B8D1B90"/>
    <w:rsid w:val="7BA3BAAF"/>
    <w:rsid w:val="7BB9FDCF"/>
    <w:rsid w:val="7BDFAE5B"/>
    <w:rsid w:val="7C396B1A"/>
    <w:rsid w:val="7C3E9796"/>
    <w:rsid w:val="7C698525"/>
    <w:rsid w:val="7C7B4FC4"/>
    <w:rsid w:val="7C8013E5"/>
    <w:rsid w:val="7C8AEE8A"/>
    <w:rsid w:val="7C921A95"/>
    <w:rsid w:val="7C9FA314"/>
    <w:rsid w:val="7CABB625"/>
    <w:rsid w:val="7CAF7EBC"/>
    <w:rsid w:val="7CC411C1"/>
    <w:rsid w:val="7CC51E29"/>
    <w:rsid w:val="7CC7109B"/>
    <w:rsid w:val="7CD1F15C"/>
    <w:rsid w:val="7CD3D68B"/>
    <w:rsid w:val="7CE436BD"/>
    <w:rsid w:val="7CFBF5C4"/>
    <w:rsid w:val="7D171441"/>
    <w:rsid w:val="7D3BD201"/>
    <w:rsid w:val="7D4BD213"/>
    <w:rsid w:val="7D77E066"/>
    <w:rsid w:val="7D8B4578"/>
    <w:rsid w:val="7DA03E86"/>
    <w:rsid w:val="7DAB68AA"/>
    <w:rsid w:val="7DBA4AC5"/>
    <w:rsid w:val="7DC06932"/>
    <w:rsid w:val="7DC338D4"/>
    <w:rsid w:val="7DC56F33"/>
    <w:rsid w:val="7DE6A448"/>
    <w:rsid w:val="7DEFD90F"/>
    <w:rsid w:val="7DF0369F"/>
    <w:rsid w:val="7DF5AB16"/>
    <w:rsid w:val="7DF62DE7"/>
    <w:rsid w:val="7DFCB408"/>
    <w:rsid w:val="7E0BC475"/>
    <w:rsid w:val="7E3D9609"/>
    <w:rsid w:val="7E3F8A74"/>
    <w:rsid w:val="7E632617"/>
    <w:rsid w:val="7E7234DF"/>
    <w:rsid w:val="7E74EFC2"/>
    <w:rsid w:val="7E7A6DDA"/>
    <w:rsid w:val="7E7A86E2"/>
    <w:rsid w:val="7E90485F"/>
    <w:rsid w:val="7E934C16"/>
    <w:rsid w:val="7E98E31A"/>
    <w:rsid w:val="7EADA462"/>
    <w:rsid w:val="7EC1893A"/>
    <w:rsid w:val="7EEB66A2"/>
    <w:rsid w:val="7EEF050E"/>
    <w:rsid w:val="7EFB7252"/>
    <w:rsid w:val="7EFBD886"/>
    <w:rsid w:val="7F147D94"/>
    <w:rsid w:val="7F2E6789"/>
    <w:rsid w:val="7F438F70"/>
    <w:rsid w:val="7F4D0FC7"/>
    <w:rsid w:val="7F5FCF61"/>
    <w:rsid w:val="7F6CAB00"/>
    <w:rsid w:val="7F746A4D"/>
    <w:rsid w:val="7F80B3C2"/>
    <w:rsid w:val="7F9F41EA"/>
    <w:rsid w:val="7FA4FC3E"/>
    <w:rsid w:val="7FC9E707"/>
    <w:rsid w:val="7FE58615"/>
    <w:rsid w:val="7FEDB8F7"/>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27E2C"/>
  <w15:chartTrackingRefBased/>
  <w15:docId w15:val="{5FEE583C-AD2C-4989-A6D2-8AEF50A2A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2FC"/>
    <w:pPr>
      <w:jc w:val="both"/>
    </w:pPr>
    <w:rPr>
      <w:rFonts w:ascii="Calibri" w:hAnsi="Calibri"/>
      <w:sz w:val="22"/>
    </w:rPr>
  </w:style>
  <w:style w:type="paragraph" w:styleId="Titre1">
    <w:name w:val="heading 1"/>
    <w:basedOn w:val="Normal"/>
    <w:next w:val="Normal"/>
    <w:link w:val="Titre1Car"/>
    <w:uiPriority w:val="9"/>
    <w:qFormat/>
    <w:rsid w:val="002357D8"/>
    <w:pPr>
      <w:keepNext/>
      <w:keepLines/>
      <w:spacing w:before="360" w:after="80"/>
      <w:outlineLvl w:val="0"/>
    </w:pPr>
    <w:rPr>
      <w:rFonts w:eastAsiaTheme="majorEastAsia" w:cstheme="majorBidi"/>
      <w:b/>
      <w:color w:val="9BA823"/>
      <w:sz w:val="40"/>
      <w:szCs w:val="40"/>
    </w:rPr>
  </w:style>
  <w:style w:type="paragraph" w:styleId="Titre2">
    <w:name w:val="heading 2"/>
    <w:basedOn w:val="Normal"/>
    <w:next w:val="Normal"/>
    <w:link w:val="Titre2Car"/>
    <w:uiPriority w:val="9"/>
    <w:unhideWhenUsed/>
    <w:qFormat/>
    <w:rsid w:val="002357D8"/>
    <w:pPr>
      <w:keepNext/>
      <w:keepLines/>
      <w:spacing w:before="160" w:after="80"/>
      <w:outlineLvl w:val="1"/>
    </w:pPr>
    <w:rPr>
      <w:rFonts w:eastAsiaTheme="majorEastAsia" w:cstheme="majorBidi"/>
      <w:color w:val="9BA823"/>
      <w:sz w:val="32"/>
      <w:szCs w:val="32"/>
    </w:rPr>
  </w:style>
  <w:style w:type="paragraph" w:styleId="Titre3">
    <w:name w:val="heading 3"/>
    <w:basedOn w:val="Normal"/>
    <w:next w:val="Normal"/>
    <w:link w:val="Titre3Car"/>
    <w:uiPriority w:val="9"/>
    <w:unhideWhenUsed/>
    <w:qFormat/>
    <w:rsid w:val="00376159"/>
    <w:pPr>
      <w:keepNext/>
      <w:keepLines/>
      <w:spacing w:before="160" w:after="80"/>
      <w:outlineLvl w:val="2"/>
    </w:pPr>
    <w:rPr>
      <w:rFonts w:eastAsiaTheme="majorEastAsia" w:cstheme="majorBidi"/>
      <w:b/>
      <w:color w:val="000000" w:themeColor="text1"/>
      <w:sz w:val="24"/>
      <w:szCs w:val="28"/>
    </w:rPr>
  </w:style>
  <w:style w:type="paragraph" w:styleId="Titre4">
    <w:name w:val="heading 4"/>
    <w:basedOn w:val="Normal"/>
    <w:next w:val="Normal"/>
    <w:link w:val="Titre4Car"/>
    <w:uiPriority w:val="9"/>
    <w:unhideWhenUsed/>
    <w:qFormat/>
    <w:rsid w:val="0041317D"/>
    <w:pPr>
      <w:keepNext/>
      <w:keepLines/>
      <w:numPr>
        <w:ilvl w:val="3"/>
        <w:numId w:val="1"/>
      </w:numPr>
      <w:spacing w:before="80" w:after="40"/>
      <w:outlineLvl w:val="3"/>
    </w:pPr>
    <w:rPr>
      <w:rFonts w:eastAsiaTheme="majorEastAsia" w:cstheme="majorBidi"/>
      <w:b/>
      <w:iCs/>
      <w:color w:val="000000" w:themeColor="text1"/>
    </w:rPr>
  </w:style>
  <w:style w:type="paragraph" w:styleId="Titre5">
    <w:name w:val="heading 5"/>
    <w:basedOn w:val="Normal"/>
    <w:next w:val="Normal"/>
    <w:link w:val="Titre5Car"/>
    <w:uiPriority w:val="9"/>
    <w:unhideWhenUsed/>
    <w:qFormat/>
    <w:rsid w:val="007D314D"/>
    <w:pPr>
      <w:keepNext/>
      <w:keepLines/>
      <w:numPr>
        <w:ilvl w:val="4"/>
        <w:numId w:val="1"/>
      </w:numPr>
      <w:spacing w:before="80" w:after="40"/>
      <w:ind w:left="360"/>
      <w:jc w:val="left"/>
      <w:outlineLvl w:val="4"/>
    </w:pPr>
    <w:rPr>
      <w:rFonts w:eastAsiaTheme="majorEastAsia" w:cstheme="majorBidi"/>
      <w:u w:val="single"/>
    </w:rPr>
  </w:style>
  <w:style w:type="paragraph" w:styleId="Titre6">
    <w:name w:val="heading 6"/>
    <w:basedOn w:val="Normal"/>
    <w:next w:val="Normal"/>
    <w:link w:val="Titre6Car"/>
    <w:uiPriority w:val="9"/>
    <w:unhideWhenUsed/>
    <w:qFormat/>
    <w:rsid w:val="005120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120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120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120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E0AA3"/>
    <w:rPr>
      <w:rFonts w:ascii="Calibri" w:eastAsiaTheme="majorEastAsia" w:hAnsi="Calibri" w:cstheme="majorBidi"/>
      <w:b/>
      <w:color w:val="9BA823"/>
      <w:sz w:val="40"/>
      <w:szCs w:val="40"/>
    </w:rPr>
  </w:style>
  <w:style w:type="character" w:customStyle="1" w:styleId="Titre2Car">
    <w:name w:val="Titre 2 Car"/>
    <w:basedOn w:val="Policepardfaut"/>
    <w:link w:val="Titre2"/>
    <w:uiPriority w:val="9"/>
    <w:rsid w:val="00831F97"/>
    <w:rPr>
      <w:rFonts w:ascii="Calibri" w:eastAsiaTheme="majorEastAsia" w:hAnsi="Calibri" w:cstheme="majorBidi"/>
      <w:color w:val="9BA823"/>
      <w:sz w:val="32"/>
      <w:szCs w:val="32"/>
    </w:rPr>
  </w:style>
  <w:style w:type="character" w:customStyle="1" w:styleId="Titre3Car">
    <w:name w:val="Titre 3 Car"/>
    <w:basedOn w:val="Policepardfaut"/>
    <w:link w:val="Titre3"/>
    <w:uiPriority w:val="9"/>
    <w:rsid w:val="00376159"/>
    <w:rPr>
      <w:rFonts w:ascii="Calibri" w:eastAsiaTheme="majorEastAsia" w:hAnsi="Calibri" w:cstheme="majorBidi"/>
      <w:b/>
      <w:color w:val="000000" w:themeColor="text1"/>
      <w:szCs w:val="28"/>
    </w:rPr>
  </w:style>
  <w:style w:type="character" w:customStyle="1" w:styleId="Titre4Car">
    <w:name w:val="Titre 4 Car"/>
    <w:basedOn w:val="Policepardfaut"/>
    <w:link w:val="Titre4"/>
    <w:uiPriority w:val="9"/>
    <w:rsid w:val="0041317D"/>
    <w:rPr>
      <w:rFonts w:ascii="Calibri" w:eastAsiaTheme="majorEastAsia" w:hAnsi="Calibri" w:cstheme="majorBidi"/>
      <w:b/>
      <w:iCs/>
      <w:color w:val="000000" w:themeColor="text1"/>
      <w:sz w:val="22"/>
    </w:rPr>
  </w:style>
  <w:style w:type="character" w:customStyle="1" w:styleId="Titre5Car">
    <w:name w:val="Titre 5 Car"/>
    <w:basedOn w:val="Policepardfaut"/>
    <w:link w:val="Titre5"/>
    <w:uiPriority w:val="9"/>
    <w:rsid w:val="007D314D"/>
    <w:rPr>
      <w:rFonts w:ascii="Calibri" w:eastAsiaTheme="majorEastAsia" w:hAnsi="Calibri" w:cstheme="majorBidi"/>
      <w:sz w:val="22"/>
      <w:u w:val="single"/>
    </w:rPr>
  </w:style>
  <w:style w:type="character" w:customStyle="1" w:styleId="Titre6Car">
    <w:name w:val="Titre 6 Car"/>
    <w:basedOn w:val="Policepardfaut"/>
    <w:link w:val="Titre6"/>
    <w:uiPriority w:val="9"/>
    <w:rsid w:val="005120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120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120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1203A"/>
    <w:rPr>
      <w:rFonts w:eastAsiaTheme="majorEastAsia" w:cstheme="majorBidi"/>
      <w:color w:val="272727" w:themeColor="text1" w:themeTint="D8"/>
    </w:rPr>
  </w:style>
  <w:style w:type="paragraph" w:styleId="Titre">
    <w:name w:val="Title"/>
    <w:basedOn w:val="Normal"/>
    <w:next w:val="Normal"/>
    <w:link w:val="TitreCar"/>
    <w:uiPriority w:val="10"/>
    <w:qFormat/>
    <w:rsid w:val="0051203A"/>
    <w:pPr>
      <w:spacing w:after="80" w:line="240" w:lineRule="auto"/>
      <w:contextualSpacing/>
    </w:pPr>
    <w:rPr>
      <w:rFonts w:asciiTheme="majorHAnsi" w:eastAsiaTheme="majorEastAsia" w:hAnsiTheme="majorHAnsi" w:cstheme="majorBidi"/>
      <w:color w:val="9BA823"/>
      <w:spacing w:val="-10"/>
      <w:kern w:val="28"/>
      <w:sz w:val="56"/>
      <w:szCs w:val="56"/>
    </w:rPr>
  </w:style>
  <w:style w:type="character" w:customStyle="1" w:styleId="TitreCar">
    <w:name w:val="Titre Car"/>
    <w:basedOn w:val="Policepardfaut"/>
    <w:link w:val="Titre"/>
    <w:uiPriority w:val="10"/>
    <w:rsid w:val="0051203A"/>
    <w:rPr>
      <w:rFonts w:asciiTheme="majorHAnsi" w:eastAsiaTheme="majorEastAsia" w:hAnsiTheme="majorHAnsi" w:cstheme="majorBidi"/>
      <w:color w:val="9BA823"/>
      <w:spacing w:val="-10"/>
      <w:kern w:val="28"/>
      <w:sz w:val="56"/>
      <w:szCs w:val="56"/>
    </w:rPr>
  </w:style>
  <w:style w:type="paragraph" w:styleId="Sous-titre">
    <w:name w:val="Subtitle"/>
    <w:basedOn w:val="Normal"/>
    <w:next w:val="Normal"/>
    <w:link w:val="Sous-titreCar"/>
    <w:uiPriority w:val="11"/>
    <w:qFormat/>
    <w:rsid w:val="005120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20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1203A"/>
    <w:pPr>
      <w:spacing w:before="160"/>
      <w:jc w:val="center"/>
    </w:pPr>
    <w:rPr>
      <w:i/>
      <w:iCs/>
      <w:color w:val="404040" w:themeColor="text1" w:themeTint="BF"/>
    </w:rPr>
  </w:style>
  <w:style w:type="character" w:customStyle="1" w:styleId="CitationCar">
    <w:name w:val="Citation Car"/>
    <w:basedOn w:val="Policepardfaut"/>
    <w:link w:val="Citation"/>
    <w:uiPriority w:val="29"/>
    <w:rsid w:val="0051203A"/>
    <w:rPr>
      <w:i/>
      <w:iCs/>
      <w:color w:val="404040" w:themeColor="text1" w:themeTint="BF"/>
    </w:rPr>
  </w:style>
  <w:style w:type="paragraph" w:styleId="Paragraphedeliste">
    <w:name w:val="List Paragraph"/>
    <w:basedOn w:val="Normal"/>
    <w:uiPriority w:val="34"/>
    <w:qFormat/>
    <w:rsid w:val="00D91BA2"/>
    <w:pPr>
      <w:ind w:left="720"/>
      <w:contextualSpacing/>
    </w:pPr>
  </w:style>
  <w:style w:type="character" w:styleId="Accentuationintense">
    <w:name w:val="Intense Emphasis"/>
    <w:basedOn w:val="Policepardfaut"/>
    <w:uiPriority w:val="21"/>
    <w:qFormat/>
    <w:rsid w:val="0051203A"/>
    <w:rPr>
      <w:i/>
      <w:iCs/>
      <w:color w:val="0F4761" w:themeColor="accent1" w:themeShade="BF"/>
    </w:rPr>
  </w:style>
  <w:style w:type="paragraph" w:styleId="Citationintense">
    <w:name w:val="Intense Quote"/>
    <w:basedOn w:val="Normal"/>
    <w:next w:val="Normal"/>
    <w:link w:val="CitationintenseCar"/>
    <w:uiPriority w:val="30"/>
    <w:qFormat/>
    <w:rsid w:val="00512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203A"/>
    <w:rPr>
      <w:i/>
      <w:iCs/>
      <w:color w:val="0F4761" w:themeColor="accent1" w:themeShade="BF"/>
    </w:rPr>
  </w:style>
  <w:style w:type="character" w:styleId="Rfrenceintense">
    <w:name w:val="Intense Reference"/>
    <w:basedOn w:val="Policepardfaut"/>
    <w:uiPriority w:val="32"/>
    <w:qFormat/>
    <w:rsid w:val="0051203A"/>
    <w:rPr>
      <w:b/>
      <w:bCs/>
      <w:smallCaps/>
      <w:color w:val="0F4761" w:themeColor="accent1" w:themeShade="BF"/>
      <w:spacing w:val="5"/>
    </w:rPr>
  </w:style>
  <w:style w:type="table" w:styleId="Grilledutableau">
    <w:name w:val="Table Grid"/>
    <w:basedOn w:val="TableauNormal"/>
    <w:uiPriority w:val="39"/>
    <w:rsid w:val="00512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1203A"/>
    <w:pPr>
      <w:tabs>
        <w:tab w:val="center" w:pos="4536"/>
        <w:tab w:val="right" w:pos="9072"/>
      </w:tabs>
      <w:spacing w:after="0" w:line="240" w:lineRule="auto"/>
    </w:pPr>
  </w:style>
  <w:style w:type="character" w:customStyle="1" w:styleId="En-tteCar">
    <w:name w:val="En-tête Car"/>
    <w:basedOn w:val="Policepardfaut"/>
    <w:link w:val="En-tte"/>
    <w:uiPriority w:val="99"/>
    <w:rsid w:val="0051203A"/>
  </w:style>
  <w:style w:type="paragraph" w:styleId="Pieddepage">
    <w:name w:val="footer"/>
    <w:basedOn w:val="Normal"/>
    <w:link w:val="PieddepageCar"/>
    <w:uiPriority w:val="99"/>
    <w:unhideWhenUsed/>
    <w:rsid w:val="005120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1203A"/>
  </w:style>
  <w:style w:type="paragraph" w:customStyle="1" w:styleId="Affiliation">
    <w:name w:val="Affiliation"/>
    <w:basedOn w:val="Normal"/>
    <w:link w:val="AffiliationChar"/>
    <w:qFormat/>
    <w:rsid w:val="002D6A5D"/>
    <w:pPr>
      <w:spacing w:before="120" w:after="0" w:line="240" w:lineRule="auto"/>
      <w:contextualSpacing/>
    </w:pPr>
    <w:rPr>
      <w:rFonts w:ascii="Times New Roman" w:eastAsia="Times New Roman" w:hAnsi="Times New Roman" w:cs="Times New Roman"/>
      <w:kern w:val="0"/>
      <w:sz w:val="20"/>
      <w:lang w:val="en-GB" w:eastAsia="de-DE"/>
      <w14:ligatures w14:val="none"/>
    </w:rPr>
  </w:style>
  <w:style w:type="character" w:customStyle="1" w:styleId="AffiliationChar">
    <w:name w:val="Affiliation Char"/>
    <w:basedOn w:val="Policepardfaut"/>
    <w:link w:val="Affiliation"/>
    <w:rsid w:val="002D6A5D"/>
    <w:rPr>
      <w:rFonts w:ascii="Times New Roman" w:eastAsia="Times New Roman" w:hAnsi="Times New Roman" w:cs="Times New Roman"/>
      <w:kern w:val="0"/>
      <w:sz w:val="20"/>
      <w:lang w:val="en-GB" w:eastAsia="de-DE"/>
      <w14:ligatures w14:val="none"/>
    </w:rPr>
  </w:style>
  <w:style w:type="paragraph" w:customStyle="1" w:styleId="Authors">
    <w:name w:val="Authors"/>
    <w:basedOn w:val="Normal"/>
    <w:link w:val="AuthorsChar"/>
    <w:qFormat/>
    <w:rsid w:val="002D6A5D"/>
    <w:pPr>
      <w:spacing w:before="180" w:after="0" w:line="240" w:lineRule="auto"/>
      <w:contextualSpacing/>
    </w:pPr>
    <w:rPr>
      <w:rFonts w:ascii="Times New Roman" w:eastAsia="Times New Roman" w:hAnsi="Times New Roman" w:cs="Times New Roman"/>
      <w:kern w:val="0"/>
      <w:lang w:val="en-GB" w:eastAsia="de-DE"/>
      <w14:ligatures w14:val="none"/>
    </w:rPr>
  </w:style>
  <w:style w:type="character" w:customStyle="1" w:styleId="AuthorsChar">
    <w:name w:val="Authors Char"/>
    <w:basedOn w:val="Policepardfaut"/>
    <w:link w:val="Authors"/>
    <w:rsid w:val="002D6A5D"/>
    <w:rPr>
      <w:rFonts w:ascii="Times New Roman" w:eastAsia="Times New Roman" w:hAnsi="Times New Roman" w:cs="Times New Roman"/>
      <w:kern w:val="0"/>
      <w:lang w:val="en-GB" w:eastAsia="de-DE"/>
      <w14:ligatures w14:val="none"/>
    </w:rPr>
  </w:style>
  <w:style w:type="character" w:styleId="Lienhypertexte">
    <w:name w:val="Hyperlink"/>
    <w:basedOn w:val="Policepardfaut"/>
    <w:uiPriority w:val="99"/>
    <w:unhideWhenUsed/>
    <w:rsid w:val="00EA039B"/>
    <w:rPr>
      <w:color w:val="467886" w:themeColor="hyperlink"/>
      <w:u w:val="single"/>
    </w:rPr>
  </w:style>
  <w:style w:type="character" w:styleId="Mentionnonrsolue">
    <w:name w:val="Unresolved Mention"/>
    <w:basedOn w:val="Policepardfaut"/>
    <w:uiPriority w:val="99"/>
    <w:semiHidden/>
    <w:unhideWhenUsed/>
    <w:rsid w:val="00EA039B"/>
    <w:rPr>
      <w:color w:val="605E5C"/>
      <w:shd w:val="clear" w:color="auto" w:fill="E1DFDD"/>
    </w:rPr>
  </w:style>
  <w:style w:type="paragraph" w:styleId="En-ttedetabledesmatires">
    <w:name w:val="TOC Heading"/>
    <w:basedOn w:val="Titre1"/>
    <w:next w:val="Normal"/>
    <w:uiPriority w:val="39"/>
    <w:unhideWhenUsed/>
    <w:qFormat/>
    <w:rsid w:val="006A6B8E"/>
    <w:pPr>
      <w:spacing w:before="240" w:after="0" w:line="259" w:lineRule="auto"/>
      <w:outlineLvl w:val="9"/>
    </w:pPr>
    <w:rPr>
      <w:b w:val="0"/>
      <w:color w:val="0F4761" w:themeColor="accent1" w:themeShade="BF"/>
      <w:kern w:val="0"/>
      <w:sz w:val="32"/>
      <w:szCs w:val="32"/>
      <w:lang w:eastAsia="fr-BE"/>
      <w14:ligatures w14:val="none"/>
    </w:rPr>
  </w:style>
  <w:style w:type="paragraph" w:styleId="TM1">
    <w:name w:val="toc 1"/>
    <w:basedOn w:val="Normal"/>
    <w:next w:val="Normal"/>
    <w:autoRedefine/>
    <w:uiPriority w:val="39"/>
    <w:unhideWhenUsed/>
    <w:rsid w:val="002948EB"/>
    <w:pPr>
      <w:spacing w:after="100"/>
    </w:pPr>
  </w:style>
  <w:style w:type="paragraph" w:styleId="TM3">
    <w:name w:val="toc 3"/>
    <w:basedOn w:val="Normal"/>
    <w:next w:val="Normal"/>
    <w:autoRedefine/>
    <w:uiPriority w:val="39"/>
    <w:unhideWhenUsed/>
    <w:rsid w:val="002948EB"/>
    <w:pPr>
      <w:spacing w:after="100"/>
      <w:ind w:left="480"/>
    </w:pPr>
  </w:style>
  <w:style w:type="paragraph" w:styleId="TM2">
    <w:name w:val="toc 2"/>
    <w:basedOn w:val="Normal"/>
    <w:next w:val="Normal"/>
    <w:autoRedefine/>
    <w:uiPriority w:val="39"/>
    <w:unhideWhenUsed/>
    <w:rsid w:val="003869F4"/>
    <w:pPr>
      <w:spacing w:after="100"/>
      <w:ind w:left="240"/>
    </w:pPr>
  </w:style>
  <w:style w:type="paragraph" w:styleId="Notedebasdepage">
    <w:name w:val="footnote text"/>
    <w:basedOn w:val="Normal"/>
    <w:link w:val="NotedebasdepageCar"/>
    <w:uiPriority w:val="99"/>
    <w:semiHidden/>
    <w:unhideWhenUsed/>
    <w:rsid w:val="000937C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937CF"/>
    <w:rPr>
      <w:rFonts w:ascii="Calibri" w:hAnsi="Calibri"/>
      <w:sz w:val="20"/>
      <w:szCs w:val="20"/>
    </w:rPr>
  </w:style>
  <w:style w:type="character" w:styleId="Appelnotedebasdep">
    <w:name w:val="footnote reference"/>
    <w:basedOn w:val="Policepardfaut"/>
    <w:uiPriority w:val="99"/>
    <w:semiHidden/>
    <w:unhideWhenUsed/>
    <w:rsid w:val="000937CF"/>
    <w:rPr>
      <w:vertAlign w:val="superscript"/>
    </w:rPr>
  </w:style>
  <w:style w:type="character" w:styleId="Lienhypertextesuivivisit">
    <w:name w:val="FollowedHyperlink"/>
    <w:basedOn w:val="Policepardfaut"/>
    <w:uiPriority w:val="99"/>
    <w:semiHidden/>
    <w:unhideWhenUsed/>
    <w:rsid w:val="00196FAF"/>
    <w:rPr>
      <w:color w:val="96607D" w:themeColor="followedHyperlink"/>
      <w:u w:val="single"/>
    </w:rPr>
  </w:style>
  <w:style w:type="paragraph" w:styleId="Lgende">
    <w:name w:val="caption"/>
    <w:basedOn w:val="Normal"/>
    <w:next w:val="Normal"/>
    <w:uiPriority w:val="35"/>
    <w:unhideWhenUsed/>
    <w:qFormat/>
    <w:rsid w:val="00B11112"/>
    <w:pPr>
      <w:spacing w:after="200" w:line="240" w:lineRule="auto"/>
    </w:pPr>
    <w:rPr>
      <w:i/>
      <w:iCs/>
      <w:color w:val="0E2841" w:themeColor="text2"/>
      <w:sz w:val="18"/>
      <w:szCs w:val="18"/>
    </w:rPr>
  </w:style>
  <w:style w:type="character" w:styleId="Marquedecommentaire">
    <w:name w:val="annotation reference"/>
    <w:basedOn w:val="Policepardfaut"/>
    <w:uiPriority w:val="99"/>
    <w:semiHidden/>
    <w:unhideWhenUsed/>
    <w:rsid w:val="008E6434"/>
    <w:rPr>
      <w:sz w:val="16"/>
      <w:szCs w:val="16"/>
    </w:rPr>
  </w:style>
  <w:style w:type="paragraph" w:styleId="Commentaire">
    <w:name w:val="annotation text"/>
    <w:basedOn w:val="Normal"/>
    <w:link w:val="CommentaireCar"/>
    <w:uiPriority w:val="99"/>
    <w:unhideWhenUsed/>
    <w:rsid w:val="008E6434"/>
    <w:pPr>
      <w:spacing w:line="240" w:lineRule="auto"/>
    </w:pPr>
    <w:rPr>
      <w:sz w:val="20"/>
      <w:szCs w:val="20"/>
    </w:rPr>
  </w:style>
  <w:style w:type="character" w:customStyle="1" w:styleId="CommentaireCar">
    <w:name w:val="Commentaire Car"/>
    <w:basedOn w:val="Policepardfaut"/>
    <w:link w:val="Commentaire"/>
    <w:uiPriority w:val="99"/>
    <w:rsid w:val="008E6434"/>
    <w:rPr>
      <w:rFonts w:ascii="Calibri" w:hAnsi="Calibri"/>
      <w:sz w:val="20"/>
      <w:szCs w:val="20"/>
    </w:rPr>
  </w:style>
  <w:style w:type="paragraph" w:styleId="Objetducommentaire">
    <w:name w:val="annotation subject"/>
    <w:basedOn w:val="Commentaire"/>
    <w:next w:val="Commentaire"/>
    <w:link w:val="ObjetducommentaireCar"/>
    <w:uiPriority w:val="99"/>
    <w:semiHidden/>
    <w:unhideWhenUsed/>
    <w:rsid w:val="008E6434"/>
    <w:rPr>
      <w:b/>
      <w:bCs/>
    </w:rPr>
  </w:style>
  <w:style w:type="character" w:customStyle="1" w:styleId="ObjetducommentaireCar">
    <w:name w:val="Objet du commentaire Car"/>
    <w:basedOn w:val="CommentaireCar"/>
    <w:link w:val="Objetducommentaire"/>
    <w:uiPriority w:val="99"/>
    <w:semiHidden/>
    <w:rsid w:val="008E6434"/>
    <w:rPr>
      <w:rFonts w:ascii="Calibri" w:hAnsi="Calibri"/>
      <w:b/>
      <w:bCs/>
      <w:sz w:val="20"/>
      <w:szCs w:val="20"/>
    </w:rPr>
  </w:style>
  <w:style w:type="paragraph" w:styleId="TM4">
    <w:name w:val="toc 4"/>
    <w:basedOn w:val="Normal"/>
    <w:next w:val="Normal"/>
    <w:autoRedefine/>
    <w:uiPriority w:val="39"/>
    <w:unhideWhenUsed/>
    <w:rsid w:val="00130055"/>
    <w:pPr>
      <w:spacing w:after="100"/>
      <w:ind w:left="660"/>
    </w:pPr>
  </w:style>
  <w:style w:type="paragraph" w:styleId="TM5">
    <w:name w:val="toc 5"/>
    <w:basedOn w:val="Normal"/>
    <w:next w:val="Normal"/>
    <w:autoRedefine/>
    <w:uiPriority w:val="39"/>
    <w:unhideWhenUsed/>
    <w:rsid w:val="00130055"/>
    <w:pPr>
      <w:spacing w:after="100"/>
      <w:ind w:left="880"/>
    </w:pPr>
  </w:style>
  <w:style w:type="paragraph" w:styleId="TM6">
    <w:name w:val="toc 6"/>
    <w:basedOn w:val="Normal"/>
    <w:next w:val="Normal"/>
    <w:autoRedefine/>
    <w:uiPriority w:val="39"/>
    <w:unhideWhenUsed/>
    <w:rsid w:val="008C1DA4"/>
    <w:pPr>
      <w:spacing w:after="100"/>
      <w:ind w:left="1200"/>
      <w:jc w:val="left"/>
    </w:pPr>
    <w:rPr>
      <w:rFonts w:asciiTheme="minorHAnsi" w:eastAsiaTheme="minorEastAsia" w:hAnsiTheme="minorHAnsi"/>
      <w:sz w:val="24"/>
      <w:lang w:eastAsia="fr-BE"/>
    </w:rPr>
  </w:style>
  <w:style w:type="paragraph" w:styleId="TM7">
    <w:name w:val="toc 7"/>
    <w:basedOn w:val="Normal"/>
    <w:next w:val="Normal"/>
    <w:autoRedefine/>
    <w:uiPriority w:val="39"/>
    <w:unhideWhenUsed/>
    <w:rsid w:val="008C1DA4"/>
    <w:pPr>
      <w:spacing w:after="100"/>
      <w:ind w:left="1440"/>
      <w:jc w:val="left"/>
    </w:pPr>
    <w:rPr>
      <w:rFonts w:asciiTheme="minorHAnsi" w:eastAsiaTheme="minorEastAsia" w:hAnsiTheme="minorHAnsi"/>
      <w:sz w:val="24"/>
      <w:lang w:eastAsia="fr-BE"/>
    </w:rPr>
  </w:style>
  <w:style w:type="paragraph" w:styleId="TM8">
    <w:name w:val="toc 8"/>
    <w:basedOn w:val="Normal"/>
    <w:next w:val="Normal"/>
    <w:autoRedefine/>
    <w:uiPriority w:val="39"/>
    <w:unhideWhenUsed/>
    <w:rsid w:val="008C1DA4"/>
    <w:pPr>
      <w:spacing w:after="100"/>
      <w:ind w:left="1680"/>
      <w:jc w:val="left"/>
    </w:pPr>
    <w:rPr>
      <w:rFonts w:asciiTheme="minorHAnsi" w:eastAsiaTheme="minorEastAsia" w:hAnsiTheme="minorHAnsi"/>
      <w:sz w:val="24"/>
      <w:lang w:eastAsia="fr-BE"/>
    </w:rPr>
  </w:style>
  <w:style w:type="paragraph" w:styleId="TM9">
    <w:name w:val="toc 9"/>
    <w:basedOn w:val="Normal"/>
    <w:next w:val="Normal"/>
    <w:autoRedefine/>
    <w:uiPriority w:val="39"/>
    <w:unhideWhenUsed/>
    <w:rsid w:val="008C1DA4"/>
    <w:pPr>
      <w:spacing w:after="100"/>
      <w:ind w:left="1920"/>
      <w:jc w:val="left"/>
    </w:pPr>
    <w:rPr>
      <w:rFonts w:asciiTheme="minorHAnsi" w:eastAsiaTheme="minorEastAsia" w:hAnsiTheme="minorHAnsi"/>
      <w:sz w:val="24"/>
      <w:lang w:eastAsia="fr-BE"/>
    </w:rPr>
  </w:style>
  <w:style w:type="paragraph" w:styleId="Bibliographie">
    <w:name w:val="Bibliography"/>
    <w:basedOn w:val="Normal"/>
    <w:next w:val="Normal"/>
    <w:uiPriority w:val="37"/>
    <w:unhideWhenUsed/>
    <w:rsid w:val="00831C0D"/>
    <w:pPr>
      <w:spacing w:after="0" w:line="480" w:lineRule="auto"/>
      <w:ind w:left="720" w:hanging="720"/>
    </w:pPr>
  </w:style>
  <w:style w:type="paragraph" w:customStyle="1" w:styleId="Default">
    <w:name w:val="Default"/>
    <w:rsid w:val="00BA6FB6"/>
    <w:pPr>
      <w:autoSpaceDE w:val="0"/>
      <w:autoSpaceDN w:val="0"/>
      <w:adjustRightInd w:val="0"/>
      <w:spacing w:after="0" w:line="240" w:lineRule="auto"/>
    </w:pPr>
    <w:rPr>
      <w:rFonts w:ascii="Calibri" w:hAnsi="Calibri" w:cs="Calibri"/>
      <w:color w:val="000000"/>
      <w:kern w:val="0"/>
    </w:rPr>
  </w:style>
  <w:style w:type="character" w:styleId="Appeldenotedefin">
    <w:name w:val="endnote reference"/>
    <w:basedOn w:val="Policepardfaut"/>
    <w:uiPriority w:val="99"/>
    <w:semiHidden/>
    <w:unhideWhenUsed/>
    <w:rsid w:val="002D7839"/>
    <w:rPr>
      <w:vertAlign w:val="superscript"/>
    </w:rPr>
  </w:style>
  <w:style w:type="numbering" w:customStyle="1" w:styleId="Listeactuelle1">
    <w:name w:val="Liste actuelle1"/>
    <w:uiPriority w:val="99"/>
    <w:rsid w:val="00BA20CA"/>
    <w:pPr>
      <w:numPr>
        <w:numId w:val="2"/>
      </w:numPr>
    </w:pPr>
  </w:style>
  <w:style w:type="paragraph" w:styleId="NormalWeb">
    <w:name w:val="Normal (Web)"/>
    <w:basedOn w:val="Normal"/>
    <w:uiPriority w:val="99"/>
    <w:semiHidden/>
    <w:unhideWhenUsed/>
    <w:rsid w:val="00C82D0E"/>
    <w:pPr>
      <w:spacing w:before="100" w:beforeAutospacing="1" w:after="100" w:afterAutospacing="1" w:line="240" w:lineRule="auto"/>
      <w:jc w:val="left"/>
    </w:pPr>
    <w:rPr>
      <w:rFonts w:ascii="Times New Roman" w:eastAsia="Times New Roman" w:hAnsi="Times New Roman" w:cs="Times New Roman"/>
      <w:kern w:val="0"/>
      <w:sz w:val="24"/>
      <w:lang w:eastAsia="fr-BE"/>
      <w14:ligatures w14:val="none"/>
    </w:rPr>
  </w:style>
  <w:style w:type="character" w:styleId="Textedelespacerserv">
    <w:name w:val="Placeholder Text"/>
    <w:basedOn w:val="Policepardfaut"/>
    <w:uiPriority w:val="99"/>
    <w:semiHidden/>
    <w:rsid w:val="007522C5"/>
    <w:rPr>
      <w:color w:val="666666"/>
    </w:rPr>
  </w:style>
  <w:style w:type="paragraph" w:styleId="Rvision">
    <w:name w:val="Revision"/>
    <w:hidden/>
    <w:uiPriority w:val="99"/>
    <w:semiHidden/>
    <w:rsid w:val="00E01F5C"/>
    <w:pPr>
      <w:spacing w:after="0" w:line="240" w:lineRule="auto"/>
    </w:pPr>
    <w:rPr>
      <w:rFonts w:ascii="Calibri" w:hAnsi="Calibri"/>
      <w:sz w:val="22"/>
    </w:rPr>
  </w:style>
  <w:style w:type="paragraph" w:styleId="Listepuces">
    <w:name w:val="List Bullet"/>
    <w:basedOn w:val="Normal"/>
    <w:uiPriority w:val="99"/>
    <w:unhideWhenUsed/>
    <w:rsid w:val="0077259A"/>
    <w:pPr>
      <w:numPr>
        <w:numId w:val="8"/>
      </w:numPr>
      <w:contextualSpacing/>
    </w:pPr>
  </w:style>
  <w:style w:type="paragraph" w:styleId="Tabledesillustrations">
    <w:name w:val="table of figures"/>
    <w:basedOn w:val="Normal"/>
    <w:next w:val="Normal"/>
    <w:uiPriority w:val="99"/>
    <w:unhideWhenUsed/>
    <w:rsid w:val="000B7D1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6830">
      <w:bodyDiv w:val="1"/>
      <w:marLeft w:val="0"/>
      <w:marRight w:val="0"/>
      <w:marTop w:val="0"/>
      <w:marBottom w:val="0"/>
      <w:divBdr>
        <w:top w:val="none" w:sz="0" w:space="0" w:color="auto"/>
        <w:left w:val="none" w:sz="0" w:space="0" w:color="auto"/>
        <w:bottom w:val="none" w:sz="0" w:space="0" w:color="auto"/>
        <w:right w:val="none" w:sz="0" w:space="0" w:color="auto"/>
      </w:divBdr>
    </w:div>
    <w:div w:id="93706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6.png"/><Relationship Id="rId21" Type="http://schemas.openxmlformats.org/officeDocument/2006/relationships/image" Target="media/image10.png"/><Relationship Id="rId34" Type="http://schemas.openxmlformats.org/officeDocument/2006/relationships/image" Target="media/image21.png"/><Relationship Id="rId42" Type="http://schemas.openxmlformats.org/officeDocument/2006/relationships/image" Target="media/image2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progres-sol.ch/outils/vess.html" TargetMode="External"/><Relationship Id="rId29" Type="http://schemas.openxmlformats.org/officeDocument/2006/relationships/image" Target="media/image18.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header" Target="header1.xml"/><Relationship Id="rId37" Type="http://schemas.openxmlformats.org/officeDocument/2006/relationships/image" Target="media/image24.png"/><Relationship Id="rId40" Type="http://schemas.openxmlformats.org/officeDocument/2006/relationships/image" Target="media/image27.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3.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2.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footer" Target="footer1.xml"/><Relationship Id="rId38" Type="http://schemas.openxmlformats.org/officeDocument/2006/relationships/image" Target="media/image25.png"/></Relationships>
</file>

<file path=word/_rels/footnotes.xml.rels><?xml version="1.0" encoding="UTF-8" standalone="yes"?>
<Relationships xmlns="http://schemas.openxmlformats.org/package/2006/relationships"><Relationship Id="rId3" Type="http://schemas.openxmlformats.org/officeDocument/2006/relationships/hyperlink" Target="https://geoportail.wallonie.be/catalogue/c4d60ce7-b412-497b-86ff-bfa21283dc80.html" TargetMode="External"/><Relationship Id="rId2" Type="http://schemas.openxmlformats.org/officeDocument/2006/relationships/hyperlink" Target="https://environnement.wallonie.be/home/milieux/sol/les-professionnels-du-sol/experts-et-labos/outils-de-reference/cwbp/etude-de-risque.html" TargetMode="External"/><Relationship Id="rId1" Type="http://schemas.openxmlformats.org/officeDocument/2006/relationships/hyperlink" Target="https://esdac.jrc.ec.europa.eu/themes/soil-hydraulic-properti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B4291AEEA43648ABED206827048E2D" ma:contentTypeVersion="17" ma:contentTypeDescription="Crée un document." ma:contentTypeScope="" ma:versionID="b35b0d6d322175f6b8511992af298a90">
  <xsd:schema xmlns:xsd="http://www.w3.org/2001/XMLSchema" xmlns:xs="http://www.w3.org/2001/XMLSchema" xmlns:p="http://schemas.microsoft.com/office/2006/metadata/properties" xmlns:ns2="02ac61c8-0274-4f4f-b0bd-984d4b0d52a7" xmlns:ns3="07b15121-e655-4d8f-966a-8241a5a765ce" targetNamespace="http://schemas.microsoft.com/office/2006/metadata/properties" ma:root="true" ma:fieldsID="ee45684ae9c145741b3dbf1b1c671700" ns2:_="" ns3:_="">
    <xsd:import namespace="02ac61c8-0274-4f4f-b0bd-984d4b0d52a7"/>
    <xsd:import namespace="07b15121-e655-4d8f-966a-8241a5a765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Note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c61c8-0274-4f4f-b0bd-984d4b0d5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Notes" ma:index="11" nillable="true" ma:displayName="Notes" ma:format="Dropdown" ma:internalName="Notes">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df3ab53d-5831-4dd1-a839-c175f8b1e2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b15121-e655-4d8f-966a-8241a5a765ce"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1c1aa6d0-7670-4f74-9e72-25261da018ca}" ma:internalName="TaxCatchAll" ma:showField="CatchAllData" ma:web="07b15121-e655-4d8f-966a-8241a5a765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7b15121-e655-4d8f-966a-8241a5a765ce" xsi:nil="true"/>
    <lcf76f155ced4ddcb4097134ff3c332f xmlns="02ac61c8-0274-4f4f-b0bd-984d4b0d52a7">
      <Terms xmlns="http://schemas.microsoft.com/office/infopath/2007/PartnerControls"/>
    </lcf76f155ced4ddcb4097134ff3c332f>
    <Notes xmlns="02ac61c8-0274-4f4f-b0bd-984d4b0d52a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4078BA-1F00-4524-935F-55D16BF59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c61c8-0274-4f4f-b0bd-984d4b0d52a7"/>
    <ds:schemaRef ds:uri="07b15121-e655-4d8f-966a-8241a5a76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084C0E-D2AB-4170-9424-C0E37F1C60E1}">
  <ds:schemaRefs>
    <ds:schemaRef ds:uri="http://schemas.microsoft.com/office/2006/metadata/properties"/>
    <ds:schemaRef ds:uri="http://schemas.microsoft.com/office/infopath/2007/PartnerControls"/>
    <ds:schemaRef ds:uri="07b15121-e655-4d8f-966a-8241a5a765ce"/>
    <ds:schemaRef ds:uri="02ac61c8-0274-4f4f-b0bd-984d4b0d52a7"/>
  </ds:schemaRefs>
</ds:datastoreItem>
</file>

<file path=customXml/itemProps3.xml><?xml version="1.0" encoding="utf-8"?>
<ds:datastoreItem xmlns:ds="http://schemas.openxmlformats.org/officeDocument/2006/customXml" ds:itemID="{D79D31E4-556F-4D16-BFD9-5AD253E17D0D}">
  <ds:schemaRefs>
    <ds:schemaRef ds:uri="http://schemas.openxmlformats.org/officeDocument/2006/bibliography"/>
  </ds:schemaRefs>
</ds:datastoreItem>
</file>

<file path=customXml/itemProps4.xml><?xml version="1.0" encoding="utf-8"?>
<ds:datastoreItem xmlns:ds="http://schemas.openxmlformats.org/officeDocument/2006/customXml" ds:itemID="{B405BC99-44C2-4334-9A3C-B1CF05B3EA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62</Pages>
  <Words>46680</Words>
  <Characters>256743</Characters>
  <Application>Microsoft Office Word</Application>
  <DocSecurity>0</DocSecurity>
  <Lines>2139</Lines>
  <Paragraphs>605</Paragraphs>
  <ScaleCrop>false</ScaleCrop>
  <Company/>
  <LinksUpToDate>false</LinksUpToDate>
  <CharactersWithSpaces>302818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Clélia VAN DE CASTEELE</dc:creator>
  <cp:keywords/>
  <dc:description/>
  <cp:lastModifiedBy>Clélia VAN DE CASTEELE</cp:lastModifiedBy>
  <cp:revision>84</cp:revision>
  <cp:lastPrinted>2026-06-09T22:14:00Z</cp:lastPrinted>
  <dcterms:created xsi:type="dcterms:W3CDTF">2026-09-25T07:52:00Z</dcterms:created>
  <dcterms:modified xsi:type="dcterms:W3CDTF">2026-09-28T14:29:00Z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0x010100DAB4291AEEA43648ABED206827048E2D</vt:lpwstr>
  </property>
  <property fmtid="{D5CDD505-2E9C-101B-9397-08002B2CF9AE}" pid="3" name="ZOTERO_PREF_1">
    <vt:lpwstr>&lt;data data-version="3" zotero-version="9.0.6"&gt;&lt;session id="Tituh2Co"/&gt;&lt;style id="http://www.zotero.org/styles/apa" locale="fr-FR"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y fmtid="{D5CDD505-2E9C-101B-9397-08002B2CF9AE}" pid="5" name="MediaServiceImageTags">
    <vt:lpwstr/>
  </property>
</Properties>
</file>