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553" w:rsidRDefault="008D2553" w:rsidP="008D255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aps/>
        </w:rPr>
      </w:pPr>
      <w:r w:rsidRPr="00426FEC">
        <w:rPr>
          <w:caps/>
        </w:rPr>
        <w:t>version 04 du CWBP</w:t>
      </w:r>
      <w:r>
        <w:rPr>
          <w:caps/>
        </w:rPr>
        <w:t xml:space="preserve"> </w:t>
      </w:r>
    </w:p>
    <w:p w:rsidR="00426FEC" w:rsidRDefault="00426FEC" w:rsidP="008D2553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jc w:val="center"/>
        <w:rPr>
          <w:caps/>
        </w:rPr>
      </w:pPr>
      <w:r w:rsidRPr="00426FEC">
        <w:rPr>
          <w:caps/>
        </w:rPr>
        <w:t xml:space="preserve">Synthèse des principales modifications </w:t>
      </w:r>
    </w:p>
    <w:p w:rsidR="00426FEC" w:rsidRPr="00426FEC" w:rsidRDefault="00426FEC" w:rsidP="00426FEC"/>
    <w:p w:rsidR="00426FEC" w:rsidRDefault="00426FEC" w:rsidP="008D2553">
      <w:pPr>
        <w:pStyle w:val="Default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Les modifications apportées au CWBP 04 visent prioritairement à rendre les guides en adéquation avec les dispositions du nouveau décret </w:t>
      </w:r>
      <w:r w:rsidR="008D2553">
        <w:rPr>
          <w:sz w:val="19"/>
          <w:szCs w:val="19"/>
        </w:rPr>
        <w:t>sols</w:t>
      </w:r>
      <w:r w:rsidRPr="008D2553">
        <w:rPr>
          <w:b/>
          <w:sz w:val="19"/>
          <w:szCs w:val="19"/>
        </w:rPr>
        <w:t>– décret du 1</w:t>
      </w:r>
      <w:r w:rsidRPr="008D2553">
        <w:rPr>
          <w:b/>
          <w:sz w:val="19"/>
          <w:szCs w:val="19"/>
          <w:vertAlign w:val="superscript"/>
        </w:rPr>
        <w:t>er</w:t>
      </w:r>
      <w:r w:rsidRPr="008D2553">
        <w:rPr>
          <w:b/>
          <w:sz w:val="19"/>
          <w:szCs w:val="19"/>
        </w:rPr>
        <w:t xml:space="preserve"> mars 2018 relatif à la gestion et à l’assainissement des sols</w:t>
      </w:r>
      <w:r w:rsidR="007F78E1">
        <w:rPr>
          <w:sz w:val="19"/>
          <w:szCs w:val="19"/>
        </w:rPr>
        <w:t>- qui entre</w:t>
      </w:r>
      <w:r>
        <w:rPr>
          <w:sz w:val="19"/>
          <w:szCs w:val="19"/>
        </w:rPr>
        <w:t xml:space="preserve"> en vigueur </w:t>
      </w:r>
      <w:r w:rsidR="008D2553">
        <w:rPr>
          <w:sz w:val="19"/>
          <w:szCs w:val="19"/>
        </w:rPr>
        <w:t>le</w:t>
      </w:r>
      <w:r>
        <w:rPr>
          <w:sz w:val="19"/>
          <w:szCs w:val="19"/>
        </w:rPr>
        <w:t xml:space="preserve"> </w:t>
      </w:r>
      <w:r w:rsidRPr="008D2553">
        <w:rPr>
          <w:sz w:val="19"/>
          <w:szCs w:val="19"/>
          <w:u w:val="single" w:color="FF0000"/>
        </w:rPr>
        <w:t>1</w:t>
      </w:r>
      <w:r w:rsidRPr="008D2553">
        <w:rPr>
          <w:sz w:val="19"/>
          <w:szCs w:val="19"/>
          <w:u w:val="single" w:color="FF0000"/>
          <w:vertAlign w:val="superscript"/>
        </w:rPr>
        <w:t>er</w:t>
      </w:r>
      <w:r w:rsidRPr="008D2553">
        <w:rPr>
          <w:sz w:val="19"/>
          <w:szCs w:val="19"/>
          <w:u w:val="single" w:color="FF0000"/>
        </w:rPr>
        <w:t xml:space="preserve"> janvier 2019</w:t>
      </w:r>
      <w:r>
        <w:rPr>
          <w:sz w:val="19"/>
          <w:szCs w:val="19"/>
        </w:rPr>
        <w:t>.</w:t>
      </w:r>
    </w:p>
    <w:p w:rsidR="00426FEC" w:rsidRDefault="00426FEC" w:rsidP="008D2553">
      <w:pPr>
        <w:pStyle w:val="Default"/>
      </w:pPr>
    </w:p>
    <w:p w:rsidR="00426FEC" w:rsidRDefault="008D2553" w:rsidP="00CF25B3">
      <w:pPr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Des améliorations, issues des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 retour</w:t>
      </w:r>
      <w:r>
        <w:rPr>
          <w:rFonts w:ascii="Verdana" w:hAnsi="Verdana" w:cs="Verdana"/>
          <w:color w:val="000000"/>
          <w:sz w:val="19"/>
          <w:szCs w:val="19"/>
        </w:rPr>
        <w:t>s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 d’</w:t>
      </w:r>
      <w:r>
        <w:rPr>
          <w:rFonts w:ascii="Verdana" w:hAnsi="Verdana" w:cs="Verdana"/>
          <w:color w:val="000000"/>
          <w:sz w:val="19"/>
          <w:szCs w:val="19"/>
        </w:rPr>
        <w:t>expé</w:t>
      </w:r>
      <w:r w:rsidRPr="008D2553">
        <w:rPr>
          <w:rFonts w:ascii="Verdana" w:hAnsi="Verdana" w:cs="Verdana"/>
          <w:color w:val="000000"/>
          <w:sz w:val="19"/>
          <w:szCs w:val="19"/>
        </w:rPr>
        <w:t>riences</w:t>
      </w:r>
      <w:r>
        <w:rPr>
          <w:rFonts w:ascii="Verdana" w:hAnsi="Verdana" w:cs="Verdana"/>
          <w:color w:val="000000"/>
          <w:sz w:val="19"/>
          <w:szCs w:val="19"/>
        </w:rPr>
        <w:t>,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 ont également été implémentées</w:t>
      </w:r>
      <w:r>
        <w:rPr>
          <w:rFonts w:ascii="Verdana" w:hAnsi="Verdana" w:cs="Verdana"/>
          <w:color w:val="000000"/>
          <w:sz w:val="19"/>
          <w:szCs w:val="19"/>
        </w:rPr>
        <w:t>.</w:t>
      </w:r>
    </w:p>
    <w:p w:rsidR="008D2553" w:rsidRPr="008D2553" w:rsidRDefault="008D2553" w:rsidP="00CF25B3">
      <w:pPr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Les </w:t>
      </w:r>
      <w:r w:rsidRPr="00B245CF">
        <w:rPr>
          <w:rFonts w:ascii="Verdana" w:hAnsi="Verdana" w:cs="Verdana"/>
          <w:b/>
          <w:color w:val="000000"/>
          <w:sz w:val="19"/>
          <w:szCs w:val="19"/>
        </w:rPr>
        <w:t>modifications</w:t>
      </w:r>
      <w:r>
        <w:rPr>
          <w:rFonts w:ascii="Verdana" w:hAnsi="Verdana" w:cs="Verdana"/>
          <w:color w:val="000000"/>
          <w:sz w:val="19"/>
          <w:szCs w:val="19"/>
        </w:rPr>
        <w:t xml:space="preserve"> suivantes sont </w:t>
      </w:r>
      <w:r w:rsidRPr="00B245CF">
        <w:rPr>
          <w:rFonts w:ascii="Verdana" w:hAnsi="Verdana" w:cs="Verdana"/>
          <w:b/>
          <w:color w:val="000000"/>
          <w:sz w:val="19"/>
          <w:szCs w:val="19"/>
        </w:rPr>
        <w:t>générales</w:t>
      </w:r>
      <w:r>
        <w:rPr>
          <w:rFonts w:ascii="Verdana" w:hAnsi="Verdana" w:cs="Verdana"/>
          <w:color w:val="000000"/>
          <w:sz w:val="19"/>
          <w:szCs w:val="19"/>
        </w:rPr>
        <w:t xml:space="preserve"> et ont été intégrées à l’ensemble des guides</w:t>
      </w:r>
      <w:r w:rsidR="00B245CF">
        <w:rPr>
          <w:rFonts w:ascii="Verdana" w:hAnsi="Verdana" w:cs="Verdana"/>
          <w:color w:val="000000"/>
          <w:sz w:val="19"/>
          <w:szCs w:val="19"/>
        </w:rPr>
        <w:t> :</w:t>
      </w:r>
    </w:p>
    <w:p w:rsidR="008D2553" w:rsidRDefault="008D2553" w:rsidP="00A35B70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Les liens </w:t>
      </w:r>
      <w:r w:rsidRPr="008D2553">
        <w:rPr>
          <w:rFonts w:ascii="Verdana" w:hAnsi="Verdana" w:cs="Verdana"/>
          <w:color w:val="000000"/>
          <w:sz w:val="19"/>
          <w:szCs w:val="19"/>
        </w:rPr>
        <w:t>hypertextes renvoyant vers les différents sites web</w:t>
      </w:r>
      <w:r>
        <w:rPr>
          <w:rFonts w:ascii="Verdana" w:hAnsi="Verdana" w:cs="Verdana"/>
          <w:color w:val="000000"/>
          <w:sz w:val="19"/>
          <w:szCs w:val="19"/>
        </w:rPr>
        <w:t xml:space="preserve"> ont été rassemblés au sein du glossaire ;</w:t>
      </w:r>
    </w:p>
    <w:p w:rsidR="008D2553" w:rsidRDefault="008D2553" w:rsidP="00A35B70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  <w:sz w:val="19"/>
          <w:szCs w:val="19"/>
        </w:rPr>
      </w:pPr>
      <w:r w:rsidRPr="008D2553">
        <w:rPr>
          <w:rFonts w:ascii="Verdana" w:hAnsi="Verdana" w:cs="Verdana"/>
          <w:color w:val="000000"/>
          <w:sz w:val="19"/>
          <w:szCs w:val="19"/>
        </w:rPr>
        <w:t>Le modèle de mandat a été retiré des guides</w:t>
      </w:r>
      <w:r w:rsidR="00730FAF">
        <w:rPr>
          <w:rFonts w:ascii="Verdana" w:hAnsi="Verdana" w:cs="Verdana"/>
          <w:color w:val="000000"/>
          <w:sz w:val="19"/>
          <w:szCs w:val="19"/>
        </w:rPr>
        <w:t xml:space="preserve">, simplifié 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et mis directement à disposition sur le site </w:t>
      </w:r>
      <w:hyperlink r:id="rId5" w:history="1">
        <w:r w:rsidRPr="00254F23">
          <w:rPr>
            <w:rStyle w:val="Lienhypertexte"/>
            <w:rFonts w:ascii="Verdana" w:hAnsi="Verdana" w:cs="Verdana"/>
            <w:sz w:val="19"/>
            <w:szCs w:val="19"/>
          </w:rPr>
          <w:t>http://dps.environnement.wallonie.be</w:t>
        </w:r>
      </w:hyperlink>
      <w:r>
        <w:rPr>
          <w:rFonts w:ascii="Verdana" w:hAnsi="Verdana" w:cs="Verdana"/>
          <w:color w:val="000000"/>
          <w:sz w:val="19"/>
          <w:szCs w:val="19"/>
        </w:rPr>
        <w:t>;</w:t>
      </w:r>
    </w:p>
    <w:p w:rsidR="00CF25B3" w:rsidRDefault="008D2553" w:rsidP="00A35B70">
      <w:pPr>
        <w:pStyle w:val="Paragraphedeliste"/>
        <w:numPr>
          <w:ilvl w:val="0"/>
          <w:numId w:val="1"/>
        </w:numPr>
        <w:spacing w:after="0"/>
        <w:ind w:left="714" w:hanging="357"/>
        <w:jc w:val="both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 xml:space="preserve">Les 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 </w:t>
      </w:r>
      <w:r w:rsidR="00B245CF">
        <w:rPr>
          <w:rFonts w:ascii="Verdana" w:hAnsi="Verdana" w:cs="Verdana"/>
          <w:color w:val="000000"/>
          <w:sz w:val="19"/>
          <w:szCs w:val="19"/>
        </w:rPr>
        <w:t>v</w:t>
      </w:r>
      <w:r>
        <w:rPr>
          <w:rFonts w:ascii="Verdana" w:hAnsi="Verdana" w:cs="Verdana"/>
          <w:color w:val="000000"/>
          <w:sz w:val="19"/>
          <w:szCs w:val="19"/>
        </w:rPr>
        <w:t>aleurs de référence (V</w:t>
      </w:r>
      <w:r w:rsidRPr="008D2553">
        <w:rPr>
          <w:rFonts w:ascii="Verdana" w:hAnsi="Verdana" w:cs="Verdana"/>
          <w:color w:val="000000"/>
          <w:sz w:val="19"/>
          <w:szCs w:val="19"/>
        </w:rPr>
        <w:t>R</w:t>
      </w:r>
      <w:r>
        <w:rPr>
          <w:rFonts w:ascii="Verdana" w:hAnsi="Verdana" w:cs="Verdana"/>
          <w:color w:val="000000"/>
          <w:sz w:val="19"/>
          <w:szCs w:val="19"/>
        </w:rPr>
        <w:t>)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 et </w:t>
      </w:r>
      <w:r>
        <w:rPr>
          <w:rFonts w:ascii="Verdana" w:hAnsi="Verdana" w:cs="Verdana"/>
          <w:color w:val="000000"/>
          <w:sz w:val="19"/>
          <w:szCs w:val="19"/>
        </w:rPr>
        <w:t>l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es </w:t>
      </w:r>
      <w:r>
        <w:rPr>
          <w:rFonts w:ascii="Verdana" w:hAnsi="Verdana" w:cs="Verdana"/>
          <w:color w:val="000000"/>
          <w:sz w:val="19"/>
          <w:szCs w:val="19"/>
        </w:rPr>
        <w:t>valeurs d’intervention (</w:t>
      </w:r>
      <w:r w:rsidRPr="008D2553">
        <w:rPr>
          <w:rFonts w:ascii="Verdana" w:hAnsi="Verdana" w:cs="Verdana"/>
          <w:color w:val="000000"/>
          <w:sz w:val="19"/>
          <w:szCs w:val="19"/>
        </w:rPr>
        <w:t>VI</w:t>
      </w:r>
      <w:r>
        <w:rPr>
          <w:rFonts w:ascii="Verdana" w:hAnsi="Verdana" w:cs="Verdana"/>
          <w:color w:val="000000"/>
          <w:sz w:val="19"/>
          <w:szCs w:val="19"/>
        </w:rPr>
        <w:t>) ont été supprimées ;</w:t>
      </w:r>
      <w:r w:rsidRPr="008D2553">
        <w:rPr>
          <w:rFonts w:ascii="Verdana" w:hAnsi="Verdana" w:cs="Verdana"/>
          <w:color w:val="000000"/>
          <w:sz w:val="19"/>
          <w:szCs w:val="19"/>
        </w:rPr>
        <w:t> </w:t>
      </w:r>
    </w:p>
    <w:p w:rsidR="008D2553" w:rsidRPr="008D2553" w:rsidRDefault="008D2553" w:rsidP="00A35B70">
      <w:pPr>
        <w:pStyle w:val="Corpsdetexte"/>
        <w:numPr>
          <w:ilvl w:val="0"/>
          <w:numId w:val="1"/>
        </w:numPr>
        <w:spacing w:before="0"/>
        <w:rPr>
          <w:rFonts w:ascii="Verdana" w:eastAsiaTheme="minorHAnsi" w:hAnsi="Verdana" w:cs="Verdana"/>
          <w:color w:val="000000"/>
          <w:spacing w:val="0"/>
          <w:sz w:val="19"/>
          <w:szCs w:val="19"/>
          <w:lang w:eastAsia="en-US"/>
        </w:rPr>
      </w:pPr>
      <w:r w:rsidRPr="008D2553">
        <w:rPr>
          <w:rFonts w:ascii="Verdana" w:eastAsiaTheme="minorHAnsi" w:hAnsi="Verdana" w:cs="Verdana"/>
          <w:color w:val="000000"/>
          <w:spacing w:val="0"/>
          <w:sz w:val="19"/>
          <w:szCs w:val="19"/>
          <w:lang w:eastAsia="en-US"/>
        </w:rPr>
        <w:t>Les notions de « mesures de sécurité » et de « mesures de suivi » ont été adaptées en fonction des nouvelles définitions du décret. Les mesures de suivi sont à envisager</w:t>
      </w:r>
      <w:r w:rsidR="00E72933">
        <w:rPr>
          <w:rFonts w:ascii="Verdana" w:eastAsiaTheme="minorHAnsi" w:hAnsi="Verdana" w:cs="Verdana"/>
          <w:color w:val="000000"/>
          <w:spacing w:val="0"/>
          <w:sz w:val="19"/>
          <w:szCs w:val="19"/>
          <w:lang w:eastAsia="en-US"/>
        </w:rPr>
        <w:t xml:space="preserve"> uniquement durant la procédure</w:t>
      </w:r>
      <w:r w:rsidRPr="008D2553">
        <w:rPr>
          <w:rFonts w:ascii="Verdana" w:eastAsiaTheme="minorHAnsi" w:hAnsi="Verdana" w:cs="Verdana"/>
          <w:color w:val="000000"/>
          <w:spacing w:val="0"/>
          <w:sz w:val="19"/>
          <w:szCs w:val="19"/>
          <w:lang w:eastAsia="en-US"/>
        </w:rPr>
        <w:t xml:space="preserve">. Les mesures de sécurité sont définies </w:t>
      </w:r>
      <w:r w:rsidR="00B245CF">
        <w:rPr>
          <w:rFonts w:ascii="Verdana" w:eastAsiaTheme="minorHAnsi" w:hAnsi="Verdana" w:cs="Verdana"/>
          <w:color w:val="000000"/>
          <w:spacing w:val="0"/>
          <w:sz w:val="19"/>
          <w:szCs w:val="19"/>
          <w:lang w:eastAsia="en-US"/>
        </w:rPr>
        <w:t>à l’issue de la procédure et consignées dans l</w:t>
      </w:r>
      <w:r w:rsidR="00E72933">
        <w:rPr>
          <w:rFonts w:ascii="Verdana" w:eastAsiaTheme="minorHAnsi" w:hAnsi="Verdana" w:cs="Verdana"/>
          <w:color w:val="000000"/>
          <w:spacing w:val="0"/>
          <w:sz w:val="19"/>
          <w:szCs w:val="19"/>
          <w:lang w:eastAsia="en-US"/>
        </w:rPr>
        <w:t>e certificat de contrôle du sol</w:t>
      </w:r>
      <w:r w:rsidR="00B245CF">
        <w:rPr>
          <w:rFonts w:ascii="Verdana" w:eastAsiaTheme="minorHAnsi" w:hAnsi="Verdana" w:cs="Verdana"/>
          <w:color w:val="000000"/>
          <w:spacing w:val="0"/>
          <w:sz w:val="19"/>
          <w:szCs w:val="19"/>
          <w:lang w:eastAsia="en-US"/>
        </w:rPr>
        <w:t>;</w:t>
      </w:r>
    </w:p>
    <w:p w:rsidR="00CF25B3" w:rsidRDefault="00B245CF" w:rsidP="00A35B70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Le rapportage intègre une consigne supplémentaire rappelant que le rapport doit contenir</w:t>
      </w:r>
      <w:r w:rsidRPr="008D2553">
        <w:rPr>
          <w:rFonts w:ascii="Verdana" w:hAnsi="Verdana" w:cs="Verdana"/>
          <w:color w:val="000000"/>
          <w:sz w:val="19"/>
          <w:szCs w:val="19"/>
        </w:rPr>
        <w:t xml:space="preserve"> la preuve de paiement du droit de dossier</w:t>
      </w:r>
      <w:r>
        <w:rPr>
          <w:rFonts w:ascii="Verdana" w:hAnsi="Verdana" w:cs="Verdana"/>
          <w:color w:val="000000"/>
          <w:sz w:val="19"/>
          <w:szCs w:val="19"/>
        </w:rPr>
        <w:t>;</w:t>
      </w:r>
    </w:p>
    <w:p w:rsidR="00730FAF" w:rsidRPr="00B245CF" w:rsidRDefault="00730FAF" w:rsidP="00A35B70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  <w:sz w:val="19"/>
          <w:szCs w:val="19"/>
        </w:rPr>
      </w:pPr>
      <w:r>
        <w:rPr>
          <w:rFonts w:ascii="Verdana" w:hAnsi="Verdana" w:cs="Verdana"/>
          <w:color w:val="000000"/>
          <w:sz w:val="19"/>
          <w:szCs w:val="19"/>
        </w:rPr>
        <w:t>Une nouveau modèle de certificat de contrôle du sol est proposé ;</w:t>
      </w:r>
    </w:p>
    <w:p w:rsidR="00A35B70" w:rsidRDefault="00B245CF" w:rsidP="00A35B70">
      <w:pPr>
        <w:pStyle w:val="Paragraphedeliste"/>
        <w:numPr>
          <w:ilvl w:val="0"/>
          <w:numId w:val="1"/>
        </w:numPr>
        <w:spacing w:after="0"/>
        <w:jc w:val="both"/>
        <w:rPr>
          <w:rFonts w:ascii="Verdana" w:hAnsi="Verdana" w:cs="Verdana"/>
          <w:color w:val="000000"/>
          <w:sz w:val="19"/>
          <w:szCs w:val="19"/>
        </w:rPr>
      </w:pPr>
      <w:r w:rsidRPr="00730FAF">
        <w:rPr>
          <w:rFonts w:ascii="Verdana" w:hAnsi="Verdana" w:cs="Verdana"/>
          <w:color w:val="000000"/>
          <w:sz w:val="19"/>
          <w:szCs w:val="19"/>
        </w:rPr>
        <w:t xml:space="preserve">Les renvois vers les </w:t>
      </w:r>
      <w:r w:rsidR="00CF25B3" w:rsidRPr="00730FAF">
        <w:rPr>
          <w:rFonts w:ascii="Verdana" w:hAnsi="Verdana" w:cs="Verdana"/>
          <w:color w:val="000000"/>
          <w:sz w:val="19"/>
          <w:szCs w:val="19"/>
        </w:rPr>
        <w:t>nouvelles dispositions légales </w:t>
      </w:r>
      <w:r w:rsidRPr="00730FAF">
        <w:rPr>
          <w:rFonts w:ascii="Verdana" w:hAnsi="Verdana" w:cs="Verdana"/>
          <w:color w:val="000000"/>
          <w:sz w:val="19"/>
          <w:szCs w:val="19"/>
        </w:rPr>
        <w:t xml:space="preserve">et vers le CWEA ont été mis à jour. </w:t>
      </w:r>
    </w:p>
    <w:p w:rsidR="00730FAF" w:rsidRPr="00730FAF" w:rsidRDefault="00730FAF" w:rsidP="00730FAF">
      <w:pPr>
        <w:pStyle w:val="Paragraphedeliste"/>
        <w:spacing w:after="0"/>
        <w:jc w:val="both"/>
        <w:rPr>
          <w:rFonts w:ascii="Verdana" w:hAnsi="Verdana" w:cs="Verdana"/>
          <w:color w:val="000000"/>
          <w:sz w:val="19"/>
          <w:szCs w:val="19"/>
        </w:rPr>
      </w:pPr>
    </w:p>
    <w:p w:rsidR="00426FEC" w:rsidRPr="00180AE8" w:rsidRDefault="00B245CF">
      <w:pPr>
        <w:rPr>
          <w:rFonts w:ascii="Verdana" w:hAnsi="Verdana" w:cs="Verdana"/>
          <w:color w:val="000000"/>
          <w:sz w:val="19"/>
          <w:szCs w:val="19"/>
        </w:rPr>
      </w:pPr>
      <w:r w:rsidRPr="00B245CF">
        <w:rPr>
          <w:rFonts w:ascii="Verdana" w:hAnsi="Verdana" w:cs="Verdana"/>
          <w:color w:val="000000"/>
          <w:sz w:val="19"/>
          <w:szCs w:val="19"/>
        </w:rPr>
        <w:t xml:space="preserve">Les </w:t>
      </w:r>
      <w:r w:rsidRPr="00B245CF">
        <w:rPr>
          <w:rFonts w:ascii="Verdana" w:hAnsi="Verdana" w:cs="Verdana"/>
          <w:b/>
          <w:color w:val="000000"/>
          <w:sz w:val="19"/>
          <w:szCs w:val="19"/>
        </w:rPr>
        <w:t>modifications</w:t>
      </w:r>
      <w:r w:rsidRPr="00B245CF">
        <w:rPr>
          <w:rFonts w:ascii="Verdana" w:hAnsi="Verdana" w:cs="Verdana"/>
          <w:color w:val="000000"/>
          <w:sz w:val="19"/>
          <w:szCs w:val="19"/>
        </w:rPr>
        <w:t xml:space="preserve"> </w:t>
      </w:r>
      <w:r>
        <w:rPr>
          <w:rFonts w:ascii="Verdana" w:hAnsi="Verdana" w:cs="Verdana"/>
          <w:b/>
          <w:color w:val="000000"/>
          <w:sz w:val="19"/>
          <w:szCs w:val="19"/>
        </w:rPr>
        <w:t xml:space="preserve">spécifiques à chacun des guides, </w:t>
      </w:r>
      <w:r w:rsidRPr="00B245CF">
        <w:rPr>
          <w:rFonts w:ascii="Verdana" w:hAnsi="Verdana" w:cs="Verdana"/>
          <w:color w:val="000000"/>
          <w:sz w:val="19"/>
          <w:szCs w:val="19"/>
        </w:rPr>
        <w:t>sont</w:t>
      </w:r>
      <w:r>
        <w:rPr>
          <w:rFonts w:ascii="Verdana" w:hAnsi="Verdana" w:cs="Verdana"/>
          <w:color w:val="000000"/>
          <w:sz w:val="19"/>
          <w:szCs w:val="19"/>
        </w:rPr>
        <w:t xml:space="preserve"> les </w:t>
      </w:r>
      <w:r w:rsidRPr="00B245CF">
        <w:rPr>
          <w:rFonts w:ascii="Verdana" w:hAnsi="Verdana" w:cs="Verdana"/>
          <w:color w:val="000000"/>
          <w:sz w:val="19"/>
          <w:szCs w:val="19"/>
        </w:rPr>
        <w:t>suivantes:</w:t>
      </w:r>
    </w:p>
    <w:tbl>
      <w:tblPr>
        <w:tblStyle w:val="Trameclaire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165539" w:rsidTr="00160BE5">
        <w:trPr>
          <w:cnfStyle w:val="100000000000"/>
        </w:trPr>
        <w:tc>
          <w:tcPr>
            <w:cnfStyle w:val="001000000000"/>
            <w:tcW w:w="92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65539" w:rsidRDefault="00165539" w:rsidP="00160BE5">
            <w:r>
              <w:t xml:space="preserve">GLOSSAIRE : </w:t>
            </w:r>
            <w:r w:rsidRPr="00180AE8">
              <w:rPr>
                <w:b w:val="0"/>
                <w:color w:val="000000" w:themeColor="text1"/>
              </w:rPr>
              <w:t>les concepts ont été adaptés en fonction des nouvelles définitions du décret</w:t>
            </w:r>
          </w:p>
        </w:tc>
      </w:tr>
      <w:tr w:rsidR="00165539" w:rsidTr="00160BE5">
        <w:trPr>
          <w:cnfStyle w:val="000000100000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</w:tcPr>
          <w:p w:rsidR="00165539" w:rsidRDefault="00165539" w:rsidP="00160BE5">
            <w:r>
              <w:t xml:space="preserve">GREO v04 </w:t>
            </w:r>
          </w:p>
          <w:p w:rsidR="00165539" w:rsidRPr="00B245CF" w:rsidRDefault="00165539" w:rsidP="00165539">
            <w:pPr>
              <w:pStyle w:val="Paragraphedeliste"/>
              <w:numPr>
                <w:ilvl w:val="0"/>
                <w:numId w:val="8"/>
              </w:numPr>
              <w:rPr>
                <w:b w:val="0"/>
                <w:color w:val="000000" w:themeColor="text1"/>
              </w:rPr>
            </w:pPr>
            <w:r w:rsidRPr="00B245CF">
              <w:rPr>
                <w:b w:val="0"/>
                <w:color w:val="000000" w:themeColor="text1"/>
              </w:rPr>
              <w:t>Suppression de la stratégie A relative aux dépôts de déchets ;</w:t>
            </w:r>
          </w:p>
          <w:p w:rsidR="00165539" w:rsidRDefault="00165539" w:rsidP="00165539">
            <w:pPr>
              <w:pStyle w:val="Paragraphedeliste"/>
              <w:numPr>
                <w:ilvl w:val="0"/>
                <w:numId w:val="8"/>
              </w:num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S</w:t>
            </w:r>
            <w:r w:rsidRPr="00B245CF">
              <w:rPr>
                <w:b w:val="0"/>
                <w:color w:val="000000" w:themeColor="text1"/>
              </w:rPr>
              <w:t>implification de la caractérisation des remblais</w:t>
            </w:r>
            <w:r>
              <w:rPr>
                <w:b w:val="0"/>
                <w:color w:val="000000" w:themeColor="text1"/>
              </w:rPr>
              <w:t> : r</w:t>
            </w:r>
            <w:r w:rsidRPr="00B245CF">
              <w:rPr>
                <w:b w:val="0"/>
                <w:color w:val="000000" w:themeColor="text1"/>
              </w:rPr>
              <w:t>évision de la stratégie B notamment en ce qui concerne l’échantillonnage qui est limité à de l’échantillonnage élémentaire e</w:t>
            </w:r>
            <w:r>
              <w:rPr>
                <w:b w:val="0"/>
                <w:color w:val="000000" w:themeColor="text1"/>
              </w:rPr>
              <w:t>t l’introduction de la notion d’</w:t>
            </w:r>
            <w:r w:rsidRPr="00B245CF">
              <w:rPr>
                <w:b w:val="0"/>
                <w:color w:val="000000" w:themeColor="text1"/>
              </w:rPr>
              <w:t xml:space="preserve"> « unité de remblai » ;</w:t>
            </w:r>
          </w:p>
          <w:p w:rsidR="00165539" w:rsidRPr="00A35B70" w:rsidRDefault="00165539" w:rsidP="00165539">
            <w:pPr>
              <w:pStyle w:val="Paragraphedeliste"/>
              <w:numPr>
                <w:ilvl w:val="0"/>
                <w:numId w:val="8"/>
              </w:numPr>
              <w:rPr>
                <w:b w:val="0"/>
                <w:color w:val="000000" w:themeColor="text1"/>
              </w:rPr>
            </w:pPr>
            <w:r w:rsidRPr="0004656D">
              <w:rPr>
                <w:b w:val="0"/>
                <w:color w:val="000000" w:themeColor="text1"/>
              </w:rPr>
              <w:t xml:space="preserve">Ajout de l’annexe VII définissant les dispositions particulières visant à démontrer le caractère </w:t>
            </w:r>
            <w:proofErr w:type="spellStart"/>
            <w:r w:rsidRPr="0004656D">
              <w:rPr>
                <w:b w:val="0"/>
                <w:color w:val="000000" w:themeColor="text1"/>
              </w:rPr>
              <w:t>géogène</w:t>
            </w:r>
            <w:proofErr w:type="spellEnd"/>
            <w:r w:rsidRPr="0004656D">
              <w:rPr>
                <w:b w:val="0"/>
                <w:color w:val="000000" w:themeColor="text1"/>
              </w:rPr>
              <w:t xml:space="preserve"> de concentrations en certains polluants au droit de la nappe d’eau souterraine</w:t>
            </w:r>
            <w:r>
              <w:rPr>
                <w:b w:val="0"/>
                <w:color w:val="000000" w:themeColor="text1"/>
              </w:rPr>
              <w:t>.</w:t>
            </w:r>
          </w:p>
        </w:tc>
      </w:tr>
      <w:tr w:rsidR="00165539" w:rsidTr="00160BE5">
        <w:tc>
          <w:tcPr>
            <w:cnfStyle w:val="001000000000"/>
            <w:tcW w:w="9288" w:type="dxa"/>
          </w:tcPr>
          <w:p w:rsidR="00165539" w:rsidRDefault="00165539" w:rsidP="00160BE5">
            <w:r>
              <w:t xml:space="preserve">GREC v04 </w:t>
            </w:r>
          </w:p>
          <w:p w:rsidR="00165539" w:rsidRPr="002E4ABA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</w:rPr>
            </w:pPr>
            <w:r w:rsidRPr="0004656D">
              <w:rPr>
                <w:b w:val="0"/>
                <w:color w:val="000000" w:themeColor="text1"/>
              </w:rPr>
              <w:t xml:space="preserve">Simplification de la caractérisation des remblais : </w:t>
            </w:r>
            <w:r>
              <w:rPr>
                <w:b w:val="0"/>
                <w:color w:val="000000" w:themeColor="text1"/>
              </w:rPr>
              <w:t>alternative à la</w:t>
            </w:r>
            <w:r w:rsidRPr="0004656D">
              <w:rPr>
                <w:b w:val="0"/>
                <w:color w:val="000000" w:themeColor="text1"/>
              </w:rPr>
              <w:t xml:space="preserve"> stratégie CAR 1 </w:t>
            </w:r>
            <w:r>
              <w:rPr>
                <w:b w:val="0"/>
                <w:color w:val="000000" w:themeColor="text1"/>
              </w:rPr>
              <w:t>en intégrant</w:t>
            </w:r>
            <w:r w:rsidRPr="0004656D">
              <w:rPr>
                <w:b w:val="0"/>
                <w:color w:val="000000" w:themeColor="text1"/>
              </w:rPr>
              <w:t xml:space="preserve"> l’analyse d’échantillons composites;</w:t>
            </w:r>
            <w:r>
              <w:rPr>
                <w:b w:val="0"/>
                <w:color w:val="000000" w:themeColor="text1"/>
              </w:rPr>
              <w:t xml:space="preserve"> prise en compte d’une approche cohérente avec la gestion et la traçabilité des terres</w:t>
            </w:r>
          </w:p>
        </w:tc>
      </w:tr>
      <w:tr w:rsidR="00165539" w:rsidTr="00160BE5">
        <w:trPr>
          <w:cnfStyle w:val="000000100000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</w:tcPr>
          <w:p w:rsidR="00165539" w:rsidRDefault="00165539" w:rsidP="00160BE5">
            <w:r>
              <w:t xml:space="preserve">GRER-Partie A v04 </w:t>
            </w:r>
          </w:p>
          <w:p w:rsidR="00165539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 w:rsidRPr="00E11558">
              <w:rPr>
                <w:b w:val="0"/>
                <w:color w:val="000000" w:themeColor="text1"/>
              </w:rPr>
              <w:t xml:space="preserve">Clarification </w:t>
            </w:r>
            <w:r>
              <w:rPr>
                <w:b w:val="0"/>
                <w:color w:val="000000" w:themeColor="text1"/>
              </w:rPr>
              <w:t xml:space="preserve">des </w:t>
            </w:r>
            <w:r w:rsidRPr="00E11558">
              <w:rPr>
                <w:b w:val="0"/>
                <w:color w:val="000000" w:themeColor="text1"/>
              </w:rPr>
              <w:t>condition</w:t>
            </w:r>
            <w:r>
              <w:rPr>
                <w:b w:val="0"/>
                <w:color w:val="000000" w:themeColor="text1"/>
              </w:rPr>
              <w:t>s</w:t>
            </w:r>
            <w:r w:rsidRPr="00E11558">
              <w:rPr>
                <w:b w:val="0"/>
                <w:color w:val="000000" w:themeColor="text1"/>
              </w:rPr>
              <w:t xml:space="preserve"> d’utilisation du terrain et des bases d’évaluation des risques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Précisions en ce qui concerne la</w:t>
            </w:r>
            <w:r w:rsidRPr="00E11558">
              <w:rPr>
                <w:b w:val="0"/>
                <w:color w:val="000000" w:themeColor="text1"/>
              </w:rPr>
              <w:t xml:space="preserve"> base d’évaluation générique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Précisions des polluants à considérer ;</w:t>
            </w:r>
          </w:p>
          <w:p w:rsidR="00165539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Séparation des conclusions de l’</w:t>
            </w:r>
            <w:r w:rsidRPr="00E11558">
              <w:rPr>
                <w:b w:val="0"/>
                <w:color w:val="000000" w:themeColor="text1"/>
              </w:rPr>
              <w:t>étude de risque</w:t>
            </w:r>
            <w:r>
              <w:rPr>
                <w:b w:val="0"/>
                <w:color w:val="000000" w:themeColor="text1"/>
              </w:rPr>
              <w:t>s</w:t>
            </w:r>
            <w:r w:rsidRPr="00E11558">
              <w:rPr>
                <w:b w:val="0"/>
                <w:color w:val="000000" w:themeColor="text1"/>
              </w:rPr>
              <w:t xml:space="preserve"> (MG / AMG) et </w:t>
            </w:r>
            <w:r>
              <w:rPr>
                <w:b w:val="0"/>
                <w:color w:val="000000" w:themeColor="text1"/>
              </w:rPr>
              <w:t>de l’</w:t>
            </w:r>
            <w:r w:rsidRPr="00E11558">
              <w:rPr>
                <w:b w:val="0"/>
                <w:color w:val="000000" w:themeColor="text1"/>
              </w:rPr>
              <w:t>interprétation en terme</w:t>
            </w:r>
            <w:r>
              <w:rPr>
                <w:b w:val="0"/>
                <w:color w:val="000000" w:themeColor="text1"/>
              </w:rPr>
              <w:t>s</w:t>
            </w:r>
            <w:r w:rsidRPr="00E11558">
              <w:rPr>
                <w:b w:val="0"/>
                <w:color w:val="000000" w:themeColor="text1"/>
              </w:rPr>
              <w:t xml:space="preserve"> de conclusions opérationnelles et additionnelles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Pr="00E72933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 w:rsidRPr="00E72933">
              <w:rPr>
                <w:b w:val="0"/>
                <w:color w:val="000000" w:themeColor="text1"/>
              </w:rPr>
              <w:t xml:space="preserve">Ajout de l’annexe A 1 : consignes d’encodage </w:t>
            </w:r>
            <w:r>
              <w:rPr>
                <w:b w:val="0"/>
                <w:color w:val="000000" w:themeColor="text1"/>
              </w:rPr>
              <w:t>des hydrocarbures pétroliers, des isomères (</w:t>
            </w:r>
            <w:r w:rsidRPr="00E72933">
              <w:rPr>
                <w:b w:val="0"/>
                <w:color w:val="000000" w:themeColor="text1"/>
              </w:rPr>
              <w:t xml:space="preserve">xylènes et 1,2 </w:t>
            </w:r>
            <w:proofErr w:type="spellStart"/>
            <w:proofErr w:type="gramStart"/>
            <w:r w:rsidRPr="00E72933">
              <w:rPr>
                <w:b w:val="0"/>
                <w:color w:val="000000" w:themeColor="text1"/>
              </w:rPr>
              <w:t>dichloroéthène</w:t>
            </w:r>
            <w:proofErr w:type="spellEnd"/>
            <w:r w:rsidRPr="00E72933">
              <w:rPr>
                <w:b w:val="0"/>
                <w:color w:val="000000" w:themeColor="text1"/>
              </w:rPr>
              <w:t xml:space="preserve"> )</w:t>
            </w:r>
            <w:proofErr w:type="gramEnd"/>
            <w:r w:rsidRPr="00E72933">
              <w:rPr>
                <w:b w:val="0"/>
                <w:color w:val="000000" w:themeColor="text1"/>
              </w:rPr>
              <w:t xml:space="preserve"> et du mercure</w:t>
            </w:r>
            <w:r>
              <w:rPr>
                <w:b w:val="0"/>
                <w:color w:val="000000" w:themeColor="text1"/>
              </w:rPr>
              <w:t>.</w:t>
            </w:r>
          </w:p>
        </w:tc>
      </w:tr>
      <w:tr w:rsidR="00165539" w:rsidTr="00160BE5">
        <w:tc>
          <w:tcPr>
            <w:cnfStyle w:val="001000000000"/>
            <w:tcW w:w="9288" w:type="dxa"/>
          </w:tcPr>
          <w:p w:rsidR="00165539" w:rsidRDefault="00165539" w:rsidP="00160BE5">
            <w:r w:rsidRPr="003A0136">
              <w:t>GRER</w:t>
            </w:r>
            <w:r>
              <w:t>- Partie B-v04</w:t>
            </w:r>
          </w:p>
          <w:p w:rsidR="00165539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Séparation des conclusions de l’</w:t>
            </w:r>
            <w:r w:rsidRPr="00E11558">
              <w:rPr>
                <w:b w:val="0"/>
                <w:color w:val="000000" w:themeColor="text1"/>
              </w:rPr>
              <w:t>étude de risque</w:t>
            </w:r>
            <w:r>
              <w:rPr>
                <w:b w:val="0"/>
                <w:color w:val="000000" w:themeColor="text1"/>
              </w:rPr>
              <w:t>s</w:t>
            </w:r>
            <w:r w:rsidRPr="00E11558">
              <w:rPr>
                <w:b w:val="0"/>
                <w:color w:val="000000" w:themeColor="text1"/>
              </w:rPr>
              <w:t xml:space="preserve"> (MG / AMG) et </w:t>
            </w:r>
            <w:r>
              <w:rPr>
                <w:b w:val="0"/>
                <w:color w:val="000000" w:themeColor="text1"/>
              </w:rPr>
              <w:t>de l’</w:t>
            </w:r>
            <w:r w:rsidRPr="00E11558">
              <w:rPr>
                <w:b w:val="0"/>
                <w:color w:val="000000" w:themeColor="text1"/>
              </w:rPr>
              <w:t>interprétation en terme</w:t>
            </w:r>
            <w:r>
              <w:rPr>
                <w:b w:val="0"/>
                <w:color w:val="000000" w:themeColor="text1"/>
              </w:rPr>
              <w:t>s</w:t>
            </w:r>
            <w:r w:rsidRPr="00E11558">
              <w:rPr>
                <w:b w:val="0"/>
                <w:color w:val="000000" w:themeColor="text1"/>
              </w:rPr>
              <w:t xml:space="preserve"> de conclusions opérationnelles et additionnelles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Pr="002E4ABA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Révision des VS-H - </w:t>
            </w:r>
            <w:r w:rsidRPr="00E11558">
              <w:rPr>
                <w:b w:val="0"/>
                <w:color w:val="000000" w:themeColor="text1"/>
              </w:rPr>
              <w:t>annexe B1 ;</w:t>
            </w:r>
          </w:p>
        </w:tc>
      </w:tr>
      <w:tr w:rsidR="00165539" w:rsidTr="00160BE5">
        <w:trPr>
          <w:cnfStyle w:val="000000100000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</w:tcPr>
          <w:p w:rsidR="00165539" w:rsidRDefault="00165539" w:rsidP="00160BE5">
            <w:r w:rsidRPr="003A0136">
              <w:t>GRER</w:t>
            </w:r>
            <w:r>
              <w:t>- Partie C-v04</w:t>
            </w:r>
          </w:p>
          <w:p w:rsidR="00165539" w:rsidRPr="00BB0FCD" w:rsidRDefault="00165539" w:rsidP="00165539">
            <w:pPr>
              <w:pStyle w:val="Paragraphedeliste"/>
              <w:numPr>
                <w:ilvl w:val="0"/>
                <w:numId w:val="14"/>
              </w:numPr>
              <w:contextualSpacing w:val="0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lastRenderedPageBreak/>
              <w:t>A</w:t>
            </w:r>
            <w:r w:rsidRPr="00BB0FCD">
              <w:rPr>
                <w:b w:val="0"/>
                <w:color w:val="000000" w:themeColor="text1"/>
              </w:rPr>
              <w:t>daptation au niveau de la VI nappe</w:t>
            </w:r>
            <w:r>
              <w:rPr>
                <w:b w:val="0"/>
                <w:color w:val="000000" w:themeColor="text1"/>
              </w:rPr>
              <w:t> :</w:t>
            </w:r>
          </w:p>
          <w:p w:rsidR="00165539" w:rsidRPr="00BB0FCD" w:rsidRDefault="00165539" w:rsidP="00160BE5">
            <w:pPr>
              <w:ind w:left="709"/>
              <w:rPr>
                <w:b w:val="0"/>
                <w:color w:val="000000" w:themeColor="text1"/>
              </w:rPr>
            </w:pPr>
            <w:r w:rsidRPr="00BB0FCD">
              <w:rPr>
                <w:b w:val="0"/>
                <w:color w:val="000000" w:themeColor="text1"/>
              </w:rPr>
              <w:t>Etant donné que  la méthodologie actuelle fait appel aux « </w:t>
            </w:r>
            <w:proofErr w:type="spellStart"/>
            <w:r w:rsidRPr="00BB0FCD">
              <w:rPr>
                <w:b w:val="0"/>
                <w:color w:val="000000" w:themeColor="text1"/>
              </w:rPr>
              <w:t>VInappe</w:t>
            </w:r>
            <w:proofErr w:type="spellEnd"/>
            <w:r w:rsidRPr="00BB0FCD">
              <w:rPr>
                <w:b w:val="0"/>
                <w:color w:val="000000" w:themeColor="text1"/>
              </w:rPr>
              <w:t xml:space="preserve"> » </w:t>
            </w:r>
            <w:proofErr w:type="gramStart"/>
            <w:r>
              <w:rPr>
                <w:b w:val="0"/>
                <w:color w:val="000000" w:themeColor="text1"/>
              </w:rPr>
              <w:t>( supprimées</w:t>
            </w:r>
            <w:proofErr w:type="gramEnd"/>
            <w:r>
              <w:rPr>
                <w:b w:val="0"/>
                <w:color w:val="000000" w:themeColor="text1"/>
              </w:rPr>
              <w:t xml:space="preserve"> dans le nouveau décret) </w:t>
            </w:r>
            <w:r w:rsidRPr="00BB0FCD">
              <w:rPr>
                <w:b w:val="0"/>
                <w:color w:val="000000" w:themeColor="text1"/>
              </w:rPr>
              <w:t xml:space="preserve">et « VIN » comme critères décisionnels dans le cadre d’une nappe non exploitable, </w:t>
            </w:r>
            <w:r>
              <w:rPr>
                <w:b w:val="0"/>
                <w:color w:val="000000" w:themeColor="text1"/>
              </w:rPr>
              <w:t xml:space="preserve">il est proposé </w:t>
            </w:r>
            <w:r w:rsidRPr="00BB0FCD">
              <w:rPr>
                <w:b w:val="0"/>
                <w:color w:val="000000" w:themeColor="text1"/>
              </w:rPr>
              <w:t>de renommer ces valeurs et d’en faire des valeurs limite</w:t>
            </w:r>
            <w:r>
              <w:rPr>
                <w:b w:val="0"/>
                <w:color w:val="000000" w:themeColor="text1"/>
              </w:rPr>
              <w:t>s</w:t>
            </w:r>
            <w:r w:rsidRPr="00BB0FCD">
              <w:rPr>
                <w:b w:val="0"/>
                <w:color w:val="000000" w:themeColor="text1"/>
              </w:rPr>
              <w:t xml:space="preserve"> ou VL :</w:t>
            </w:r>
          </w:p>
          <w:p w:rsidR="00165539" w:rsidRPr="00BB0FCD" w:rsidRDefault="00165539" w:rsidP="00165539">
            <w:pPr>
              <w:pStyle w:val="Paragraphedeliste"/>
              <w:numPr>
                <w:ilvl w:val="0"/>
                <w:numId w:val="15"/>
              </w:numPr>
              <w:contextualSpacing w:val="0"/>
              <w:jc w:val="both"/>
              <w:rPr>
                <w:b w:val="0"/>
                <w:color w:val="000000" w:themeColor="text1"/>
              </w:rPr>
            </w:pPr>
            <w:proofErr w:type="spellStart"/>
            <w:r w:rsidRPr="00BB0FCD">
              <w:rPr>
                <w:b w:val="0"/>
                <w:color w:val="000000" w:themeColor="text1"/>
              </w:rPr>
              <w:t>VInappe</w:t>
            </w:r>
            <w:proofErr w:type="spellEnd"/>
            <w:r w:rsidRPr="00BB0FCD">
              <w:rPr>
                <w:b w:val="0"/>
                <w:color w:val="000000" w:themeColor="text1"/>
              </w:rPr>
              <w:t xml:space="preserve"> devient </w:t>
            </w:r>
            <w:proofErr w:type="spellStart"/>
            <w:r w:rsidRPr="00BB0FCD">
              <w:rPr>
                <w:b w:val="0"/>
                <w:color w:val="000000" w:themeColor="text1"/>
              </w:rPr>
              <w:t>VLnappe</w:t>
            </w:r>
            <w:proofErr w:type="spellEnd"/>
          </w:p>
          <w:p w:rsidR="00165539" w:rsidRPr="00A35B70" w:rsidRDefault="00165539" w:rsidP="00165539">
            <w:pPr>
              <w:pStyle w:val="Paragraphedeliste"/>
              <w:numPr>
                <w:ilvl w:val="0"/>
                <w:numId w:val="15"/>
              </w:numPr>
              <w:contextualSpacing w:val="0"/>
              <w:jc w:val="both"/>
              <w:rPr>
                <w:b w:val="0"/>
                <w:color w:val="000000" w:themeColor="text1"/>
              </w:rPr>
            </w:pPr>
            <w:proofErr w:type="gramStart"/>
            <w:r w:rsidRPr="00BB0FCD">
              <w:rPr>
                <w:b w:val="0"/>
                <w:color w:val="000000" w:themeColor="text1"/>
              </w:rPr>
              <w:t>VIN(</w:t>
            </w:r>
            <w:proofErr w:type="gramEnd"/>
            <w:r w:rsidRPr="00BB0FCD">
              <w:rPr>
                <w:b w:val="0"/>
                <w:color w:val="000000" w:themeColor="text1"/>
              </w:rPr>
              <w:t>-</w:t>
            </w:r>
            <w:proofErr w:type="spellStart"/>
            <w:r w:rsidRPr="00BB0FCD">
              <w:rPr>
                <w:b w:val="0"/>
                <w:color w:val="000000" w:themeColor="text1"/>
              </w:rPr>
              <w:t>aj</w:t>
            </w:r>
            <w:proofErr w:type="spellEnd"/>
            <w:r w:rsidRPr="00BB0FCD">
              <w:rPr>
                <w:b w:val="0"/>
                <w:color w:val="000000" w:themeColor="text1"/>
              </w:rPr>
              <w:t>.) devient VLN(-</w:t>
            </w:r>
            <w:proofErr w:type="spellStart"/>
            <w:r w:rsidRPr="00BB0FCD">
              <w:rPr>
                <w:b w:val="0"/>
                <w:color w:val="000000" w:themeColor="text1"/>
              </w:rPr>
              <w:t>aj</w:t>
            </w:r>
            <w:proofErr w:type="spellEnd"/>
            <w:r w:rsidRPr="00BB0FCD">
              <w:rPr>
                <w:b w:val="0"/>
                <w:color w:val="000000" w:themeColor="text1"/>
              </w:rPr>
              <w:t>)</w:t>
            </w:r>
          </w:p>
          <w:p w:rsidR="00165539" w:rsidRPr="00BB0FCD" w:rsidRDefault="00165539" w:rsidP="00165539">
            <w:pPr>
              <w:pStyle w:val="Paragraphedeliste"/>
              <w:numPr>
                <w:ilvl w:val="0"/>
                <w:numId w:val="14"/>
              </w:numPr>
              <w:jc w:val="both"/>
              <w:rPr>
                <w:b w:val="0"/>
                <w:color w:val="000000" w:themeColor="text1"/>
              </w:rPr>
            </w:pPr>
            <w:r w:rsidRPr="00BB0FCD">
              <w:rPr>
                <w:b w:val="0"/>
                <w:color w:val="000000" w:themeColor="text1"/>
              </w:rPr>
              <w:t>Adaptation des objectifs de qualité en fonction de</w:t>
            </w:r>
            <w:r>
              <w:rPr>
                <w:b w:val="0"/>
                <w:color w:val="000000" w:themeColor="text1"/>
              </w:rPr>
              <w:t xml:space="preserve">s nouveaux objectifs d’assainissement définis par le décret </w:t>
            </w:r>
            <w:r w:rsidRPr="00BB0FCD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>(art. 56) ;</w:t>
            </w:r>
          </w:p>
          <w:p w:rsidR="00165539" w:rsidRPr="00BB0FCD" w:rsidRDefault="00165539" w:rsidP="00165539">
            <w:pPr>
              <w:pStyle w:val="Paragraphedeliste"/>
              <w:numPr>
                <w:ilvl w:val="0"/>
                <w:numId w:val="14"/>
              </w:numPr>
              <w:jc w:val="both"/>
              <w:rPr>
                <w:b w:val="0"/>
                <w:color w:val="000000" w:themeColor="text1"/>
              </w:rPr>
            </w:pPr>
            <w:r w:rsidRPr="00BB0FCD">
              <w:rPr>
                <w:b w:val="0"/>
                <w:color w:val="000000" w:themeColor="text1"/>
              </w:rPr>
              <w:t>Adaptation des conclusions de l’étude de risques pour le volet nappe.</w:t>
            </w:r>
          </w:p>
          <w:p w:rsidR="00165539" w:rsidRPr="002E4ABA" w:rsidRDefault="00165539" w:rsidP="00165539">
            <w:pPr>
              <w:pStyle w:val="Paragraphedeliste"/>
              <w:numPr>
                <w:ilvl w:val="0"/>
                <w:numId w:val="14"/>
              </w:numPr>
              <w:jc w:val="both"/>
              <w:rPr>
                <w:b w:val="0"/>
                <w:color w:val="000000" w:themeColor="text1"/>
              </w:rPr>
            </w:pPr>
            <w:r w:rsidRPr="00BB0FCD">
              <w:rPr>
                <w:b w:val="0"/>
                <w:color w:val="000000" w:themeColor="text1"/>
              </w:rPr>
              <w:t>Adaptation des annexes C-1 à C-7</w:t>
            </w:r>
            <w:r>
              <w:rPr>
                <w:b w:val="0"/>
                <w:color w:val="000000" w:themeColor="text1"/>
              </w:rPr>
              <w:t xml:space="preserve"> </w:t>
            </w:r>
            <w:proofErr w:type="gramStart"/>
            <w:r>
              <w:rPr>
                <w:b w:val="0"/>
                <w:color w:val="000000" w:themeColor="text1"/>
              </w:rPr>
              <w:t>( seule</w:t>
            </w:r>
            <w:proofErr w:type="gramEnd"/>
            <w:r>
              <w:rPr>
                <w:b w:val="0"/>
                <w:color w:val="000000" w:themeColor="text1"/>
              </w:rPr>
              <w:t xml:space="preserve"> l’annexe C-1 est mise en consultation :  les modifications réalisées dans les autres annexes ne portant que sur le changement de dénomination de la VI nappe)</w:t>
            </w:r>
          </w:p>
        </w:tc>
      </w:tr>
      <w:tr w:rsidR="00165539" w:rsidTr="00160BE5">
        <w:tc>
          <w:tcPr>
            <w:cnfStyle w:val="001000000000"/>
            <w:tcW w:w="9288" w:type="dxa"/>
          </w:tcPr>
          <w:p w:rsidR="00165539" w:rsidRDefault="00165539" w:rsidP="00160BE5">
            <w:r w:rsidRPr="003A0136">
              <w:lastRenderedPageBreak/>
              <w:t>GRER</w:t>
            </w:r>
            <w:r>
              <w:t xml:space="preserve"> Partie D-v04 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2"/>
              </w:numPr>
              <w:rPr>
                <w:b w:val="0"/>
                <w:color w:val="000000" w:themeColor="text1"/>
              </w:rPr>
            </w:pPr>
            <w:r w:rsidRPr="00E77495">
              <w:rPr>
                <w:b w:val="0"/>
                <w:color w:val="000000" w:themeColor="text1"/>
              </w:rPr>
              <w:t>Prise en compte des nouvelles VSE.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2"/>
              </w:numPr>
              <w:rPr>
                <w:b w:val="0"/>
                <w:color w:val="000000" w:themeColor="text1"/>
              </w:rPr>
            </w:pPr>
            <w:r w:rsidRPr="00E77495">
              <w:rPr>
                <w:b w:val="0"/>
                <w:color w:val="000000" w:themeColor="text1"/>
              </w:rPr>
              <w:t>Précisio</w:t>
            </w:r>
            <w:r>
              <w:rPr>
                <w:b w:val="0"/>
                <w:color w:val="000000" w:themeColor="text1"/>
              </w:rPr>
              <w:t>n des conditions de réalisation</w:t>
            </w:r>
            <w:r w:rsidRPr="00E77495">
              <w:rPr>
                <w:b w:val="0"/>
                <w:color w:val="000000" w:themeColor="text1"/>
              </w:rPr>
              <w:t xml:space="preserve"> de l’ESR-E : systématique </w:t>
            </w:r>
            <w:r>
              <w:rPr>
                <w:b w:val="0"/>
                <w:color w:val="000000" w:themeColor="text1"/>
              </w:rPr>
              <w:t xml:space="preserve">pour les </w:t>
            </w:r>
            <w:r w:rsidRPr="00E77495">
              <w:rPr>
                <w:b w:val="0"/>
                <w:color w:val="000000" w:themeColor="text1"/>
              </w:rPr>
              <w:t xml:space="preserve">usages I à III ESR </w:t>
            </w:r>
            <w:r>
              <w:rPr>
                <w:b w:val="0"/>
                <w:color w:val="000000" w:themeColor="text1"/>
              </w:rPr>
              <w:t>/ en présence d’un</w:t>
            </w:r>
            <w:r w:rsidRPr="00E77495">
              <w:rPr>
                <w:b w:val="0"/>
                <w:color w:val="000000" w:themeColor="text1"/>
              </w:rPr>
              <w:t xml:space="preserve">  usage sensible sur ou à proximité du terrain </w:t>
            </w:r>
            <w:r>
              <w:rPr>
                <w:b w:val="0"/>
                <w:color w:val="000000" w:themeColor="text1"/>
              </w:rPr>
              <w:t xml:space="preserve">pour les </w:t>
            </w:r>
            <w:r w:rsidRPr="00E77495">
              <w:rPr>
                <w:b w:val="0"/>
                <w:color w:val="000000" w:themeColor="text1"/>
              </w:rPr>
              <w:t>usage</w:t>
            </w:r>
            <w:r>
              <w:rPr>
                <w:b w:val="0"/>
                <w:color w:val="000000" w:themeColor="text1"/>
              </w:rPr>
              <w:t>s</w:t>
            </w:r>
            <w:r w:rsidRPr="00E77495">
              <w:rPr>
                <w:b w:val="0"/>
                <w:color w:val="000000" w:themeColor="text1"/>
              </w:rPr>
              <w:t xml:space="preserve"> IV </w:t>
            </w:r>
            <w:r>
              <w:rPr>
                <w:b w:val="0"/>
                <w:color w:val="000000" w:themeColor="text1"/>
              </w:rPr>
              <w:t xml:space="preserve">et </w:t>
            </w:r>
            <w:r w:rsidRPr="00E77495">
              <w:rPr>
                <w:b w:val="0"/>
                <w:color w:val="000000" w:themeColor="text1"/>
              </w:rPr>
              <w:t>V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2"/>
              </w:numPr>
              <w:rPr>
                <w:b w:val="0"/>
                <w:color w:val="000000" w:themeColor="text1"/>
              </w:rPr>
            </w:pPr>
            <w:r w:rsidRPr="00E77495">
              <w:rPr>
                <w:b w:val="0"/>
                <w:color w:val="000000" w:themeColor="text1"/>
              </w:rPr>
              <w:t>Précision sur la compos</w:t>
            </w:r>
            <w:r>
              <w:rPr>
                <w:b w:val="0"/>
                <w:color w:val="000000" w:themeColor="text1"/>
              </w:rPr>
              <w:t>ition</w:t>
            </w:r>
            <w:r w:rsidRPr="00E77495">
              <w:rPr>
                <w:b w:val="0"/>
                <w:color w:val="000000" w:themeColor="text1"/>
              </w:rPr>
              <w:t xml:space="preserve"> du comité CEDRE,  </w:t>
            </w:r>
            <w:r>
              <w:rPr>
                <w:b w:val="0"/>
                <w:color w:val="000000" w:themeColor="text1"/>
              </w:rPr>
              <w:t xml:space="preserve">son </w:t>
            </w:r>
            <w:r w:rsidRPr="00E77495">
              <w:rPr>
                <w:b w:val="0"/>
                <w:color w:val="000000" w:themeColor="text1"/>
              </w:rPr>
              <w:t xml:space="preserve">mode de saisie et </w:t>
            </w:r>
            <w:r>
              <w:rPr>
                <w:b w:val="0"/>
                <w:color w:val="000000" w:themeColor="text1"/>
              </w:rPr>
              <w:t xml:space="preserve">les </w:t>
            </w:r>
            <w:r w:rsidRPr="00E77495">
              <w:rPr>
                <w:b w:val="0"/>
                <w:color w:val="000000" w:themeColor="text1"/>
              </w:rPr>
              <w:t>documents requis.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2"/>
              </w:numPr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Modification de l’inventaire des milieux sensibles (a</w:t>
            </w:r>
            <w:r w:rsidRPr="00E77495">
              <w:rPr>
                <w:b w:val="0"/>
                <w:color w:val="000000" w:themeColor="text1"/>
              </w:rPr>
              <w:t xml:space="preserve">jout des cours d’eau, plan d’eau, zones de sources, humides ou marécages </w:t>
            </w:r>
            <w:r>
              <w:rPr>
                <w:b w:val="0"/>
                <w:color w:val="000000" w:themeColor="text1"/>
              </w:rPr>
              <w:t>/</w:t>
            </w:r>
            <w:r w:rsidRPr="00E77495">
              <w:rPr>
                <w:b w:val="0"/>
                <w:color w:val="000000" w:themeColor="text1"/>
              </w:rPr>
              <w:t>Suppression des Parcs Naturels</w:t>
            </w:r>
            <w:r>
              <w:rPr>
                <w:color w:val="000000" w:themeColor="text1"/>
              </w:rPr>
              <w:t>)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2"/>
              </w:numPr>
              <w:rPr>
                <w:b w:val="0"/>
                <w:color w:val="000000" w:themeColor="text1"/>
              </w:rPr>
            </w:pPr>
            <w:r w:rsidRPr="00E77495">
              <w:rPr>
                <w:b w:val="0"/>
                <w:color w:val="000000" w:themeColor="text1"/>
              </w:rPr>
              <w:t xml:space="preserve">Uniformisation des annexes : 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3"/>
              </w:numPr>
              <w:spacing w:after="180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Annexe </w:t>
            </w:r>
            <w:r w:rsidRPr="00E77495">
              <w:rPr>
                <w:b w:val="0"/>
                <w:color w:val="000000" w:themeColor="text1"/>
              </w:rPr>
              <w:t xml:space="preserve">D1 = </w:t>
            </w:r>
            <w:r>
              <w:rPr>
                <w:b w:val="0"/>
                <w:color w:val="000000" w:themeColor="text1"/>
              </w:rPr>
              <w:t xml:space="preserve">présentation des </w:t>
            </w:r>
            <w:r w:rsidRPr="00E77495">
              <w:rPr>
                <w:b w:val="0"/>
                <w:color w:val="000000" w:themeColor="text1"/>
              </w:rPr>
              <w:t xml:space="preserve">VSE ; 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3"/>
              </w:numPr>
              <w:spacing w:after="180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Annexe </w:t>
            </w:r>
            <w:r w:rsidRPr="00E77495">
              <w:rPr>
                <w:b w:val="0"/>
                <w:color w:val="000000" w:themeColor="text1"/>
              </w:rPr>
              <w:t xml:space="preserve">D2 = méthodologie de calcul des VSE pour les hydrocarbures aromatiques non halogénés, les hydrocarbures chlorés, les cyanures et les hydrocarbures pétroliers ; </w:t>
            </w:r>
          </w:p>
          <w:p w:rsidR="00165539" w:rsidRPr="00E77495" w:rsidRDefault="00165539" w:rsidP="00165539">
            <w:pPr>
              <w:pStyle w:val="Paragraphedeliste"/>
              <w:numPr>
                <w:ilvl w:val="0"/>
                <w:numId w:val="13"/>
              </w:numPr>
              <w:spacing w:after="180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Annexe </w:t>
            </w:r>
            <w:r w:rsidRPr="00E77495">
              <w:rPr>
                <w:b w:val="0"/>
                <w:color w:val="000000" w:themeColor="text1"/>
              </w:rPr>
              <w:t>D3 = méthodologie de calcul des VSE pour les métaux lourds et les hydrocarbures aromatiques polycycliques</w:t>
            </w:r>
          </w:p>
        </w:tc>
      </w:tr>
      <w:tr w:rsidR="00165539" w:rsidTr="00160BE5">
        <w:trPr>
          <w:cnfStyle w:val="000000100000"/>
        </w:trPr>
        <w:tc>
          <w:tcPr>
            <w:cnfStyle w:val="001000000000"/>
            <w:tcW w:w="9288" w:type="dxa"/>
            <w:tcBorders>
              <w:left w:val="none" w:sz="0" w:space="0" w:color="auto"/>
              <w:right w:val="none" w:sz="0" w:space="0" w:color="auto"/>
            </w:tcBorders>
          </w:tcPr>
          <w:p w:rsidR="00165539" w:rsidRDefault="00165539" w:rsidP="00160BE5">
            <w:pPr>
              <w:pStyle w:val="Paragraphedeliste"/>
              <w:ind w:left="0"/>
            </w:pPr>
            <w:r w:rsidRPr="003A0136">
              <w:t>GRER</w:t>
            </w:r>
            <w:r>
              <w:t xml:space="preserve"> Partie E-v04</w:t>
            </w:r>
          </w:p>
          <w:p w:rsidR="00165539" w:rsidRDefault="00165539" w:rsidP="00165539">
            <w:pPr>
              <w:pStyle w:val="Paragraphedeliste"/>
              <w:numPr>
                <w:ilvl w:val="0"/>
                <w:numId w:val="12"/>
              </w:numPr>
            </w:pPr>
            <w:r>
              <w:rPr>
                <w:b w:val="0"/>
                <w:color w:val="000000" w:themeColor="text1"/>
              </w:rPr>
              <w:t>Révision de la structure de présentation du rapport : présentation par base d’évaluation et distinction entre les</w:t>
            </w:r>
            <w:r w:rsidRPr="00E11558">
              <w:rPr>
                <w:b w:val="0"/>
                <w:color w:val="000000" w:themeColor="text1"/>
              </w:rPr>
              <w:t xml:space="preserve"> </w:t>
            </w:r>
            <w:r>
              <w:rPr>
                <w:b w:val="0"/>
                <w:color w:val="000000" w:themeColor="text1"/>
              </w:rPr>
              <w:t>conclusions</w:t>
            </w:r>
            <w:r w:rsidRPr="00E11558">
              <w:rPr>
                <w:b w:val="0"/>
                <w:color w:val="000000" w:themeColor="text1"/>
              </w:rPr>
              <w:t xml:space="preserve"> d</w:t>
            </w:r>
            <w:r>
              <w:rPr>
                <w:b w:val="0"/>
                <w:color w:val="000000" w:themeColor="text1"/>
              </w:rPr>
              <w:t>e l’</w:t>
            </w:r>
            <w:r w:rsidRPr="00E11558">
              <w:rPr>
                <w:b w:val="0"/>
                <w:color w:val="000000" w:themeColor="text1"/>
              </w:rPr>
              <w:t>étude de risque</w:t>
            </w:r>
            <w:r>
              <w:rPr>
                <w:b w:val="0"/>
                <w:color w:val="000000" w:themeColor="text1"/>
              </w:rPr>
              <w:t>s</w:t>
            </w:r>
            <w:r w:rsidRPr="00E11558">
              <w:rPr>
                <w:b w:val="0"/>
                <w:color w:val="000000" w:themeColor="text1"/>
              </w:rPr>
              <w:t xml:space="preserve"> (MG / AMG) et </w:t>
            </w:r>
            <w:r>
              <w:rPr>
                <w:b w:val="0"/>
                <w:color w:val="000000" w:themeColor="text1"/>
              </w:rPr>
              <w:t>l’</w:t>
            </w:r>
            <w:r w:rsidRPr="00E11558">
              <w:rPr>
                <w:b w:val="0"/>
                <w:color w:val="000000" w:themeColor="text1"/>
              </w:rPr>
              <w:t>interprétation en terme de conclusions opérationnelles et additionnelles </w:t>
            </w:r>
          </w:p>
        </w:tc>
      </w:tr>
      <w:tr w:rsidR="00165539" w:rsidTr="00160BE5">
        <w:tc>
          <w:tcPr>
            <w:cnfStyle w:val="001000000000"/>
            <w:tcW w:w="9288" w:type="dxa"/>
          </w:tcPr>
          <w:p w:rsidR="00165539" w:rsidRDefault="00165539" w:rsidP="00160BE5">
            <w:pPr>
              <w:pStyle w:val="Paragraphedeliste"/>
              <w:ind w:left="0"/>
            </w:pPr>
            <w:r>
              <w:t>GRPA</w:t>
            </w:r>
          </w:p>
          <w:p w:rsidR="00165539" w:rsidRDefault="00165539" w:rsidP="00160BE5">
            <w:pPr>
              <w:pStyle w:val="Paragraphedeliste"/>
              <w:tabs>
                <w:tab w:val="left" w:pos="709"/>
              </w:tabs>
              <w:ind w:left="436" w:hanging="10"/>
              <w:jc w:val="both"/>
              <w:rPr>
                <w:b w:val="0"/>
                <w:color w:val="000000" w:themeColor="text1"/>
              </w:rPr>
            </w:pPr>
            <w:r w:rsidRPr="0004656D">
              <w:rPr>
                <w:b w:val="0"/>
                <w:color w:val="000000" w:themeColor="text1"/>
              </w:rPr>
              <w:t xml:space="preserve">- </w:t>
            </w:r>
            <w:r>
              <w:rPr>
                <w:b w:val="0"/>
                <w:color w:val="000000" w:themeColor="text1"/>
              </w:rPr>
              <w:tab/>
              <w:t>N</w:t>
            </w:r>
            <w:r w:rsidRPr="0004656D">
              <w:rPr>
                <w:b w:val="0"/>
                <w:color w:val="000000" w:themeColor="text1"/>
              </w:rPr>
              <w:t>ouvelle mise en forme, homogénéisée par rapport aux autres guides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Default="00165539" w:rsidP="00160BE5">
            <w:pPr>
              <w:pStyle w:val="Paragraphedeliste"/>
              <w:tabs>
                <w:tab w:val="left" w:pos="709"/>
              </w:tabs>
              <w:ind w:left="709" w:hanging="283"/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 xml:space="preserve">-  </w:t>
            </w:r>
            <w:r>
              <w:rPr>
                <w:b w:val="0"/>
                <w:color w:val="000000" w:themeColor="text1"/>
              </w:rPr>
              <w:tab/>
              <w:t>Révision des objectifs d’assainissement en pollution nouvelle (</w:t>
            </w:r>
            <w:r w:rsidRPr="0004656D">
              <w:rPr>
                <w:b w:val="0"/>
                <w:color w:val="000000" w:themeColor="text1"/>
              </w:rPr>
              <w:t xml:space="preserve">80% de la valeur seuil) et adaptation des objectifs </w:t>
            </w:r>
            <w:r>
              <w:rPr>
                <w:b w:val="0"/>
                <w:color w:val="000000" w:themeColor="text1"/>
              </w:rPr>
              <w:t>lors</w:t>
            </w:r>
            <w:r w:rsidRPr="0004656D">
              <w:rPr>
                <w:b w:val="0"/>
                <w:color w:val="000000" w:themeColor="text1"/>
              </w:rPr>
              <w:t xml:space="preserve"> l’utilisation de lors l’approche simplifiée</w:t>
            </w:r>
            <w:r>
              <w:rPr>
                <w:b w:val="0"/>
                <w:color w:val="000000" w:themeColor="text1"/>
              </w:rPr>
              <w:t xml:space="preserve"> </w:t>
            </w:r>
            <w:r w:rsidRPr="0004656D">
              <w:rPr>
                <w:b w:val="0"/>
                <w:color w:val="000000" w:themeColor="text1"/>
              </w:rPr>
              <w:t xml:space="preserve">(excavation/évacuation totale)  </w:t>
            </w:r>
            <w:r>
              <w:rPr>
                <w:b w:val="0"/>
                <w:color w:val="000000" w:themeColor="text1"/>
              </w:rPr>
              <w:t xml:space="preserve">de </w:t>
            </w:r>
            <w:r w:rsidRPr="0004656D">
              <w:rPr>
                <w:b w:val="0"/>
                <w:color w:val="000000" w:themeColor="text1"/>
              </w:rPr>
              <w:t>l’outil Gamma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Pr="0004656D" w:rsidRDefault="00165539" w:rsidP="00165539">
            <w:pPr>
              <w:pStyle w:val="Paragraphedeliste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b w:val="0"/>
                <w:color w:val="000000" w:themeColor="text1"/>
              </w:rPr>
            </w:pPr>
            <w:r>
              <w:rPr>
                <w:b w:val="0"/>
                <w:color w:val="000000" w:themeColor="text1"/>
              </w:rPr>
              <w:t>L</w:t>
            </w:r>
            <w:r w:rsidRPr="0004656D">
              <w:rPr>
                <w:b w:val="0"/>
                <w:color w:val="000000" w:themeColor="text1"/>
              </w:rPr>
              <w:t>es mesures de réparation compléme</w:t>
            </w:r>
            <w:r>
              <w:rPr>
                <w:b w:val="0"/>
                <w:color w:val="000000" w:themeColor="text1"/>
              </w:rPr>
              <w:t xml:space="preserve">ntaire et compensatoire sont à </w:t>
            </w:r>
            <w:r w:rsidRPr="0004656D">
              <w:rPr>
                <w:b w:val="0"/>
                <w:color w:val="000000" w:themeColor="text1"/>
              </w:rPr>
              <w:t>envisager lorsque les objectifs d’assainissements tels que définis dans le décret ne peuvent être atteints au droit des eaux souterraines par les meilleures techniques disponibles.</w:t>
            </w:r>
          </w:p>
          <w:p w:rsidR="00165539" w:rsidRDefault="00165539" w:rsidP="00160BE5">
            <w:pPr>
              <w:pStyle w:val="Paragraphedeliste"/>
              <w:tabs>
                <w:tab w:val="left" w:pos="709"/>
              </w:tabs>
              <w:ind w:left="436" w:hanging="10"/>
            </w:pPr>
          </w:p>
        </w:tc>
      </w:tr>
      <w:tr w:rsidR="00165539" w:rsidTr="00160BE5">
        <w:tblPrEx>
          <w:tblBorders>
            <w:top w:val="single" w:sz="8" w:space="0" w:color="7FD13B" w:themeColor="accent1"/>
            <w:left w:val="none" w:sz="0" w:space="0" w:color="auto"/>
            <w:bottom w:val="single" w:sz="8" w:space="0" w:color="7FD13B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nfStyle w:val="000000100000"/>
        </w:trPr>
        <w:tc>
          <w:tcPr>
            <w:cnfStyle w:val="001000000000"/>
            <w:tcW w:w="9288" w:type="dxa"/>
          </w:tcPr>
          <w:p w:rsidR="00165539" w:rsidRDefault="00165539" w:rsidP="00160BE5">
            <w:pPr>
              <w:pStyle w:val="Paragraphedeliste"/>
              <w:ind w:left="0"/>
            </w:pPr>
            <w:r>
              <w:t>GREF</w:t>
            </w:r>
          </w:p>
          <w:p w:rsidR="00165539" w:rsidRPr="00180AE8" w:rsidRDefault="00165539" w:rsidP="00165539">
            <w:pPr>
              <w:pStyle w:val="Paragraphedeliste"/>
              <w:numPr>
                <w:ilvl w:val="0"/>
                <w:numId w:val="7"/>
              </w:numPr>
            </w:pPr>
            <w:r>
              <w:rPr>
                <w:b w:val="0"/>
                <w:color w:val="000000" w:themeColor="text1"/>
              </w:rPr>
              <w:t>N</w:t>
            </w:r>
            <w:r w:rsidRPr="0004656D">
              <w:rPr>
                <w:b w:val="0"/>
                <w:color w:val="000000" w:themeColor="text1"/>
              </w:rPr>
              <w:t>ouvelle mise en forme, homogénéisée par rapport aux autres guides</w:t>
            </w:r>
            <w:r>
              <w:rPr>
                <w:b w:val="0"/>
                <w:color w:val="000000" w:themeColor="text1"/>
              </w:rPr>
              <w:t> ;</w:t>
            </w:r>
          </w:p>
          <w:p w:rsidR="00165539" w:rsidRPr="00180AE8" w:rsidRDefault="00165539" w:rsidP="00165539">
            <w:pPr>
              <w:pStyle w:val="Paragraphedeliste"/>
              <w:numPr>
                <w:ilvl w:val="0"/>
                <w:numId w:val="7"/>
              </w:numPr>
            </w:pPr>
            <w:r w:rsidRPr="00180AE8">
              <w:rPr>
                <w:b w:val="0"/>
                <w:color w:val="000000" w:themeColor="text1"/>
              </w:rPr>
              <w:t>Révision de la stratégie d’</w:t>
            </w:r>
            <w:r>
              <w:rPr>
                <w:b w:val="0"/>
                <w:color w:val="000000" w:themeColor="text1"/>
              </w:rPr>
              <w:t>échantillonn</w:t>
            </w:r>
            <w:r w:rsidRPr="00180AE8">
              <w:rPr>
                <w:b w:val="0"/>
                <w:color w:val="000000" w:themeColor="text1"/>
              </w:rPr>
              <w:t>age en parois et fond de fouille</w:t>
            </w:r>
            <w:r>
              <w:rPr>
                <w:b w:val="0"/>
                <w:color w:val="000000" w:themeColor="text1"/>
              </w:rPr>
              <w:t xml:space="preserve"> en vue d’une meilleure harmonisation avec les pratiques en vigueur dans les autres régions et une cohérence avec les approches développées pour la gestion et la traçabilité des terres; </w:t>
            </w:r>
          </w:p>
          <w:p w:rsidR="00165539" w:rsidRPr="00180AE8" w:rsidRDefault="00165539" w:rsidP="00165539">
            <w:pPr>
              <w:pStyle w:val="Paragraphedeliste"/>
              <w:numPr>
                <w:ilvl w:val="0"/>
                <w:numId w:val="7"/>
              </w:numPr>
            </w:pPr>
            <w:r>
              <w:rPr>
                <w:b w:val="0"/>
                <w:color w:val="000000" w:themeColor="text1"/>
              </w:rPr>
              <w:t>Adaptation des consignes pour l’élaboration du certificat de contrôle du sol </w:t>
            </w:r>
            <w:r w:rsidR="00730FAF">
              <w:rPr>
                <w:b w:val="0"/>
                <w:color w:val="000000" w:themeColor="text1"/>
              </w:rPr>
              <w:t xml:space="preserve"> et intégration d’un nouveau modèle pour le projet de certificat qui doit être élaboré par l’expert</w:t>
            </w:r>
            <w:r>
              <w:rPr>
                <w:b w:val="0"/>
                <w:color w:val="000000" w:themeColor="text1"/>
              </w:rPr>
              <w:t>;</w:t>
            </w:r>
          </w:p>
          <w:p w:rsidR="00165539" w:rsidRPr="00693A03" w:rsidRDefault="00165539" w:rsidP="00165539">
            <w:pPr>
              <w:pStyle w:val="Paragraphedeliste"/>
              <w:numPr>
                <w:ilvl w:val="0"/>
                <w:numId w:val="7"/>
              </w:numPr>
              <w:rPr>
                <w:b w:val="0"/>
                <w:color w:val="000000" w:themeColor="text1"/>
              </w:rPr>
            </w:pPr>
            <w:r w:rsidRPr="00693A03">
              <w:rPr>
                <w:b w:val="0"/>
                <w:color w:val="000000" w:themeColor="text1"/>
              </w:rPr>
              <w:t>Révision des consignes de rapportage et de la table des matières du rapport, en cohérence avec les autres guides</w:t>
            </w:r>
            <w:r>
              <w:rPr>
                <w:b w:val="0"/>
                <w:color w:val="000000" w:themeColor="text1"/>
              </w:rPr>
              <w:t>.</w:t>
            </w:r>
          </w:p>
          <w:p w:rsidR="00165539" w:rsidRDefault="00165539" w:rsidP="00160BE5">
            <w:pPr>
              <w:pStyle w:val="Paragraphedeliste"/>
            </w:pPr>
          </w:p>
        </w:tc>
      </w:tr>
    </w:tbl>
    <w:p w:rsidR="002D07E1" w:rsidRDefault="002D07E1" w:rsidP="002D07E1"/>
    <w:p w:rsidR="00426FEC" w:rsidRPr="00CE70BC" w:rsidRDefault="00426FEC" w:rsidP="00426FEC">
      <w:pPr>
        <w:spacing w:after="0" w:line="240" w:lineRule="auto"/>
        <w:ind w:left="1416"/>
        <w:jc w:val="both"/>
      </w:pPr>
    </w:p>
    <w:p w:rsidR="003A42F1" w:rsidRDefault="003A42F1" w:rsidP="002430F3">
      <w:pPr>
        <w:jc w:val="both"/>
      </w:pPr>
    </w:p>
    <w:p w:rsidR="00426FEC" w:rsidRDefault="00426FEC" w:rsidP="002430F3">
      <w:pPr>
        <w:jc w:val="both"/>
      </w:pPr>
    </w:p>
    <w:p w:rsidR="00426FEC" w:rsidRDefault="00426FEC" w:rsidP="002430F3">
      <w:pPr>
        <w:jc w:val="both"/>
      </w:pPr>
    </w:p>
    <w:sectPr w:rsidR="00426FEC" w:rsidSect="00426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F5B3C"/>
    <w:multiLevelType w:val="hybridMultilevel"/>
    <w:tmpl w:val="AA9A738C"/>
    <w:lvl w:ilvl="0" w:tplc="9FDE9C46">
      <w:start w:val="3"/>
      <w:numFmt w:val="bullet"/>
      <w:lvlText w:val="-"/>
      <w:lvlJc w:val="left"/>
      <w:pPr>
        <w:ind w:left="873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18CC0FF2"/>
    <w:multiLevelType w:val="hybridMultilevel"/>
    <w:tmpl w:val="ECC6EC76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B950D8"/>
    <w:multiLevelType w:val="hybridMultilevel"/>
    <w:tmpl w:val="5948A85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9169B"/>
    <w:multiLevelType w:val="hybridMultilevel"/>
    <w:tmpl w:val="5C5232D2"/>
    <w:lvl w:ilvl="0" w:tplc="98125B4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4C3BA8"/>
    <w:multiLevelType w:val="hybridMultilevel"/>
    <w:tmpl w:val="C99CE9D6"/>
    <w:lvl w:ilvl="0" w:tplc="9FDE9C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FD00D8"/>
    <w:multiLevelType w:val="hybridMultilevel"/>
    <w:tmpl w:val="A4B41434"/>
    <w:lvl w:ilvl="0" w:tplc="9FDE9C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1928DF"/>
    <w:multiLevelType w:val="hybridMultilevel"/>
    <w:tmpl w:val="54E89E6E"/>
    <w:lvl w:ilvl="0" w:tplc="0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19D2B4B"/>
    <w:multiLevelType w:val="hybridMultilevel"/>
    <w:tmpl w:val="1F5A4A7A"/>
    <w:lvl w:ilvl="0" w:tplc="9FDE9C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C3661"/>
    <w:multiLevelType w:val="singleLevel"/>
    <w:tmpl w:val="1D9C6D7A"/>
    <w:lvl w:ilvl="0">
      <w:start w:val="1"/>
      <w:numFmt w:val="bullet"/>
      <w:pStyle w:val="Puce1"/>
      <w:lvlText w:val=""/>
      <w:lvlJc w:val="left"/>
      <w:pPr>
        <w:tabs>
          <w:tab w:val="num" w:pos="1021"/>
        </w:tabs>
        <w:ind w:left="1021" w:hanging="454"/>
      </w:pPr>
      <w:rPr>
        <w:rFonts w:ascii="Symbol" w:hAnsi="Symbol" w:hint="default"/>
      </w:rPr>
    </w:lvl>
  </w:abstractNum>
  <w:abstractNum w:abstractNumId="9">
    <w:nsid w:val="5CAF6276"/>
    <w:multiLevelType w:val="hybridMultilevel"/>
    <w:tmpl w:val="2A9CF146"/>
    <w:lvl w:ilvl="0" w:tplc="9FDE9C46">
      <w:start w:val="3"/>
      <w:numFmt w:val="bullet"/>
      <w:lvlText w:val="-"/>
      <w:lvlJc w:val="left"/>
      <w:pPr>
        <w:ind w:left="436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62E12EAF"/>
    <w:multiLevelType w:val="hybridMultilevel"/>
    <w:tmpl w:val="3C3886C2"/>
    <w:lvl w:ilvl="0" w:tplc="9FDE9C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A02EF1"/>
    <w:multiLevelType w:val="hybridMultilevel"/>
    <w:tmpl w:val="37A045BA"/>
    <w:lvl w:ilvl="0" w:tplc="CD6071C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0271C"/>
    <w:multiLevelType w:val="hybridMultilevel"/>
    <w:tmpl w:val="4FC6C00E"/>
    <w:lvl w:ilvl="0" w:tplc="9FDE9C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260E14"/>
    <w:multiLevelType w:val="hybridMultilevel"/>
    <w:tmpl w:val="93A80D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C3E20"/>
    <w:multiLevelType w:val="hybridMultilevel"/>
    <w:tmpl w:val="3D36B35E"/>
    <w:lvl w:ilvl="0" w:tplc="9DAAF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0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13"/>
  </w:num>
  <w:num w:numId="12">
    <w:abstractNumId w:val="7"/>
  </w:num>
  <w:num w:numId="13">
    <w:abstractNumId w:val="6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èpèche">
    <w15:presenceInfo w15:providerId="None" w15:userId="Pèpèch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A0EB1"/>
    <w:rsid w:val="0004656D"/>
    <w:rsid w:val="000965B7"/>
    <w:rsid w:val="00165539"/>
    <w:rsid w:val="00180AE8"/>
    <w:rsid w:val="002430F3"/>
    <w:rsid w:val="002618F7"/>
    <w:rsid w:val="00284834"/>
    <w:rsid w:val="002B2BC3"/>
    <w:rsid w:val="002B348E"/>
    <w:rsid w:val="002D07E1"/>
    <w:rsid w:val="00315F24"/>
    <w:rsid w:val="003814F2"/>
    <w:rsid w:val="003A42F1"/>
    <w:rsid w:val="00424E12"/>
    <w:rsid w:val="00426FEC"/>
    <w:rsid w:val="00427DF7"/>
    <w:rsid w:val="004931E0"/>
    <w:rsid w:val="00593B21"/>
    <w:rsid w:val="005D6948"/>
    <w:rsid w:val="00607849"/>
    <w:rsid w:val="00693A03"/>
    <w:rsid w:val="006B6B9A"/>
    <w:rsid w:val="006E58BD"/>
    <w:rsid w:val="00730FAF"/>
    <w:rsid w:val="00760E44"/>
    <w:rsid w:val="007F78E1"/>
    <w:rsid w:val="0082261B"/>
    <w:rsid w:val="008D2553"/>
    <w:rsid w:val="009133BC"/>
    <w:rsid w:val="009A0EB1"/>
    <w:rsid w:val="009B344E"/>
    <w:rsid w:val="00A35B70"/>
    <w:rsid w:val="00B245CF"/>
    <w:rsid w:val="00BB0FCD"/>
    <w:rsid w:val="00BF1A92"/>
    <w:rsid w:val="00C56B80"/>
    <w:rsid w:val="00CF25B3"/>
    <w:rsid w:val="00D45CF3"/>
    <w:rsid w:val="00E72933"/>
    <w:rsid w:val="00E7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F2"/>
  </w:style>
  <w:style w:type="paragraph" w:styleId="Titre1">
    <w:name w:val="heading 1"/>
    <w:basedOn w:val="Normal"/>
    <w:next w:val="Normal"/>
    <w:link w:val="Titre1Car"/>
    <w:uiPriority w:val="9"/>
    <w:qFormat/>
    <w:rsid w:val="004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9A0EB1"/>
    <w:pPr>
      <w:ind w:left="720"/>
      <w:contextualSpacing/>
    </w:pPr>
  </w:style>
  <w:style w:type="paragraph" w:styleId="Corpsdetexte">
    <w:name w:val="Body Text"/>
    <w:aliases w:val="Body Text1,Corps de texte Car1"/>
    <w:basedOn w:val="Normal"/>
    <w:link w:val="CorpsdetexteCar"/>
    <w:rsid w:val="002D07E1"/>
    <w:pPr>
      <w:spacing w:before="180" w:after="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customStyle="1" w:styleId="CorpsdetexteCar">
    <w:name w:val="Corps de texte Car"/>
    <w:aliases w:val="Body Text1 Car,Corps de texte Car1 Car"/>
    <w:basedOn w:val="Policepardfaut"/>
    <w:link w:val="Corpsdetexte"/>
    <w:rsid w:val="002D07E1"/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customStyle="1" w:styleId="premierparagrapheCar">
    <w:name w:val="premier paragraphe Car"/>
    <w:basedOn w:val="Policepardfaut"/>
    <w:link w:val="premierparagraphe"/>
    <w:locked/>
    <w:rsid w:val="002D07E1"/>
    <w:rPr>
      <w:rFonts w:ascii="Arial" w:hAnsi="Arial" w:cs="Arial"/>
      <w:spacing w:val="10"/>
    </w:rPr>
  </w:style>
  <w:style w:type="paragraph" w:customStyle="1" w:styleId="premierparagraphe">
    <w:name w:val="premier paragraphe"/>
    <w:basedOn w:val="Normal"/>
    <w:link w:val="premierparagrapheCar"/>
    <w:rsid w:val="002D07E1"/>
    <w:pPr>
      <w:spacing w:after="0" w:line="240" w:lineRule="auto"/>
      <w:jc w:val="both"/>
    </w:pPr>
    <w:rPr>
      <w:rFonts w:ascii="Arial" w:hAnsi="Arial" w:cs="Arial"/>
      <w:spacing w:val="10"/>
    </w:rPr>
  </w:style>
  <w:style w:type="paragraph" w:customStyle="1" w:styleId="Puce1">
    <w:name w:val="Puce 1"/>
    <w:basedOn w:val="Corpsdetexte"/>
    <w:link w:val="Puce1Car1"/>
    <w:rsid w:val="00426FEC"/>
    <w:pPr>
      <w:numPr>
        <w:numId w:val="4"/>
      </w:numPr>
      <w:spacing w:before="80"/>
    </w:pPr>
  </w:style>
  <w:style w:type="character" w:customStyle="1" w:styleId="Puce1Car1">
    <w:name w:val="Puce 1 Car1"/>
    <w:basedOn w:val="CorpsdetexteCar"/>
    <w:link w:val="Puce1"/>
    <w:rsid w:val="00426FEC"/>
  </w:style>
  <w:style w:type="paragraph" w:customStyle="1" w:styleId="Default">
    <w:name w:val="Default"/>
    <w:rsid w:val="00426FE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426FEC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8D2553"/>
    <w:rPr>
      <w:color w:val="EB8803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B24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rameclaire-Accent1">
    <w:name w:val="Light Shading Accent 1"/>
    <w:basedOn w:val="TableauNormal"/>
    <w:uiPriority w:val="60"/>
    <w:rsid w:val="00B245CF"/>
    <w:pPr>
      <w:spacing w:after="0" w:line="240" w:lineRule="auto"/>
    </w:pPr>
    <w:rPr>
      <w:color w:val="5EA226" w:themeColor="accent1" w:themeShade="BF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rsid w:val="00693A03"/>
  </w:style>
  <w:style w:type="table" w:customStyle="1" w:styleId="Trameclaire-Accent11">
    <w:name w:val="Trame claire - Accent 11"/>
    <w:basedOn w:val="TableauNormal"/>
    <w:uiPriority w:val="60"/>
    <w:rsid w:val="00165539"/>
    <w:pPr>
      <w:spacing w:after="0" w:line="240" w:lineRule="auto"/>
    </w:pPr>
    <w:rPr>
      <w:color w:val="5EA226" w:themeColor="accent1" w:themeShade="BF"/>
    </w:rPr>
    <w:tblPr>
      <w:tblStyleRowBandSize w:val="1"/>
      <w:tblStyleColBandSize w:val="1"/>
      <w:tblInd w:w="0" w:type="dxa"/>
      <w:tblBorders>
        <w:top w:val="single" w:sz="8" w:space="0" w:color="7FD13B" w:themeColor="accent1"/>
        <w:bottom w:val="single" w:sz="8" w:space="0" w:color="7FD13B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D13B" w:themeColor="accent1"/>
          <w:left w:val="nil"/>
          <w:bottom w:val="single" w:sz="8" w:space="0" w:color="7FD13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3C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ps.environnement.wallonie.be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étro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é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é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938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40517</dc:creator>
  <cp:lastModifiedBy>DUSART</cp:lastModifiedBy>
  <cp:revision>5</cp:revision>
  <dcterms:created xsi:type="dcterms:W3CDTF">2018-12-11T10:13:00Z</dcterms:created>
  <dcterms:modified xsi:type="dcterms:W3CDTF">2018-12-13T13:45:00Z</dcterms:modified>
</cp:coreProperties>
</file>